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1D7F38C">
      <w:pPr>
        <w:jc w:val="center"/>
        <w:rPr>
          <w:rFonts w:ascii="宋体" w:hAnsi="宋体" w:cs="宋体"/>
          <w:color w:val="auto"/>
          <w:highlight w:val="none"/>
        </w:rPr>
      </w:pPr>
    </w:p>
    <w:p w14:paraId="2E5C58E9">
      <w:pPr>
        <w:jc w:val="center"/>
        <w:rPr>
          <w:rFonts w:ascii="宋体" w:hAnsi="宋体" w:cs="宋体"/>
          <w:color w:val="auto"/>
          <w:highlight w:val="none"/>
        </w:rPr>
      </w:pPr>
    </w:p>
    <w:p w14:paraId="5FEB0592">
      <w:pPr>
        <w:jc w:val="center"/>
        <w:rPr>
          <w:rFonts w:ascii="宋体" w:hAnsi="宋体" w:cs="宋体"/>
          <w:color w:val="auto"/>
          <w:highlight w:val="none"/>
        </w:rPr>
      </w:pPr>
    </w:p>
    <w:p w14:paraId="4A220206">
      <w:pPr>
        <w:jc w:val="center"/>
        <w:rPr>
          <w:rFonts w:ascii="宋体" w:hAnsi="宋体" w:cs="宋体"/>
          <w:color w:val="auto"/>
          <w:highlight w:val="none"/>
        </w:rPr>
      </w:pPr>
    </w:p>
    <w:p w14:paraId="4F7B1A37">
      <w:pPr>
        <w:jc w:val="center"/>
        <w:rPr>
          <w:rFonts w:ascii="宋体" w:hAnsi="宋体" w:cs="宋体"/>
          <w:color w:val="auto"/>
          <w:highlight w:val="none"/>
        </w:rPr>
      </w:pPr>
    </w:p>
    <w:p w14:paraId="02AC64FA">
      <w:pPr>
        <w:jc w:val="center"/>
        <w:rPr>
          <w:rFonts w:ascii="宋体" w:hAnsi="宋体" w:cs="宋体"/>
          <w:color w:val="auto"/>
          <w:sz w:val="144"/>
          <w:szCs w:val="144"/>
          <w:highlight w:val="none"/>
        </w:rPr>
      </w:pPr>
      <w:r>
        <w:rPr>
          <w:rFonts w:hint="eastAsia" w:ascii="宋体" w:hAnsi="宋体" w:cs="宋体"/>
          <w:color w:val="auto"/>
          <w:sz w:val="112"/>
          <w:szCs w:val="112"/>
          <w:highlight w:val="none"/>
        </w:rPr>
        <w:t>竞争性比选文件</w:t>
      </w:r>
    </w:p>
    <w:p w14:paraId="1C0EEC88">
      <w:pPr>
        <w:spacing w:line="700" w:lineRule="exact"/>
        <w:jc w:val="center"/>
        <w:rPr>
          <w:rFonts w:ascii="宋体" w:hAnsi="宋体" w:cs="宋体"/>
          <w:color w:val="auto"/>
          <w:sz w:val="32"/>
          <w:highlight w:val="none"/>
        </w:rPr>
      </w:pPr>
    </w:p>
    <w:p w14:paraId="06229876">
      <w:pPr>
        <w:spacing w:line="700" w:lineRule="exact"/>
        <w:jc w:val="center"/>
        <w:rPr>
          <w:rFonts w:ascii="宋体" w:hAnsi="宋体" w:cs="宋体"/>
          <w:color w:val="auto"/>
          <w:sz w:val="32"/>
          <w:highlight w:val="none"/>
        </w:rPr>
      </w:pPr>
    </w:p>
    <w:p w14:paraId="5AA5FD37">
      <w:pPr>
        <w:spacing w:line="700" w:lineRule="exact"/>
        <w:jc w:val="center"/>
        <w:rPr>
          <w:rFonts w:ascii="宋体" w:hAnsi="宋体" w:cs="宋体"/>
          <w:color w:val="auto"/>
          <w:sz w:val="32"/>
          <w:highlight w:val="none"/>
        </w:rPr>
      </w:pPr>
    </w:p>
    <w:p w14:paraId="591335A8">
      <w:pPr>
        <w:spacing w:line="500" w:lineRule="exact"/>
        <w:ind w:firstLine="2080" w:firstLineChars="650"/>
        <w:outlineLvl w:val="0"/>
        <w:rPr>
          <w:rFonts w:ascii="宋体" w:hAnsi="宋体" w:cs="宋体"/>
          <w:color w:val="auto"/>
          <w:sz w:val="32"/>
          <w:szCs w:val="32"/>
          <w:highlight w:val="none"/>
        </w:rPr>
      </w:pPr>
      <w:r>
        <w:rPr>
          <w:rFonts w:hint="eastAsia" w:ascii="宋体" w:hAnsi="宋体" w:cs="宋体"/>
          <w:color w:val="auto"/>
          <w:sz w:val="32"/>
          <w:szCs w:val="32"/>
          <w:highlight w:val="none"/>
        </w:rPr>
        <w:t xml:space="preserve"> </w:t>
      </w:r>
    </w:p>
    <w:p w14:paraId="4AB7CCE9">
      <w:pPr>
        <w:spacing w:line="600" w:lineRule="exact"/>
        <w:jc w:val="center"/>
        <w:rPr>
          <w:rFonts w:hint="eastAsia" w:ascii="宋体" w:hAnsi="宋体" w:eastAsia="宋体" w:cs="宋体"/>
          <w:color w:val="auto"/>
          <w:sz w:val="32"/>
          <w:szCs w:val="32"/>
          <w:highlight w:val="none"/>
          <w:lang w:val="en-US" w:eastAsia="zh-CN"/>
        </w:rPr>
      </w:pPr>
      <w:r>
        <w:rPr>
          <w:rFonts w:hint="eastAsia" w:ascii="宋体" w:hAnsi="宋体" w:cs="宋体"/>
          <w:color w:val="auto"/>
          <w:sz w:val="32"/>
          <w:szCs w:val="32"/>
          <w:highlight w:val="none"/>
        </w:rPr>
        <w:t>采购执行编号：</w:t>
      </w:r>
      <w:r>
        <w:rPr>
          <w:rFonts w:hint="eastAsia" w:ascii="宋体" w:hAnsi="宋体" w:cs="宋体"/>
          <w:color w:val="auto"/>
          <w:sz w:val="32"/>
          <w:szCs w:val="32"/>
          <w:highlight w:val="none"/>
          <w:lang w:eastAsia="zh-CN"/>
        </w:rPr>
        <w:t>JZHYZB-2025102001</w:t>
      </w:r>
    </w:p>
    <w:p w14:paraId="2BA87F3B">
      <w:pPr>
        <w:spacing w:line="600" w:lineRule="exact"/>
        <w:jc w:val="center"/>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rPr>
        <w:t>比选项目名称：</w:t>
      </w:r>
      <w:r>
        <w:rPr>
          <w:rFonts w:hint="eastAsia" w:ascii="宋体" w:hAnsi="宋体" w:cs="宋体"/>
          <w:color w:val="auto"/>
          <w:sz w:val="32"/>
          <w:szCs w:val="32"/>
          <w:highlight w:val="none"/>
          <w:lang w:eastAsia="zh-CN"/>
        </w:rPr>
        <w:t>双子星座A栋1-4#电梯更新工程</w:t>
      </w:r>
    </w:p>
    <w:p w14:paraId="7180FA6A">
      <w:pPr>
        <w:spacing w:line="600" w:lineRule="exact"/>
        <w:jc w:val="center"/>
        <w:rPr>
          <w:rFonts w:ascii="宋体" w:hAnsi="宋体" w:cs="宋体"/>
          <w:color w:val="auto"/>
          <w:sz w:val="32"/>
          <w:szCs w:val="32"/>
          <w:highlight w:val="none"/>
        </w:rPr>
      </w:pPr>
    </w:p>
    <w:p w14:paraId="2FD95681">
      <w:pPr>
        <w:spacing w:line="600" w:lineRule="exact"/>
        <w:jc w:val="center"/>
        <w:rPr>
          <w:rFonts w:ascii="宋体" w:hAnsi="宋体" w:cs="宋体"/>
          <w:color w:val="auto"/>
          <w:sz w:val="32"/>
          <w:szCs w:val="32"/>
          <w:highlight w:val="none"/>
        </w:rPr>
      </w:pPr>
    </w:p>
    <w:p w14:paraId="03C8A79C">
      <w:pPr>
        <w:spacing w:line="600" w:lineRule="exact"/>
        <w:jc w:val="center"/>
        <w:rPr>
          <w:rFonts w:ascii="宋体" w:hAnsi="宋体" w:cs="宋体"/>
          <w:color w:val="auto"/>
          <w:sz w:val="32"/>
          <w:szCs w:val="32"/>
          <w:highlight w:val="none"/>
        </w:rPr>
      </w:pPr>
    </w:p>
    <w:p w14:paraId="05E3B626">
      <w:pPr>
        <w:spacing w:line="600" w:lineRule="exact"/>
        <w:jc w:val="center"/>
        <w:rPr>
          <w:rFonts w:ascii="宋体" w:hAnsi="宋体" w:cs="宋体"/>
          <w:color w:val="auto"/>
          <w:sz w:val="32"/>
          <w:szCs w:val="32"/>
          <w:highlight w:val="none"/>
        </w:rPr>
      </w:pPr>
    </w:p>
    <w:p w14:paraId="3C1A17D0">
      <w:pPr>
        <w:spacing w:line="60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采购人：</w:t>
      </w:r>
      <w:r>
        <w:rPr>
          <w:rFonts w:hint="eastAsia" w:ascii="宋体" w:hAnsi="宋体" w:cs="宋体"/>
          <w:color w:val="auto"/>
          <w:sz w:val="32"/>
          <w:szCs w:val="32"/>
          <w:highlight w:val="none"/>
          <w:lang w:eastAsia="zh-CN"/>
        </w:rPr>
        <w:t>北京市均豪物业管理股份有限公司重庆分公司</w:t>
      </w:r>
      <w:r>
        <w:rPr>
          <w:rFonts w:hint="eastAsia" w:ascii="宋体" w:hAnsi="宋体" w:cs="宋体"/>
          <w:color w:val="auto"/>
          <w:sz w:val="32"/>
          <w:szCs w:val="32"/>
          <w:highlight w:val="none"/>
        </w:rPr>
        <w:t xml:space="preserve"> </w:t>
      </w:r>
    </w:p>
    <w:p w14:paraId="5C424622">
      <w:pPr>
        <w:spacing w:line="60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采购代理机构：重庆靖正恒悦项目管理有限公司</w:t>
      </w:r>
    </w:p>
    <w:p w14:paraId="301DD4B9">
      <w:pPr>
        <w:spacing w:line="600" w:lineRule="exact"/>
        <w:jc w:val="center"/>
        <w:rPr>
          <w:rFonts w:hint="eastAsia" w:ascii="宋体" w:hAnsi="宋体" w:cs="宋体"/>
          <w:color w:val="auto"/>
          <w:sz w:val="32"/>
          <w:szCs w:val="32"/>
          <w:highlight w:val="none"/>
        </w:rPr>
      </w:pPr>
    </w:p>
    <w:p w14:paraId="35CAEDAD">
      <w:pPr>
        <w:spacing w:line="600" w:lineRule="exact"/>
        <w:jc w:val="center"/>
        <w:rPr>
          <w:rFonts w:hint="eastAsia" w:ascii="宋体" w:hAnsi="宋体" w:cs="宋体"/>
          <w:color w:val="auto"/>
          <w:sz w:val="32"/>
          <w:szCs w:val="32"/>
          <w:highlight w:val="none"/>
        </w:rPr>
      </w:pPr>
    </w:p>
    <w:p w14:paraId="0D389786">
      <w:pPr>
        <w:spacing w:line="600" w:lineRule="exact"/>
        <w:jc w:val="center"/>
        <w:rPr>
          <w:rFonts w:hint="eastAsia" w:ascii="宋体" w:hAnsi="宋体" w:cs="宋体"/>
          <w:color w:val="auto"/>
          <w:sz w:val="32"/>
          <w:szCs w:val="32"/>
          <w:highlight w:val="none"/>
        </w:rPr>
      </w:pPr>
    </w:p>
    <w:p w14:paraId="185BA0CE">
      <w:pPr>
        <w:spacing w:line="60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二〇二五年</w:t>
      </w:r>
      <w:r>
        <w:rPr>
          <w:rFonts w:hint="eastAsia" w:ascii="宋体" w:hAnsi="宋体" w:cs="宋体"/>
          <w:color w:val="auto"/>
          <w:sz w:val="32"/>
          <w:szCs w:val="32"/>
          <w:highlight w:val="none"/>
          <w:lang w:val="en-US" w:eastAsia="zh-CN"/>
        </w:rPr>
        <w:t>十</w:t>
      </w:r>
      <w:r>
        <w:rPr>
          <w:rFonts w:hint="eastAsia" w:ascii="宋体" w:hAnsi="宋体" w:cs="宋体"/>
          <w:color w:val="auto"/>
          <w:sz w:val="32"/>
          <w:szCs w:val="32"/>
          <w:highlight w:val="none"/>
        </w:rPr>
        <w:t>月</w:t>
      </w:r>
    </w:p>
    <w:p w14:paraId="31DB2FC4">
      <w:pPr>
        <w:spacing w:line="600" w:lineRule="exact"/>
        <w:jc w:val="center"/>
        <w:rPr>
          <w:rFonts w:ascii="宋体" w:hAnsi="宋体" w:cs="宋体"/>
          <w:color w:val="auto"/>
          <w:sz w:val="32"/>
          <w:szCs w:val="32"/>
          <w:highlight w:val="none"/>
        </w:rPr>
        <w:sectPr>
          <w:footerReference r:id="rId6" w:type="first"/>
          <w:headerReference r:id="rId3" w:type="default"/>
          <w:footerReference r:id="rId4" w:type="default"/>
          <w:footerReference r:id="rId5" w:type="even"/>
          <w:pgSz w:w="11907" w:h="16840"/>
          <w:pgMar w:top="1134" w:right="953" w:bottom="1134" w:left="1134" w:header="851" w:footer="992" w:gutter="0"/>
          <w:pgNumType w:fmt="numberInDash" w:start="1"/>
          <w:cols w:space="720" w:num="1"/>
          <w:titlePg/>
          <w:docGrid w:linePitch="381" w:charSpace="-5735"/>
        </w:sectPr>
      </w:pPr>
    </w:p>
    <w:p w14:paraId="4556064E">
      <w:pPr>
        <w:pStyle w:val="38"/>
        <w:tabs>
          <w:tab w:val="right" w:leader="dot" w:pos="9355"/>
        </w:tabs>
        <w:rPr>
          <w:rFonts w:ascii="宋体" w:hAnsi="宋体" w:cs="宋体"/>
          <w:color w:val="auto"/>
          <w:sz w:val="36"/>
          <w:szCs w:val="30"/>
          <w:highlight w:val="none"/>
        </w:rPr>
      </w:pPr>
      <w:bookmarkStart w:id="0" w:name="_Toc12789052"/>
      <w:bookmarkStart w:id="1" w:name="_Toc15726"/>
      <w:bookmarkStart w:id="2" w:name="_Toc24817"/>
      <w:bookmarkStart w:id="3" w:name="_Toc65660329"/>
      <w:bookmarkStart w:id="4" w:name="_Toc24173"/>
      <w:bookmarkStart w:id="5" w:name="_Toc7502"/>
      <w:bookmarkStart w:id="6" w:name="_Toc11641050"/>
    </w:p>
    <w:p w14:paraId="0DE1087B">
      <w:pPr>
        <w:pStyle w:val="38"/>
        <w:tabs>
          <w:tab w:val="right" w:leader="dot" w:pos="9355"/>
        </w:tabs>
        <w:spacing w:line="720" w:lineRule="exact"/>
        <w:rPr>
          <w:rFonts w:ascii="宋体" w:hAnsi="宋体" w:cs="宋体"/>
          <w:color w:val="auto"/>
          <w:sz w:val="36"/>
          <w:szCs w:val="30"/>
          <w:highlight w:val="none"/>
        </w:rPr>
      </w:pPr>
      <w:r>
        <w:rPr>
          <w:rFonts w:hint="eastAsia" w:ascii="宋体" w:hAnsi="宋体" w:cs="宋体"/>
          <w:color w:val="auto"/>
          <w:sz w:val="36"/>
          <w:szCs w:val="30"/>
          <w:highlight w:val="none"/>
        </w:rPr>
        <w:t>目  录</w:t>
      </w:r>
    </w:p>
    <w:p w14:paraId="1F8E757C">
      <w:pPr>
        <w:pStyle w:val="38"/>
        <w:tabs>
          <w:tab w:val="right" w:leader="dot" w:pos="9355"/>
        </w:tabs>
        <w:rPr>
          <w:rFonts w:ascii="宋体" w:hAnsi="宋体" w:cs="宋体"/>
          <w:color w:val="auto"/>
          <w:sz w:val="36"/>
          <w:szCs w:val="30"/>
          <w:highlight w:val="none"/>
        </w:rPr>
      </w:pPr>
    </w:p>
    <w:p w14:paraId="057E57ED">
      <w:pPr>
        <w:pStyle w:val="38"/>
        <w:keepNext w:val="0"/>
        <w:keepLines w:val="0"/>
        <w:pageBreakBefore w:val="0"/>
        <w:widowControl w:val="0"/>
        <w:tabs>
          <w:tab w:val="right" w:leader="dot" w:pos="9355"/>
        </w:tabs>
        <w:kinsoku/>
        <w:wordWrap/>
        <w:overflowPunct/>
        <w:topLinePunct w:val="0"/>
        <w:autoSpaceDE/>
        <w:autoSpaceDN/>
        <w:bidi w:val="0"/>
        <w:adjustRightInd/>
        <w:snapToGrid/>
        <w:spacing w:line="720" w:lineRule="exact"/>
        <w:textAlignment w:val="auto"/>
        <w:rPr>
          <w:color w:val="auto"/>
          <w:highlight w:val="none"/>
        </w:rPr>
      </w:pPr>
      <w:r>
        <w:rPr>
          <w:rFonts w:hint="eastAsia" w:ascii="宋体" w:hAnsi="宋体" w:cs="宋体"/>
          <w:color w:val="auto"/>
          <w:sz w:val="36"/>
          <w:szCs w:val="30"/>
          <w:highlight w:val="none"/>
        </w:rPr>
        <w:fldChar w:fldCharType="begin"/>
      </w:r>
      <w:r>
        <w:rPr>
          <w:rFonts w:hint="eastAsia" w:ascii="宋体" w:hAnsi="宋体" w:cs="宋体"/>
          <w:color w:val="auto"/>
          <w:sz w:val="36"/>
          <w:szCs w:val="30"/>
          <w:highlight w:val="none"/>
        </w:rPr>
        <w:instrText xml:space="preserve">TOC \o "1-1" \h \u </w:instrText>
      </w:r>
      <w:r>
        <w:rPr>
          <w:rFonts w:hint="eastAsia" w:ascii="宋体" w:hAnsi="宋体" w:cs="宋体"/>
          <w:color w:val="auto"/>
          <w:sz w:val="36"/>
          <w:szCs w:val="30"/>
          <w:highlight w:val="none"/>
        </w:rPr>
        <w:fldChar w:fldCharType="separate"/>
      </w:r>
      <w:r>
        <w:rPr>
          <w:color w:val="auto"/>
          <w:highlight w:val="none"/>
        </w:rPr>
        <w:fldChar w:fldCharType="begin"/>
      </w:r>
      <w:r>
        <w:rPr>
          <w:color w:val="auto"/>
          <w:highlight w:val="none"/>
        </w:rPr>
        <w:instrText xml:space="preserve"> HYPERLINK \l "_Toc24374" </w:instrText>
      </w:r>
      <w:r>
        <w:rPr>
          <w:color w:val="auto"/>
          <w:highlight w:val="none"/>
        </w:rPr>
        <w:fldChar w:fldCharType="separate"/>
      </w:r>
      <w:r>
        <w:rPr>
          <w:rFonts w:hint="eastAsia" w:ascii="宋体" w:hAnsi="宋体" w:cs="宋体"/>
          <w:bCs/>
          <w:color w:val="auto"/>
          <w:szCs w:val="30"/>
          <w:highlight w:val="none"/>
        </w:rPr>
        <w:t xml:space="preserve">第一篇  </w:t>
      </w:r>
      <w:r>
        <w:rPr>
          <w:rFonts w:hint="eastAsia" w:hAnsi="宋体" w:cs="宋体"/>
          <w:bCs/>
          <w:color w:val="auto"/>
          <w:szCs w:val="30"/>
          <w:highlight w:val="none"/>
        </w:rPr>
        <w:t>比选</w:t>
      </w:r>
      <w:r>
        <w:rPr>
          <w:rFonts w:hint="eastAsia" w:ascii="宋体" w:hAnsi="宋体" w:cs="宋体"/>
          <w:bCs/>
          <w:color w:val="auto"/>
          <w:szCs w:val="30"/>
          <w:highlight w:val="none"/>
        </w:rPr>
        <w:t>采购邀请书</w:t>
      </w:r>
      <w:r>
        <w:rPr>
          <w:color w:val="auto"/>
          <w:highlight w:val="none"/>
        </w:rPr>
        <w:tab/>
      </w:r>
      <w:r>
        <w:rPr>
          <w:color w:val="auto"/>
          <w:highlight w:val="none"/>
        </w:rPr>
        <w:fldChar w:fldCharType="begin"/>
      </w:r>
      <w:r>
        <w:rPr>
          <w:color w:val="auto"/>
          <w:highlight w:val="none"/>
        </w:rPr>
        <w:instrText xml:space="preserve"> PAGEREF _Toc24374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1C70A553">
      <w:pPr>
        <w:pStyle w:val="38"/>
        <w:keepNext w:val="0"/>
        <w:keepLines w:val="0"/>
        <w:pageBreakBefore w:val="0"/>
        <w:widowControl w:val="0"/>
        <w:tabs>
          <w:tab w:val="right" w:leader="dot" w:pos="9355"/>
        </w:tabs>
        <w:kinsoku/>
        <w:wordWrap/>
        <w:overflowPunct/>
        <w:topLinePunct w:val="0"/>
        <w:autoSpaceDE/>
        <w:autoSpaceDN/>
        <w:bidi w:val="0"/>
        <w:adjustRightInd/>
        <w:snapToGrid/>
        <w:spacing w:line="720" w:lineRule="exact"/>
        <w:textAlignment w:val="auto"/>
        <w:rPr>
          <w:color w:val="auto"/>
          <w:highlight w:val="none"/>
        </w:rPr>
      </w:pPr>
      <w:r>
        <w:rPr>
          <w:color w:val="auto"/>
          <w:highlight w:val="none"/>
        </w:rPr>
        <w:fldChar w:fldCharType="begin"/>
      </w:r>
      <w:r>
        <w:rPr>
          <w:color w:val="auto"/>
          <w:highlight w:val="none"/>
        </w:rPr>
        <w:instrText xml:space="preserve"> HYPERLINK \l "_Toc7067" </w:instrText>
      </w:r>
      <w:r>
        <w:rPr>
          <w:color w:val="auto"/>
          <w:highlight w:val="none"/>
        </w:rPr>
        <w:fldChar w:fldCharType="separate"/>
      </w:r>
      <w:r>
        <w:rPr>
          <w:rFonts w:hint="eastAsia" w:ascii="宋体" w:hAnsi="宋体" w:cs="宋体"/>
          <w:bCs/>
          <w:color w:val="auto"/>
          <w:szCs w:val="30"/>
          <w:highlight w:val="none"/>
        </w:rPr>
        <w:t xml:space="preserve">第二篇  </w:t>
      </w:r>
      <w:r>
        <w:rPr>
          <w:rFonts w:hint="eastAsia" w:hAnsi="宋体" w:cs="宋体"/>
          <w:bCs/>
          <w:color w:val="auto"/>
          <w:szCs w:val="30"/>
          <w:highlight w:val="none"/>
        </w:rPr>
        <w:t>比选</w:t>
      </w:r>
      <w:r>
        <w:rPr>
          <w:rFonts w:hint="eastAsia" w:ascii="宋体" w:hAnsi="宋体" w:cs="宋体"/>
          <w:bCs/>
          <w:color w:val="auto"/>
          <w:szCs w:val="30"/>
          <w:highlight w:val="none"/>
        </w:rPr>
        <w:t>项目技术（质量）需求</w:t>
      </w:r>
      <w:r>
        <w:rPr>
          <w:color w:val="auto"/>
          <w:highlight w:val="none"/>
        </w:rPr>
        <w:tab/>
      </w:r>
      <w:r>
        <w:rPr>
          <w:color w:val="auto"/>
          <w:highlight w:val="none"/>
        </w:rPr>
        <w:fldChar w:fldCharType="begin"/>
      </w:r>
      <w:r>
        <w:rPr>
          <w:color w:val="auto"/>
          <w:highlight w:val="none"/>
        </w:rPr>
        <w:instrText xml:space="preserve"> PAGEREF _Toc7067 \h </w:instrText>
      </w:r>
      <w:r>
        <w:rPr>
          <w:color w:val="auto"/>
          <w:highlight w:val="none"/>
        </w:rPr>
        <w:fldChar w:fldCharType="separate"/>
      </w:r>
      <w:r>
        <w:rPr>
          <w:color w:val="auto"/>
          <w:highlight w:val="none"/>
        </w:rPr>
        <w:t>- 7 -</w:t>
      </w:r>
      <w:r>
        <w:rPr>
          <w:color w:val="auto"/>
          <w:highlight w:val="none"/>
        </w:rPr>
        <w:fldChar w:fldCharType="end"/>
      </w:r>
      <w:r>
        <w:rPr>
          <w:color w:val="auto"/>
          <w:highlight w:val="none"/>
        </w:rPr>
        <w:fldChar w:fldCharType="end"/>
      </w:r>
    </w:p>
    <w:p w14:paraId="2DED46A7">
      <w:pPr>
        <w:pStyle w:val="38"/>
        <w:keepNext w:val="0"/>
        <w:keepLines w:val="0"/>
        <w:pageBreakBefore w:val="0"/>
        <w:widowControl w:val="0"/>
        <w:tabs>
          <w:tab w:val="right" w:leader="dot" w:pos="9355"/>
        </w:tabs>
        <w:kinsoku/>
        <w:wordWrap/>
        <w:overflowPunct/>
        <w:topLinePunct w:val="0"/>
        <w:autoSpaceDE/>
        <w:autoSpaceDN/>
        <w:bidi w:val="0"/>
        <w:adjustRightInd/>
        <w:snapToGrid/>
        <w:spacing w:line="720" w:lineRule="exact"/>
        <w:textAlignment w:val="auto"/>
        <w:rPr>
          <w:color w:val="auto"/>
          <w:highlight w:val="none"/>
        </w:rPr>
      </w:pPr>
      <w:r>
        <w:rPr>
          <w:color w:val="auto"/>
          <w:highlight w:val="none"/>
        </w:rPr>
        <w:fldChar w:fldCharType="begin"/>
      </w:r>
      <w:r>
        <w:rPr>
          <w:color w:val="auto"/>
          <w:highlight w:val="none"/>
        </w:rPr>
        <w:instrText xml:space="preserve"> HYPERLINK \l "_Toc16875" </w:instrText>
      </w:r>
      <w:r>
        <w:rPr>
          <w:color w:val="auto"/>
          <w:highlight w:val="none"/>
        </w:rPr>
        <w:fldChar w:fldCharType="separate"/>
      </w:r>
      <w:r>
        <w:rPr>
          <w:rFonts w:hint="eastAsia" w:ascii="宋体" w:hAnsi="宋体" w:cs="宋体"/>
          <w:bCs/>
          <w:color w:val="auto"/>
          <w:szCs w:val="30"/>
          <w:highlight w:val="none"/>
        </w:rPr>
        <w:t xml:space="preserve">第三篇  </w:t>
      </w:r>
      <w:r>
        <w:rPr>
          <w:rFonts w:hint="eastAsia" w:hAnsi="宋体" w:cs="宋体"/>
          <w:bCs/>
          <w:color w:val="auto"/>
          <w:szCs w:val="30"/>
          <w:highlight w:val="none"/>
        </w:rPr>
        <w:t>比选</w:t>
      </w:r>
      <w:r>
        <w:rPr>
          <w:rFonts w:hint="eastAsia" w:ascii="宋体" w:hAnsi="宋体" w:cs="宋体"/>
          <w:bCs/>
          <w:color w:val="auto"/>
          <w:szCs w:val="30"/>
          <w:highlight w:val="none"/>
        </w:rPr>
        <w:t>项目商务需求</w:t>
      </w:r>
      <w:r>
        <w:rPr>
          <w:color w:val="auto"/>
          <w:highlight w:val="none"/>
        </w:rPr>
        <w:tab/>
      </w:r>
      <w:r>
        <w:rPr>
          <w:color w:val="auto"/>
          <w:highlight w:val="none"/>
        </w:rPr>
        <w:fldChar w:fldCharType="begin"/>
      </w:r>
      <w:r>
        <w:rPr>
          <w:color w:val="auto"/>
          <w:highlight w:val="none"/>
        </w:rPr>
        <w:instrText xml:space="preserve"> PAGEREF _Toc16875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21FE76B5">
      <w:pPr>
        <w:pStyle w:val="38"/>
        <w:keepNext w:val="0"/>
        <w:keepLines w:val="0"/>
        <w:pageBreakBefore w:val="0"/>
        <w:widowControl w:val="0"/>
        <w:tabs>
          <w:tab w:val="right" w:leader="dot" w:pos="9355"/>
        </w:tabs>
        <w:kinsoku/>
        <w:wordWrap/>
        <w:overflowPunct/>
        <w:topLinePunct w:val="0"/>
        <w:autoSpaceDE/>
        <w:autoSpaceDN/>
        <w:bidi w:val="0"/>
        <w:adjustRightInd/>
        <w:snapToGrid/>
        <w:spacing w:line="720" w:lineRule="exact"/>
        <w:textAlignment w:val="auto"/>
        <w:rPr>
          <w:color w:val="auto"/>
          <w:highlight w:val="none"/>
        </w:rPr>
      </w:pPr>
      <w:r>
        <w:rPr>
          <w:color w:val="auto"/>
          <w:highlight w:val="none"/>
        </w:rPr>
        <w:fldChar w:fldCharType="begin"/>
      </w:r>
      <w:r>
        <w:rPr>
          <w:color w:val="auto"/>
          <w:highlight w:val="none"/>
        </w:rPr>
        <w:instrText xml:space="preserve"> HYPERLINK \l "_Toc24816" </w:instrText>
      </w:r>
      <w:r>
        <w:rPr>
          <w:color w:val="auto"/>
          <w:highlight w:val="none"/>
        </w:rPr>
        <w:fldChar w:fldCharType="separate"/>
      </w:r>
      <w:r>
        <w:rPr>
          <w:rFonts w:hint="eastAsia" w:ascii="宋体" w:hAnsi="宋体" w:cs="宋体"/>
          <w:bCs/>
          <w:color w:val="auto"/>
          <w:szCs w:val="30"/>
          <w:highlight w:val="none"/>
        </w:rPr>
        <w:t>第四篇  采购程序、评定成交的标准、无效报价及采购终止</w:t>
      </w:r>
      <w:r>
        <w:rPr>
          <w:color w:val="auto"/>
          <w:highlight w:val="none"/>
        </w:rPr>
        <w:tab/>
      </w:r>
      <w:r>
        <w:rPr>
          <w:color w:val="auto"/>
          <w:highlight w:val="none"/>
        </w:rPr>
        <w:fldChar w:fldCharType="begin"/>
      </w:r>
      <w:r>
        <w:rPr>
          <w:color w:val="auto"/>
          <w:highlight w:val="none"/>
        </w:rPr>
        <w:instrText xml:space="preserve"> PAGEREF _Toc24816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70F7F505">
      <w:pPr>
        <w:pStyle w:val="38"/>
        <w:keepNext w:val="0"/>
        <w:keepLines w:val="0"/>
        <w:pageBreakBefore w:val="0"/>
        <w:widowControl w:val="0"/>
        <w:tabs>
          <w:tab w:val="right" w:leader="dot" w:pos="9355"/>
        </w:tabs>
        <w:kinsoku/>
        <w:wordWrap/>
        <w:overflowPunct/>
        <w:topLinePunct w:val="0"/>
        <w:autoSpaceDE/>
        <w:autoSpaceDN/>
        <w:bidi w:val="0"/>
        <w:adjustRightInd/>
        <w:snapToGrid/>
        <w:spacing w:line="720" w:lineRule="exact"/>
        <w:textAlignment w:val="auto"/>
        <w:rPr>
          <w:color w:val="auto"/>
          <w:highlight w:val="none"/>
        </w:rPr>
      </w:pPr>
      <w:r>
        <w:rPr>
          <w:color w:val="auto"/>
          <w:highlight w:val="none"/>
        </w:rPr>
        <w:fldChar w:fldCharType="begin"/>
      </w:r>
      <w:r>
        <w:rPr>
          <w:color w:val="auto"/>
          <w:highlight w:val="none"/>
        </w:rPr>
        <w:instrText xml:space="preserve"> HYPERLINK \l "_Toc8372" </w:instrText>
      </w:r>
      <w:r>
        <w:rPr>
          <w:color w:val="auto"/>
          <w:highlight w:val="none"/>
        </w:rPr>
        <w:fldChar w:fldCharType="separate"/>
      </w:r>
      <w:r>
        <w:rPr>
          <w:rFonts w:hint="eastAsia" w:ascii="宋体" w:hAnsi="宋体" w:cs="宋体"/>
          <w:bCs/>
          <w:color w:val="auto"/>
          <w:szCs w:val="30"/>
          <w:highlight w:val="none"/>
        </w:rPr>
        <w:t>第五篇  供应商须知</w:t>
      </w:r>
      <w:r>
        <w:rPr>
          <w:color w:val="auto"/>
          <w:highlight w:val="none"/>
        </w:rPr>
        <w:tab/>
      </w:r>
      <w:r>
        <w:rPr>
          <w:color w:val="auto"/>
          <w:highlight w:val="none"/>
        </w:rPr>
        <w:fldChar w:fldCharType="begin"/>
      </w:r>
      <w:r>
        <w:rPr>
          <w:color w:val="auto"/>
          <w:highlight w:val="none"/>
        </w:rPr>
        <w:instrText xml:space="preserve"> PAGEREF _Toc8372 \h </w:instrText>
      </w:r>
      <w:r>
        <w:rPr>
          <w:color w:val="auto"/>
          <w:highlight w:val="none"/>
        </w:rPr>
        <w:fldChar w:fldCharType="separate"/>
      </w:r>
      <w:r>
        <w:rPr>
          <w:color w:val="auto"/>
          <w:highlight w:val="none"/>
        </w:rPr>
        <w:t>- 19 -</w:t>
      </w:r>
      <w:r>
        <w:rPr>
          <w:color w:val="auto"/>
          <w:highlight w:val="none"/>
        </w:rPr>
        <w:fldChar w:fldCharType="end"/>
      </w:r>
      <w:r>
        <w:rPr>
          <w:color w:val="auto"/>
          <w:highlight w:val="none"/>
        </w:rPr>
        <w:fldChar w:fldCharType="end"/>
      </w:r>
    </w:p>
    <w:p w14:paraId="002958E9">
      <w:pPr>
        <w:pStyle w:val="38"/>
        <w:keepNext w:val="0"/>
        <w:keepLines w:val="0"/>
        <w:pageBreakBefore w:val="0"/>
        <w:widowControl w:val="0"/>
        <w:tabs>
          <w:tab w:val="right" w:leader="dot" w:pos="9355"/>
        </w:tabs>
        <w:kinsoku/>
        <w:wordWrap/>
        <w:overflowPunct/>
        <w:topLinePunct w:val="0"/>
        <w:autoSpaceDE/>
        <w:autoSpaceDN/>
        <w:bidi w:val="0"/>
        <w:adjustRightInd/>
        <w:snapToGrid/>
        <w:spacing w:line="720" w:lineRule="exact"/>
        <w:textAlignment w:val="auto"/>
        <w:rPr>
          <w:color w:val="auto"/>
          <w:highlight w:val="none"/>
        </w:rPr>
      </w:pPr>
      <w:r>
        <w:rPr>
          <w:color w:val="auto"/>
          <w:highlight w:val="none"/>
        </w:rPr>
        <w:fldChar w:fldCharType="begin"/>
      </w:r>
      <w:r>
        <w:rPr>
          <w:color w:val="auto"/>
          <w:highlight w:val="none"/>
        </w:rPr>
        <w:instrText xml:space="preserve"> HYPERLINK \l "_Toc21218" </w:instrText>
      </w:r>
      <w:r>
        <w:rPr>
          <w:color w:val="auto"/>
          <w:highlight w:val="none"/>
        </w:rPr>
        <w:fldChar w:fldCharType="separate"/>
      </w:r>
      <w:r>
        <w:rPr>
          <w:rFonts w:hint="eastAsia" w:ascii="宋体" w:hAnsi="宋体" w:cs="宋体"/>
          <w:bCs/>
          <w:color w:val="auto"/>
          <w:szCs w:val="30"/>
          <w:highlight w:val="none"/>
        </w:rPr>
        <w:t>第六篇  合同草案条款</w:t>
      </w:r>
      <w:r>
        <w:rPr>
          <w:color w:val="auto"/>
          <w:highlight w:val="none"/>
        </w:rPr>
        <w:tab/>
      </w:r>
      <w:r>
        <w:rPr>
          <w:color w:val="auto"/>
          <w:highlight w:val="none"/>
        </w:rPr>
        <w:fldChar w:fldCharType="begin"/>
      </w:r>
      <w:r>
        <w:rPr>
          <w:color w:val="auto"/>
          <w:highlight w:val="none"/>
        </w:rPr>
        <w:instrText xml:space="preserve"> PAGEREF _Toc21218 \h </w:instrText>
      </w:r>
      <w:r>
        <w:rPr>
          <w:color w:val="auto"/>
          <w:highlight w:val="none"/>
        </w:rPr>
        <w:fldChar w:fldCharType="separate"/>
      </w:r>
      <w:r>
        <w:rPr>
          <w:color w:val="auto"/>
          <w:highlight w:val="none"/>
        </w:rPr>
        <w:t>- 23 -</w:t>
      </w:r>
      <w:r>
        <w:rPr>
          <w:color w:val="auto"/>
          <w:highlight w:val="none"/>
        </w:rPr>
        <w:fldChar w:fldCharType="end"/>
      </w:r>
      <w:r>
        <w:rPr>
          <w:color w:val="auto"/>
          <w:highlight w:val="none"/>
        </w:rPr>
        <w:fldChar w:fldCharType="end"/>
      </w:r>
    </w:p>
    <w:p w14:paraId="5A0DE792">
      <w:pPr>
        <w:pStyle w:val="38"/>
        <w:keepNext w:val="0"/>
        <w:keepLines w:val="0"/>
        <w:pageBreakBefore w:val="0"/>
        <w:widowControl w:val="0"/>
        <w:tabs>
          <w:tab w:val="right" w:leader="dot" w:pos="9355"/>
        </w:tabs>
        <w:kinsoku/>
        <w:wordWrap/>
        <w:overflowPunct/>
        <w:topLinePunct w:val="0"/>
        <w:autoSpaceDE/>
        <w:autoSpaceDN/>
        <w:bidi w:val="0"/>
        <w:adjustRightInd/>
        <w:snapToGrid/>
        <w:spacing w:line="720" w:lineRule="exact"/>
        <w:textAlignment w:val="auto"/>
        <w:rPr>
          <w:color w:val="auto"/>
          <w:highlight w:val="none"/>
        </w:rPr>
      </w:pPr>
      <w:r>
        <w:rPr>
          <w:color w:val="auto"/>
          <w:highlight w:val="none"/>
        </w:rPr>
        <w:fldChar w:fldCharType="begin"/>
      </w:r>
      <w:r>
        <w:rPr>
          <w:color w:val="auto"/>
          <w:highlight w:val="none"/>
        </w:rPr>
        <w:instrText xml:space="preserve"> HYPERLINK \l "_Toc20499" </w:instrText>
      </w:r>
      <w:r>
        <w:rPr>
          <w:color w:val="auto"/>
          <w:highlight w:val="none"/>
        </w:rPr>
        <w:fldChar w:fldCharType="separate"/>
      </w:r>
      <w:r>
        <w:rPr>
          <w:rFonts w:hint="eastAsia" w:ascii="宋体" w:hAnsi="宋体" w:cs="宋体"/>
          <w:bCs/>
          <w:color w:val="auto"/>
          <w:szCs w:val="30"/>
          <w:highlight w:val="none"/>
        </w:rPr>
        <w:t>第七篇  响应文件格式要求</w:t>
      </w:r>
      <w:r>
        <w:rPr>
          <w:color w:val="auto"/>
          <w:highlight w:val="none"/>
        </w:rPr>
        <w:tab/>
      </w:r>
      <w:r>
        <w:rPr>
          <w:color w:val="auto"/>
          <w:highlight w:val="none"/>
        </w:rPr>
        <w:fldChar w:fldCharType="begin"/>
      </w:r>
      <w:r>
        <w:rPr>
          <w:color w:val="auto"/>
          <w:highlight w:val="none"/>
        </w:rPr>
        <w:instrText xml:space="preserve"> PAGEREF _Toc20499 \h </w:instrText>
      </w:r>
      <w:r>
        <w:rPr>
          <w:color w:val="auto"/>
          <w:highlight w:val="none"/>
        </w:rPr>
        <w:fldChar w:fldCharType="separate"/>
      </w:r>
      <w:r>
        <w:rPr>
          <w:color w:val="auto"/>
          <w:highlight w:val="none"/>
        </w:rPr>
        <w:t>- 26 -</w:t>
      </w:r>
      <w:r>
        <w:rPr>
          <w:color w:val="auto"/>
          <w:highlight w:val="none"/>
        </w:rPr>
        <w:fldChar w:fldCharType="end"/>
      </w:r>
      <w:r>
        <w:rPr>
          <w:color w:val="auto"/>
          <w:highlight w:val="none"/>
        </w:rPr>
        <w:fldChar w:fldCharType="end"/>
      </w:r>
    </w:p>
    <w:p w14:paraId="76143230">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hAnsi="宋体" w:cs="宋体"/>
          <w:color w:val="auto"/>
          <w:sz w:val="36"/>
          <w:szCs w:val="30"/>
          <w:highlight w:val="none"/>
        </w:rPr>
      </w:pPr>
      <w:r>
        <w:rPr>
          <w:rFonts w:hint="eastAsia" w:ascii="宋体" w:hAnsi="宋体" w:cs="宋体"/>
          <w:color w:val="auto"/>
          <w:szCs w:val="30"/>
          <w:highlight w:val="none"/>
        </w:rPr>
        <w:fldChar w:fldCharType="end"/>
      </w:r>
    </w:p>
    <w:p w14:paraId="142B26C6">
      <w:pPr>
        <w:rPr>
          <w:rFonts w:ascii="宋体" w:hAnsi="宋体" w:cs="宋体"/>
          <w:color w:val="auto"/>
          <w:highlight w:val="none"/>
        </w:rPr>
      </w:pPr>
      <w:r>
        <w:rPr>
          <w:rFonts w:hint="eastAsia" w:ascii="宋体" w:hAnsi="宋体" w:cs="宋体"/>
          <w:color w:val="auto"/>
          <w:highlight w:val="none"/>
        </w:rPr>
        <w:br w:type="page"/>
      </w:r>
    </w:p>
    <w:p w14:paraId="2BC71519">
      <w:pPr>
        <w:pStyle w:val="2"/>
        <w:jc w:val="center"/>
        <w:rPr>
          <w:rFonts w:hAnsi="宋体" w:cs="宋体"/>
          <w:b/>
          <w:bCs/>
          <w:color w:val="auto"/>
          <w:sz w:val="30"/>
          <w:szCs w:val="30"/>
          <w:highlight w:val="none"/>
        </w:rPr>
      </w:pPr>
      <w:bookmarkStart w:id="7" w:name="_Toc24374"/>
      <w:r>
        <w:rPr>
          <w:rFonts w:hint="eastAsia" w:hAnsi="宋体" w:cs="宋体"/>
          <w:b/>
          <w:bCs/>
          <w:color w:val="auto"/>
          <w:sz w:val="30"/>
          <w:szCs w:val="30"/>
          <w:highlight w:val="none"/>
        </w:rPr>
        <w:t>第一篇  比选采购邀请书</w:t>
      </w:r>
      <w:bookmarkEnd w:id="0"/>
      <w:bookmarkEnd w:id="1"/>
      <w:bookmarkEnd w:id="2"/>
      <w:bookmarkEnd w:id="3"/>
      <w:bookmarkEnd w:id="4"/>
      <w:bookmarkEnd w:id="5"/>
      <w:bookmarkEnd w:id="6"/>
      <w:bookmarkEnd w:id="7"/>
    </w:p>
    <w:p w14:paraId="37B7374C">
      <w:pPr>
        <w:snapToGrid w:val="0"/>
        <w:spacing w:line="392"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u w:val="single"/>
        </w:rPr>
        <w:t>重庆靖正恒悦项目管理有限公司</w:t>
      </w:r>
      <w:r>
        <w:rPr>
          <w:rFonts w:hint="eastAsia" w:ascii="宋体" w:hAnsi="宋体" w:cs="宋体"/>
          <w:color w:val="auto"/>
          <w:sz w:val="24"/>
          <w:szCs w:val="24"/>
          <w:highlight w:val="none"/>
        </w:rPr>
        <w:t>（以下简称：采购代理机构）接受</w:t>
      </w:r>
      <w:r>
        <w:rPr>
          <w:rFonts w:hint="eastAsia" w:ascii="宋体" w:hAnsi="宋体" w:cs="宋体"/>
          <w:color w:val="auto"/>
          <w:sz w:val="24"/>
          <w:szCs w:val="24"/>
          <w:highlight w:val="none"/>
          <w:u w:val="single"/>
          <w:lang w:eastAsia="zh-CN"/>
        </w:rPr>
        <w:t>北京市均豪物业管理股份有限公司重庆分公司</w:t>
      </w:r>
      <w:r>
        <w:rPr>
          <w:rFonts w:hint="eastAsia" w:ascii="宋体" w:hAnsi="宋体" w:cs="宋体"/>
          <w:color w:val="auto"/>
          <w:sz w:val="24"/>
          <w:szCs w:val="24"/>
          <w:highlight w:val="none"/>
        </w:rPr>
        <w:t>（以下简称：采购人）的委托，对</w:t>
      </w:r>
      <w:r>
        <w:rPr>
          <w:rFonts w:hint="eastAsia" w:ascii="宋体" w:hAnsi="宋体" w:cs="宋体"/>
          <w:color w:val="auto"/>
          <w:sz w:val="24"/>
          <w:szCs w:val="24"/>
          <w:highlight w:val="none"/>
          <w:u w:val="single"/>
          <w:lang w:eastAsia="zh-CN"/>
        </w:rPr>
        <w:t>双子星座A栋1-4#电梯更新工程</w:t>
      </w:r>
      <w:r>
        <w:rPr>
          <w:rFonts w:hint="eastAsia" w:ascii="宋体" w:hAnsi="宋体" w:cs="宋体"/>
          <w:color w:val="auto"/>
          <w:sz w:val="24"/>
          <w:szCs w:val="24"/>
          <w:highlight w:val="none"/>
        </w:rPr>
        <w:t>进行竞争性比选采购。欢迎有资格的供应商前来参加报价。</w:t>
      </w:r>
    </w:p>
    <w:p w14:paraId="2E01F924">
      <w:pPr>
        <w:keepNext/>
        <w:keepLines/>
        <w:adjustRightInd w:val="0"/>
        <w:snapToGrid w:val="0"/>
        <w:spacing w:line="392" w:lineRule="exact"/>
        <w:ind w:firstLine="482" w:firstLineChars="200"/>
        <w:outlineLvl w:val="1"/>
        <w:rPr>
          <w:rFonts w:ascii="宋体" w:hAnsi="宋体" w:cs="宋体"/>
          <w:b/>
          <w:color w:val="auto"/>
          <w:sz w:val="24"/>
          <w:highlight w:val="none"/>
        </w:rPr>
      </w:pPr>
      <w:bookmarkStart w:id="8" w:name="_Toc9650"/>
      <w:bookmarkStart w:id="9" w:name="_Toc18246"/>
      <w:bookmarkStart w:id="10" w:name="_Toc7758"/>
      <w:bookmarkStart w:id="11" w:name="_Toc317775175"/>
      <w:bookmarkStart w:id="12" w:name="_Toc313893526"/>
      <w:bookmarkStart w:id="13" w:name="_Toc26091"/>
      <w:bookmarkStart w:id="14" w:name="_Toc65660330"/>
      <w:r>
        <w:rPr>
          <w:rFonts w:hint="eastAsia" w:ascii="宋体" w:hAnsi="宋体" w:cs="宋体"/>
          <w:b/>
          <w:color w:val="auto"/>
          <w:sz w:val="24"/>
          <w:highlight w:val="none"/>
        </w:rPr>
        <w:t>一、比选内容</w:t>
      </w:r>
      <w:bookmarkEnd w:id="8"/>
      <w:bookmarkEnd w:id="9"/>
      <w:bookmarkEnd w:id="10"/>
      <w:bookmarkEnd w:id="11"/>
      <w:bookmarkEnd w:id="12"/>
      <w:bookmarkEnd w:id="13"/>
      <w:bookmarkEnd w:id="14"/>
    </w:p>
    <w:tbl>
      <w:tblPr>
        <w:tblStyle w:val="59"/>
        <w:tblW w:w="47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5"/>
        <w:gridCol w:w="1844"/>
        <w:gridCol w:w="1391"/>
        <w:gridCol w:w="2013"/>
      </w:tblGrid>
      <w:tr w14:paraId="60253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2107" w:type="pct"/>
            <w:tcBorders>
              <w:top w:val="single" w:color="auto" w:sz="4" w:space="0"/>
              <w:left w:val="single" w:color="auto" w:sz="4" w:space="0"/>
              <w:right w:val="single" w:color="auto" w:sz="4" w:space="0"/>
            </w:tcBorders>
            <w:vAlign w:val="center"/>
          </w:tcPr>
          <w:p w14:paraId="12B9E6E1">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1"/>
                <w:szCs w:val="24"/>
                <w:highlight w:val="none"/>
              </w:rPr>
            </w:pPr>
            <w:r>
              <w:rPr>
                <w:rFonts w:hint="eastAsia" w:ascii="宋体" w:hAnsi="宋体" w:cs="宋体"/>
                <w:b/>
                <w:bCs/>
                <w:color w:val="auto"/>
                <w:kern w:val="0"/>
                <w:sz w:val="21"/>
                <w:szCs w:val="24"/>
                <w:highlight w:val="none"/>
              </w:rPr>
              <w:t>名称</w:t>
            </w:r>
          </w:p>
        </w:tc>
        <w:tc>
          <w:tcPr>
            <w:tcW w:w="1016" w:type="pct"/>
            <w:tcBorders>
              <w:top w:val="single" w:color="auto" w:sz="4" w:space="0"/>
              <w:left w:val="single" w:color="auto" w:sz="4" w:space="0"/>
              <w:right w:val="single" w:color="auto" w:sz="4" w:space="0"/>
            </w:tcBorders>
            <w:vAlign w:val="center"/>
          </w:tcPr>
          <w:p w14:paraId="46C93921">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1"/>
                <w:szCs w:val="24"/>
                <w:highlight w:val="none"/>
              </w:rPr>
            </w:pPr>
            <w:r>
              <w:rPr>
                <w:rFonts w:hint="eastAsia" w:ascii="宋体" w:hAnsi="宋体" w:cs="宋体"/>
                <w:b/>
                <w:bCs/>
                <w:color w:val="auto"/>
                <w:kern w:val="0"/>
                <w:sz w:val="21"/>
                <w:szCs w:val="24"/>
                <w:highlight w:val="none"/>
              </w:rPr>
              <w:t>最高限价（万元）</w:t>
            </w:r>
          </w:p>
        </w:tc>
        <w:tc>
          <w:tcPr>
            <w:tcW w:w="766" w:type="pct"/>
            <w:tcBorders>
              <w:top w:val="single" w:color="auto" w:sz="4" w:space="0"/>
              <w:left w:val="single" w:color="auto" w:sz="4" w:space="0"/>
              <w:right w:val="single" w:color="auto" w:sz="4" w:space="0"/>
            </w:tcBorders>
            <w:vAlign w:val="center"/>
          </w:tcPr>
          <w:p w14:paraId="13053915">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1"/>
                <w:szCs w:val="24"/>
                <w:highlight w:val="none"/>
              </w:rPr>
            </w:pPr>
            <w:r>
              <w:rPr>
                <w:rFonts w:hint="eastAsia" w:ascii="宋体" w:hAnsi="宋体" w:cs="宋体"/>
                <w:b/>
                <w:bCs/>
                <w:color w:val="auto"/>
                <w:kern w:val="0"/>
                <w:sz w:val="21"/>
                <w:szCs w:val="24"/>
                <w:highlight w:val="none"/>
              </w:rPr>
              <w:t>投标保证金</w:t>
            </w:r>
          </w:p>
          <w:p w14:paraId="1A331F8D">
            <w:pPr>
              <w:keepNext w:val="0"/>
              <w:keepLines w:val="0"/>
              <w:suppressLineNumbers w:val="0"/>
              <w:spacing w:before="0" w:beforeAutospacing="0" w:after="0" w:afterAutospacing="0"/>
              <w:ind w:left="0" w:right="0"/>
              <w:jc w:val="center"/>
              <w:rPr>
                <w:rFonts w:hint="default" w:ascii="宋体" w:hAnsi="宋体" w:cs="宋体"/>
                <w:b/>
                <w:bCs/>
                <w:color w:val="auto"/>
                <w:kern w:val="0"/>
                <w:sz w:val="21"/>
                <w:szCs w:val="24"/>
                <w:highlight w:val="none"/>
              </w:rPr>
            </w:pPr>
            <w:r>
              <w:rPr>
                <w:rFonts w:hint="eastAsia" w:ascii="宋体" w:hAnsi="宋体" w:cs="宋体"/>
                <w:b/>
                <w:bCs/>
                <w:color w:val="auto"/>
                <w:kern w:val="0"/>
                <w:sz w:val="21"/>
                <w:szCs w:val="24"/>
                <w:highlight w:val="none"/>
              </w:rPr>
              <w:t>（万元）</w:t>
            </w:r>
          </w:p>
        </w:tc>
        <w:tc>
          <w:tcPr>
            <w:tcW w:w="1109" w:type="pct"/>
            <w:tcBorders>
              <w:top w:val="single" w:color="auto" w:sz="4" w:space="0"/>
              <w:left w:val="single" w:color="auto" w:sz="4" w:space="0"/>
              <w:right w:val="single" w:color="auto" w:sz="4" w:space="0"/>
            </w:tcBorders>
            <w:vAlign w:val="center"/>
          </w:tcPr>
          <w:p w14:paraId="5E92B572">
            <w:pPr>
              <w:keepNext w:val="0"/>
              <w:keepLines w:val="0"/>
              <w:suppressLineNumbers w:val="0"/>
              <w:spacing w:before="0" w:beforeAutospacing="0" w:after="0" w:afterAutospacing="0"/>
              <w:ind w:left="0" w:right="0"/>
              <w:jc w:val="center"/>
              <w:rPr>
                <w:rFonts w:hint="default" w:ascii="宋体" w:hAnsi="宋体" w:cs="宋体"/>
                <w:b/>
                <w:bCs/>
                <w:color w:val="auto"/>
                <w:kern w:val="0"/>
                <w:sz w:val="21"/>
                <w:szCs w:val="24"/>
                <w:highlight w:val="none"/>
              </w:rPr>
            </w:pPr>
            <w:r>
              <w:rPr>
                <w:rFonts w:hint="eastAsia" w:ascii="宋体" w:hAnsi="宋体" w:cs="宋体"/>
                <w:b/>
                <w:bCs/>
                <w:color w:val="auto"/>
                <w:kern w:val="0"/>
                <w:sz w:val="21"/>
                <w:szCs w:val="24"/>
                <w:highlight w:val="none"/>
              </w:rPr>
              <w:t>成交供应商数量（名）</w:t>
            </w:r>
          </w:p>
        </w:tc>
      </w:tr>
      <w:tr w14:paraId="5E978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107" w:type="pct"/>
            <w:tcBorders>
              <w:top w:val="single" w:color="auto" w:sz="4" w:space="0"/>
              <w:left w:val="single" w:color="auto" w:sz="4" w:space="0"/>
              <w:bottom w:val="single" w:color="auto" w:sz="4" w:space="0"/>
              <w:right w:val="single" w:color="auto" w:sz="4" w:space="0"/>
            </w:tcBorders>
            <w:vAlign w:val="center"/>
          </w:tcPr>
          <w:p w14:paraId="64252D9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4"/>
                <w:highlight w:val="none"/>
                <w:lang w:eastAsia="zh-CN"/>
              </w:rPr>
            </w:pPr>
            <w:bookmarkStart w:id="15" w:name="_Hlk344477914"/>
            <w:r>
              <w:rPr>
                <w:rFonts w:hint="eastAsia" w:ascii="宋体" w:hAnsi="宋体" w:cs="宋体"/>
                <w:color w:val="auto"/>
                <w:sz w:val="24"/>
                <w:szCs w:val="24"/>
                <w:highlight w:val="none"/>
                <w:lang w:eastAsia="zh-CN"/>
              </w:rPr>
              <w:t>双子星座A栋1-4#电梯更新工程</w:t>
            </w:r>
          </w:p>
        </w:tc>
        <w:tc>
          <w:tcPr>
            <w:tcW w:w="1016" w:type="pct"/>
            <w:tcBorders>
              <w:top w:val="single" w:color="auto" w:sz="4" w:space="0"/>
              <w:left w:val="single" w:color="auto" w:sz="4" w:space="0"/>
              <w:bottom w:val="single" w:color="auto" w:sz="4" w:space="0"/>
              <w:right w:val="single" w:color="auto" w:sz="4" w:space="0"/>
            </w:tcBorders>
            <w:vAlign w:val="center"/>
          </w:tcPr>
          <w:p w14:paraId="73E88D38">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69</w:t>
            </w:r>
          </w:p>
        </w:tc>
        <w:tc>
          <w:tcPr>
            <w:tcW w:w="766" w:type="pct"/>
            <w:tcBorders>
              <w:top w:val="single" w:color="auto" w:sz="4" w:space="0"/>
              <w:left w:val="single" w:color="auto" w:sz="4" w:space="0"/>
              <w:bottom w:val="single" w:color="auto" w:sz="4" w:space="0"/>
              <w:right w:val="single" w:color="auto" w:sz="4" w:space="0"/>
            </w:tcBorders>
            <w:vAlign w:val="center"/>
          </w:tcPr>
          <w:p w14:paraId="092FECC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 xml:space="preserve">1 </w:t>
            </w:r>
          </w:p>
        </w:tc>
        <w:tc>
          <w:tcPr>
            <w:tcW w:w="1109" w:type="pct"/>
            <w:tcBorders>
              <w:top w:val="single" w:color="auto" w:sz="4" w:space="0"/>
              <w:left w:val="single" w:color="auto" w:sz="4" w:space="0"/>
              <w:bottom w:val="single" w:color="auto" w:sz="4" w:space="0"/>
              <w:right w:val="single" w:color="auto" w:sz="4" w:space="0"/>
            </w:tcBorders>
            <w:vAlign w:val="center"/>
          </w:tcPr>
          <w:p w14:paraId="0C1A66D4">
            <w:pPr>
              <w:keepNext w:val="0"/>
              <w:keepLines w:val="0"/>
              <w:suppressLineNumbers w:val="0"/>
              <w:spacing w:before="0" w:beforeAutospacing="0" w:after="0" w:afterAutospacing="0"/>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1</w:t>
            </w:r>
          </w:p>
        </w:tc>
      </w:tr>
      <w:bookmarkEnd w:id="15"/>
    </w:tbl>
    <w:p w14:paraId="150248CF">
      <w:pPr>
        <w:keepNext/>
        <w:keepLines/>
        <w:adjustRightInd w:val="0"/>
        <w:snapToGrid w:val="0"/>
        <w:spacing w:line="392" w:lineRule="exact"/>
        <w:ind w:firstLine="482" w:firstLineChars="200"/>
        <w:outlineLvl w:val="1"/>
        <w:rPr>
          <w:rFonts w:hint="eastAsia" w:ascii="宋体" w:hAnsi="宋体" w:cs="宋体"/>
          <w:b/>
          <w:color w:val="auto"/>
          <w:sz w:val="24"/>
          <w:highlight w:val="none"/>
        </w:rPr>
      </w:pPr>
      <w:bookmarkStart w:id="16" w:name="_Toc3256"/>
      <w:bookmarkStart w:id="17" w:name="_Toc65660331"/>
      <w:bookmarkStart w:id="18" w:name="_Toc29483"/>
      <w:bookmarkStart w:id="19" w:name="_Toc27028"/>
      <w:bookmarkStart w:id="20" w:name="_Toc4424"/>
      <w:bookmarkStart w:id="21" w:name="_Toc373860293"/>
      <w:bookmarkStart w:id="22" w:name="_Toc317775178"/>
      <w:r>
        <w:rPr>
          <w:rFonts w:hint="eastAsia" w:ascii="宋体" w:hAnsi="宋体" w:cs="宋体"/>
          <w:b/>
          <w:color w:val="auto"/>
          <w:sz w:val="24"/>
          <w:highlight w:val="none"/>
        </w:rPr>
        <w:t>注：</w:t>
      </w:r>
      <w:r>
        <w:rPr>
          <w:rFonts w:hint="eastAsia" w:ascii="宋体" w:hAnsi="宋体" w:cs="宋体"/>
          <w:b/>
          <w:color w:val="auto"/>
          <w:sz w:val="24"/>
          <w:highlight w:val="none"/>
          <w:lang w:val="en-US" w:eastAsia="zh-CN"/>
        </w:rPr>
        <w:t>供应商</w:t>
      </w:r>
      <w:r>
        <w:rPr>
          <w:rFonts w:hint="eastAsia" w:ascii="宋体" w:hAnsi="宋体" w:cs="宋体"/>
          <w:b/>
          <w:color w:val="auto"/>
          <w:sz w:val="24"/>
          <w:highlight w:val="none"/>
        </w:rPr>
        <w:t>的</w:t>
      </w:r>
      <w:r>
        <w:rPr>
          <w:rFonts w:hint="eastAsia" w:ascii="宋体" w:hAnsi="宋体" w:cs="宋体"/>
          <w:b/>
          <w:color w:val="auto"/>
          <w:sz w:val="24"/>
          <w:highlight w:val="none"/>
          <w:lang w:val="en-US" w:eastAsia="zh-CN"/>
        </w:rPr>
        <w:t>投标</w:t>
      </w:r>
      <w:r>
        <w:rPr>
          <w:rFonts w:hint="eastAsia" w:ascii="宋体" w:hAnsi="宋体" w:cs="宋体"/>
          <w:b/>
          <w:color w:val="auto"/>
          <w:sz w:val="24"/>
          <w:highlight w:val="none"/>
        </w:rPr>
        <w:t>总报价不得超过</w:t>
      </w:r>
      <w:r>
        <w:rPr>
          <w:rFonts w:hint="eastAsia" w:ascii="宋体" w:hAnsi="宋体" w:cs="宋体"/>
          <w:b/>
          <w:color w:val="auto"/>
          <w:sz w:val="24"/>
          <w:highlight w:val="none"/>
          <w:lang w:val="en-US" w:eastAsia="zh-CN"/>
        </w:rPr>
        <w:t>采购人发布的</w:t>
      </w:r>
      <w:r>
        <w:rPr>
          <w:rFonts w:hint="eastAsia" w:ascii="宋体" w:hAnsi="宋体" w:cs="宋体"/>
          <w:b/>
          <w:color w:val="auto"/>
          <w:sz w:val="24"/>
          <w:highlight w:val="none"/>
        </w:rPr>
        <w:t>最高限价，否则由</w:t>
      </w:r>
      <w:r>
        <w:rPr>
          <w:rFonts w:hint="eastAsia" w:ascii="宋体" w:hAnsi="宋体" w:cs="宋体"/>
          <w:b/>
          <w:color w:val="auto"/>
          <w:sz w:val="24"/>
          <w:highlight w:val="none"/>
          <w:lang w:val="en-US" w:eastAsia="zh-CN"/>
        </w:rPr>
        <w:t>评审小组</w:t>
      </w:r>
      <w:r>
        <w:rPr>
          <w:rFonts w:hint="eastAsia" w:ascii="宋体" w:hAnsi="宋体" w:cs="宋体"/>
          <w:b/>
          <w:color w:val="auto"/>
          <w:sz w:val="24"/>
          <w:highlight w:val="none"/>
        </w:rPr>
        <w:t>作否决投标处理。</w:t>
      </w:r>
    </w:p>
    <w:p w14:paraId="4FE0FA51">
      <w:pPr>
        <w:keepNext/>
        <w:keepLines/>
        <w:adjustRightInd w:val="0"/>
        <w:snapToGrid w:val="0"/>
        <w:spacing w:line="392" w:lineRule="exact"/>
        <w:ind w:firstLine="482" w:firstLineChars="200"/>
        <w:outlineLvl w:val="1"/>
        <w:rPr>
          <w:rFonts w:ascii="宋体" w:hAnsi="宋体" w:cs="宋体"/>
          <w:b/>
          <w:color w:val="auto"/>
          <w:sz w:val="24"/>
          <w:highlight w:val="none"/>
        </w:rPr>
      </w:pPr>
      <w:r>
        <w:rPr>
          <w:rFonts w:hint="eastAsia" w:ascii="宋体" w:hAnsi="宋体" w:cs="宋体"/>
          <w:b/>
          <w:color w:val="auto"/>
          <w:sz w:val="24"/>
          <w:highlight w:val="none"/>
        </w:rPr>
        <w:t>二、资金来源</w:t>
      </w:r>
      <w:bookmarkEnd w:id="16"/>
      <w:bookmarkEnd w:id="17"/>
      <w:bookmarkEnd w:id="18"/>
      <w:bookmarkEnd w:id="19"/>
      <w:bookmarkEnd w:id="20"/>
    </w:p>
    <w:p w14:paraId="6EAB14C1">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物业专项维修资金和争取国债补贴</w:t>
      </w:r>
      <w:r>
        <w:rPr>
          <w:rFonts w:hint="eastAsia" w:ascii="宋体" w:hAnsi="宋体" w:cs="宋体"/>
          <w:color w:val="auto"/>
          <w:sz w:val="24"/>
          <w:szCs w:val="24"/>
          <w:highlight w:val="none"/>
        </w:rPr>
        <w:t>。</w:t>
      </w:r>
      <w:bookmarkStart w:id="23" w:name="_Toc64731996"/>
      <w:bookmarkStart w:id="24" w:name="_Toc13541"/>
      <w:bookmarkStart w:id="25" w:name="_Toc65660332"/>
      <w:bookmarkStart w:id="26" w:name="_Toc20867"/>
      <w:bookmarkStart w:id="27" w:name="_Toc18548"/>
      <w:bookmarkStart w:id="28" w:name="_Toc2244"/>
    </w:p>
    <w:p w14:paraId="5ED65A34">
      <w:pPr>
        <w:numPr>
          <w:ilvl w:val="0"/>
          <w:numId w:val="12"/>
        </w:numPr>
        <w:spacing w:line="392"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供应商资格条件</w:t>
      </w:r>
      <w:bookmarkEnd w:id="23"/>
      <w:bookmarkEnd w:id="24"/>
      <w:bookmarkEnd w:id="25"/>
      <w:bookmarkEnd w:id="26"/>
      <w:bookmarkEnd w:id="27"/>
      <w:bookmarkEnd w:id="28"/>
      <w:bookmarkStart w:id="29" w:name="_Toc19434"/>
      <w:bookmarkStart w:id="30" w:name="_Toc20379"/>
      <w:bookmarkStart w:id="31" w:name="_Toc16272"/>
      <w:bookmarkStart w:id="32" w:name="_Toc9086"/>
      <w:bookmarkStart w:id="33" w:name="_Toc11908"/>
      <w:bookmarkStart w:id="34" w:name="_Toc30747"/>
      <w:bookmarkStart w:id="35" w:name="_Toc1386"/>
      <w:bookmarkStart w:id="36" w:name="_Toc65660333"/>
      <w:bookmarkStart w:id="37" w:name="_Toc13903"/>
    </w:p>
    <w:p w14:paraId="3B950374">
      <w:pPr>
        <w:spacing w:line="392" w:lineRule="exact"/>
        <w:ind w:firstLine="420"/>
        <w:rPr>
          <w:rFonts w:ascii="宋体" w:hAnsi="宋体" w:cs="宋体"/>
          <w:b/>
          <w:bCs/>
          <w:color w:val="auto"/>
          <w:highlight w:val="none"/>
        </w:rPr>
      </w:pPr>
      <w:r>
        <w:rPr>
          <w:rFonts w:hint="eastAsia" w:ascii="宋体" w:hAnsi="宋体" w:cs="宋体"/>
          <w:b/>
          <w:bCs/>
          <w:color w:val="auto"/>
          <w:sz w:val="24"/>
          <w:szCs w:val="24"/>
          <w:highlight w:val="none"/>
        </w:rPr>
        <w:t>（一）基本资格条件</w:t>
      </w:r>
      <w:bookmarkEnd w:id="29"/>
      <w:bookmarkEnd w:id="30"/>
      <w:bookmarkEnd w:id="31"/>
      <w:bookmarkEnd w:id="32"/>
    </w:p>
    <w:p w14:paraId="051D1FF2">
      <w:pPr>
        <w:spacing w:line="392" w:lineRule="exact"/>
        <w:ind w:firstLine="420"/>
        <w:rPr>
          <w:rFonts w:hint="eastAsia" w:ascii="宋体" w:hAnsi="宋体" w:cs="宋体"/>
          <w:color w:val="auto"/>
          <w:sz w:val="24"/>
          <w:szCs w:val="24"/>
          <w:highlight w:val="none"/>
          <w:lang w:eastAsia="zh-CN"/>
        </w:rPr>
      </w:pPr>
      <w:bookmarkStart w:id="38" w:name="_Toc10828"/>
      <w:bookmarkStart w:id="39" w:name="_Toc22654"/>
      <w:bookmarkStart w:id="40" w:name="_Toc12446"/>
      <w:bookmarkStart w:id="41" w:name="_Toc31900"/>
      <w:r>
        <w:rPr>
          <w:rFonts w:hint="eastAsia" w:ascii="宋体" w:hAnsi="宋体" w:cs="宋体"/>
          <w:color w:val="auto"/>
          <w:sz w:val="24"/>
          <w:szCs w:val="24"/>
          <w:highlight w:val="none"/>
        </w:rPr>
        <w:t>满足《中华人民共和国政府采购法》第二十二条规定</w:t>
      </w:r>
      <w:r>
        <w:rPr>
          <w:rFonts w:hint="eastAsia" w:ascii="宋体" w:hAnsi="宋体" w:cs="宋体"/>
          <w:color w:val="auto"/>
          <w:sz w:val="24"/>
          <w:szCs w:val="24"/>
          <w:highlight w:val="none"/>
          <w:lang w:eastAsia="zh-CN"/>
        </w:rPr>
        <w:t>。</w:t>
      </w:r>
    </w:p>
    <w:p w14:paraId="7CE90D0E">
      <w:pPr>
        <w:spacing w:line="392"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（二）特定资格条件</w:t>
      </w:r>
      <w:bookmarkEnd w:id="38"/>
      <w:bookmarkEnd w:id="39"/>
      <w:bookmarkEnd w:id="40"/>
      <w:bookmarkEnd w:id="41"/>
    </w:p>
    <w:p w14:paraId="3E863C21">
      <w:pPr>
        <w:spacing w:line="392"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1、若供应商为所投电梯制造商的</w:t>
      </w:r>
    </w:p>
    <w:p w14:paraId="7AFD751A">
      <w:pPr>
        <w:spacing w:line="392" w:lineRule="exact"/>
        <w:ind w:firstLine="420"/>
        <w:rPr>
          <w:rFonts w:hint="eastAsia" w:ascii="宋体" w:hAnsi="宋体" w:eastAsia="宋体" w:cs="宋体"/>
          <w:b/>
          <w:bCs/>
          <w:color w:val="auto"/>
          <w:sz w:val="24"/>
          <w:szCs w:val="24"/>
          <w:highlight w:val="none"/>
          <w:lang w:eastAsia="zh-CN"/>
        </w:rPr>
      </w:pPr>
      <w:r>
        <w:rPr>
          <w:rFonts w:hint="eastAsia" w:ascii="宋体" w:hAnsi="宋体" w:cs="宋体"/>
          <w:color w:val="auto"/>
          <w:sz w:val="24"/>
          <w:szCs w:val="24"/>
          <w:highlight w:val="none"/>
        </w:rPr>
        <w:t>须具有《中华人民共和国特种设备生产许可证》[许可项目为电梯制造（含安装、修理、改造），许可参数/许可子项目为曳引驱动乘客电梯（含消防员电梯），或具有《中华人民共和国特种设备制造许可证》和《中华人民共和国特种设备安装改造维修（或修理）许可证》（电梯）</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注：</w:t>
      </w:r>
      <w:r>
        <w:rPr>
          <w:rFonts w:hint="eastAsia" w:ascii="宋体" w:hAnsi="宋体" w:cs="宋体"/>
          <w:b/>
          <w:bCs/>
          <w:color w:val="auto"/>
          <w:sz w:val="24"/>
          <w:szCs w:val="24"/>
          <w:highlight w:val="none"/>
        </w:rPr>
        <w:t>提供有效期内的证书复印件加盖</w:t>
      </w:r>
      <w:r>
        <w:rPr>
          <w:rFonts w:hint="eastAsia" w:ascii="宋体" w:hAnsi="宋体" w:cs="宋体"/>
          <w:b/>
          <w:bCs/>
          <w:color w:val="auto"/>
          <w:sz w:val="24"/>
          <w:szCs w:val="24"/>
          <w:highlight w:val="none"/>
          <w:lang w:val="en-US" w:eastAsia="zh-CN"/>
        </w:rPr>
        <w:t>供应商</w:t>
      </w:r>
      <w:r>
        <w:rPr>
          <w:rFonts w:hint="eastAsia" w:ascii="宋体" w:hAnsi="宋体" w:cs="宋体"/>
          <w:b/>
          <w:bCs/>
          <w:color w:val="auto"/>
          <w:sz w:val="24"/>
          <w:szCs w:val="24"/>
          <w:highlight w:val="none"/>
        </w:rPr>
        <w:t>公章</w:t>
      </w:r>
      <w:r>
        <w:rPr>
          <w:rFonts w:hint="eastAsia" w:ascii="宋体" w:hAnsi="宋体" w:cs="宋体"/>
          <w:b/>
          <w:bCs/>
          <w:color w:val="auto"/>
          <w:sz w:val="24"/>
          <w:szCs w:val="24"/>
          <w:highlight w:val="none"/>
          <w:lang w:eastAsia="zh-CN"/>
        </w:rPr>
        <w:t>。</w:t>
      </w:r>
    </w:p>
    <w:p w14:paraId="0967F830">
      <w:pPr>
        <w:spacing w:line="392"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2、若供应商为代理商或经销商的</w:t>
      </w:r>
    </w:p>
    <w:p w14:paraId="3373FB0A">
      <w:pPr>
        <w:spacing w:line="392" w:lineRule="exact"/>
        <w:ind w:firstLine="420"/>
        <w:rPr>
          <w:rFonts w:ascii="宋体" w:hAnsi="宋体" w:cs="宋体"/>
          <w:b/>
          <w:bCs/>
          <w:color w:val="auto"/>
          <w:sz w:val="24"/>
          <w:szCs w:val="24"/>
          <w:highlight w:val="none"/>
        </w:rPr>
      </w:pPr>
      <w:r>
        <w:rPr>
          <w:rFonts w:hint="eastAsia" w:ascii="宋体" w:hAnsi="宋体" w:cs="宋体"/>
          <w:color w:val="auto"/>
          <w:sz w:val="24"/>
          <w:szCs w:val="24"/>
          <w:highlight w:val="none"/>
        </w:rPr>
        <w:t>（1）所投</w:t>
      </w:r>
      <w:r>
        <w:rPr>
          <w:rFonts w:hint="eastAsia" w:ascii="宋体" w:hAnsi="宋体" w:cs="宋体"/>
          <w:color w:val="auto"/>
          <w:sz w:val="24"/>
          <w:szCs w:val="24"/>
          <w:highlight w:val="none"/>
          <w:lang w:val="en-US" w:eastAsia="zh-CN"/>
        </w:rPr>
        <w:t>电梯</w:t>
      </w:r>
      <w:r>
        <w:rPr>
          <w:rFonts w:hint="eastAsia" w:ascii="宋体" w:hAnsi="宋体" w:cs="宋体"/>
          <w:color w:val="auto"/>
          <w:sz w:val="24"/>
          <w:szCs w:val="24"/>
          <w:highlight w:val="none"/>
        </w:rPr>
        <w:t>制造商应具备以上要求1的前提下，投标人还须具有《中华人民共和国特种设备生产许可证》[许可项目为电梯安装（含修理），许可子项目/参数包含：曳引驱动乘客电梯（含消防员电梯）；或具有《中华人民共和国特种设备安装改造维修（或修理）许可证》（电梯）</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注：</w:t>
      </w:r>
      <w:r>
        <w:rPr>
          <w:rFonts w:hint="eastAsia" w:ascii="宋体" w:hAnsi="宋体" w:cs="宋体"/>
          <w:b/>
          <w:bCs/>
          <w:color w:val="auto"/>
          <w:sz w:val="24"/>
          <w:szCs w:val="24"/>
          <w:highlight w:val="none"/>
        </w:rPr>
        <w:t>提供有效期内的证书复印件加盖</w:t>
      </w:r>
      <w:r>
        <w:rPr>
          <w:rFonts w:hint="eastAsia" w:ascii="宋体" w:hAnsi="宋体" w:cs="宋体"/>
          <w:b/>
          <w:bCs/>
          <w:color w:val="auto"/>
          <w:sz w:val="24"/>
          <w:szCs w:val="24"/>
          <w:highlight w:val="none"/>
          <w:lang w:val="en-US" w:eastAsia="zh-CN"/>
        </w:rPr>
        <w:t>供应商</w:t>
      </w:r>
      <w:r>
        <w:rPr>
          <w:rFonts w:hint="eastAsia" w:ascii="宋体" w:hAnsi="宋体" w:cs="宋体"/>
          <w:b/>
          <w:bCs/>
          <w:color w:val="auto"/>
          <w:sz w:val="24"/>
          <w:szCs w:val="24"/>
          <w:highlight w:val="none"/>
        </w:rPr>
        <w:t>公章</w:t>
      </w:r>
      <w:r>
        <w:rPr>
          <w:rFonts w:hint="eastAsia" w:ascii="宋体" w:hAnsi="宋体" w:cs="宋体"/>
          <w:b/>
          <w:bCs/>
          <w:color w:val="auto"/>
          <w:sz w:val="24"/>
          <w:szCs w:val="24"/>
          <w:highlight w:val="none"/>
          <w:lang w:eastAsia="zh-CN"/>
        </w:rPr>
        <w:t>。</w:t>
      </w:r>
    </w:p>
    <w:p w14:paraId="0769FDE5">
      <w:pPr>
        <w:spacing w:line="392" w:lineRule="exact"/>
        <w:ind w:firstLine="420"/>
        <w:rPr>
          <w:rFonts w:ascii="宋体" w:hAnsi="宋体" w:cs="宋体"/>
          <w:b/>
          <w:bCs/>
          <w:color w:val="auto"/>
          <w:sz w:val="24"/>
          <w:szCs w:val="24"/>
          <w:highlight w:val="none"/>
        </w:rPr>
      </w:pPr>
      <w:r>
        <w:rPr>
          <w:rFonts w:hint="eastAsia" w:ascii="宋体" w:hAnsi="宋体" w:cs="宋体"/>
          <w:color w:val="auto"/>
          <w:sz w:val="24"/>
          <w:szCs w:val="24"/>
          <w:highlight w:val="none"/>
        </w:rPr>
        <w:t>（2）须提供所投电梯品牌制造商针对本项目的唯一授权书。特别提醒：同一品牌电梯只能一家供应商参与投标。</w:t>
      </w:r>
      <w:r>
        <w:rPr>
          <w:rFonts w:hint="eastAsia" w:ascii="宋体" w:hAnsi="宋体" w:cs="宋体"/>
          <w:b/>
          <w:bCs/>
          <w:color w:val="auto"/>
          <w:sz w:val="24"/>
          <w:szCs w:val="24"/>
          <w:highlight w:val="none"/>
          <w:lang w:val="en-US" w:eastAsia="zh-CN"/>
        </w:rPr>
        <w:t>注：</w:t>
      </w:r>
      <w:r>
        <w:rPr>
          <w:rFonts w:hint="eastAsia" w:ascii="宋体" w:hAnsi="宋体" w:cs="宋体"/>
          <w:b/>
          <w:bCs/>
          <w:color w:val="auto"/>
          <w:sz w:val="24"/>
          <w:szCs w:val="24"/>
          <w:highlight w:val="none"/>
        </w:rPr>
        <w:t>提供所投电梯制造商针对本项目授权资料复印件并加盖供应商公章。</w:t>
      </w:r>
    </w:p>
    <w:p w14:paraId="00766EED">
      <w:pPr>
        <w:spacing w:line="392"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3、电梯品牌要求</w:t>
      </w:r>
    </w:p>
    <w:p w14:paraId="523C588E">
      <w:pPr>
        <w:spacing w:line="392" w:lineRule="exact"/>
        <w:ind w:firstLine="420"/>
        <w:rPr>
          <w:rFonts w:ascii="宋体" w:hAnsi="宋体" w:cs="宋体"/>
          <w:b/>
          <w:bCs/>
          <w:color w:val="auto"/>
          <w:sz w:val="24"/>
          <w:szCs w:val="24"/>
          <w:highlight w:val="none"/>
        </w:rPr>
      </w:pPr>
      <w:r>
        <w:rPr>
          <w:rFonts w:hint="eastAsia" w:ascii="宋体" w:hAnsi="宋体" w:cs="宋体"/>
          <w:color w:val="auto"/>
          <w:sz w:val="24"/>
          <w:szCs w:val="24"/>
          <w:highlight w:val="none"/>
        </w:rPr>
        <w:t xml:space="preserve"> 本次招标电梯品牌要求须达到以下推荐知名品牌的中、高端系列质量，并满足厂家唯一授权且原厂质保及维保，如下</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通力N-MINI、日立MCA、三菱LEHY-N、迅达7000、奥的斯中国Gen3、蒂升电梯（中国）有限公司Meta200MR</w:t>
      </w:r>
      <w:r>
        <w:rPr>
          <w:rFonts w:hint="eastAsia" w:ascii="宋体" w:hAnsi="宋体" w:cs="宋体"/>
          <w:b/>
          <w:bCs/>
          <w:color w:val="auto"/>
          <w:sz w:val="24"/>
          <w:szCs w:val="24"/>
          <w:highlight w:val="none"/>
        </w:rPr>
        <w:t>（供应商自行承诺所投电梯品牌且提供此电梯后续维修零部件更换清单报价，格式自拟，并加盖供应商公章。此承诺函将作为合同附件）</w:t>
      </w:r>
    </w:p>
    <w:p w14:paraId="669F46C4">
      <w:pPr>
        <w:spacing w:line="392"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4.业绩要求</w:t>
      </w:r>
    </w:p>
    <w:p w14:paraId="36F0C707">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供应商自2023年</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月1日起至投标截止日止</w:t>
      </w:r>
      <w:r>
        <w:rPr>
          <w:rFonts w:hint="eastAsia" w:ascii="宋体" w:hAnsi="宋体" w:cs="宋体"/>
          <w:b/>
          <w:bCs/>
          <w:color w:val="auto"/>
          <w:sz w:val="24"/>
          <w:szCs w:val="24"/>
          <w:highlight w:val="none"/>
        </w:rPr>
        <w:t>（以合同签订时间为准）</w:t>
      </w:r>
      <w:r>
        <w:rPr>
          <w:rFonts w:hint="eastAsia" w:ascii="宋体" w:hAnsi="宋体" w:cs="宋体"/>
          <w:color w:val="auto"/>
          <w:sz w:val="24"/>
          <w:szCs w:val="24"/>
          <w:highlight w:val="none"/>
        </w:rPr>
        <w:t>，至少承接过1个电梯更新或更换项目。</w:t>
      </w:r>
    </w:p>
    <w:p w14:paraId="627B146D">
      <w:pPr>
        <w:spacing w:line="392"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（提供合同复印件并加盖供应商公章）。</w:t>
      </w:r>
    </w:p>
    <w:p w14:paraId="2302089D">
      <w:pPr>
        <w:spacing w:line="392"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四、比选有关说明</w:t>
      </w:r>
      <w:bookmarkEnd w:id="21"/>
      <w:bookmarkEnd w:id="33"/>
      <w:bookmarkEnd w:id="34"/>
      <w:bookmarkEnd w:id="35"/>
      <w:bookmarkEnd w:id="36"/>
      <w:bookmarkEnd w:id="37"/>
    </w:p>
    <w:p w14:paraId="205EEE2E">
      <w:pPr>
        <w:spacing w:line="392" w:lineRule="exact"/>
        <w:ind w:firstLine="420"/>
        <w:rPr>
          <w:rFonts w:ascii="宋体" w:hAnsi="宋体" w:cs="宋体"/>
          <w:color w:val="auto"/>
          <w:sz w:val="24"/>
          <w:szCs w:val="24"/>
          <w:highlight w:val="none"/>
        </w:rPr>
      </w:pPr>
      <w:r>
        <w:rPr>
          <w:rFonts w:hint="eastAsia" w:ascii="宋体" w:hAnsi="宋体" w:cs="宋体"/>
          <w:b/>
          <w:bCs/>
          <w:color w:val="auto"/>
          <w:sz w:val="24"/>
          <w:szCs w:val="24"/>
          <w:highlight w:val="none"/>
        </w:rPr>
        <w:t>（一）凡有意参加比选的供应商，必须在“ 行采家 ”服务平台注册，成为正式供应商。供应商请于公告发布之日起至响应文件递交截止时间之前，在“行采家”（https://www.gec123.com/）上下载本项目竞争性比选文件以及补遗等比选前公布的所有项目资料，无论供应商下载与否，均视为已知晓所有比选实质性要求内容。本比选采购邀请书同时在行采家平台发布和</w:t>
      </w:r>
      <w:r>
        <w:rPr>
          <w:rFonts w:hint="eastAsia" w:ascii="宋体" w:hAnsi="宋体" w:cs="宋体"/>
          <w:b/>
          <w:bCs/>
          <w:color w:val="auto"/>
          <w:sz w:val="24"/>
          <w:szCs w:val="24"/>
          <w:highlight w:val="none"/>
          <w:lang w:eastAsia="zh-CN"/>
        </w:rPr>
        <w:t>双子星座小区</w:t>
      </w:r>
      <w:r>
        <w:rPr>
          <w:rFonts w:hint="eastAsia" w:ascii="宋体" w:hAnsi="宋体" w:cs="宋体"/>
          <w:b/>
          <w:bCs/>
          <w:color w:val="auto"/>
          <w:sz w:val="24"/>
          <w:szCs w:val="24"/>
          <w:highlight w:val="none"/>
        </w:rPr>
        <w:t>公告栏张贴。</w:t>
      </w:r>
    </w:p>
    <w:p w14:paraId="7D6C124A">
      <w:pPr>
        <w:spacing w:line="392"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（二）</w:t>
      </w:r>
      <w:bookmarkEnd w:id="22"/>
      <w:bookmarkStart w:id="42" w:name="_Toc373860294"/>
      <w:bookmarkStart w:id="43" w:name="_Toc6178"/>
      <w:bookmarkStart w:id="44" w:name="_Toc521053053"/>
      <w:bookmarkStart w:id="45" w:name="_Toc4638"/>
      <w:bookmarkStart w:id="46" w:name="_Toc65660334"/>
      <w:bookmarkStart w:id="47" w:name="_Toc525047161"/>
      <w:bookmarkStart w:id="48" w:name="_Toc11956"/>
      <w:r>
        <w:rPr>
          <w:rFonts w:hint="eastAsia" w:ascii="宋体" w:hAnsi="宋体" w:cs="宋体"/>
          <w:b/>
          <w:bCs/>
          <w:color w:val="auto"/>
          <w:sz w:val="24"/>
          <w:szCs w:val="24"/>
          <w:highlight w:val="none"/>
        </w:rPr>
        <w:t>报名及比选文件发售：</w:t>
      </w:r>
    </w:p>
    <w:p w14:paraId="3CE21B55">
      <w:pPr>
        <w:spacing w:line="392" w:lineRule="exact"/>
        <w:ind w:left="238" w:leftChars="85" w:firstLine="120" w:firstLineChars="50"/>
        <w:rPr>
          <w:rFonts w:hint="eastAsia" w:ascii="宋体" w:hAnsi="宋体" w:cs="宋体"/>
          <w:b/>
          <w:bCs/>
          <w:color w:val="auto"/>
          <w:sz w:val="24"/>
          <w:szCs w:val="24"/>
          <w:highlight w:val="none"/>
        </w:rPr>
      </w:pPr>
      <w:bookmarkStart w:id="49" w:name="_Toc23330"/>
      <w:r>
        <w:rPr>
          <w:rFonts w:hint="eastAsia" w:ascii="宋体" w:hAnsi="宋体" w:cs="宋体"/>
          <w:b/>
          <w:bCs/>
          <w:color w:val="auto"/>
          <w:sz w:val="24"/>
          <w:szCs w:val="24"/>
          <w:highlight w:val="none"/>
        </w:rPr>
        <w:t>1.报名期限和比选文件发售期：公告发布之日（2025年</w:t>
      </w:r>
      <w:r>
        <w:rPr>
          <w:rFonts w:hint="eastAsia" w:ascii="宋体" w:hAnsi="宋体" w:cs="宋体"/>
          <w:b/>
          <w:bCs/>
          <w:color w:val="auto"/>
          <w:sz w:val="24"/>
          <w:szCs w:val="24"/>
          <w:highlight w:val="none"/>
          <w:lang w:val="en-US" w:eastAsia="zh-CN"/>
        </w:rPr>
        <w:t>10</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lang w:val="en-US" w:eastAsia="zh-CN"/>
        </w:rPr>
        <w:t>31</w:t>
      </w:r>
      <w:r>
        <w:rPr>
          <w:rFonts w:hint="eastAsia" w:ascii="宋体" w:hAnsi="宋体" w:cs="宋体"/>
          <w:b/>
          <w:bCs/>
          <w:color w:val="auto"/>
          <w:sz w:val="24"/>
          <w:szCs w:val="24"/>
          <w:highlight w:val="none"/>
        </w:rPr>
        <w:t>日）起至（2025年</w:t>
      </w:r>
      <w:r>
        <w:rPr>
          <w:rFonts w:hint="eastAsia" w:ascii="宋体" w:hAnsi="宋体" w:cs="宋体"/>
          <w:b/>
          <w:bCs/>
          <w:color w:val="auto"/>
          <w:sz w:val="24"/>
          <w:szCs w:val="24"/>
          <w:highlight w:val="none"/>
          <w:lang w:val="en-US" w:eastAsia="zh-CN"/>
        </w:rPr>
        <w:t>11</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lang w:val="en-US" w:eastAsia="zh-CN"/>
        </w:rPr>
        <w:t>04</w:t>
      </w:r>
      <w:r>
        <w:rPr>
          <w:rFonts w:hint="eastAsia" w:ascii="宋体" w:hAnsi="宋体" w:cs="宋体"/>
          <w:b/>
          <w:bCs/>
          <w:color w:val="auto"/>
          <w:sz w:val="24"/>
          <w:szCs w:val="24"/>
          <w:highlight w:val="none"/>
        </w:rPr>
        <w:t>日）17时00分止。</w:t>
      </w:r>
    </w:p>
    <w:p w14:paraId="7B72DFBF">
      <w:pPr>
        <w:spacing w:line="392" w:lineRule="exact"/>
        <w:ind w:firstLine="420" w:firstLineChars="0"/>
        <w:rPr>
          <w:rFonts w:ascii="宋体" w:hAnsi="宋体" w:cs="宋体"/>
          <w:color w:val="auto"/>
          <w:sz w:val="24"/>
          <w:szCs w:val="24"/>
          <w:highlight w:val="none"/>
        </w:rPr>
      </w:pPr>
      <w:r>
        <w:rPr>
          <w:rFonts w:hint="eastAsia" w:ascii="宋体" w:hAnsi="宋体" w:cs="宋体"/>
          <w:b/>
          <w:bCs/>
          <w:color w:val="auto"/>
          <w:sz w:val="24"/>
          <w:szCs w:val="24"/>
          <w:highlight w:val="none"/>
        </w:rPr>
        <w:t>2.比选文件售价：</w:t>
      </w:r>
      <w:r>
        <w:rPr>
          <w:rFonts w:hint="eastAsia" w:ascii="宋体" w:hAnsi="宋体" w:cs="宋体"/>
          <w:color w:val="auto"/>
          <w:sz w:val="24"/>
          <w:szCs w:val="24"/>
          <w:highlight w:val="none"/>
        </w:rPr>
        <w:t>人民币</w:t>
      </w:r>
      <w:r>
        <w:rPr>
          <w:rFonts w:hint="eastAsia" w:ascii="宋体" w:hAnsi="宋体" w:cs="宋体"/>
          <w:color w:val="auto"/>
          <w:sz w:val="24"/>
          <w:szCs w:val="24"/>
          <w:highlight w:val="none"/>
          <w:lang w:val="en-US" w:eastAsia="zh-CN"/>
        </w:rPr>
        <w:t>300</w:t>
      </w:r>
      <w:r>
        <w:rPr>
          <w:rFonts w:hint="eastAsia" w:ascii="宋体" w:hAnsi="宋体" w:cs="宋体"/>
          <w:color w:val="auto"/>
          <w:sz w:val="24"/>
          <w:szCs w:val="24"/>
          <w:highlight w:val="none"/>
        </w:rPr>
        <w:t>元/份（售后不退）。</w:t>
      </w:r>
    </w:p>
    <w:p w14:paraId="1AC4011A">
      <w:pPr>
        <w:spacing w:line="392" w:lineRule="exact"/>
        <w:ind w:firstLine="420" w:firstLineChars="0"/>
        <w:rPr>
          <w:rFonts w:ascii="宋体" w:hAnsi="宋体" w:cs="宋体"/>
          <w:color w:val="auto"/>
          <w:sz w:val="24"/>
          <w:szCs w:val="24"/>
          <w:highlight w:val="none"/>
        </w:rPr>
      </w:pPr>
      <w:r>
        <w:rPr>
          <w:rFonts w:hint="eastAsia" w:ascii="宋体" w:hAnsi="宋体" w:cs="宋体"/>
          <w:b/>
          <w:bCs/>
          <w:color w:val="auto"/>
          <w:sz w:val="24"/>
          <w:szCs w:val="24"/>
          <w:highlight w:val="none"/>
        </w:rPr>
        <w:t>3.报名方式</w:t>
      </w:r>
      <w:r>
        <w:rPr>
          <w:rFonts w:hint="eastAsia" w:ascii="宋体" w:hAnsi="宋体" w:cs="宋体"/>
          <w:color w:val="auto"/>
          <w:sz w:val="24"/>
          <w:szCs w:val="24"/>
          <w:highlight w:val="none"/>
        </w:rPr>
        <w:t>：在报名期限和比选文件发售期内，供应商将比选文件购买费用汇至以下账户（转账时备注：</w:t>
      </w:r>
      <w:r>
        <w:rPr>
          <w:color w:val="auto"/>
          <w:highlight w:val="none"/>
        </w:rPr>
        <w:fldChar w:fldCharType="begin"/>
      </w:r>
      <w:r>
        <w:rPr>
          <w:color w:val="auto"/>
          <w:highlight w:val="none"/>
        </w:rPr>
        <w:instrText xml:space="preserve"> HYPERLINK "mailto:投标单位简称+龙凤云洲4、5栋电梯文件费），同时将填写完善的《报名登记表》（格式详见本章比选公告附件）加盖投标人公章扫描后发送至23214839@qq.com（电子邮箱）或到招标代理机构处现场缴纳文件费并递交《报名登记表》报名，在比选文件发售期内报名的投标人，其投标文件才能被接收。" </w:instrText>
      </w:r>
      <w:r>
        <w:rPr>
          <w:color w:val="auto"/>
          <w:highlight w:val="none"/>
        </w:rPr>
        <w:fldChar w:fldCharType="separate"/>
      </w:r>
      <w:r>
        <w:rPr>
          <w:rFonts w:hint="eastAsia" w:ascii="宋体" w:hAnsi="宋体" w:cs="宋体"/>
          <w:color w:val="auto"/>
          <w:sz w:val="24"/>
          <w:szCs w:val="24"/>
          <w:highlight w:val="none"/>
        </w:rPr>
        <w:t>供应商简称+</w:t>
      </w:r>
      <w:r>
        <w:rPr>
          <w:rFonts w:hint="eastAsia" w:ascii="宋体" w:hAnsi="宋体" w:cs="宋体"/>
          <w:color w:val="auto"/>
          <w:sz w:val="24"/>
          <w:szCs w:val="24"/>
          <w:highlight w:val="none"/>
          <w:lang w:val="en-US" w:eastAsia="zh-CN"/>
        </w:rPr>
        <w:t>双子星座A栋1-4#</w:t>
      </w:r>
      <w:r>
        <w:rPr>
          <w:rFonts w:hint="eastAsia" w:ascii="宋体" w:hAnsi="宋体" w:cs="宋体"/>
          <w:color w:val="auto"/>
          <w:sz w:val="24"/>
          <w:szCs w:val="24"/>
          <w:highlight w:val="none"/>
        </w:rPr>
        <w:t>电梯文件费），同时将填写完善的《报名登记表》（格式详见本篇附件）加盖供应商公章扫描后发送至</w:t>
      </w:r>
      <w:r>
        <w:rPr>
          <w:rFonts w:hint="eastAsia" w:ascii="宋体" w:hAnsi="宋体" w:cs="宋体"/>
          <w:color w:val="auto"/>
          <w:sz w:val="24"/>
          <w:szCs w:val="24"/>
          <w:highlight w:val="none"/>
          <w:lang w:eastAsia="zh-CN"/>
        </w:rPr>
        <w:t>23214839</w:t>
      </w:r>
      <w:r>
        <w:rPr>
          <w:rFonts w:hint="eastAsia" w:ascii="宋体" w:hAnsi="宋体" w:cs="宋体"/>
          <w:color w:val="auto"/>
          <w:sz w:val="24"/>
          <w:szCs w:val="24"/>
          <w:highlight w:val="none"/>
        </w:rPr>
        <w:t>@qq.com（电子邮箱）或到采购代理机构处现场缴纳文件费并递交《报名登记表》报名，在报名期限和比选文件发售期内报名并交纳比选文件费的供应商，其响应文件才能被接收。</w:t>
      </w:r>
      <w:r>
        <w:rPr>
          <w:rFonts w:ascii="宋体" w:hAnsi="宋体" w:cs="宋体"/>
          <w:color w:val="auto"/>
          <w:sz w:val="24"/>
          <w:szCs w:val="24"/>
          <w:highlight w:val="none"/>
        </w:rPr>
        <w:fldChar w:fldCharType="end"/>
      </w:r>
    </w:p>
    <w:p w14:paraId="4A5DDB11">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户  名：重庆靖正恒悦项目管理有限公司</w:t>
      </w:r>
    </w:p>
    <w:p w14:paraId="48AB2D1B">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开户行：浙商银行重庆沙坪坝支行</w:t>
      </w:r>
    </w:p>
    <w:p w14:paraId="23D4E42E">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账  号：6530000810120100049709</w:t>
      </w:r>
    </w:p>
    <w:p w14:paraId="318D66E4">
      <w:pPr>
        <w:spacing w:line="392"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（三）本项目采用线上+线下相结合的投标方式，请各供应商按如下要求进行投标：</w:t>
      </w:r>
    </w:p>
    <w:p w14:paraId="0047D3DD">
      <w:pPr>
        <w:spacing w:line="392"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1.线上报价及上传响应文件电子文档</w:t>
      </w:r>
    </w:p>
    <w:p w14:paraId="0CC16E5C">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线上报价时间：</w:t>
      </w:r>
      <w:r>
        <w:rPr>
          <w:rFonts w:hint="eastAsia" w:ascii="宋体" w:hAnsi="宋体" w:cs="宋体"/>
          <w:b/>
          <w:bCs/>
          <w:color w:val="auto"/>
          <w:sz w:val="24"/>
          <w:szCs w:val="24"/>
          <w:highlight w:val="none"/>
        </w:rPr>
        <w:t>2025年</w:t>
      </w:r>
      <w:r>
        <w:rPr>
          <w:rFonts w:hint="eastAsia" w:ascii="宋体" w:hAnsi="宋体" w:cs="宋体"/>
          <w:b/>
          <w:bCs/>
          <w:color w:val="auto"/>
          <w:sz w:val="24"/>
          <w:szCs w:val="24"/>
          <w:highlight w:val="none"/>
          <w:lang w:val="en-US" w:eastAsia="zh-CN"/>
        </w:rPr>
        <w:t>11月07</w:t>
      </w:r>
      <w:r>
        <w:rPr>
          <w:rFonts w:hint="eastAsia" w:ascii="宋体" w:hAnsi="宋体" w:cs="宋体"/>
          <w:b/>
          <w:bCs/>
          <w:color w:val="auto"/>
          <w:sz w:val="24"/>
          <w:szCs w:val="24"/>
          <w:highlight w:val="none"/>
        </w:rPr>
        <w:t>日</w:t>
      </w:r>
      <w:r>
        <w:rPr>
          <w:rFonts w:hint="eastAsia" w:ascii="宋体" w:hAnsi="宋体" w:cs="宋体"/>
          <w:b/>
          <w:bCs/>
          <w:color w:val="auto"/>
          <w:sz w:val="24"/>
          <w:szCs w:val="24"/>
          <w:highlight w:val="none"/>
          <w:lang w:val="en-US" w:eastAsia="zh-CN"/>
        </w:rPr>
        <w:t>09</w:t>
      </w:r>
      <w:r>
        <w:rPr>
          <w:rFonts w:hint="eastAsia" w:ascii="宋体" w:hAnsi="宋体" w:cs="宋体"/>
          <w:b/>
          <w:bCs/>
          <w:color w:val="auto"/>
          <w:sz w:val="24"/>
          <w:szCs w:val="24"/>
          <w:highlight w:val="none"/>
        </w:rPr>
        <w:t>时</w:t>
      </w:r>
      <w:r>
        <w:rPr>
          <w:rFonts w:hint="eastAsia" w:ascii="宋体" w:hAnsi="宋体" w:cs="宋体"/>
          <w:b/>
          <w:bCs/>
          <w:color w:val="auto"/>
          <w:sz w:val="24"/>
          <w:szCs w:val="24"/>
          <w:highlight w:val="none"/>
          <w:lang w:val="en-US" w:eastAsia="zh-CN"/>
        </w:rPr>
        <w:t>00</w:t>
      </w:r>
      <w:r>
        <w:rPr>
          <w:rFonts w:hint="eastAsia" w:ascii="宋体" w:hAnsi="宋体" w:cs="宋体"/>
          <w:b/>
          <w:bCs/>
          <w:color w:val="auto"/>
          <w:sz w:val="24"/>
          <w:szCs w:val="24"/>
          <w:highlight w:val="none"/>
        </w:rPr>
        <w:t>分至2025年</w:t>
      </w:r>
      <w:r>
        <w:rPr>
          <w:rFonts w:hint="eastAsia" w:ascii="宋体" w:hAnsi="宋体" w:cs="宋体"/>
          <w:b/>
          <w:bCs/>
          <w:color w:val="auto"/>
          <w:sz w:val="24"/>
          <w:szCs w:val="24"/>
          <w:highlight w:val="none"/>
          <w:lang w:val="en-US" w:eastAsia="zh-CN"/>
        </w:rPr>
        <w:t>11月07日14</w:t>
      </w:r>
      <w:r>
        <w:rPr>
          <w:rFonts w:hint="eastAsia" w:ascii="宋体" w:hAnsi="宋体" w:cs="宋体"/>
          <w:b/>
          <w:bCs/>
          <w:color w:val="auto"/>
          <w:sz w:val="24"/>
          <w:szCs w:val="24"/>
          <w:highlight w:val="none"/>
        </w:rPr>
        <w:t>时</w:t>
      </w:r>
      <w:r>
        <w:rPr>
          <w:rFonts w:hint="eastAsia" w:ascii="宋体" w:hAnsi="宋体" w:cs="宋体"/>
          <w:b/>
          <w:bCs/>
          <w:color w:val="auto"/>
          <w:sz w:val="24"/>
          <w:szCs w:val="24"/>
          <w:highlight w:val="none"/>
          <w:lang w:val="en-US" w:eastAsia="zh-CN"/>
        </w:rPr>
        <w:t>30</w:t>
      </w:r>
      <w:r>
        <w:rPr>
          <w:rFonts w:hint="eastAsia" w:ascii="宋体" w:hAnsi="宋体" w:cs="宋体"/>
          <w:b/>
          <w:bCs/>
          <w:color w:val="auto"/>
          <w:sz w:val="24"/>
          <w:szCs w:val="24"/>
          <w:highlight w:val="none"/>
        </w:rPr>
        <w:t>分</w:t>
      </w:r>
      <w:r>
        <w:rPr>
          <w:rFonts w:hint="eastAsia" w:ascii="宋体" w:hAnsi="宋体" w:cs="宋体"/>
          <w:color w:val="auto"/>
          <w:sz w:val="24"/>
          <w:szCs w:val="24"/>
          <w:highlight w:val="none"/>
        </w:rPr>
        <w:t>。</w:t>
      </w:r>
    </w:p>
    <w:p w14:paraId="74B9DEEF">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线上报价要求：按本项目规定的线上报价时间内在行采家（https://www.gec123.com/）上进行线上报价，并在规定的时间内上传响应文件电子文档。未在规定时间内报价和上传响应文件电子文档的供应商不具备比选资格。行采家上传的响应文件电子文档应为签字盖章齐全的纸质响应文件正本的扫描件（PDF格式），若与纸质响应文件正本不一致的，以纸质响应文件正本为准。</w:t>
      </w:r>
    </w:p>
    <w:p w14:paraId="047D5100">
      <w:pPr>
        <w:spacing w:line="392"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2.线下递交纸质响应文件</w:t>
      </w:r>
    </w:p>
    <w:p w14:paraId="5DE3C4D2">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线下递交纸质响应文件开始时间：</w:t>
      </w:r>
      <w:r>
        <w:rPr>
          <w:rFonts w:hint="eastAsia" w:ascii="宋体" w:hAnsi="宋体" w:cs="宋体"/>
          <w:b/>
          <w:bCs/>
          <w:color w:val="auto"/>
          <w:sz w:val="24"/>
          <w:szCs w:val="24"/>
          <w:highlight w:val="none"/>
        </w:rPr>
        <w:t>2025年</w:t>
      </w:r>
      <w:r>
        <w:rPr>
          <w:rFonts w:hint="eastAsia" w:ascii="宋体" w:hAnsi="宋体" w:cs="宋体"/>
          <w:b/>
          <w:bCs/>
          <w:color w:val="auto"/>
          <w:sz w:val="24"/>
          <w:szCs w:val="24"/>
          <w:highlight w:val="none"/>
          <w:lang w:val="en-US" w:eastAsia="zh-CN"/>
        </w:rPr>
        <w:t>11月07日14</w:t>
      </w:r>
      <w:r>
        <w:rPr>
          <w:rFonts w:hint="eastAsia" w:ascii="宋体" w:hAnsi="宋体" w:cs="宋体"/>
          <w:b/>
          <w:bCs/>
          <w:color w:val="auto"/>
          <w:sz w:val="24"/>
          <w:szCs w:val="24"/>
          <w:highlight w:val="none"/>
        </w:rPr>
        <w:t>时</w:t>
      </w:r>
      <w:r>
        <w:rPr>
          <w:rFonts w:hint="eastAsia" w:ascii="宋体" w:hAnsi="宋体" w:cs="宋体"/>
          <w:b/>
          <w:bCs/>
          <w:color w:val="auto"/>
          <w:sz w:val="24"/>
          <w:szCs w:val="24"/>
          <w:highlight w:val="none"/>
          <w:lang w:val="en-US" w:eastAsia="zh-CN"/>
        </w:rPr>
        <w:t>0</w:t>
      </w:r>
      <w:r>
        <w:rPr>
          <w:rFonts w:hint="eastAsia" w:ascii="宋体" w:hAnsi="宋体" w:cs="宋体"/>
          <w:b/>
          <w:bCs/>
          <w:color w:val="auto"/>
          <w:sz w:val="24"/>
          <w:szCs w:val="24"/>
          <w:highlight w:val="none"/>
        </w:rPr>
        <w:t>0分。</w:t>
      </w:r>
    </w:p>
    <w:p w14:paraId="76FCC7A4">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线下递交纸质响应文件截止时间：</w:t>
      </w:r>
      <w:r>
        <w:rPr>
          <w:rFonts w:hint="eastAsia" w:ascii="宋体" w:hAnsi="宋体" w:cs="宋体"/>
          <w:b/>
          <w:bCs/>
          <w:color w:val="auto"/>
          <w:sz w:val="24"/>
          <w:szCs w:val="24"/>
          <w:highlight w:val="none"/>
        </w:rPr>
        <w:t>2025年</w:t>
      </w:r>
      <w:r>
        <w:rPr>
          <w:rFonts w:hint="eastAsia" w:ascii="宋体" w:hAnsi="宋体" w:cs="宋体"/>
          <w:b/>
          <w:bCs/>
          <w:color w:val="auto"/>
          <w:sz w:val="24"/>
          <w:szCs w:val="24"/>
          <w:highlight w:val="none"/>
          <w:lang w:val="en-US" w:eastAsia="zh-CN"/>
        </w:rPr>
        <w:t>11月07日</w:t>
      </w:r>
      <w:r>
        <w:rPr>
          <w:rFonts w:hint="eastAsia" w:ascii="宋体" w:hAnsi="宋体" w:cs="宋体"/>
          <w:b/>
          <w:bCs/>
          <w:color w:val="auto"/>
          <w:sz w:val="24"/>
          <w:szCs w:val="24"/>
          <w:highlight w:val="none"/>
        </w:rPr>
        <w:t>1</w:t>
      </w:r>
      <w:r>
        <w:rPr>
          <w:rFonts w:hint="eastAsia" w:ascii="宋体" w:hAnsi="宋体" w:cs="宋体"/>
          <w:b/>
          <w:bCs/>
          <w:color w:val="auto"/>
          <w:sz w:val="24"/>
          <w:szCs w:val="24"/>
          <w:highlight w:val="none"/>
          <w:lang w:val="en-US" w:eastAsia="zh-CN"/>
        </w:rPr>
        <w:t>4</w:t>
      </w:r>
      <w:r>
        <w:rPr>
          <w:rFonts w:hint="eastAsia" w:ascii="宋体" w:hAnsi="宋体" w:cs="宋体"/>
          <w:b/>
          <w:bCs/>
          <w:color w:val="auto"/>
          <w:sz w:val="24"/>
          <w:szCs w:val="24"/>
          <w:highlight w:val="none"/>
        </w:rPr>
        <w:t>时</w:t>
      </w:r>
      <w:r>
        <w:rPr>
          <w:rFonts w:hint="eastAsia" w:ascii="宋体" w:hAnsi="宋体" w:cs="宋体"/>
          <w:b/>
          <w:bCs/>
          <w:color w:val="auto"/>
          <w:sz w:val="24"/>
          <w:szCs w:val="24"/>
          <w:highlight w:val="none"/>
          <w:lang w:val="en-US" w:eastAsia="zh-CN"/>
        </w:rPr>
        <w:t>3</w:t>
      </w:r>
      <w:r>
        <w:rPr>
          <w:rFonts w:hint="eastAsia" w:ascii="宋体" w:hAnsi="宋体" w:cs="宋体"/>
          <w:b/>
          <w:bCs/>
          <w:color w:val="auto"/>
          <w:sz w:val="24"/>
          <w:szCs w:val="24"/>
          <w:highlight w:val="none"/>
        </w:rPr>
        <w:t>0分。</w:t>
      </w:r>
    </w:p>
    <w:p w14:paraId="7C4C846A">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线下递交纸质响应文件地点：</w:t>
      </w:r>
      <w:r>
        <w:rPr>
          <w:rFonts w:hint="eastAsia" w:ascii="宋体" w:hAnsi="宋体" w:cs="宋体"/>
          <w:color w:val="auto"/>
          <w:sz w:val="24"/>
          <w:szCs w:val="24"/>
          <w:highlight w:val="none"/>
          <w:lang w:eastAsia="zh-CN"/>
        </w:rPr>
        <w:t>双子星座小区</w:t>
      </w:r>
      <w:r>
        <w:rPr>
          <w:rFonts w:hint="eastAsia" w:ascii="宋体" w:hAnsi="宋体" w:cs="宋体"/>
          <w:color w:val="auto"/>
          <w:sz w:val="24"/>
          <w:szCs w:val="24"/>
          <w:highlight w:val="none"/>
          <w:lang w:val="en-US" w:eastAsia="zh-CN"/>
        </w:rPr>
        <w:t>物业办公室</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地址：重庆市南岸区光电路30号，</w:t>
      </w:r>
      <w:r>
        <w:rPr>
          <w:rFonts w:hint="eastAsia" w:ascii="宋体" w:hAnsi="宋体" w:cs="宋体"/>
          <w:color w:val="auto"/>
          <w:sz w:val="24"/>
          <w:szCs w:val="24"/>
          <w:highlight w:val="none"/>
        </w:rPr>
        <w:t>具体会议室以现场安排为准】。逾期送达的或者未送达指定地点的响应文件，采购人不予受理。</w:t>
      </w:r>
    </w:p>
    <w:p w14:paraId="3E5C5870">
      <w:pPr>
        <w:spacing w:line="392"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3.开标时间：同线下递交纸质响应文件截止时间。</w:t>
      </w:r>
    </w:p>
    <w:p w14:paraId="33ED5C07">
      <w:pPr>
        <w:spacing w:line="392"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4.开标地点：同线下递交纸质响应文件地点。</w:t>
      </w:r>
    </w:p>
    <w:p w14:paraId="28BD708D">
      <w:pPr>
        <w:spacing w:line="392"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5.供应商须满足以下要件，其响应文件才被接受：</w:t>
      </w:r>
    </w:p>
    <w:p w14:paraId="5F6261D0">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（1）按时报名。</w:t>
      </w:r>
    </w:p>
    <w:p w14:paraId="03944FF2">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（2）按时在行采家（https://www.gec123.com/）进行线上报价并上传签字盖章齐全的pdf格式的响应文件电子文档。</w:t>
      </w:r>
    </w:p>
    <w:p w14:paraId="6C491CCC">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（3）按时线下递交纸质响应文件。</w:t>
      </w:r>
    </w:p>
    <w:p w14:paraId="6EDB1B4E">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（4）按时签到并按时缴纳投标保证金。</w:t>
      </w:r>
    </w:p>
    <w:p w14:paraId="43E7D4F5">
      <w:pPr>
        <w:spacing w:line="392"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五、投标保证金</w:t>
      </w:r>
      <w:bookmarkEnd w:id="42"/>
      <w:bookmarkEnd w:id="43"/>
      <w:bookmarkEnd w:id="44"/>
      <w:bookmarkEnd w:id="45"/>
      <w:bookmarkEnd w:id="46"/>
      <w:bookmarkEnd w:id="47"/>
      <w:bookmarkEnd w:id="48"/>
      <w:bookmarkEnd w:id="49"/>
    </w:p>
    <w:p w14:paraId="5DD33285">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（一）保证金递交</w:t>
      </w:r>
    </w:p>
    <w:p w14:paraId="1D0BA032">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1.供应商应足额交纳保证金（保证金金额详见本篇，一、比选内容），并汇至如下账户，保证金的到账截止时间同提交响应文件截止时间。</w:t>
      </w:r>
    </w:p>
    <w:p w14:paraId="03173549">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保证金账户：</w:t>
      </w:r>
    </w:p>
    <w:p w14:paraId="7876D94D">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户  名：重庆靖正恒悦项目管理有限公司</w:t>
      </w:r>
    </w:p>
    <w:p w14:paraId="7C4895FC">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开户行：浙商银行重庆沙坪坝支行</w:t>
      </w:r>
    </w:p>
    <w:p w14:paraId="0A676178">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账  号：6530000810120100049709</w:t>
      </w:r>
    </w:p>
    <w:p w14:paraId="0077F162">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2.各供应商在银行转账（电汇）时，须充分考虑银行转账（电汇）的时间差风险，如同城转账、异地转账或汇款、跨行转账或电汇的时间要求。</w:t>
      </w:r>
    </w:p>
    <w:p w14:paraId="69F94DC4">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（二）保证金退还方式</w:t>
      </w:r>
    </w:p>
    <w:p w14:paraId="11C0EADC">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1.未成交供应商的保证金，在成交通知书发放后，采购代理机构在五个工作日内按来款渠道无息直接退还。</w:t>
      </w:r>
    </w:p>
    <w:p w14:paraId="58D69620">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2.成交供应商的保证金，在成交供应商与采购人签订合同后，采购代理机构在五个工作日内按资金来款渠道无息直接退还。</w:t>
      </w:r>
    </w:p>
    <w:p w14:paraId="6B0344CE">
      <w:pPr>
        <w:numPr>
          <w:ilvl w:val="0"/>
          <w:numId w:val="13"/>
        </w:numPr>
        <w:spacing w:line="392" w:lineRule="exact"/>
        <w:ind w:firstLine="420"/>
        <w:rPr>
          <w:rFonts w:ascii="宋体" w:hAnsi="宋体" w:cs="宋体"/>
          <w:b/>
          <w:bCs/>
          <w:color w:val="auto"/>
          <w:sz w:val="24"/>
          <w:szCs w:val="24"/>
          <w:highlight w:val="none"/>
        </w:rPr>
      </w:pPr>
      <w:bookmarkStart w:id="50" w:name="_Toc4355"/>
      <w:bookmarkStart w:id="51" w:name="_Toc65660335"/>
      <w:bookmarkStart w:id="52" w:name="_Toc521053054"/>
      <w:bookmarkStart w:id="53" w:name="_Toc479668114"/>
      <w:bookmarkStart w:id="54" w:name="_Toc525047162"/>
      <w:bookmarkStart w:id="55" w:name="_Toc2945"/>
      <w:bookmarkStart w:id="56" w:name="_Toc12296"/>
      <w:bookmarkStart w:id="57" w:name="_Toc6810"/>
      <w:r>
        <w:rPr>
          <w:rFonts w:hint="eastAsia" w:ascii="宋体" w:hAnsi="宋体" w:cs="宋体"/>
          <w:b/>
          <w:bCs/>
          <w:color w:val="auto"/>
          <w:sz w:val="24"/>
          <w:szCs w:val="24"/>
          <w:highlight w:val="none"/>
        </w:rPr>
        <w:t>定标原则</w:t>
      </w:r>
    </w:p>
    <w:p w14:paraId="6D0EC440">
      <w:pPr>
        <w:spacing w:line="392" w:lineRule="exact"/>
        <w:ind w:firstLine="42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经评审小组专家评审后按评审得分由高到低的顺序推荐</w:t>
      </w:r>
      <w:r>
        <w:rPr>
          <w:rFonts w:hint="eastAsia" w:ascii="宋体" w:hAnsi="宋体" w:eastAsia="宋体" w:cs="宋体"/>
          <w:b/>
          <w:bCs/>
          <w:color w:val="auto"/>
          <w:sz w:val="24"/>
          <w:szCs w:val="24"/>
          <w:highlight w:val="none"/>
          <w:lang w:val="en-US" w:eastAsia="zh-CN"/>
        </w:rPr>
        <w:t>前</w:t>
      </w:r>
      <w:r>
        <w:rPr>
          <w:rFonts w:hint="eastAsia" w:ascii="宋体" w:hAnsi="宋体" w:eastAsia="宋体" w:cs="宋体"/>
          <w:b/>
          <w:bCs/>
          <w:color w:val="auto"/>
          <w:sz w:val="24"/>
          <w:szCs w:val="24"/>
          <w:highlight w:val="none"/>
        </w:rPr>
        <w:t>三名候选人</w:t>
      </w:r>
      <w:r>
        <w:rPr>
          <w:rFonts w:hint="eastAsia" w:ascii="宋体" w:hAnsi="宋体" w:cs="宋体"/>
          <w:b/>
          <w:bCs/>
          <w:color w:val="auto"/>
          <w:sz w:val="24"/>
          <w:szCs w:val="24"/>
          <w:highlight w:val="none"/>
          <w:lang w:val="en-US" w:eastAsia="zh-CN"/>
        </w:rPr>
        <w:t>并出具评审报告，接着由专家推荐的前三名候选人在现场（开评标当日）对自己的产品进行不超过20分钟</w:t>
      </w:r>
      <w:r>
        <w:rPr>
          <w:rFonts w:hint="default" w:ascii="宋体" w:hAnsi="宋体" w:eastAsia="宋体" w:cs="宋体"/>
          <w:b/>
          <w:bCs/>
          <w:color w:val="auto"/>
          <w:kern w:val="2"/>
          <w:sz w:val="24"/>
          <w:szCs w:val="24"/>
          <w:highlight w:val="none"/>
          <w:lang w:val="en-US" w:eastAsia="zh-CN" w:bidi="ar-SA"/>
        </w:rPr>
        <w:t>（含</w:t>
      </w:r>
      <w:r>
        <w:rPr>
          <w:rFonts w:hint="eastAsia" w:ascii="宋体" w:hAnsi="宋体" w:eastAsia="宋体" w:cs="宋体"/>
          <w:b/>
          <w:bCs/>
          <w:color w:val="auto"/>
          <w:kern w:val="2"/>
          <w:sz w:val="24"/>
          <w:szCs w:val="24"/>
          <w:highlight w:val="none"/>
          <w:lang w:val="en-US" w:eastAsia="zh-CN" w:bidi="ar-SA"/>
        </w:rPr>
        <w:t>现场</w:t>
      </w:r>
      <w:r>
        <w:rPr>
          <w:rFonts w:hint="default" w:ascii="宋体" w:hAnsi="宋体" w:eastAsia="宋体" w:cs="宋体"/>
          <w:b/>
          <w:bCs/>
          <w:color w:val="auto"/>
          <w:kern w:val="2"/>
          <w:sz w:val="24"/>
          <w:szCs w:val="24"/>
          <w:highlight w:val="none"/>
          <w:lang w:val="en-US" w:eastAsia="zh-CN" w:bidi="ar-SA"/>
        </w:rPr>
        <w:t>业主提问时间）述标介绍</w:t>
      </w:r>
      <w:r>
        <w:rPr>
          <w:rFonts w:hint="eastAsia" w:ascii="宋体" w:hAnsi="宋体" w:cs="宋体"/>
          <w:b/>
          <w:bCs/>
          <w:color w:val="auto"/>
          <w:sz w:val="24"/>
          <w:szCs w:val="24"/>
          <w:highlight w:val="none"/>
          <w:lang w:val="en-US" w:eastAsia="zh-CN"/>
        </w:rPr>
        <w:t>。述标结束后采购人对前三名候选人</w:t>
      </w:r>
      <w:r>
        <w:rPr>
          <w:rFonts w:hint="eastAsia" w:ascii="宋体" w:hAnsi="宋体" w:eastAsia="宋体" w:cs="宋体"/>
          <w:b/>
          <w:bCs/>
          <w:color w:val="auto"/>
          <w:sz w:val="24"/>
          <w:szCs w:val="24"/>
          <w:highlight w:val="none"/>
        </w:rPr>
        <w:t>进行公示，</w:t>
      </w:r>
      <w:r>
        <w:rPr>
          <w:rFonts w:hint="eastAsia" w:ascii="宋体" w:hAnsi="宋体" w:eastAsia="宋体" w:cs="宋体"/>
          <w:b/>
          <w:bCs/>
          <w:color w:val="auto"/>
          <w:sz w:val="24"/>
          <w:szCs w:val="24"/>
          <w:highlight w:val="none"/>
          <w:lang w:val="en-US" w:eastAsia="zh-CN"/>
        </w:rPr>
        <w:t>公示期3个日历日，</w:t>
      </w:r>
      <w:r>
        <w:rPr>
          <w:rFonts w:hint="eastAsia" w:ascii="宋体" w:hAnsi="宋体" w:eastAsia="宋体" w:cs="宋体"/>
          <w:b/>
          <w:bCs/>
          <w:color w:val="auto"/>
          <w:sz w:val="24"/>
          <w:szCs w:val="24"/>
          <w:highlight w:val="none"/>
        </w:rPr>
        <w:t>在此期间采购人组织相关业主</w:t>
      </w:r>
      <w:r>
        <w:rPr>
          <w:rFonts w:hint="eastAsia" w:ascii="宋体" w:hAnsi="宋体" w:eastAsia="宋体" w:cs="宋体"/>
          <w:b/>
          <w:bCs/>
          <w:color w:val="auto"/>
          <w:sz w:val="24"/>
          <w:szCs w:val="24"/>
          <w:highlight w:val="none"/>
          <w:lang w:val="en-US" w:eastAsia="zh-CN"/>
        </w:rPr>
        <w:t>对前三名候选人进行投票表决</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参与投票的业主数量应达到法定比例，采购人将前三名候选人的得票数进行统计</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按照得票数由高到低的顺序进行排序，排名第一的为成交供应商，其得分为100分，排名第二的得分为90分，排名第三得分为80分，以此类推，</w:t>
      </w:r>
      <w:r>
        <w:rPr>
          <w:rFonts w:hint="eastAsia" w:ascii="宋体" w:hAnsi="宋体" w:eastAsia="宋体" w:cs="宋体"/>
          <w:b/>
          <w:bCs/>
          <w:color w:val="auto"/>
          <w:sz w:val="24"/>
          <w:szCs w:val="24"/>
          <w:highlight w:val="none"/>
        </w:rPr>
        <w:t>此分数</w:t>
      </w:r>
      <w:r>
        <w:rPr>
          <w:rFonts w:hint="eastAsia" w:ascii="宋体" w:hAnsi="宋体" w:eastAsia="宋体" w:cs="宋体"/>
          <w:b/>
          <w:bCs/>
          <w:color w:val="auto"/>
          <w:sz w:val="24"/>
          <w:szCs w:val="24"/>
          <w:highlight w:val="none"/>
          <w:lang w:val="en-US" w:eastAsia="zh-CN"/>
        </w:rPr>
        <w:t>作为</w:t>
      </w:r>
      <w:r>
        <w:rPr>
          <w:rFonts w:hint="eastAsia" w:ascii="宋体" w:hAnsi="宋体" w:eastAsia="宋体" w:cs="宋体"/>
          <w:b/>
          <w:bCs/>
          <w:color w:val="auto"/>
          <w:sz w:val="24"/>
          <w:szCs w:val="24"/>
          <w:highlight w:val="none"/>
        </w:rPr>
        <w:t>行采家结果公告。</w:t>
      </w:r>
    </w:p>
    <w:p w14:paraId="510C18F2">
      <w:pPr>
        <w:spacing w:line="392"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七、</w:t>
      </w:r>
      <w:bookmarkEnd w:id="50"/>
      <w:bookmarkEnd w:id="51"/>
      <w:bookmarkEnd w:id="52"/>
      <w:bookmarkEnd w:id="53"/>
      <w:bookmarkEnd w:id="54"/>
      <w:bookmarkEnd w:id="55"/>
      <w:bookmarkEnd w:id="56"/>
      <w:bookmarkEnd w:id="57"/>
      <w:r>
        <w:rPr>
          <w:rFonts w:hint="eastAsia" w:ascii="宋体" w:hAnsi="宋体" w:cs="宋体"/>
          <w:b/>
          <w:bCs/>
          <w:color w:val="auto"/>
          <w:sz w:val="24"/>
          <w:szCs w:val="24"/>
          <w:highlight w:val="none"/>
        </w:rPr>
        <w:t>其他有关规定</w:t>
      </w:r>
    </w:p>
    <w:p w14:paraId="4B327EAA">
      <w:pPr>
        <w:spacing w:line="392" w:lineRule="exact"/>
        <w:ind w:firstLine="420"/>
        <w:rPr>
          <w:rFonts w:ascii="宋体" w:hAnsi="宋体" w:cs="宋体"/>
          <w:color w:val="auto"/>
          <w:sz w:val="24"/>
          <w:szCs w:val="24"/>
          <w:highlight w:val="none"/>
        </w:rPr>
      </w:pPr>
      <w:bookmarkStart w:id="58" w:name="_Toc4164"/>
      <w:r>
        <w:rPr>
          <w:rFonts w:hint="eastAsia" w:ascii="宋体" w:hAnsi="宋体" w:cs="宋体"/>
          <w:color w:val="auto"/>
          <w:sz w:val="24"/>
          <w:szCs w:val="24"/>
          <w:highlight w:val="none"/>
        </w:rPr>
        <w:t>（一）单位负责人为同一人或者存在直接控股、管理关系的不同供应商，不得参加同一合同项下的采购活动，否则均为无效响应。</w:t>
      </w:r>
      <w:bookmarkStart w:id="59" w:name="_Toc27096"/>
      <w:bookmarkStart w:id="60" w:name="_Toc26534"/>
      <w:bookmarkStart w:id="61" w:name="_Toc7523"/>
    </w:p>
    <w:p w14:paraId="3229C4B8">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（二）为采购项目提供规范编制或者项目管理、监理、检测等服务的供应商，不得再参加该采购项目的其他采购活动，否则均为无效响应。</w:t>
      </w:r>
      <w:bookmarkEnd w:id="59"/>
      <w:bookmarkEnd w:id="60"/>
      <w:bookmarkEnd w:id="61"/>
      <w:bookmarkStart w:id="62" w:name="_Toc28581"/>
      <w:bookmarkStart w:id="63" w:name="_Toc12146"/>
      <w:bookmarkStart w:id="64" w:name="_Toc28271"/>
    </w:p>
    <w:p w14:paraId="052F30CC">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（三）本项目的补遗文件（如果有）一律在“行采家”（https://www.gec123.com/）上发布，请各供应商注意下载；无论供应商下载与否，均视同供应商已知晓本项目补遗文件（如果有）的内容。</w:t>
      </w:r>
      <w:bookmarkEnd w:id="62"/>
      <w:bookmarkEnd w:id="63"/>
      <w:bookmarkEnd w:id="64"/>
      <w:bookmarkStart w:id="65" w:name="_Toc15302"/>
      <w:bookmarkStart w:id="66" w:name="_Toc24100"/>
      <w:bookmarkStart w:id="67" w:name="_Toc25083"/>
    </w:p>
    <w:p w14:paraId="68CFF899">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（四）超过响应文件截止时间递交的响应文件，恕不接收。</w:t>
      </w:r>
      <w:bookmarkEnd w:id="65"/>
      <w:bookmarkEnd w:id="66"/>
      <w:bookmarkEnd w:id="67"/>
      <w:bookmarkStart w:id="68" w:name="_Toc8595"/>
      <w:bookmarkStart w:id="69" w:name="_Toc17096"/>
      <w:bookmarkStart w:id="70" w:name="_Toc21653"/>
    </w:p>
    <w:p w14:paraId="14B85318">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（五）比选费用：无论比选结果如何，供应商参与本项目比选的所有费用均应由供应商自行承担。</w:t>
      </w:r>
      <w:bookmarkEnd w:id="68"/>
      <w:bookmarkEnd w:id="69"/>
      <w:bookmarkEnd w:id="70"/>
      <w:bookmarkStart w:id="71" w:name="_Toc10564"/>
      <w:bookmarkStart w:id="72" w:name="_Toc20776"/>
      <w:bookmarkStart w:id="73" w:name="_Toc31172"/>
    </w:p>
    <w:p w14:paraId="06A5DA90">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（六）本项目不接受联合体投标。</w:t>
      </w:r>
      <w:bookmarkEnd w:id="71"/>
      <w:bookmarkEnd w:id="72"/>
      <w:bookmarkEnd w:id="73"/>
    </w:p>
    <w:p w14:paraId="11A644B2">
      <w:pPr>
        <w:spacing w:line="392" w:lineRule="exact"/>
        <w:ind w:firstLine="420"/>
        <w:rPr>
          <w:rFonts w:ascii="宋体" w:hAnsi="宋体" w:cs="宋体"/>
          <w:color w:val="auto"/>
          <w:sz w:val="24"/>
          <w:szCs w:val="24"/>
          <w:highlight w:val="none"/>
        </w:rPr>
      </w:pPr>
      <w:r>
        <w:rPr>
          <w:rFonts w:hint="eastAsia" w:ascii="宋体" w:hAnsi="宋体" w:cs="宋体"/>
          <w:b/>
          <w:bCs/>
          <w:color w:val="auto"/>
          <w:sz w:val="24"/>
          <w:szCs w:val="24"/>
          <w:highlight w:val="none"/>
        </w:rPr>
        <w:t>八、现场踏勘</w:t>
      </w:r>
      <w:bookmarkEnd w:id="58"/>
    </w:p>
    <w:p w14:paraId="7A62975F">
      <w:pPr>
        <w:spacing w:line="392" w:lineRule="exact"/>
        <w:ind w:firstLine="420"/>
        <w:rPr>
          <w:rFonts w:ascii="宋体" w:hAnsi="宋体" w:cs="宋体"/>
          <w:color w:val="auto"/>
          <w:sz w:val="24"/>
          <w:szCs w:val="24"/>
          <w:highlight w:val="none"/>
        </w:rPr>
      </w:pPr>
      <w:bookmarkStart w:id="74" w:name="_Toc521053056"/>
      <w:bookmarkStart w:id="75" w:name="_Toc525047164"/>
      <w:bookmarkStart w:id="76" w:name="_Toc1733"/>
      <w:bookmarkStart w:id="77" w:name="_Toc65660337"/>
      <w:bookmarkStart w:id="78" w:name="_Toc10415"/>
      <w:bookmarkStart w:id="79" w:name="_Toc1552"/>
      <w:r>
        <w:rPr>
          <w:rFonts w:hint="eastAsia" w:ascii="宋体" w:hAnsi="宋体" w:cs="宋体"/>
          <w:color w:val="auto"/>
          <w:sz w:val="24"/>
          <w:szCs w:val="24"/>
          <w:highlight w:val="none"/>
        </w:rPr>
        <w:t>为确保项目的正常实施开展，了解项目有关情况，供应商可以在竞争性比选文件公告期间进行现场自行踏勘，不管供应商踏勘与否，均视作供应商已了解本项目的所有工作内容。</w:t>
      </w:r>
      <w:r>
        <w:rPr>
          <w:rFonts w:hint="eastAsia" w:ascii="宋体" w:hAnsi="宋体" w:cs="宋体"/>
          <w:color w:val="auto"/>
          <w:sz w:val="24"/>
          <w:szCs w:val="24"/>
          <w:highlight w:val="none"/>
        </w:rPr>
        <w:tab/>
      </w:r>
      <w:bookmarkStart w:id="80" w:name="_Toc1061"/>
    </w:p>
    <w:p w14:paraId="7E058828">
      <w:pPr>
        <w:spacing w:line="392"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九、联系方式</w:t>
      </w:r>
      <w:bookmarkEnd w:id="74"/>
      <w:bookmarkEnd w:id="75"/>
      <w:bookmarkEnd w:id="76"/>
      <w:bookmarkEnd w:id="77"/>
      <w:bookmarkEnd w:id="78"/>
      <w:bookmarkEnd w:id="79"/>
      <w:bookmarkEnd w:id="80"/>
    </w:p>
    <w:p w14:paraId="5CFBD283">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（一）采购人：</w:t>
      </w:r>
      <w:r>
        <w:rPr>
          <w:rFonts w:hint="eastAsia" w:ascii="宋体" w:hAnsi="宋体" w:cs="宋体"/>
          <w:color w:val="auto"/>
          <w:sz w:val="24"/>
          <w:szCs w:val="24"/>
          <w:highlight w:val="none"/>
          <w:lang w:eastAsia="zh-CN"/>
        </w:rPr>
        <w:t>北京市均豪物业管理股份有限公司重庆分公司</w:t>
      </w:r>
      <w:r>
        <w:rPr>
          <w:rFonts w:hint="eastAsia" w:ascii="宋体" w:hAnsi="宋体" w:cs="宋体"/>
          <w:color w:val="auto"/>
          <w:sz w:val="24"/>
          <w:szCs w:val="24"/>
          <w:highlight w:val="none"/>
        </w:rPr>
        <w:t xml:space="preserve"> </w:t>
      </w:r>
    </w:p>
    <w:p w14:paraId="54C8D5DD">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汪</w:t>
      </w:r>
      <w:r>
        <w:rPr>
          <w:rFonts w:hint="eastAsia" w:ascii="宋体" w:hAnsi="宋体" w:cs="宋体"/>
          <w:color w:val="auto"/>
          <w:sz w:val="24"/>
          <w:szCs w:val="24"/>
          <w:highlight w:val="none"/>
        </w:rPr>
        <w:t>老师</w:t>
      </w:r>
    </w:p>
    <w:p w14:paraId="38214C4D">
      <w:pPr>
        <w:spacing w:line="392" w:lineRule="exact"/>
        <w:ind w:firstLine="42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电  话：</w:t>
      </w:r>
      <w:r>
        <w:rPr>
          <w:rFonts w:hint="eastAsia" w:ascii="宋体" w:hAnsi="宋体" w:cs="宋体"/>
          <w:color w:val="auto"/>
          <w:sz w:val="24"/>
          <w:szCs w:val="24"/>
          <w:highlight w:val="none"/>
          <w:lang w:val="en-US" w:eastAsia="zh-CN"/>
        </w:rPr>
        <w:t>13983873160</w:t>
      </w:r>
    </w:p>
    <w:p w14:paraId="07C4069F">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地  址：重庆市南岸区光电路30号</w:t>
      </w:r>
    </w:p>
    <w:p w14:paraId="4015214C">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（二）采购代理机构：重庆靖正恒悦项目管理有限公司</w:t>
      </w:r>
    </w:p>
    <w:p w14:paraId="74CE1A57">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杨</w:t>
      </w:r>
      <w:r>
        <w:rPr>
          <w:rFonts w:hint="eastAsia" w:ascii="宋体" w:hAnsi="宋体" w:cs="宋体"/>
          <w:color w:val="auto"/>
          <w:sz w:val="24"/>
          <w:szCs w:val="24"/>
          <w:highlight w:val="none"/>
        </w:rPr>
        <w:t>老师</w:t>
      </w:r>
    </w:p>
    <w:p w14:paraId="052D7CF5">
      <w:pPr>
        <w:spacing w:line="392" w:lineRule="exact"/>
        <w:ind w:firstLine="42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电  话：</w:t>
      </w:r>
      <w:r>
        <w:rPr>
          <w:rFonts w:hint="eastAsia" w:ascii="宋体" w:hAnsi="宋体" w:cs="宋体"/>
          <w:color w:val="auto"/>
          <w:sz w:val="24"/>
          <w:szCs w:val="24"/>
          <w:highlight w:val="none"/>
          <w:lang w:eastAsia="zh-CN"/>
        </w:rPr>
        <w:t>19122899678</w:t>
      </w:r>
    </w:p>
    <w:p w14:paraId="1E96050D">
      <w:pPr>
        <w:spacing w:line="392" w:lineRule="exact"/>
        <w:ind w:firstLine="420"/>
        <w:rPr>
          <w:rFonts w:ascii="宋体" w:hAnsi="宋体" w:cs="宋体"/>
          <w:color w:val="auto"/>
          <w:sz w:val="24"/>
          <w:szCs w:val="24"/>
          <w:highlight w:val="none"/>
        </w:rPr>
      </w:pPr>
      <w:r>
        <w:rPr>
          <w:rFonts w:hint="eastAsia" w:ascii="宋体" w:hAnsi="宋体" w:cs="宋体"/>
          <w:color w:val="auto"/>
          <w:sz w:val="24"/>
          <w:szCs w:val="24"/>
          <w:highlight w:val="none"/>
        </w:rPr>
        <w:t xml:space="preserve">地  址：重庆市江北区爱丁新甸双鱼 A 座 </w:t>
      </w:r>
    </w:p>
    <w:p w14:paraId="7C523061">
      <w:pPr>
        <w:spacing w:line="392" w:lineRule="exact"/>
        <w:rPr>
          <w:rFonts w:ascii="宋体" w:hAnsi="宋体" w:cs="宋体"/>
          <w:color w:val="auto"/>
          <w:highlight w:val="none"/>
        </w:rPr>
      </w:pPr>
    </w:p>
    <w:p w14:paraId="5B40E0A2">
      <w:pPr>
        <w:snapToGrid w:val="0"/>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附件：</w:t>
      </w:r>
    </w:p>
    <w:p w14:paraId="4445C1D7">
      <w:pPr>
        <w:snapToGrid w:val="0"/>
        <w:spacing w:line="520" w:lineRule="exact"/>
        <w:ind w:firstLine="880" w:firstLineChars="200"/>
        <w:jc w:val="center"/>
        <w:rPr>
          <w:rFonts w:ascii="宋体" w:hAnsi="宋体" w:cs="宋体"/>
          <w:color w:val="auto"/>
          <w:sz w:val="24"/>
          <w:szCs w:val="24"/>
          <w:highlight w:val="none"/>
        </w:rPr>
      </w:pPr>
      <w:r>
        <w:rPr>
          <w:rFonts w:hint="eastAsia" w:ascii="宋体" w:hAnsi="宋体" w:cs="宋体"/>
          <w:color w:val="auto"/>
          <w:sz w:val="44"/>
          <w:szCs w:val="44"/>
          <w:highlight w:val="none"/>
        </w:rPr>
        <w:t>《报名登记表》</w:t>
      </w:r>
      <w:r>
        <w:rPr>
          <w:rFonts w:hint="eastAsia" w:ascii="宋体" w:hAnsi="宋体" w:cs="宋体"/>
          <w:color w:val="auto"/>
          <w:sz w:val="44"/>
          <w:szCs w:val="44"/>
          <w:highlight w:val="none"/>
        </w:rPr>
        <w:br w:type="textWrapping"/>
      </w:r>
    </w:p>
    <w:tbl>
      <w:tblPr>
        <w:tblStyle w:val="59"/>
        <w:tblW w:w="976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6"/>
        <w:gridCol w:w="6183"/>
      </w:tblGrid>
      <w:tr w14:paraId="4B7982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586" w:type="dxa"/>
            <w:vAlign w:val="center"/>
          </w:tcPr>
          <w:p w14:paraId="181D10E2">
            <w:pPr>
              <w:keepNext w:val="0"/>
              <w:keepLines w:val="0"/>
              <w:suppressLineNumbers w:val="0"/>
              <w:snapToGrid w:val="0"/>
              <w:spacing w:before="0" w:beforeAutospacing="0" w:after="0" w:afterAutospacing="0" w:line="320" w:lineRule="exact"/>
              <w:ind w:left="0" w:right="0" w:firstLine="480" w:firstLineChars="200"/>
              <w:rPr>
                <w:rFonts w:hint="default"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6183" w:type="dxa"/>
            <w:vAlign w:val="center"/>
          </w:tcPr>
          <w:p w14:paraId="6EACB348">
            <w:pPr>
              <w:keepNext w:val="0"/>
              <w:keepLines w:val="0"/>
              <w:suppressLineNumbers w:val="0"/>
              <w:snapToGrid w:val="0"/>
              <w:spacing w:before="0" w:beforeAutospacing="0" w:after="0" w:afterAutospacing="0" w:line="320" w:lineRule="exact"/>
              <w:ind w:left="0" w:right="0" w:firstLine="480" w:firstLineChars="200"/>
              <w:rPr>
                <w:rFonts w:hint="default" w:ascii="宋体" w:hAnsi="宋体" w:cs="宋体"/>
                <w:color w:val="auto"/>
                <w:sz w:val="24"/>
                <w:szCs w:val="24"/>
                <w:highlight w:val="none"/>
              </w:rPr>
            </w:pPr>
          </w:p>
        </w:tc>
      </w:tr>
      <w:tr w14:paraId="3106B7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586" w:type="dxa"/>
            <w:vAlign w:val="center"/>
          </w:tcPr>
          <w:p w14:paraId="5A5DCF17">
            <w:pPr>
              <w:keepNext w:val="0"/>
              <w:keepLines w:val="0"/>
              <w:suppressLineNumbers w:val="0"/>
              <w:snapToGrid w:val="0"/>
              <w:spacing w:before="0" w:beforeAutospacing="0" w:after="0" w:afterAutospacing="0" w:line="320" w:lineRule="exact"/>
              <w:ind w:left="0" w:right="0" w:firstLine="480" w:firstLineChars="200"/>
              <w:rPr>
                <w:rFonts w:hint="default" w:ascii="宋体" w:hAnsi="宋体" w:cs="宋体"/>
                <w:color w:val="auto"/>
                <w:sz w:val="24"/>
                <w:szCs w:val="24"/>
                <w:highlight w:val="none"/>
              </w:rPr>
            </w:pPr>
            <w:r>
              <w:rPr>
                <w:rFonts w:hint="eastAsia" w:ascii="宋体" w:hAnsi="宋体" w:cs="宋体"/>
                <w:color w:val="auto"/>
                <w:sz w:val="24"/>
                <w:szCs w:val="24"/>
                <w:highlight w:val="none"/>
              </w:rPr>
              <w:t>供应商名称</w:t>
            </w:r>
          </w:p>
        </w:tc>
        <w:tc>
          <w:tcPr>
            <w:tcW w:w="6183" w:type="dxa"/>
            <w:vAlign w:val="bottom"/>
          </w:tcPr>
          <w:p w14:paraId="59E80A07">
            <w:pPr>
              <w:keepNext w:val="0"/>
              <w:keepLines w:val="0"/>
              <w:suppressLineNumbers w:val="0"/>
              <w:snapToGrid w:val="0"/>
              <w:spacing w:before="0" w:beforeAutospacing="0" w:after="0" w:afterAutospacing="0" w:line="320" w:lineRule="exact"/>
              <w:ind w:left="0" w:right="0" w:firstLine="3840" w:firstLineChars="1600"/>
              <w:rPr>
                <w:rFonts w:hint="default" w:ascii="宋体" w:hAnsi="宋体" w:cs="宋体"/>
                <w:color w:val="auto"/>
                <w:sz w:val="24"/>
                <w:szCs w:val="24"/>
                <w:highlight w:val="none"/>
              </w:rPr>
            </w:pPr>
            <w:r>
              <w:rPr>
                <w:rFonts w:hint="eastAsia" w:ascii="宋体" w:hAnsi="宋体" w:cs="宋体"/>
                <w:color w:val="auto"/>
                <w:sz w:val="24"/>
                <w:szCs w:val="24"/>
                <w:highlight w:val="none"/>
              </w:rPr>
              <w:t>（供应商加盖公章）</w:t>
            </w:r>
          </w:p>
        </w:tc>
      </w:tr>
      <w:tr w14:paraId="331246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586" w:type="dxa"/>
            <w:vAlign w:val="center"/>
          </w:tcPr>
          <w:p w14:paraId="4A9EF9BB">
            <w:pPr>
              <w:keepNext w:val="0"/>
              <w:keepLines w:val="0"/>
              <w:suppressLineNumbers w:val="0"/>
              <w:snapToGrid w:val="0"/>
              <w:spacing w:before="0" w:beforeAutospacing="0" w:after="0" w:afterAutospacing="0" w:line="320" w:lineRule="exact"/>
              <w:ind w:left="0" w:right="0" w:firstLine="480" w:firstLineChars="200"/>
              <w:rPr>
                <w:rFonts w:hint="default" w:ascii="宋体" w:hAnsi="宋体" w:cs="宋体"/>
                <w:color w:val="auto"/>
                <w:sz w:val="24"/>
                <w:szCs w:val="24"/>
                <w:highlight w:val="none"/>
              </w:rPr>
            </w:pPr>
            <w:r>
              <w:rPr>
                <w:rFonts w:hint="eastAsia" w:ascii="宋体" w:hAnsi="宋体" w:cs="宋体"/>
                <w:color w:val="auto"/>
                <w:sz w:val="24"/>
                <w:szCs w:val="24"/>
                <w:highlight w:val="none"/>
              </w:rPr>
              <w:t>供应商联系人及手机号码</w:t>
            </w:r>
          </w:p>
        </w:tc>
        <w:tc>
          <w:tcPr>
            <w:tcW w:w="6183" w:type="dxa"/>
            <w:vAlign w:val="center"/>
          </w:tcPr>
          <w:p w14:paraId="037C603C">
            <w:pPr>
              <w:keepNext w:val="0"/>
              <w:keepLines w:val="0"/>
              <w:suppressLineNumbers w:val="0"/>
              <w:snapToGrid w:val="0"/>
              <w:spacing w:before="0" w:beforeAutospacing="0" w:after="0" w:afterAutospacing="0" w:line="320" w:lineRule="exact"/>
              <w:ind w:left="0" w:right="0" w:firstLine="480" w:firstLineChars="200"/>
              <w:rPr>
                <w:rFonts w:hint="default" w:ascii="宋体" w:hAnsi="宋体" w:cs="宋体"/>
                <w:color w:val="auto"/>
                <w:sz w:val="24"/>
                <w:szCs w:val="24"/>
                <w:highlight w:val="none"/>
              </w:rPr>
            </w:pPr>
          </w:p>
        </w:tc>
      </w:tr>
      <w:tr w14:paraId="0E41E5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586" w:type="dxa"/>
            <w:vAlign w:val="center"/>
          </w:tcPr>
          <w:p w14:paraId="6631D9EB">
            <w:pPr>
              <w:keepNext w:val="0"/>
              <w:keepLines w:val="0"/>
              <w:suppressLineNumbers w:val="0"/>
              <w:snapToGrid w:val="0"/>
              <w:spacing w:before="0" w:beforeAutospacing="0" w:after="0" w:afterAutospacing="0" w:line="320" w:lineRule="exact"/>
              <w:ind w:left="0" w:right="0" w:firstLine="480" w:firstLineChars="200"/>
              <w:rPr>
                <w:rFonts w:hint="default" w:ascii="宋体" w:hAnsi="宋体" w:cs="宋体"/>
                <w:color w:val="auto"/>
                <w:sz w:val="24"/>
                <w:szCs w:val="24"/>
                <w:highlight w:val="none"/>
              </w:rPr>
            </w:pPr>
            <w:r>
              <w:rPr>
                <w:rFonts w:hint="eastAsia" w:ascii="宋体" w:hAnsi="宋体" w:cs="宋体"/>
                <w:color w:val="auto"/>
                <w:sz w:val="24"/>
                <w:szCs w:val="24"/>
                <w:highlight w:val="none"/>
              </w:rPr>
              <w:t>供应商电子邮箱</w:t>
            </w:r>
          </w:p>
        </w:tc>
        <w:tc>
          <w:tcPr>
            <w:tcW w:w="6183" w:type="dxa"/>
            <w:vAlign w:val="center"/>
          </w:tcPr>
          <w:p w14:paraId="7AA3C2B2">
            <w:pPr>
              <w:keepNext w:val="0"/>
              <w:keepLines w:val="0"/>
              <w:suppressLineNumbers w:val="0"/>
              <w:snapToGrid w:val="0"/>
              <w:spacing w:before="0" w:beforeAutospacing="0" w:after="0" w:afterAutospacing="0" w:line="320" w:lineRule="exact"/>
              <w:ind w:left="0" w:right="0" w:firstLine="480" w:firstLineChars="200"/>
              <w:rPr>
                <w:rFonts w:hint="default" w:ascii="宋体" w:hAnsi="宋体" w:cs="宋体"/>
                <w:color w:val="auto"/>
                <w:sz w:val="24"/>
                <w:szCs w:val="24"/>
                <w:highlight w:val="none"/>
              </w:rPr>
            </w:pPr>
          </w:p>
        </w:tc>
      </w:tr>
      <w:tr w14:paraId="3E263D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586" w:type="dxa"/>
            <w:vAlign w:val="center"/>
          </w:tcPr>
          <w:p w14:paraId="1D3A69CF">
            <w:pPr>
              <w:keepNext w:val="0"/>
              <w:keepLines w:val="0"/>
              <w:suppressLineNumbers w:val="0"/>
              <w:snapToGrid w:val="0"/>
              <w:spacing w:before="0" w:beforeAutospacing="0" w:after="0" w:afterAutospacing="0" w:line="320" w:lineRule="exact"/>
              <w:ind w:left="0" w:right="0" w:firstLine="480" w:firstLineChars="200"/>
              <w:rPr>
                <w:rFonts w:hint="default" w:ascii="宋体" w:hAnsi="宋体" w:cs="宋体"/>
                <w:color w:val="auto"/>
                <w:sz w:val="24"/>
                <w:szCs w:val="24"/>
                <w:highlight w:val="none"/>
              </w:rPr>
            </w:pPr>
            <w:r>
              <w:rPr>
                <w:rFonts w:hint="eastAsia" w:ascii="宋体" w:hAnsi="宋体" w:cs="宋体"/>
                <w:color w:val="auto"/>
                <w:sz w:val="24"/>
                <w:szCs w:val="24"/>
                <w:highlight w:val="none"/>
              </w:rPr>
              <w:t>供应商地址</w:t>
            </w:r>
          </w:p>
        </w:tc>
        <w:tc>
          <w:tcPr>
            <w:tcW w:w="6183" w:type="dxa"/>
            <w:vAlign w:val="center"/>
          </w:tcPr>
          <w:p w14:paraId="766E1B82">
            <w:pPr>
              <w:keepNext w:val="0"/>
              <w:keepLines w:val="0"/>
              <w:suppressLineNumbers w:val="0"/>
              <w:snapToGrid w:val="0"/>
              <w:spacing w:before="0" w:beforeAutospacing="0" w:after="0" w:afterAutospacing="0" w:line="320" w:lineRule="exact"/>
              <w:ind w:left="0" w:right="0" w:firstLine="480" w:firstLineChars="200"/>
              <w:rPr>
                <w:rFonts w:hint="default" w:ascii="宋体" w:hAnsi="宋体" w:cs="宋体"/>
                <w:color w:val="auto"/>
                <w:sz w:val="24"/>
                <w:szCs w:val="24"/>
                <w:highlight w:val="none"/>
              </w:rPr>
            </w:pPr>
          </w:p>
        </w:tc>
      </w:tr>
      <w:tr w14:paraId="0BDDFE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586" w:type="dxa"/>
            <w:vAlign w:val="center"/>
          </w:tcPr>
          <w:p w14:paraId="1DD87AD1">
            <w:pPr>
              <w:keepNext w:val="0"/>
              <w:keepLines w:val="0"/>
              <w:suppressLineNumbers w:val="0"/>
              <w:snapToGrid w:val="0"/>
              <w:spacing w:before="0" w:beforeAutospacing="0" w:after="0" w:afterAutospacing="0" w:line="320" w:lineRule="exact"/>
              <w:ind w:left="0" w:right="0" w:firstLine="480" w:firstLineChars="200"/>
              <w:rPr>
                <w:rFonts w:hint="default" w:ascii="宋体" w:hAnsi="宋体" w:cs="宋体"/>
                <w:color w:val="auto"/>
                <w:sz w:val="24"/>
                <w:szCs w:val="24"/>
                <w:highlight w:val="none"/>
              </w:rPr>
            </w:pPr>
            <w:r>
              <w:rPr>
                <w:rFonts w:hint="eastAsia" w:ascii="宋体" w:hAnsi="宋体" w:cs="宋体"/>
                <w:color w:val="auto"/>
                <w:sz w:val="24"/>
                <w:szCs w:val="24"/>
                <w:highlight w:val="none"/>
              </w:rPr>
              <w:t>所投电梯品牌</w:t>
            </w:r>
          </w:p>
        </w:tc>
        <w:tc>
          <w:tcPr>
            <w:tcW w:w="6183" w:type="dxa"/>
            <w:vAlign w:val="center"/>
          </w:tcPr>
          <w:p w14:paraId="78B8C32C">
            <w:pPr>
              <w:keepNext w:val="0"/>
              <w:keepLines w:val="0"/>
              <w:suppressLineNumbers w:val="0"/>
              <w:snapToGrid w:val="0"/>
              <w:spacing w:before="0" w:beforeAutospacing="0" w:after="0" w:afterAutospacing="0" w:line="320" w:lineRule="exact"/>
              <w:ind w:left="0" w:right="0" w:firstLine="480" w:firstLineChars="200"/>
              <w:rPr>
                <w:rFonts w:hint="default" w:ascii="宋体" w:hAnsi="宋体" w:cs="宋体"/>
                <w:color w:val="auto"/>
                <w:sz w:val="24"/>
                <w:szCs w:val="24"/>
                <w:highlight w:val="none"/>
              </w:rPr>
            </w:pPr>
          </w:p>
        </w:tc>
      </w:tr>
      <w:tr w14:paraId="11674F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69" w:type="dxa"/>
            <w:gridSpan w:val="2"/>
            <w:vAlign w:val="center"/>
          </w:tcPr>
          <w:p w14:paraId="27F19E11">
            <w:pPr>
              <w:keepNext w:val="0"/>
              <w:keepLines w:val="0"/>
              <w:suppressLineNumbers w:val="0"/>
              <w:snapToGrid w:val="0"/>
              <w:spacing w:before="0" w:beforeAutospacing="0" w:after="0" w:afterAutospacing="0" w:line="320" w:lineRule="exact"/>
              <w:ind w:left="0" w:right="0" w:firstLine="480" w:firstLineChars="200"/>
              <w:rPr>
                <w:rFonts w:hint="default" w:ascii="宋体" w:hAnsi="宋体" w:cs="宋体"/>
                <w:color w:val="auto"/>
                <w:sz w:val="24"/>
                <w:szCs w:val="24"/>
                <w:highlight w:val="none"/>
              </w:rPr>
            </w:pPr>
            <w:r>
              <w:rPr>
                <w:rFonts w:hint="eastAsia" w:ascii="宋体" w:hAnsi="宋体" w:cs="宋体"/>
                <w:color w:val="auto"/>
                <w:sz w:val="24"/>
                <w:szCs w:val="24"/>
                <w:highlight w:val="none"/>
              </w:rPr>
              <w:t xml:space="preserve">报名及获取比选文件日期：     年    月    日 </w:t>
            </w:r>
          </w:p>
        </w:tc>
      </w:tr>
    </w:tbl>
    <w:p w14:paraId="69B869A1">
      <w:pPr>
        <w:snapToGrid w:val="0"/>
        <w:spacing w:line="380" w:lineRule="exact"/>
        <w:ind w:firstLine="480" w:firstLineChars="200"/>
        <w:rPr>
          <w:rFonts w:ascii="宋体" w:hAnsi="宋体" w:cs="宋体"/>
          <w:color w:val="auto"/>
          <w:sz w:val="24"/>
          <w:szCs w:val="24"/>
          <w:highlight w:val="none"/>
        </w:rPr>
        <w:sectPr>
          <w:pgSz w:w="11907" w:h="16840"/>
          <w:pgMar w:top="1134" w:right="1134" w:bottom="1134" w:left="1418" w:header="964" w:footer="992" w:gutter="0"/>
          <w:pgNumType w:fmt="numberInDash"/>
          <w:cols w:space="720" w:num="1"/>
          <w:docGrid w:linePitch="312" w:charSpace="0"/>
        </w:sectPr>
      </w:pPr>
    </w:p>
    <w:p w14:paraId="4F2207EC">
      <w:pPr>
        <w:pStyle w:val="2"/>
        <w:jc w:val="center"/>
        <w:rPr>
          <w:rFonts w:hAnsi="宋体" w:cs="宋体"/>
          <w:b/>
          <w:bCs/>
          <w:color w:val="auto"/>
          <w:sz w:val="30"/>
          <w:szCs w:val="30"/>
          <w:highlight w:val="none"/>
        </w:rPr>
      </w:pPr>
      <w:bookmarkStart w:id="81" w:name="_Toc7067"/>
      <w:bookmarkStart w:id="82" w:name="_Toc1292"/>
      <w:bookmarkStart w:id="83" w:name="_Toc65660338"/>
      <w:bookmarkStart w:id="84" w:name="_Toc18519"/>
      <w:bookmarkStart w:id="85" w:name="_Toc14516"/>
      <w:bookmarkStart w:id="86" w:name="_Toc11327"/>
      <w:bookmarkStart w:id="87" w:name="_Toc102227313"/>
      <w:r>
        <w:rPr>
          <w:rFonts w:hint="eastAsia" w:hAnsi="宋体" w:cs="宋体"/>
          <w:b/>
          <w:bCs/>
          <w:color w:val="auto"/>
          <w:sz w:val="30"/>
          <w:szCs w:val="30"/>
          <w:highlight w:val="none"/>
        </w:rPr>
        <w:t>第二篇  比选项目技术（质量）需求</w:t>
      </w:r>
      <w:bookmarkEnd w:id="81"/>
      <w:bookmarkEnd w:id="82"/>
      <w:bookmarkEnd w:id="83"/>
      <w:bookmarkEnd w:id="84"/>
      <w:bookmarkEnd w:id="85"/>
      <w:bookmarkEnd w:id="86"/>
    </w:p>
    <w:p w14:paraId="0EF2DE76">
      <w:pPr>
        <w:snapToGrid w:val="0"/>
        <w:spacing w:line="392" w:lineRule="exact"/>
        <w:ind w:firstLine="361" w:firstLineChars="150"/>
        <w:rPr>
          <w:rFonts w:ascii="宋体" w:hAnsi="宋体" w:cs="宋体"/>
          <w:b/>
          <w:bCs/>
          <w:color w:val="auto"/>
          <w:sz w:val="24"/>
          <w:szCs w:val="24"/>
          <w:highlight w:val="none"/>
        </w:rPr>
      </w:pPr>
      <w:r>
        <w:rPr>
          <w:rFonts w:hint="eastAsia" w:ascii="宋体" w:hAnsi="宋体" w:cs="宋体"/>
          <w:b/>
          <w:bCs/>
          <w:color w:val="auto"/>
          <w:sz w:val="24"/>
          <w:szCs w:val="24"/>
          <w:highlight w:val="none"/>
        </w:rPr>
        <w:t>一、项目概况</w:t>
      </w:r>
    </w:p>
    <w:p w14:paraId="02B2D525">
      <w:pPr>
        <w:snapToGrid w:val="0"/>
        <w:spacing w:line="392" w:lineRule="exact"/>
        <w:ind w:firstLine="360" w:firstLineChars="15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本次采购更换电梯项目电梯共计</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台。本次电梯更换项目为交钥匙的总包工程，包含但不限于电梯整机更换、安装、调试、注销注册，还包含：原电梯拆除及处理、</w:t>
      </w:r>
      <w:r>
        <w:rPr>
          <w:rFonts w:hint="eastAsia" w:ascii="宋体" w:hAnsi="宋体" w:cs="宋体"/>
          <w:color w:val="auto"/>
          <w:sz w:val="24"/>
          <w:szCs w:val="24"/>
          <w:highlight w:val="none"/>
          <w:lang w:val="en-US" w:eastAsia="zh-CN"/>
        </w:rPr>
        <w:t>原电梯残值处理（旧梯残值抵充部分</w:t>
      </w:r>
      <w:r>
        <w:rPr>
          <w:rFonts w:hint="eastAsia" w:ascii="宋体" w:hAnsi="宋体" w:cs="宋体"/>
          <w:color w:val="auto"/>
          <w:sz w:val="24"/>
          <w:szCs w:val="24"/>
          <w:highlight w:val="none"/>
          <w:lang w:eastAsia="zh-CN"/>
        </w:rPr>
        <w:t>费用，中标人不得再向</w:t>
      </w:r>
      <w:r>
        <w:rPr>
          <w:rFonts w:hint="eastAsia" w:ascii="宋体" w:hAnsi="宋体" w:cs="宋体"/>
          <w:color w:val="auto"/>
          <w:sz w:val="24"/>
          <w:szCs w:val="24"/>
          <w:highlight w:val="none"/>
          <w:lang w:val="en-US" w:eastAsia="zh-CN"/>
        </w:rPr>
        <w:t>采购人</w:t>
      </w:r>
      <w:r>
        <w:rPr>
          <w:rFonts w:hint="eastAsia" w:ascii="宋体" w:hAnsi="宋体" w:cs="宋体"/>
          <w:color w:val="auto"/>
          <w:sz w:val="24"/>
          <w:szCs w:val="24"/>
          <w:highlight w:val="none"/>
          <w:lang w:eastAsia="zh-CN"/>
        </w:rPr>
        <w:t>索要其他费用</w:t>
      </w:r>
      <w:r>
        <w:rPr>
          <w:rFonts w:hint="eastAsia" w:ascii="宋体" w:hAnsi="宋体" w:cs="宋体"/>
          <w:color w:val="auto"/>
          <w:sz w:val="24"/>
          <w:szCs w:val="24"/>
          <w:highlight w:val="none"/>
          <w:lang w:val="en-US" w:eastAsia="zh-CN"/>
        </w:rPr>
        <w:t>）、保留原导轨和大门套（按市监特设发〔2025〕52 号文执行）</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井道的整改、</w:t>
      </w:r>
      <w:r>
        <w:rPr>
          <w:rFonts w:hint="eastAsia" w:ascii="宋体" w:hAnsi="宋体" w:cs="宋体"/>
          <w:color w:val="auto"/>
          <w:sz w:val="24"/>
          <w:szCs w:val="24"/>
          <w:highlight w:val="none"/>
          <w:lang w:eastAsia="zh-CN"/>
        </w:rPr>
        <w:t>机房地面翻新地砖，顶面，墙面乳胶漆翻新，空调外机处做砖墙按原状恢复（如有），地面开孔及修复、层站地板及墙面修复、电梯五方通话等。</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lang w:eastAsia="zh-CN"/>
        </w:rPr>
        <w:t>需现场踏勘。无论</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lang w:eastAsia="zh-CN"/>
        </w:rPr>
        <w:t>是否考察过现场，均被认为在递交投标文件前已经充分了解本项目整体情况。</w:t>
      </w:r>
    </w:p>
    <w:p w14:paraId="3C41EEBB">
      <w:pPr>
        <w:spacing w:line="440" w:lineRule="exact"/>
        <w:ind w:firstLine="422" w:firstLineChars="20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1、电梯品牌基本参数和配置要求</w:t>
      </w:r>
    </w:p>
    <w:tbl>
      <w:tblPr>
        <w:tblStyle w:val="59"/>
        <w:tblW w:w="9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810"/>
        <w:gridCol w:w="1695"/>
        <w:gridCol w:w="1170"/>
        <w:gridCol w:w="840"/>
        <w:gridCol w:w="2280"/>
        <w:gridCol w:w="828"/>
        <w:gridCol w:w="615"/>
        <w:gridCol w:w="534"/>
      </w:tblGrid>
      <w:tr w14:paraId="0C929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14:paraId="69B45A4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电梯</w:t>
            </w:r>
          </w:p>
          <w:p w14:paraId="1EF2F10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型号</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061DA8D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载重量（㎏）</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7826011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轿厢</w:t>
            </w:r>
            <w:r>
              <w:rPr>
                <w:rFonts w:hint="eastAsia" w:ascii="宋体" w:hAnsi="宋体" w:eastAsia="宋体" w:cs="宋体"/>
                <w:b/>
                <w:color w:val="auto"/>
                <w:sz w:val="21"/>
                <w:szCs w:val="21"/>
                <w:highlight w:val="none"/>
              </w:rPr>
              <w:t>尺寸（㎜）宽*深</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612C6A4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开门尺寸（㎜）</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7B806AF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停站</w:t>
            </w:r>
          </w:p>
          <w:p w14:paraId="45294FD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层数</w:t>
            </w:r>
          </w:p>
          <w:p w14:paraId="3A42EA9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（F）</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0E0F233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推荐</w:t>
            </w:r>
            <w:r>
              <w:rPr>
                <w:rFonts w:hint="eastAsia" w:ascii="宋体" w:hAnsi="宋体" w:eastAsia="宋体" w:cs="宋体"/>
                <w:b/>
                <w:color w:val="auto"/>
                <w:sz w:val="21"/>
                <w:szCs w:val="21"/>
                <w:highlight w:val="none"/>
              </w:rPr>
              <w:t>品牌</w:t>
            </w:r>
            <w:r>
              <w:rPr>
                <w:rFonts w:hint="eastAsia" w:ascii="宋体" w:hAnsi="宋体" w:eastAsia="宋体" w:cs="宋体"/>
                <w:b/>
                <w:color w:val="auto"/>
                <w:sz w:val="21"/>
                <w:szCs w:val="21"/>
                <w:highlight w:val="none"/>
                <w:lang w:val="en-US" w:eastAsia="zh-CN"/>
              </w:rPr>
              <w:t>型号</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3FA7D7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额定速度(m/s)</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3DA48AB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台数</w:t>
            </w:r>
          </w:p>
        </w:tc>
        <w:tc>
          <w:tcPr>
            <w:tcW w:w="534" w:type="dxa"/>
            <w:tcBorders>
              <w:top w:val="single" w:color="auto" w:sz="4" w:space="0"/>
              <w:left w:val="single" w:color="auto" w:sz="4" w:space="0"/>
              <w:bottom w:val="single" w:color="auto" w:sz="4" w:space="0"/>
              <w:right w:val="single" w:color="auto" w:sz="4" w:space="0"/>
            </w:tcBorders>
            <w:noWrap w:val="0"/>
            <w:vAlign w:val="center"/>
          </w:tcPr>
          <w:p w14:paraId="5FEC1C0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7B110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9"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14:paraId="38EA4D5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客梯</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67FE7D9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1050</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53CF1E3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1600*1</w:t>
            </w:r>
            <w:r>
              <w:rPr>
                <w:rFonts w:hint="eastAsia" w:ascii="宋体" w:hAnsi="宋体" w:cs="宋体"/>
                <w:b w:val="0"/>
                <w:bCs/>
                <w:color w:val="auto"/>
                <w:sz w:val="21"/>
                <w:szCs w:val="21"/>
                <w:highlight w:val="none"/>
                <w:lang w:val="en-US" w:eastAsia="zh-CN"/>
              </w:rPr>
              <w:t>45</w:t>
            </w:r>
            <w:r>
              <w:rPr>
                <w:rFonts w:hint="eastAsia" w:ascii="宋体" w:hAnsi="宋体" w:eastAsia="宋体" w:cs="宋体"/>
                <w:b w:val="0"/>
                <w:bCs/>
                <w:color w:val="auto"/>
                <w:sz w:val="21"/>
                <w:szCs w:val="21"/>
                <w:highlight w:val="none"/>
              </w:rPr>
              <w:t>0*2500</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3A042D8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900*2100</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7B7555AD">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43/43</w:t>
            </w:r>
          </w:p>
        </w:tc>
        <w:tc>
          <w:tcPr>
            <w:tcW w:w="2280" w:type="dxa"/>
            <w:tcBorders>
              <w:top w:val="single" w:color="auto" w:sz="4" w:space="0"/>
              <w:left w:val="single" w:color="auto" w:sz="4" w:space="0"/>
              <w:right w:val="single" w:color="auto" w:sz="4" w:space="0"/>
            </w:tcBorders>
            <w:noWrap w:val="0"/>
            <w:vAlign w:val="top"/>
          </w:tcPr>
          <w:p w14:paraId="75A4312E">
            <w:pPr>
              <w:keepNext w:val="0"/>
              <w:keepLines w:val="0"/>
              <w:suppressLineNumbers w:val="0"/>
              <w:adjustRightInd w:val="0"/>
              <w:snapToGrid w:val="0"/>
              <w:spacing w:before="0" w:beforeAutospacing="0" w:after="0" w:afterAutospacing="0"/>
              <w:ind w:left="0" w:right="0"/>
              <w:jc w:val="both"/>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通力</w:t>
            </w:r>
            <w:r>
              <w:rPr>
                <w:rFonts w:hint="eastAsia" w:ascii="宋体" w:hAnsi="宋体" w:cs="宋体"/>
                <w:b w:val="0"/>
                <w:bCs/>
                <w:color w:val="auto"/>
                <w:sz w:val="21"/>
                <w:szCs w:val="21"/>
                <w:highlight w:val="none"/>
                <w:lang w:val="en-US" w:eastAsia="zh-CN"/>
              </w:rPr>
              <w:t>N-</w:t>
            </w:r>
            <w:r>
              <w:rPr>
                <w:rFonts w:hint="eastAsia" w:ascii="宋体" w:hAnsi="宋体" w:eastAsia="宋体" w:cs="宋体"/>
                <w:b w:val="0"/>
                <w:bCs/>
                <w:color w:val="auto"/>
                <w:sz w:val="21"/>
                <w:szCs w:val="21"/>
                <w:highlight w:val="none"/>
                <w:lang w:val="en-US" w:eastAsia="zh-CN"/>
              </w:rPr>
              <w:t>MINI</w:t>
            </w:r>
          </w:p>
          <w:p w14:paraId="3EE5CFB9">
            <w:pPr>
              <w:keepNext w:val="0"/>
              <w:keepLines w:val="0"/>
              <w:suppressLineNumbers w:val="0"/>
              <w:adjustRightInd w:val="0"/>
              <w:snapToGrid w:val="0"/>
              <w:spacing w:before="0" w:beforeAutospacing="0" w:after="0" w:afterAutospacing="0"/>
              <w:ind w:left="0" w:right="0"/>
              <w:jc w:val="both"/>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日立</w:t>
            </w:r>
            <w:r>
              <w:rPr>
                <w:rFonts w:hint="eastAsia" w:ascii="宋体" w:hAnsi="宋体" w:cs="宋体"/>
                <w:b w:val="0"/>
                <w:bCs/>
                <w:color w:val="auto"/>
                <w:sz w:val="21"/>
                <w:szCs w:val="21"/>
                <w:highlight w:val="none"/>
                <w:lang w:val="en-US" w:eastAsia="zh-CN"/>
              </w:rPr>
              <w:t>MCA</w:t>
            </w:r>
          </w:p>
          <w:p w14:paraId="27253D1F">
            <w:pPr>
              <w:keepNext w:val="0"/>
              <w:keepLines w:val="0"/>
              <w:suppressLineNumbers w:val="0"/>
              <w:adjustRightInd w:val="0"/>
              <w:snapToGrid w:val="0"/>
              <w:spacing w:before="0" w:beforeAutospacing="0" w:after="0" w:afterAutospacing="0"/>
              <w:ind w:left="0" w:right="0"/>
              <w:jc w:val="both"/>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三菱LEHY-N</w:t>
            </w:r>
          </w:p>
          <w:p w14:paraId="3C264BD9">
            <w:pPr>
              <w:keepNext w:val="0"/>
              <w:keepLines w:val="0"/>
              <w:suppressLineNumbers w:val="0"/>
              <w:adjustRightInd w:val="0"/>
              <w:snapToGrid w:val="0"/>
              <w:spacing w:before="0" w:beforeAutospacing="0" w:after="0" w:afterAutospacing="0"/>
              <w:ind w:left="0" w:right="0"/>
              <w:jc w:val="both"/>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迅达7000</w:t>
            </w:r>
          </w:p>
          <w:p w14:paraId="0502DDE5">
            <w:pPr>
              <w:keepNext w:val="0"/>
              <w:keepLines w:val="0"/>
              <w:suppressLineNumbers w:val="0"/>
              <w:adjustRightInd w:val="0"/>
              <w:snapToGrid w:val="0"/>
              <w:spacing w:before="0" w:beforeAutospacing="0" w:after="0" w:afterAutospacing="0"/>
              <w:ind w:left="0" w:right="0"/>
              <w:jc w:val="both"/>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奥的斯中国Gen3</w:t>
            </w:r>
          </w:p>
          <w:p w14:paraId="0C7585BE">
            <w:pPr>
              <w:keepNext w:val="0"/>
              <w:keepLines w:val="0"/>
              <w:suppressLineNumbers w:val="0"/>
              <w:adjustRightInd w:val="0"/>
              <w:snapToGrid w:val="0"/>
              <w:spacing w:before="0" w:beforeAutospacing="0" w:after="0" w:afterAutospacing="0"/>
              <w:ind w:left="0" w:right="0"/>
              <w:jc w:val="both"/>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蒂升电梯（中国）有限公司</w:t>
            </w:r>
            <w:r>
              <w:rPr>
                <w:rFonts w:hint="eastAsia" w:ascii="宋体" w:hAnsi="宋体" w:cs="宋体"/>
                <w:b w:val="0"/>
                <w:bCs/>
                <w:color w:val="auto"/>
                <w:sz w:val="21"/>
                <w:szCs w:val="21"/>
                <w:highlight w:val="none"/>
                <w:lang w:val="en-US" w:eastAsia="zh-CN"/>
              </w:rPr>
              <w:t>M</w:t>
            </w:r>
            <w:r>
              <w:rPr>
                <w:rFonts w:hint="eastAsia" w:ascii="宋体" w:hAnsi="宋体" w:eastAsia="宋体" w:cs="宋体"/>
                <w:b w:val="0"/>
                <w:bCs/>
                <w:color w:val="auto"/>
                <w:sz w:val="21"/>
                <w:szCs w:val="21"/>
                <w:highlight w:val="none"/>
                <w:lang w:val="en-US" w:eastAsia="zh-CN"/>
              </w:rPr>
              <w:t>eta200</w:t>
            </w:r>
            <w:r>
              <w:rPr>
                <w:rFonts w:hint="eastAsia" w:ascii="宋体" w:hAnsi="宋体" w:cs="宋体"/>
                <w:b w:val="0"/>
                <w:bCs/>
                <w:color w:val="auto"/>
                <w:sz w:val="21"/>
                <w:szCs w:val="21"/>
                <w:highlight w:val="none"/>
                <w:lang w:val="en-US" w:eastAsia="zh-CN"/>
              </w:rPr>
              <w:t>MR</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68729B3">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2</w:t>
            </w:r>
            <w:r>
              <w:rPr>
                <w:rFonts w:hint="eastAsia" w:ascii="宋体" w:hAnsi="宋体" w:eastAsia="宋体" w:cs="宋体"/>
                <w:b w:val="0"/>
                <w:bCs/>
                <w:color w:val="auto"/>
                <w:sz w:val="21"/>
                <w:szCs w:val="21"/>
                <w:highlight w:val="none"/>
                <w:lang w:val="en-US" w:eastAsia="zh-CN"/>
              </w:rPr>
              <w:t>.5</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6F5D786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w:t>
            </w:r>
          </w:p>
        </w:tc>
        <w:tc>
          <w:tcPr>
            <w:tcW w:w="534" w:type="dxa"/>
            <w:tcBorders>
              <w:top w:val="single" w:color="auto" w:sz="4" w:space="0"/>
              <w:left w:val="single" w:color="auto" w:sz="4" w:space="0"/>
              <w:bottom w:val="single" w:color="auto" w:sz="4" w:space="0"/>
              <w:right w:val="single" w:color="auto" w:sz="4" w:space="0"/>
            </w:tcBorders>
            <w:noWrap w:val="0"/>
            <w:vAlign w:val="center"/>
          </w:tcPr>
          <w:p w14:paraId="1B3A3656">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1-4#</w:t>
            </w:r>
          </w:p>
        </w:tc>
      </w:tr>
    </w:tbl>
    <w:p w14:paraId="1CC3C6ED">
      <w:pPr>
        <w:snapToGrid w:val="0"/>
        <w:spacing w:line="392" w:lineRule="exact"/>
        <w:ind w:firstLine="360" w:firstLineChars="150"/>
        <w:rPr>
          <w:rFonts w:hint="eastAsia" w:ascii="宋体" w:hAnsi="宋体" w:cs="宋体"/>
          <w:color w:val="auto"/>
          <w:sz w:val="24"/>
          <w:szCs w:val="24"/>
          <w:highlight w:val="none"/>
          <w:lang w:eastAsia="zh-CN"/>
        </w:rPr>
      </w:pPr>
    </w:p>
    <w:p w14:paraId="502DB512">
      <w:pPr>
        <w:snapToGrid w:val="0"/>
        <w:spacing w:line="392" w:lineRule="exact"/>
        <w:ind w:firstLine="361" w:firstLineChars="150"/>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rPr>
        <w:t>二、</w:t>
      </w:r>
      <w:r>
        <w:rPr>
          <w:rFonts w:hint="eastAsia" w:ascii="宋体" w:hAnsi="宋体" w:cs="宋体"/>
          <w:b/>
          <w:bCs/>
          <w:color w:val="auto"/>
          <w:sz w:val="24"/>
          <w:szCs w:val="24"/>
          <w:highlight w:val="none"/>
          <w:lang w:eastAsia="zh-CN"/>
        </w:rPr>
        <w:t>装饰配置要求</w:t>
      </w:r>
    </w:p>
    <w:tbl>
      <w:tblPr>
        <w:tblStyle w:val="59"/>
        <w:tblW w:w="48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1946"/>
        <w:gridCol w:w="6460"/>
      </w:tblGrid>
      <w:tr w14:paraId="1CC7C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1001" w:type="dxa"/>
            <w:noWrap w:val="0"/>
            <w:vAlign w:val="center"/>
          </w:tcPr>
          <w:p w14:paraId="754DEA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80" w:lineRule="exact"/>
              <w:ind w:left="0" w:right="0"/>
              <w:jc w:val="center"/>
              <w:textAlignment w:val="auto"/>
              <w:rPr>
                <w:rFonts w:hint="default" w:ascii="Times New Roman" w:hAnsi="Times New Roman" w:eastAsia="宋体" w:cs="Times New Roman"/>
                <w:b/>
                <w:bCs/>
                <w:color w:val="auto"/>
                <w:kern w:val="2"/>
                <w:sz w:val="28"/>
                <w:szCs w:val="21"/>
                <w:highlight w:val="none"/>
                <w:lang w:val="en-US" w:eastAsia="zh-CN" w:bidi="ar-SA"/>
              </w:rPr>
            </w:pPr>
            <w:bookmarkStart w:id="88" w:name="_Toc13356"/>
            <w:bookmarkStart w:id="89" w:name="_Toc65660341"/>
            <w:bookmarkStart w:id="90" w:name="_Toc15492"/>
            <w:bookmarkStart w:id="91" w:name="_Toc29745"/>
            <w:bookmarkStart w:id="92" w:name="_Toc523"/>
            <w:r>
              <w:rPr>
                <w:rFonts w:hint="eastAsia" w:ascii="Times New Roman" w:hAnsi="Times New Roman" w:eastAsia="宋体" w:cs="Times New Roman"/>
                <w:b/>
                <w:bCs/>
                <w:color w:val="auto"/>
                <w:kern w:val="2"/>
                <w:sz w:val="28"/>
                <w:szCs w:val="21"/>
                <w:highlight w:val="none"/>
                <w:lang w:val="en-US" w:eastAsia="zh-CN" w:bidi="ar-SA"/>
              </w:rPr>
              <w:t>序号</w:t>
            </w:r>
          </w:p>
        </w:tc>
        <w:tc>
          <w:tcPr>
            <w:tcW w:w="1946" w:type="dxa"/>
            <w:noWrap w:val="0"/>
            <w:vAlign w:val="center"/>
          </w:tcPr>
          <w:p w14:paraId="35A0EC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80" w:lineRule="exact"/>
              <w:ind w:left="0" w:right="0"/>
              <w:jc w:val="center"/>
              <w:textAlignment w:val="auto"/>
              <w:rPr>
                <w:rFonts w:hint="default" w:ascii="Times New Roman" w:hAnsi="Times New Roman" w:eastAsia="宋体" w:cs="Times New Roman"/>
                <w:b/>
                <w:bCs/>
                <w:color w:val="auto"/>
                <w:kern w:val="2"/>
                <w:sz w:val="28"/>
                <w:szCs w:val="21"/>
                <w:highlight w:val="none"/>
                <w:lang w:val="en-US" w:eastAsia="zh-CN" w:bidi="ar-SA"/>
              </w:rPr>
            </w:pPr>
            <w:r>
              <w:rPr>
                <w:rFonts w:hint="eastAsia" w:ascii="Times New Roman" w:hAnsi="Times New Roman" w:eastAsia="宋体" w:cs="Times New Roman"/>
                <w:b/>
                <w:bCs/>
                <w:color w:val="auto"/>
                <w:kern w:val="2"/>
                <w:sz w:val="28"/>
                <w:szCs w:val="21"/>
                <w:highlight w:val="none"/>
                <w:lang w:val="en-US" w:eastAsia="zh-CN" w:bidi="ar-SA"/>
              </w:rPr>
              <w:t>品名</w:t>
            </w:r>
          </w:p>
        </w:tc>
        <w:tc>
          <w:tcPr>
            <w:tcW w:w="6460" w:type="dxa"/>
            <w:noWrap w:val="0"/>
            <w:vAlign w:val="center"/>
          </w:tcPr>
          <w:p w14:paraId="4B2D91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80" w:lineRule="exact"/>
              <w:ind w:left="0" w:right="0"/>
              <w:jc w:val="center"/>
              <w:textAlignment w:val="auto"/>
              <w:rPr>
                <w:rFonts w:hint="default" w:ascii="Times New Roman" w:hAnsi="Times New Roman" w:eastAsia="宋体" w:cs="Times New Roman"/>
                <w:b/>
                <w:bCs/>
                <w:color w:val="auto"/>
                <w:kern w:val="2"/>
                <w:sz w:val="28"/>
                <w:szCs w:val="21"/>
                <w:highlight w:val="none"/>
                <w:lang w:val="en-US" w:eastAsia="zh-CN" w:bidi="ar-SA"/>
              </w:rPr>
            </w:pPr>
            <w:r>
              <w:rPr>
                <w:rFonts w:hint="eastAsia" w:ascii="Times New Roman" w:hAnsi="Times New Roman" w:eastAsia="宋体" w:cs="Times New Roman"/>
                <w:b/>
                <w:bCs/>
                <w:color w:val="auto"/>
                <w:kern w:val="2"/>
                <w:sz w:val="28"/>
                <w:szCs w:val="21"/>
                <w:highlight w:val="none"/>
                <w:lang w:val="en-US" w:eastAsia="zh-CN" w:bidi="ar-SA"/>
              </w:rPr>
              <w:t>配置要求</w:t>
            </w:r>
          </w:p>
        </w:tc>
      </w:tr>
      <w:tr w14:paraId="2BE59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9407" w:type="dxa"/>
            <w:gridSpan w:val="3"/>
            <w:noWrap w:val="0"/>
            <w:vAlign w:val="center"/>
          </w:tcPr>
          <w:p w14:paraId="166476F5">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Cs w:val="21"/>
                <w:highlight w:val="none"/>
              </w:rPr>
            </w:pPr>
            <w:r>
              <w:rPr>
                <w:rFonts w:hint="eastAsia" w:ascii="宋体" w:hAnsi="宋体" w:cs="宋体"/>
                <w:b/>
                <w:bCs/>
                <w:color w:val="auto"/>
                <w:szCs w:val="21"/>
                <w:highlight w:val="none"/>
                <w:lang w:val="en-US" w:eastAsia="zh-CN"/>
              </w:rPr>
              <w:t>一、</w:t>
            </w:r>
            <w:r>
              <w:rPr>
                <w:rFonts w:hint="eastAsia" w:ascii="宋体" w:hAnsi="宋体" w:cs="宋体"/>
                <w:b/>
                <w:bCs/>
                <w:color w:val="auto"/>
                <w:szCs w:val="21"/>
                <w:highlight w:val="none"/>
              </w:rPr>
              <w:t>轿厢内配置要求</w:t>
            </w:r>
          </w:p>
        </w:tc>
      </w:tr>
      <w:tr w14:paraId="3207A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001" w:type="dxa"/>
            <w:noWrap w:val="0"/>
            <w:vAlign w:val="center"/>
          </w:tcPr>
          <w:p w14:paraId="55F900A7">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1</w:t>
            </w:r>
          </w:p>
        </w:tc>
        <w:tc>
          <w:tcPr>
            <w:tcW w:w="1946" w:type="dxa"/>
            <w:noWrap w:val="0"/>
            <w:vAlign w:val="center"/>
          </w:tcPr>
          <w:p w14:paraId="582127E0">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轿厢天花</w:t>
            </w:r>
          </w:p>
        </w:tc>
        <w:tc>
          <w:tcPr>
            <w:tcW w:w="6460" w:type="dxa"/>
            <w:noWrap w:val="0"/>
            <w:vAlign w:val="center"/>
          </w:tcPr>
          <w:p w14:paraId="59717BD6">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不锈钢</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配置筒灯照明</w:t>
            </w:r>
          </w:p>
        </w:tc>
      </w:tr>
      <w:tr w14:paraId="6FBBF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001" w:type="dxa"/>
            <w:noWrap w:val="0"/>
            <w:vAlign w:val="center"/>
          </w:tcPr>
          <w:p w14:paraId="231FB361">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2</w:t>
            </w:r>
          </w:p>
        </w:tc>
        <w:tc>
          <w:tcPr>
            <w:tcW w:w="1946" w:type="dxa"/>
            <w:noWrap w:val="0"/>
            <w:vAlign w:val="center"/>
          </w:tcPr>
          <w:p w14:paraId="67AE95E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轿厢照明</w:t>
            </w:r>
            <w:r>
              <w:rPr>
                <w:rFonts w:hint="eastAsia" w:ascii="宋体" w:hAnsi="宋体" w:cs="宋体"/>
                <w:color w:val="auto"/>
                <w:sz w:val="21"/>
                <w:szCs w:val="21"/>
                <w:highlight w:val="none"/>
                <w:lang w:val="en-US" w:eastAsia="zh-CN"/>
              </w:rPr>
              <w:t>光源</w:t>
            </w:r>
          </w:p>
        </w:tc>
        <w:tc>
          <w:tcPr>
            <w:tcW w:w="6460" w:type="dxa"/>
            <w:noWrap w:val="0"/>
            <w:vAlign w:val="center"/>
          </w:tcPr>
          <w:p w14:paraId="691A738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LED灯照明</w:t>
            </w:r>
          </w:p>
        </w:tc>
      </w:tr>
      <w:tr w14:paraId="65713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001" w:type="dxa"/>
            <w:noWrap w:val="0"/>
            <w:vAlign w:val="center"/>
          </w:tcPr>
          <w:p w14:paraId="6B69BB1C">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3</w:t>
            </w:r>
          </w:p>
        </w:tc>
        <w:tc>
          <w:tcPr>
            <w:tcW w:w="1946" w:type="dxa"/>
            <w:noWrap w:val="0"/>
            <w:vAlign w:val="center"/>
          </w:tcPr>
          <w:p w14:paraId="066F1F0A">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通风设施</w:t>
            </w:r>
          </w:p>
        </w:tc>
        <w:tc>
          <w:tcPr>
            <w:tcW w:w="6460" w:type="dxa"/>
            <w:noWrap w:val="0"/>
            <w:vAlign w:val="center"/>
          </w:tcPr>
          <w:p w14:paraId="34963989">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低噪音风机通风（轴流式含节能控制）</w:t>
            </w:r>
          </w:p>
        </w:tc>
      </w:tr>
      <w:tr w14:paraId="3D74F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01" w:type="dxa"/>
            <w:noWrap w:val="0"/>
            <w:vAlign w:val="center"/>
          </w:tcPr>
          <w:p w14:paraId="56945FE1">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4</w:t>
            </w:r>
          </w:p>
        </w:tc>
        <w:tc>
          <w:tcPr>
            <w:tcW w:w="1946" w:type="dxa"/>
            <w:noWrap w:val="0"/>
            <w:vAlign w:val="center"/>
          </w:tcPr>
          <w:p w14:paraId="3B17B9D3">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开门方式</w:t>
            </w:r>
          </w:p>
        </w:tc>
        <w:tc>
          <w:tcPr>
            <w:tcW w:w="6460" w:type="dxa"/>
            <w:noWrap w:val="0"/>
            <w:vAlign w:val="center"/>
          </w:tcPr>
          <w:p w14:paraId="14AC8059">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双扇中分自动门</w:t>
            </w:r>
          </w:p>
        </w:tc>
      </w:tr>
      <w:tr w14:paraId="7646E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001" w:type="dxa"/>
            <w:noWrap w:val="0"/>
            <w:vAlign w:val="center"/>
          </w:tcPr>
          <w:p w14:paraId="2899F28B">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5</w:t>
            </w:r>
          </w:p>
        </w:tc>
        <w:tc>
          <w:tcPr>
            <w:tcW w:w="1946" w:type="dxa"/>
            <w:noWrap w:val="0"/>
            <w:vAlign w:val="center"/>
          </w:tcPr>
          <w:p w14:paraId="6CE059E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轿厢壁</w:t>
            </w:r>
          </w:p>
        </w:tc>
        <w:tc>
          <w:tcPr>
            <w:tcW w:w="6460" w:type="dxa"/>
            <w:noWrap w:val="0"/>
            <w:vAlign w:val="center"/>
          </w:tcPr>
          <w:p w14:paraId="1D30672F">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采用不锈钢</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公称厚度不低于1.5mm</w:t>
            </w:r>
            <w:r>
              <w:rPr>
                <w:rFonts w:hint="eastAsia" w:ascii="宋体" w:hAnsi="宋体" w:cs="宋体"/>
                <w:color w:val="auto"/>
                <w:sz w:val="21"/>
                <w:szCs w:val="21"/>
                <w:highlight w:val="none"/>
              </w:rPr>
              <w:t>。</w:t>
            </w:r>
          </w:p>
        </w:tc>
      </w:tr>
      <w:tr w14:paraId="464A4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1001" w:type="dxa"/>
            <w:noWrap w:val="0"/>
            <w:vAlign w:val="center"/>
          </w:tcPr>
          <w:p w14:paraId="3A68CE4C">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6</w:t>
            </w:r>
          </w:p>
        </w:tc>
        <w:tc>
          <w:tcPr>
            <w:tcW w:w="1946" w:type="dxa"/>
            <w:noWrap w:val="0"/>
            <w:vAlign w:val="center"/>
          </w:tcPr>
          <w:p w14:paraId="1C98D36E">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轿厢高度</w:t>
            </w:r>
          </w:p>
        </w:tc>
        <w:tc>
          <w:tcPr>
            <w:tcW w:w="6460" w:type="dxa"/>
            <w:noWrap w:val="0"/>
            <w:vAlign w:val="center"/>
          </w:tcPr>
          <w:p w14:paraId="40F1C47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2500mm（净高）。</w:t>
            </w:r>
          </w:p>
        </w:tc>
      </w:tr>
      <w:tr w14:paraId="00404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001" w:type="dxa"/>
            <w:noWrap w:val="0"/>
            <w:vAlign w:val="center"/>
          </w:tcPr>
          <w:p w14:paraId="7CFA7EDA">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7</w:t>
            </w:r>
          </w:p>
        </w:tc>
        <w:tc>
          <w:tcPr>
            <w:tcW w:w="1946" w:type="dxa"/>
            <w:noWrap w:val="0"/>
            <w:vAlign w:val="center"/>
          </w:tcPr>
          <w:p w14:paraId="38178E1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轿厢门</w:t>
            </w:r>
          </w:p>
        </w:tc>
        <w:tc>
          <w:tcPr>
            <w:tcW w:w="6460" w:type="dxa"/>
            <w:noWrap w:val="0"/>
            <w:vAlign w:val="center"/>
          </w:tcPr>
          <w:p w14:paraId="31997E2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采用不锈钢材质</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公称厚度不低于1.5mm</w:t>
            </w:r>
            <w:r>
              <w:rPr>
                <w:rFonts w:hint="eastAsia" w:ascii="宋体" w:hAnsi="宋体" w:cs="宋体"/>
                <w:color w:val="auto"/>
                <w:sz w:val="21"/>
                <w:szCs w:val="21"/>
                <w:highlight w:val="none"/>
              </w:rPr>
              <w:t>。</w:t>
            </w:r>
          </w:p>
        </w:tc>
      </w:tr>
      <w:tr w14:paraId="29FE1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01" w:type="dxa"/>
            <w:noWrap w:val="0"/>
            <w:vAlign w:val="center"/>
          </w:tcPr>
          <w:p w14:paraId="3883A93C">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8</w:t>
            </w:r>
          </w:p>
        </w:tc>
        <w:tc>
          <w:tcPr>
            <w:tcW w:w="1946" w:type="dxa"/>
            <w:noWrap w:val="0"/>
            <w:vAlign w:val="center"/>
          </w:tcPr>
          <w:p w14:paraId="0951451F">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轿厢地面</w:t>
            </w:r>
          </w:p>
        </w:tc>
        <w:tc>
          <w:tcPr>
            <w:tcW w:w="6460" w:type="dxa"/>
            <w:noWrap w:val="0"/>
            <w:vAlign w:val="center"/>
          </w:tcPr>
          <w:p w14:paraId="5111C00B">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lang w:val="en-US" w:eastAsia="zh-CN"/>
              </w:rPr>
              <w:t>大理石地面</w:t>
            </w:r>
            <w:r>
              <w:rPr>
                <w:rFonts w:hint="eastAsia" w:ascii="宋体" w:hAnsi="宋体" w:cs="宋体"/>
                <w:color w:val="auto"/>
                <w:sz w:val="21"/>
                <w:szCs w:val="21"/>
                <w:highlight w:val="none"/>
              </w:rPr>
              <w:t>。</w:t>
            </w:r>
          </w:p>
        </w:tc>
      </w:tr>
      <w:tr w14:paraId="5D354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1" w:type="dxa"/>
            <w:noWrap w:val="0"/>
            <w:vAlign w:val="center"/>
          </w:tcPr>
          <w:p w14:paraId="2BC9DDA9">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9</w:t>
            </w:r>
          </w:p>
        </w:tc>
        <w:tc>
          <w:tcPr>
            <w:tcW w:w="1946" w:type="dxa"/>
            <w:noWrap w:val="0"/>
            <w:vAlign w:val="center"/>
          </w:tcPr>
          <w:p w14:paraId="7A173B89">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轿厢操作板</w:t>
            </w:r>
          </w:p>
        </w:tc>
        <w:tc>
          <w:tcPr>
            <w:tcW w:w="6460" w:type="dxa"/>
            <w:noWrap w:val="0"/>
            <w:vAlign w:val="center"/>
          </w:tcPr>
          <w:p w14:paraId="60C23E79">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发纹不锈钢操作面板</w:t>
            </w:r>
          </w:p>
        </w:tc>
      </w:tr>
      <w:tr w14:paraId="2408A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001" w:type="dxa"/>
            <w:noWrap w:val="0"/>
            <w:vAlign w:val="center"/>
          </w:tcPr>
          <w:p w14:paraId="14ACC90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10</w:t>
            </w:r>
          </w:p>
        </w:tc>
        <w:tc>
          <w:tcPr>
            <w:tcW w:w="1946" w:type="dxa"/>
            <w:noWrap w:val="0"/>
            <w:vAlign w:val="center"/>
          </w:tcPr>
          <w:p w14:paraId="1DAE3619">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轿厢内显示装置</w:t>
            </w:r>
          </w:p>
        </w:tc>
        <w:tc>
          <w:tcPr>
            <w:tcW w:w="6460" w:type="dxa"/>
            <w:noWrap w:val="0"/>
            <w:vAlign w:val="center"/>
          </w:tcPr>
          <w:p w14:paraId="7980E0EB">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LED数码显示</w:t>
            </w:r>
          </w:p>
        </w:tc>
      </w:tr>
      <w:tr w14:paraId="55FB8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001" w:type="dxa"/>
            <w:noWrap w:val="0"/>
            <w:vAlign w:val="center"/>
          </w:tcPr>
          <w:p w14:paraId="347392BC">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11</w:t>
            </w:r>
          </w:p>
        </w:tc>
        <w:tc>
          <w:tcPr>
            <w:tcW w:w="1946" w:type="dxa"/>
            <w:noWrap w:val="0"/>
            <w:vAlign w:val="center"/>
          </w:tcPr>
          <w:p w14:paraId="513C1D5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轿厢对讲系统</w:t>
            </w:r>
          </w:p>
        </w:tc>
        <w:tc>
          <w:tcPr>
            <w:tcW w:w="6460" w:type="dxa"/>
            <w:noWrap w:val="0"/>
            <w:vAlign w:val="center"/>
          </w:tcPr>
          <w:p w14:paraId="16E3CAF9">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内置式对讲装置，并能与机房、值班控制室实现通话</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无线）</w:t>
            </w:r>
            <w:r>
              <w:rPr>
                <w:rFonts w:hint="eastAsia" w:ascii="宋体" w:hAnsi="宋体" w:cs="宋体"/>
                <w:color w:val="auto"/>
                <w:sz w:val="21"/>
                <w:szCs w:val="21"/>
                <w:highlight w:val="none"/>
              </w:rPr>
              <w:t>。</w:t>
            </w:r>
          </w:p>
        </w:tc>
      </w:tr>
      <w:tr w14:paraId="1FE25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01" w:type="dxa"/>
            <w:noWrap w:val="0"/>
            <w:vAlign w:val="center"/>
          </w:tcPr>
          <w:p w14:paraId="5BEFD70B">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12</w:t>
            </w:r>
          </w:p>
        </w:tc>
        <w:tc>
          <w:tcPr>
            <w:tcW w:w="1946" w:type="dxa"/>
            <w:noWrap w:val="0"/>
            <w:vAlign w:val="center"/>
          </w:tcPr>
          <w:p w14:paraId="4494D6CA">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消防</w:t>
            </w:r>
          </w:p>
        </w:tc>
        <w:tc>
          <w:tcPr>
            <w:tcW w:w="6460" w:type="dxa"/>
            <w:noWrap w:val="0"/>
            <w:vAlign w:val="center"/>
          </w:tcPr>
          <w:p w14:paraId="1826E89F">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要求机房控制柜有消防联动接口。</w:t>
            </w:r>
          </w:p>
        </w:tc>
      </w:tr>
      <w:tr w14:paraId="3F0C3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01" w:type="dxa"/>
            <w:noWrap w:val="0"/>
            <w:vAlign w:val="center"/>
          </w:tcPr>
          <w:p w14:paraId="6432DD7C">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13</w:t>
            </w:r>
          </w:p>
        </w:tc>
        <w:tc>
          <w:tcPr>
            <w:tcW w:w="1946" w:type="dxa"/>
            <w:noWrap w:val="0"/>
            <w:vAlign w:val="center"/>
          </w:tcPr>
          <w:p w14:paraId="75829306">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轿厢面积</w:t>
            </w:r>
          </w:p>
        </w:tc>
        <w:tc>
          <w:tcPr>
            <w:tcW w:w="6460" w:type="dxa"/>
            <w:noWrap w:val="0"/>
            <w:vAlign w:val="center"/>
          </w:tcPr>
          <w:p w14:paraId="6E2CE2D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1600</w:t>
            </w:r>
            <w:r>
              <w:rPr>
                <w:rFonts w:hint="eastAsia" w:ascii="宋体" w:hAnsi="宋体" w:cs="宋体"/>
                <w:color w:val="auto"/>
                <w:sz w:val="21"/>
                <w:szCs w:val="21"/>
                <w:highlight w:val="none"/>
                <w:lang w:val="en-US" w:eastAsia="zh-CN"/>
              </w:rPr>
              <w:t>mm</w:t>
            </w: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45</w:t>
            </w:r>
            <w:r>
              <w:rPr>
                <w:rFonts w:hint="eastAsia" w:ascii="宋体" w:hAnsi="宋体" w:cs="宋体"/>
                <w:color w:val="auto"/>
                <w:sz w:val="21"/>
                <w:szCs w:val="21"/>
                <w:highlight w:val="none"/>
              </w:rPr>
              <w:t>0</w:t>
            </w:r>
            <w:r>
              <w:rPr>
                <w:rFonts w:hint="eastAsia" w:ascii="宋体" w:hAnsi="宋体" w:cs="宋体"/>
                <w:color w:val="auto"/>
                <w:sz w:val="21"/>
                <w:szCs w:val="21"/>
                <w:highlight w:val="none"/>
                <w:lang w:val="en-US" w:eastAsia="zh-CN"/>
              </w:rPr>
              <w:t>mm</w:t>
            </w:r>
          </w:p>
        </w:tc>
      </w:tr>
      <w:tr w14:paraId="7AA9F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001" w:type="dxa"/>
            <w:noWrap w:val="0"/>
            <w:vAlign w:val="center"/>
          </w:tcPr>
          <w:p w14:paraId="4693E1D9">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14</w:t>
            </w:r>
          </w:p>
        </w:tc>
        <w:tc>
          <w:tcPr>
            <w:tcW w:w="1946" w:type="dxa"/>
            <w:noWrap w:val="0"/>
            <w:vAlign w:val="center"/>
          </w:tcPr>
          <w:p w14:paraId="0098434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 w:val="21"/>
                <w:szCs w:val="21"/>
                <w:highlight w:val="none"/>
              </w:rPr>
            </w:pPr>
            <w:r>
              <w:rPr>
                <w:rFonts w:hint="eastAsia" w:ascii="宋体" w:hAnsi="宋体" w:eastAsia="宋体" w:cs="Times New Roman"/>
                <w:color w:val="auto"/>
                <w:kern w:val="0"/>
                <w:sz w:val="21"/>
                <w:szCs w:val="21"/>
                <w:highlight w:val="none"/>
              </w:rPr>
              <w:t>轿壁装潢及材质</w:t>
            </w:r>
          </w:p>
        </w:tc>
        <w:tc>
          <w:tcPr>
            <w:tcW w:w="6460" w:type="dxa"/>
            <w:noWrap w:val="0"/>
            <w:vAlign w:val="center"/>
          </w:tcPr>
          <w:p w14:paraId="55588E8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 w:val="21"/>
                <w:szCs w:val="21"/>
                <w:highlight w:val="none"/>
              </w:rPr>
            </w:pPr>
            <w:r>
              <w:rPr>
                <w:rFonts w:hint="eastAsia" w:ascii="宋体" w:hAnsi="宋体" w:eastAsia="宋体" w:cs="Times New Roman"/>
                <w:b w:val="0"/>
                <w:bCs w:val="0"/>
                <w:color w:val="auto"/>
                <w:kern w:val="0"/>
                <w:sz w:val="21"/>
                <w:szCs w:val="21"/>
                <w:highlight w:val="none"/>
              </w:rPr>
              <w:t>前壁侧壁后壁中板侧板:不锈钢（</w:t>
            </w:r>
            <w:r>
              <w:rPr>
                <w:rFonts w:hint="eastAsia" w:ascii="宋体" w:hAnsi="宋体" w:cs="Times New Roman"/>
                <w:b w:val="0"/>
                <w:bCs w:val="0"/>
                <w:color w:val="auto"/>
                <w:kern w:val="0"/>
                <w:sz w:val="21"/>
                <w:szCs w:val="21"/>
                <w:highlight w:val="none"/>
                <w:lang w:val="en-US" w:eastAsia="zh-CN"/>
              </w:rPr>
              <w:t>公称</w:t>
            </w:r>
            <w:r>
              <w:rPr>
                <w:rFonts w:hint="eastAsia" w:ascii="宋体" w:hAnsi="宋体" w:eastAsia="宋体" w:cs="Times New Roman"/>
                <w:b w:val="0"/>
                <w:bCs w:val="0"/>
                <w:color w:val="auto"/>
                <w:kern w:val="0"/>
                <w:sz w:val="21"/>
                <w:szCs w:val="21"/>
                <w:highlight w:val="none"/>
              </w:rPr>
              <w:t>厚度</w:t>
            </w:r>
            <w:r>
              <w:rPr>
                <w:rFonts w:hint="eastAsia" w:ascii="宋体" w:hAnsi="宋体" w:cs="Times New Roman"/>
                <w:b w:val="0"/>
                <w:bCs w:val="0"/>
                <w:color w:val="auto"/>
                <w:kern w:val="0"/>
                <w:sz w:val="21"/>
                <w:szCs w:val="21"/>
                <w:highlight w:val="none"/>
                <w:lang w:val="en-US" w:eastAsia="zh-CN"/>
              </w:rPr>
              <w:t>不低于</w:t>
            </w:r>
            <w:r>
              <w:rPr>
                <w:rFonts w:hint="eastAsia" w:ascii="宋体" w:hAnsi="宋体" w:eastAsia="宋体" w:cs="Times New Roman"/>
                <w:b w:val="0"/>
                <w:bCs w:val="0"/>
                <w:color w:val="auto"/>
                <w:kern w:val="0"/>
                <w:sz w:val="21"/>
                <w:szCs w:val="21"/>
                <w:highlight w:val="none"/>
              </w:rPr>
              <w:t>1.</w:t>
            </w:r>
            <w:r>
              <w:rPr>
                <w:rFonts w:hint="eastAsia" w:ascii="宋体" w:hAnsi="宋体" w:cs="Times New Roman"/>
                <w:b w:val="0"/>
                <w:bCs w:val="0"/>
                <w:color w:val="auto"/>
                <w:kern w:val="0"/>
                <w:sz w:val="21"/>
                <w:szCs w:val="21"/>
                <w:highlight w:val="none"/>
                <w:lang w:val="en-US" w:eastAsia="zh-CN"/>
              </w:rPr>
              <w:t>5</w:t>
            </w:r>
            <w:r>
              <w:rPr>
                <w:rFonts w:hint="eastAsia" w:ascii="宋体" w:hAnsi="宋体" w:eastAsia="宋体" w:cs="Times New Roman"/>
                <w:b w:val="0"/>
                <w:bCs w:val="0"/>
                <w:color w:val="auto"/>
                <w:kern w:val="0"/>
                <w:sz w:val="21"/>
                <w:szCs w:val="21"/>
                <w:highlight w:val="none"/>
              </w:rPr>
              <w:t>mm）</w:t>
            </w:r>
            <w:r>
              <w:rPr>
                <w:rFonts w:hint="eastAsia" w:ascii="宋体" w:hAnsi="宋体" w:eastAsia="宋体" w:cs="Times New Roman"/>
                <w:b w:val="0"/>
                <w:bCs w:val="0"/>
                <w:color w:val="auto"/>
                <w:kern w:val="0"/>
                <w:sz w:val="21"/>
                <w:szCs w:val="21"/>
                <w:highlight w:val="none"/>
                <w:lang w:eastAsia="zh-CN"/>
              </w:rPr>
              <w:t>，</w:t>
            </w:r>
            <w:r>
              <w:rPr>
                <w:rFonts w:hint="eastAsia" w:ascii="宋体" w:hAnsi="宋体" w:eastAsia="宋体" w:cs="Times New Roman"/>
                <w:b w:val="0"/>
                <w:bCs w:val="0"/>
                <w:color w:val="auto"/>
                <w:kern w:val="0"/>
                <w:sz w:val="21"/>
                <w:szCs w:val="21"/>
                <w:highlight w:val="none"/>
                <w:lang w:val="en-US" w:eastAsia="zh-CN"/>
              </w:rPr>
              <w:t>轿厢</w:t>
            </w:r>
            <w:r>
              <w:rPr>
                <w:rFonts w:hint="eastAsia" w:ascii="宋体" w:hAnsi="宋体" w:cs="Times New Roman"/>
                <w:b w:val="0"/>
                <w:bCs w:val="0"/>
                <w:color w:val="auto"/>
                <w:kern w:val="0"/>
                <w:sz w:val="21"/>
                <w:szCs w:val="21"/>
                <w:highlight w:val="none"/>
                <w:lang w:val="en-US" w:eastAsia="zh-CN"/>
              </w:rPr>
              <w:t>后壁安装</w:t>
            </w:r>
            <w:r>
              <w:rPr>
                <w:rFonts w:hint="eastAsia" w:ascii="宋体" w:hAnsi="宋体" w:eastAsia="宋体" w:cs="Times New Roman"/>
                <w:b w:val="0"/>
                <w:bCs w:val="0"/>
                <w:color w:val="auto"/>
                <w:kern w:val="0"/>
                <w:sz w:val="21"/>
                <w:szCs w:val="21"/>
                <w:highlight w:val="none"/>
                <w:lang w:val="en-US" w:eastAsia="zh-CN"/>
              </w:rPr>
              <w:t>一根</w:t>
            </w:r>
            <w:r>
              <w:rPr>
                <w:rFonts w:hint="eastAsia" w:ascii="宋体" w:hAnsi="宋体" w:cs="Times New Roman"/>
                <w:b w:val="0"/>
                <w:bCs w:val="0"/>
                <w:color w:val="auto"/>
                <w:kern w:val="0"/>
                <w:sz w:val="21"/>
                <w:szCs w:val="21"/>
                <w:highlight w:val="none"/>
                <w:lang w:val="en-US" w:eastAsia="zh-CN"/>
              </w:rPr>
              <w:t>圆</w:t>
            </w:r>
            <w:r>
              <w:rPr>
                <w:rFonts w:hint="eastAsia" w:ascii="宋体" w:hAnsi="宋体" w:eastAsia="宋体" w:cs="Times New Roman"/>
                <w:b w:val="0"/>
                <w:bCs w:val="0"/>
                <w:color w:val="auto"/>
                <w:kern w:val="0"/>
                <w:sz w:val="21"/>
                <w:szCs w:val="21"/>
                <w:highlight w:val="none"/>
                <w:lang w:val="en-US" w:eastAsia="zh-CN"/>
              </w:rPr>
              <w:t>形扶手</w:t>
            </w:r>
          </w:p>
        </w:tc>
      </w:tr>
      <w:tr w14:paraId="2E28D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01" w:type="dxa"/>
            <w:noWrap w:val="0"/>
            <w:vAlign w:val="center"/>
          </w:tcPr>
          <w:p w14:paraId="1A0253DC">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w:t>
            </w:r>
          </w:p>
        </w:tc>
        <w:tc>
          <w:tcPr>
            <w:tcW w:w="1946" w:type="dxa"/>
            <w:noWrap w:val="0"/>
            <w:vAlign w:val="center"/>
          </w:tcPr>
          <w:p w14:paraId="6DE37976">
            <w:pPr>
              <w:keepNext w:val="0"/>
              <w:keepLines w:val="0"/>
              <w:widowControl/>
              <w:suppressLineNumbers w:val="0"/>
              <w:spacing w:before="0" w:beforeAutospacing="0" w:after="0" w:afterAutospacing="0" w:line="360" w:lineRule="auto"/>
              <w:ind w:left="0" w:right="0"/>
              <w:jc w:val="center"/>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rPr>
              <w:t>轿厢内摄像头</w:t>
            </w:r>
          </w:p>
        </w:tc>
        <w:tc>
          <w:tcPr>
            <w:tcW w:w="6460" w:type="dxa"/>
            <w:noWrap w:val="0"/>
            <w:vAlign w:val="center"/>
          </w:tcPr>
          <w:p w14:paraId="4D19F154">
            <w:pPr>
              <w:keepNext w:val="0"/>
              <w:keepLines w:val="0"/>
              <w:suppressLineNumbers w:val="0"/>
              <w:spacing w:before="0" w:beforeAutospacing="0" w:after="0" w:afterAutospacing="0" w:line="360" w:lineRule="auto"/>
              <w:ind w:left="0" w:right="0"/>
              <w:jc w:val="center"/>
              <w:rPr>
                <w:rFonts w:hint="default" w:ascii="Calibri" w:hAnsi="Calibri" w:eastAsia="宋体" w:cs="Calibri"/>
                <w:color w:val="auto"/>
                <w:kern w:val="2"/>
                <w:sz w:val="21"/>
                <w:szCs w:val="21"/>
                <w:highlight w:val="none"/>
                <w:lang w:val="en-US" w:eastAsia="zh-CN" w:bidi="ar-SA"/>
              </w:rPr>
            </w:pPr>
            <w:r>
              <w:rPr>
                <w:rFonts w:hint="eastAsia" w:ascii="Times New Roman" w:hAnsi="Times New Roman" w:cs="Calibri"/>
                <w:color w:val="auto"/>
                <w:sz w:val="21"/>
                <w:szCs w:val="21"/>
                <w:highlight w:val="none"/>
                <w:lang w:val="en-US" w:eastAsia="zh-CN"/>
              </w:rPr>
              <w:t>保留原来的高清摄像头（如有损坏则匹配原来的监控摄像头）</w:t>
            </w:r>
          </w:p>
        </w:tc>
      </w:tr>
      <w:tr w14:paraId="3B264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9407" w:type="dxa"/>
            <w:gridSpan w:val="3"/>
            <w:noWrap w:val="0"/>
            <w:vAlign w:val="center"/>
          </w:tcPr>
          <w:p w14:paraId="100FC671">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1"/>
                <w:szCs w:val="21"/>
                <w:highlight w:val="none"/>
              </w:rPr>
            </w:pPr>
            <w:r>
              <w:rPr>
                <w:rFonts w:hint="eastAsia" w:ascii="宋体" w:hAnsi="宋体" w:cs="宋体"/>
                <w:b/>
                <w:bCs/>
                <w:color w:val="auto"/>
                <w:sz w:val="21"/>
                <w:szCs w:val="21"/>
                <w:highlight w:val="none"/>
                <w:lang w:val="en-US" w:eastAsia="zh-CN"/>
              </w:rPr>
              <w:t>二、</w:t>
            </w:r>
            <w:r>
              <w:rPr>
                <w:rFonts w:hint="eastAsia" w:ascii="宋体" w:hAnsi="宋体" w:cs="宋体"/>
                <w:b/>
                <w:bCs/>
                <w:color w:val="auto"/>
                <w:sz w:val="21"/>
                <w:szCs w:val="21"/>
                <w:highlight w:val="none"/>
              </w:rPr>
              <w:t>候梯厅门设计</w:t>
            </w:r>
          </w:p>
        </w:tc>
      </w:tr>
      <w:tr w14:paraId="1D825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001" w:type="dxa"/>
            <w:noWrap w:val="0"/>
            <w:vAlign w:val="center"/>
          </w:tcPr>
          <w:p w14:paraId="0DE2F4DC">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1</w:t>
            </w:r>
          </w:p>
        </w:tc>
        <w:tc>
          <w:tcPr>
            <w:tcW w:w="1946" w:type="dxa"/>
            <w:noWrap w:val="0"/>
            <w:vAlign w:val="center"/>
          </w:tcPr>
          <w:p w14:paraId="0C47ACD6">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侯梯厅门及门套</w:t>
            </w:r>
          </w:p>
        </w:tc>
        <w:tc>
          <w:tcPr>
            <w:tcW w:w="6460" w:type="dxa"/>
            <w:noWrap w:val="0"/>
            <w:vAlign w:val="center"/>
          </w:tcPr>
          <w:p w14:paraId="4C455C12">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首层发纹不锈钢</w:t>
            </w:r>
            <w:r>
              <w:rPr>
                <w:rFonts w:hint="eastAsia" w:ascii="宋体" w:hAnsi="宋体" w:eastAsia="宋体" w:cs="Times New Roman"/>
                <w:b w:val="0"/>
                <w:bCs w:val="0"/>
                <w:color w:val="auto"/>
                <w:kern w:val="0"/>
                <w:sz w:val="21"/>
                <w:szCs w:val="21"/>
                <w:highlight w:val="none"/>
              </w:rPr>
              <w:t>（</w:t>
            </w:r>
            <w:r>
              <w:rPr>
                <w:rFonts w:hint="eastAsia" w:ascii="宋体" w:hAnsi="宋体" w:cs="Times New Roman"/>
                <w:b w:val="0"/>
                <w:bCs w:val="0"/>
                <w:color w:val="auto"/>
                <w:kern w:val="0"/>
                <w:sz w:val="21"/>
                <w:szCs w:val="21"/>
                <w:highlight w:val="none"/>
                <w:lang w:val="en-US" w:eastAsia="zh-CN"/>
              </w:rPr>
              <w:t>公称</w:t>
            </w:r>
            <w:r>
              <w:rPr>
                <w:rFonts w:hint="eastAsia" w:ascii="宋体" w:hAnsi="宋体" w:eastAsia="宋体" w:cs="Times New Roman"/>
                <w:b w:val="0"/>
                <w:bCs w:val="0"/>
                <w:color w:val="auto"/>
                <w:kern w:val="0"/>
                <w:sz w:val="21"/>
                <w:szCs w:val="21"/>
                <w:highlight w:val="none"/>
              </w:rPr>
              <w:t>厚度</w:t>
            </w:r>
            <w:r>
              <w:rPr>
                <w:rFonts w:hint="eastAsia" w:ascii="宋体" w:hAnsi="宋体" w:cs="Times New Roman"/>
                <w:b w:val="0"/>
                <w:bCs w:val="0"/>
                <w:color w:val="auto"/>
                <w:kern w:val="0"/>
                <w:sz w:val="21"/>
                <w:szCs w:val="21"/>
                <w:highlight w:val="none"/>
                <w:lang w:val="en-US" w:eastAsia="zh-CN"/>
              </w:rPr>
              <w:t>不低于</w:t>
            </w:r>
            <w:r>
              <w:rPr>
                <w:rFonts w:hint="eastAsia" w:ascii="宋体" w:hAnsi="宋体" w:eastAsia="宋体" w:cs="Times New Roman"/>
                <w:b w:val="0"/>
                <w:bCs w:val="0"/>
                <w:color w:val="auto"/>
                <w:kern w:val="0"/>
                <w:sz w:val="21"/>
                <w:szCs w:val="21"/>
                <w:highlight w:val="none"/>
              </w:rPr>
              <w:t>1.</w:t>
            </w:r>
            <w:r>
              <w:rPr>
                <w:rFonts w:hint="eastAsia" w:ascii="宋体" w:hAnsi="宋体" w:cs="Times New Roman"/>
                <w:b w:val="0"/>
                <w:bCs w:val="0"/>
                <w:color w:val="auto"/>
                <w:kern w:val="0"/>
                <w:sz w:val="21"/>
                <w:szCs w:val="21"/>
                <w:highlight w:val="none"/>
                <w:lang w:val="en-US" w:eastAsia="zh-CN"/>
              </w:rPr>
              <w:t>5</w:t>
            </w:r>
            <w:r>
              <w:rPr>
                <w:rFonts w:hint="eastAsia" w:ascii="宋体" w:hAnsi="宋体" w:eastAsia="宋体" w:cs="Times New Roman"/>
                <w:b w:val="0"/>
                <w:bCs w:val="0"/>
                <w:color w:val="auto"/>
                <w:kern w:val="0"/>
                <w:sz w:val="21"/>
                <w:szCs w:val="21"/>
                <w:highlight w:val="none"/>
              </w:rPr>
              <w:t>mm）</w:t>
            </w:r>
            <w:r>
              <w:rPr>
                <w:rFonts w:hint="eastAsia" w:ascii="宋体" w:hAnsi="宋体" w:cs="宋体"/>
                <w:color w:val="auto"/>
                <w:sz w:val="21"/>
                <w:szCs w:val="21"/>
                <w:highlight w:val="none"/>
              </w:rPr>
              <w:t>，其余</w:t>
            </w:r>
            <w:r>
              <w:rPr>
                <w:rFonts w:hint="eastAsia" w:ascii="宋体" w:hAnsi="宋体" w:cs="宋体"/>
                <w:color w:val="auto"/>
                <w:sz w:val="21"/>
                <w:szCs w:val="21"/>
                <w:highlight w:val="none"/>
                <w:lang w:val="en-US" w:eastAsia="zh-CN"/>
              </w:rPr>
              <w:t>楼层采用不锈钢</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公称厚度单层不得低于1.5mm</w:t>
            </w:r>
          </w:p>
        </w:tc>
      </w:tr>
      <w:tr w14:paraId="12F5D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1" w:type="dxa"/>
            <w:noWrap w:val="0"/>
            <w:vAlign w:val="center"/>
          </w:tcPr>
          <w:p w14:paraId="4E59134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p>
        </w:tc>
        <w:tc>
          <w:tcPr>
            <w:tcW w:w="1946" w:type="dxa"/>
            <w:noWrap w:val="0"/>
            <w:vAlign w:val="center"/>
          </w:tcPr>
          <w:p w14:paraId="4061601D">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地坎</w:t>
            </w:r>
          </w:p>
        </w:tc>
        <w:tc>
          <w:tcPr>
            <w:tcW w:w="6460" w:type="dxa"/>
            <w:noWrap w:val="0"/>
            <w:vAlign w:val="center"/>
          </w:tcPr>
          <w:p w14:paraId="11695BAE">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硬质铝型材。</w:t>
            </w:r>
          </w:p>
        </w:tc>
      </w:tr>
      <w:tr w14:paraId="33A96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01" w:type="dxa"/>
            <w:noWrap w:val="0"/>
            <w:vAlign w:val="center"/>
          </w:tcPr>
          <w:p w14:paraId="226E720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p>
        </w:tc>
        <w:tc>
          <w:tcPr>
            <w:tcW w:w="1946" w:type="dxa"/>
            <w:noWrap w:val="0"/>
            <w:vAlign w:val="center"/>
          </w:tcPr>
          <w:p w14:paraId="29C81DDB">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呼梯面板</w:t>
            </w:r>
          </w:p>
        </w:tc>
        <w:tc>
          <w:tcPr>
            <w:tcW w:w="6460" w:type="dxa"/>
            <w:noWrap w:val="0"/>
            <w:vAlign w:val="center"/>
          </w:tcPr>
          <w:p w14:paraId="1F51C54B">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采用不锈钢面板。</w:t>
            </w:r>
          </w:p>
        </w:tc>
      </w:tr>
      <w:tr w14:paraId="3E64A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01" w:type="dxa"/>
            <w:noWrap w:val="0"/>
            <w:vAlign w:val="center"/>
          </w:tcPr>
          <w:p w14:paraId="59EF2E0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p>
        </w:tc>
        <w:tc>
          <w:tcPr>
            <w:tcW w:w="1946" w:type="dxa"/>
            <w:noWrap w:val="0"/>
            <w:vAlign w:val="center"/>
          </w:tcPr>
          <w:p w14:paraId="165322BE">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厅门显示装置</w:t>
            </w:r>
          </w:p>
        </w:tc>
        <w:tc>
          <w:tcPr>
            <w:tcW w:w="6460" w:type="dxa"/>
            <w:noWrap w:val="0"/>
            <w:vAlign w:val="center"/>
          </w:tcPr>
          <w:p w14:paraId="417DC46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数字式楼层位置数码，有箭头动态运行方向指示和状态显示。</w:t>
            </w:r>
          </w:p>
        </w:tc>
      </w:tr>
      <w:tr w14:paraId="7BA77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01" w:type="dxa"/>
            <w:tcBorders>
              <w:bottom w:val="single" w:color="auto" w:sz="4" w:space="0"/>
            </w:tcBorders>
            <w:noWrap w:val="0"/>
            <w:vAlign w:val="center"/>
          </w:tcPr>
          <w:p w14:paraId="73DB303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946" w:type="dxa"/>
            <w:tcBorders>
              <w:bottom w:val="single" w:color="auto" w:sz="4" w:space="0"/>
            </w:tcBorders>
            <w:noWrap w:val="0"/>
            <w:vAlign w:val="center"/>
          </w:tcPr>
          <w:p w14:paraId="3C184446">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厅门外瓷砖</w:t>
            </w:r>
          </w:p>
        </w:tc>
        <w:tc>
          <w:tcPr>
            <w:tcW w:w="6460" w:type="dxa"/>
            <w:tcBorders>
              <w:bottom w:val="single" w:color="auto" w:sz="4" w:space="0"/>
            </w:tcBorders>
            <w:noWrap w:val="0"/>
            <w:vAlign w:val="center"/>
          </w:tcPr>
          <w:p w14:paraId="2FBBD112">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各层厅门拆除地坎、拆除外呼板处的瓷砖脱落、空鼓的用同色或近似的瓷砖进行修复。</w:t>
            </w:r>
          </w:p>
        </w:tc>
      </w:tr>
      <w:tr w14:paraId="07EB3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01" w:type="dxa"/>
            <w:tcBorders>
              <w:bottom w:val="single" w:color="auto" w:sz="4" w:space="0"/>
            </w:tcBorders>
            <w:noWrap w:val="0"/>
            <w:vAlign w:val="center"/>
          </w:tcPr>
          <w:p w14:paraId="4A34647F">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946" w:type="dxa"/>
            <w:tcBorders>
              <w:bottom w:val="single" w:color="auto" w:sz="4" w:space="0"/>
            </w:tcBorders>
            <w:noWrap w:val="0"/>
            <w:vAlign w:val="center"/>
          </w:tcPr>
          <w:p w14:paraId="6E1607AB">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厅外大门套</w:t>
            </w:r>
          </w:p>
        </w:tc>
        <w:tc>
          <w:tcPr>
            <w:tcW w:w="6460" w:type="dxa"/>
            <w:tcBorders>
              <w:bottom w:val="single" w:color="auto" w:sz="4" w:space="0"/>
            </w:tcBorders>
            <w:noWrap w:val="0"/>
            <w:vAlign w:val="center"/>
          </w:tcPr>
          <w:p w14:paraId="4013ACD9">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保留原厅外大门套</w:t>
            </w:r>
          </w:p>
        </w:tc>
      </w:tr>
      <w:tr w14:paraId="1033E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9407" w:type="dxa"/>
            <w:gridSpan w:val="3"/>
            <w:tcBorders>
              <w:top w:val="single" w:color="auto" w:sz="4" w:space="0"/>
              <w:left w:val="single" w:color="auto" w:sz="4" w:space="0"/>
              <w:bottom w:val="single" w:color="auto" w:sz="4" w:space="0"/>
              <w:right w:val="single" w:color="auto" w:sz="4" w:space="0"/>
            </w:tcBorders>
            <w:noWrap w:val="0"/>
            <w:vAlign w:val="center"/>
          </w:tcPr>
          <w:p w14:paraId="1E6BF8D6">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三、机房配置</w:t>
            </w:r>
          </w:p>
        </w:tc>
      </w:tr>
      <w:tr w14:paraId="511D0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01" w:type="dxa"/>
            <w:tcBorders>
              <w:top w:val="single" w:color="auto" w:sz="4" w:space="0"/>
              <w:left w:val="single" w:color="auto" w:sz="4" w:space="0"/>
              <w:bottom w:val="single" w:color="auto" w:sz="4" w:space="0"/>
            </w:tcBorders>
            <w:noWrap w:val="0"/>
            <w:vAlign w:val="center"/>
          </w:tcPr>
          <w:p w14:paraId="71BE19B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946" w:type="dxa"/>
            <w:tcBorders>
              <w:top w:val="single" w:color="auto" w:sz="4" w:space="0"/>
              <w:bottom w:val="single" w:color="auto" w:sz="4" w:space="0"/>
            </w:tcBorders>
            <w:noWrap w:val="0"/>
            <w:vAlign w:val="center"/>
          </w:tcPr>
          <w:p w14:paraId="0910941E">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机房顶面漆</w:t>
            </w:r>
          </w:p>
        </w:tc>
        <w:tc>
          <w:tcPr>
            <w:tcW w:w="6460" w:type="dxa"/>
            <w:tcBorders>
              <w:top w:val="single" w:color="auto" w:sz="4" w:space="0"/>
              <w:bottom w:val="single" w:color="auto" w:sz="4" w:space="0"/>
              <w:right w:val="single" w:color="auto" w:sz="4" w:space="0"/>
            </w:tcBorders>
            <w:noWrap w:val="0"/>
            <w:vAlign w:val="center"/>
          </w:tcPr>
          <w:p w14:paraId="09B4B7DE">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机房顶面漆刷白</w:t>
            </w:r>
          </w:p>
        </w:tc>
      </w:tr>
      <w:tr w14:paraId="09150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01" w:type="dxa"/>
            <w:tcBorders>
              <w:top w:val="single" w:color="auto" w:sz="4" w:space="0"/>
              <w:left w:val="single" w:color="auto" w:sz="4" w:space="0"/>
              <w:bottom w:val="single" w:color="auto" w:sz="4" w:space="0"/>
            </w:tcBorders>
            <w:noWrap w:val="0"/>
            <w:vAlign w:val="center"/>
          </w:tcPr>
          <w:p w14:paraId="5809E05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946" w:type="dxa"/>
            <w:tcBorders>
              <w:top w:val="single" w:color="auto" w:sz="4" w:space="0"/>
              <w:bottom w:val="single" w:color="auto" w:sz="4" w:space="0"/>
            </w:tcBorders>
            <w:noWrap w:val="0"/>
            <w:vAlign w:val="center"/>
          </w:tcPr>
          <w:p w14:paraId="6776B679">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机房墙面漆</w:t>
            </w:r>
          </w:p>
        </w:tc>
        <w:tc>
          <w:tcPr>
            <w:tcW w:w="6460" w:type="dxa"/>
            <w:tcBorders>
              <w:top w:val="single" w:color="auto" w:sz="4" w:space="0"/>
              <w:bottom w:val="single" w:color="auto" w:sz="4" w:space="0"/>
              <w:right w:val="single" w:color="auto" w:sz="4" w:space="0"/>
            </w:tcBorders>
            <w:noWrap w:val="0"/>
            <w:vAlign w:val="center"/>
          </w:tcPr>
          <w:p w14:paraId="29031366">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机房墙面漆刷白+灰色腰线</w:t>
            </w:r>
          </w:p>
        </w:tc>
      </w:tr>
      <w:tr w14:paraId="19482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01" w:type="dxa"/>
            <w:tcBorders>
              <w:top w:val="single" w:color="auto" w:sz="4" w:space="0"/>
              <w:left w:val="single" w:color="auto" w:sz="4" w:space="0"/>
              <w:bottom w:val="single" w:color="auto" w:sz="4" w:space="0"/>
            </w:tcBorders>
            <w:noWrap w:val="0"/>
            <w:vAlign w:val="center"/>
          </w:tcPr>
          <w:p w14:paraId="5D59FF9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946" w:type="dxa"/>
            <w:tcBorders>
              <w:top w:val="single" w:color="auto" w:sz="4" w:space="0"/>
              <w:bottom w:val="single" w:color="auto" w:sz="4" w:space="0"/>
            </w:tcBorders>
            <w:noWrap w:val="0"/>
            <w:vAlign w:val="center"/>
          </w:tcPr>
          <w:p w14:paraId="6F7BA730">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机房地面漆</w:t>
            </w:r>
          </w:p>
        </w:tc>
        <w:tc>
          <w:tcPr>
            <w:tcW w:w="6460" w:type="dxa"/>
            <w:tcBorders>
              <w:top w:val="single" w:color="auto" w:sz="4" w:space="0"/>
              <w:bottom w:val="single" w:color="auto" w:sz="4" w:space="0"/>
              <w:right w:val="single" w:color="auto" w:sz="4" w:space="0"/>
            </w:tcBorders>
            <w:noWrap w:val="0"/>
            <w:vAlign w:val="center"/>
          </w:tcPr>
          <w:p w14:paraId="52DE3CA0">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机房地面漆（环氧自流坪），绿色+黑+黄</w:t>
            </w:r>
          </w:p>
        </w:tc>
      </w:tr>
      <w:tr w14:paraId="55FE9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07" w:type="dxa"/>
            <w:gridSpan w:val="3"/>
            <w:tcBorders>
              <w:top w:val="single" w:color="auto" w:sz="4" w:space="0"/>
              <w:left w:val="single" w:color="auto" w:sz="4" w:space="0"/>
              <w:bottom w:val="single" w:color="auto" w:sz="4" w:space="0"/>
              <w:right w:val="single" w:color="auto" w:sz="4" w:space="0"/>
            </w:tcBorders>
            <w:noWrap w:val="0"/>
            <w:vAlign w:val="center"/>
          </w:tcPr>
          <w:p w14:paraId="41EC2786">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default" w:ascii="Times New Roman" w:hAnsi="Times New Roman" w:eastAsia="宋体" w:cs="宋体"/>
                <w:caps w:val="0"/>
                <w:smallCaps w:val="0"/>
                <w:color w:val="auto"/>
                <w:sz w:val="21"/>
                <w:szCs w:val="21"/>
                <w:highlight w:val="none"/>
                <w:lang w:val="en-US" w:eastAsia="zh-CN"/>
              </w:rPr>
            </w:pPr>
            <w:r>
              <w:rPr>
                <w:rFonts w:hint="eastAsia" w:ascii="Times New Roman" w:hAnsi="Times New Roman" w:cs="宋体"/>
                <w:b/>
                <w:bCs/>
                <w:caps w:val="0"/>
                <w:smallCaps w:val="0"/>
                <w:color w:val="auto"/>
                <w:sz w:val="21"/>
                <w:szCs w:val="21"/>
                <w:highlight w:val="none"/>
                <w:lang w:val="en-US" w:eastAsia="zh-CN"/>
              </w:rPr>
              <w:t>四、核心技术要求</w:t>
            </w:r>
          </w:p>
        </w:tc>
      </w:tr>
      <w:tr w14:paraId="45C3D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1" w:type="dxa"/>
            <w:tcBorders>
              <w:top w:val="single" w:color="auto" w:sz="4" w:space="0"/>
              <w:left w:val="single" w:color="auto" w:sz="4" w:space="0"/>
              <w:bottom w:val="single" w:color="auto" w:sz="4" w:space="0"/>
            </w:tcBorders>
            <w:noWrap w:val="0"/>
            <w:vAlign w:val="center"/>
          </w:tcPr>
          <w:p w14:paraId="32ED36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aps w:val="0"/>
                <w:smallCaps w:val="0"/>
                <w:color w:val="auto"/>
                <w:sz w:val="21"/>
                <w:szCs w:val="21"/>
                <w:highlight w:val="none"/>
                <w:lang w:val="en-US" w:eastAsia="zh-CN"/>
              </w:rPr>
            </w:pPr>
            <w:r>
              <w:rPr>
                <w:rFonts w:hint="eastAsia" w:ascii="宋体" w:hAnsi="宋体" w:eastAsia="宋体" w:cs="宋体"/>
                <w:caps w:val="0"/>
                <w:smallCaps w:val="0"/>
                <w:color w:val="auto"/>
                <w:sz w:val="21"/>
                <w:szCs w:val="21"/>
                <w:highlight w:val="none"/>
                <w:lang w:val="en-US" w:eastAsia="zh-CN"/>
              </w:rPr>
              <w:t>1</w:t>
            </w:r>
          </w:p>
        </w:tc>
        <w:tc>
          <w:tcPr>
            <w:tcW w:w="1946" w:type="dxa"/>
            <w:tcBorders>
              <w:top w:val="single" w:color="auto" w:sz="4" w:space="0"/>
              <w:bottom w:val="single" w:color="auto" w:sz="4" w:space="0"/>
            </w:tcBorders>
            <w:noWrap w:val="0"/>
            <w:vAlign w:val="center"/>
          </w:tcPr>
          <w:p w14:paraId="7321A4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aps w:val="0"/>
                <w:smallCaps w:val="0"/>
                <w:color w:val="auto"/>
                <w:sz w:val="21"/>
                <w:szCs w:val="21"/>
                <w:highlight w:val="none"/>
                <w:lang w:val="en-US" w:eastAsia="zh-CN"/>
              </w:rPr>
            </w:pPr>
            <w:r>
              <w:rPr>
                <w:rFonts w:hint="eastAsia" w:ascii="宋体" w:hAnsi="宋体" w:eastAsia="宋体" w:cs="宋体"/>
                <w:caps w:val="0"/>
                <w:smallCaps w:val="0"/>
                <w:color w:val="auto"/>
                <w:sz w:val="21"/>
                <w:szCs w:val="21"/>
                <w:highlight w:val="none"/>
                <w:lang w:val="en-US" w:eastAsia="zh-CN"/>
              </w:rPr>
              <w:t>控制柜</w:t>
            </w:r>
          </w:p>
        </w:tc>
        <w:tc>
          <w:tcPr>
            <w:tcW w:w="6460" w:type="dxa"/>
            <w:tcBorders>
              <w:top w:val="single" w:color="auto" w:sz="4" w:space="0"/>
              <w:bottom w:val="single" w:color="auto" w:sz="4" w:space="0"/>
              <w:right w:val="single" w:color="auto" w:sz="4" w:space="0"/>
            </w:tcBorders>
            <w:noWrap w:val="0"/>
            <w:vAlign w:val="center"/>
          </w:tcPr>
          <w:p w14:paraId="6B0325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aps w:val="0"/>
                <w:smallCaps w:val="0"/>
                <w:color w:val="auto"/>
                <w:sz w:val="21"/>
                <w:szCs w:val="21"/>
                <w:highlight w:val="none"/>
                <w:lang w:val="en-US" w:eastAsia="zh-CN"/>
              </w:rPr>
            </w:pPr>
            <w:r>
              <w:rPr>
                <w:rFonts w:hint="eastAsia" w:ascii="宋体" w:hAnsi="宋体" w:eastAsia="宋体" w:cs="宋体"/>
                <w:caps w:val="0"/>
                <w:smallCaps w:val="0"/>
                <w:color w:val="auto"/>
                <w:sz w:val="21"/>
                <w:szCs w:val="21"/>
                <w:highlight w:val="none"/>
                <w:lang w:val="en-US" w:eastAsia="zh-CN"/>
              </w:rPr>
              <w:t>原厂原品牌。</w:t>
            </w:r>
          </w:p>
        </w:tc>
      </w:tr>
      <w:tr w14:paraId="2FECE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1" w:type="dxa"/>
            <w:tcBorders>
              <w:top w:val="single" w:color="auto" w:sz="4" w:space="0"/>
              <w:left w:val="single" w:color="auto" w:sz="4" w:space="0"/>
              <w:bottom w:val="single" w:color="auto" w:sz="4" w:space="0"/>
            </w:tcBorders>
            <w:noWrap w:val="0"/>
            <w:vAlign w:val="center"/>
          </w:tcPr>
          <w:p w14:paraId="50FBE6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aps w:val="0"/>
                <w:smallCaps w:val="0"/>
                <w:color w:val="auto"/>
                <w:sz w:val="21"/>
                <w:szCs w:val="21"/>
                <w:highlight w:val="none"/>
                <w:lang w:val="en-US" w:eastAsia="zh-CN"/>
              </w:rPr>
            </w:pPr>
            <w:r>
              <w:rPr>
                <w:rFonts w:hint="eastAsia" w:ascii="宋体" w:hAnsi="宋体" w:eastAsia="宋体" w:cs="宋体"/>
                <w:caps w:val="0"/>
                <w:smallCaps w:val="0"/>
                <w:color w:val="auto"/>
                <w:sz w:val="21"/>
                <w:szCs w:val="21"/>
                <w:highlight w:val="none"/>
                <w:lang w:val="en-US" w:eastAsia="zh-CN"/>
              </w:rPr>
              <w:t>2</w:t>
            </w:r>
          </w:p>
        </w:tc>
        <w:tc>
          <w:tcPr>
            <w:tcW w:w="1946" w:type="dxa"/>
            <w:tcBorders>
              <w:top w:val="single" w:color="auto" w:sz="4" w:space="0"/>
              <w:bottom w:val="single" w:color="auto" w:sz="4" w:space="0"/>
            </w:tcBorders>
            <w:noWrap w:val="0"/>
            <w:vAlign w:val="center"/>
          </w:tcPr>
          <w:p w14:paraId="57F36D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aps w:val="0"/>
                <w:smallCaps w:val="0"/>
                <w:color w:val="auto"/>
                <w:sz w:val="21"/>
                <w:szCs w:val="21"/>
                <w:highlight w:val="none"/>
                <w:lang w:val="en-US" w:eastAsia="zh-CN"/>
              </w:rPr>
            </w:pPr>
            <w:r>
              <w:rPr>
                <w:rFonts w:hint="eastAsia" w:ascii="宋体" w:hAnsi="宋体" w:eastAsia="宋体" w:cs="宋体"/>
                <w:caps w:val="0"/>
                <w:smallCaps w:val="0"/>
                <w:color w:val="auto"/>
                <w:sz w:val="21"/>
                <w:szCs w:val="21"/>
                <w:highlight w:val="none"/>
                <w:lang w:val="en-US" w:eastAsia="zh-CN"/>
              </w:rPr>
              <w:t>上行超速保护装置</w:t>
            </w:r>
          </w:p>
        </w:tc>
        <w:tc>
          <w:tcPr>
            <w:tcW w:w="6460" w:type="dxa"/>
            <w:tcBorders>
              <w:top w:val="single" w:color="auto" w:sz="4" w:space="0"/>
              <w:bottom w:val="single" w:color="auto" w:sz="4" w:space="0"/>
              <w:right w:val="single" w:color="auto" w:sz="4" w:space="0"/>
            </w:tcBorders>
            <w:noWrap w:val="0"/>
            <w:vAlign w:val="center"/>
          </w:tcPr>
          <w:p w14:paraId="60B08D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aps w:val="0"/>
                <w:smallCaps w:val="0"/>
                <w:color w:val="auto"/>
                <w:sz w:val="21"/>
                <w:szCs w:val="21"/>
                <w:highlight w:val="none"/>
                <w:lang w:val="en-US" w:eastAsia="zh-CN"/>
              </w:rPr>
            </w:pPr>
            <w:r>
              <w:rPr>
                <w:rFonts w:hint="eastAsia" w:ascii="宋体" w:hAnsi="宋体" w:eastAsia="宋体" w:cs="宋体"/>
                <w:caps w:val="0"/>
                <w:smallCaps w:val="0"/>
                <w:color w:val="auto"/>
                <w:sz w:val="21"/>
                <w:szCs w:val="21"/>
                <w:highlight w:val="none"/>
                <w:lang w:val="en-US" w:eastAsia="zh-CN"/>
              </w:rPr>
              <w:t>原厂原品牌。</w:t>
            </w:r>
          </w:p>
        </w:tc>
      </w:tr>
      <w:tr w14:paraId="4AB17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1" w:type="dxa"/>
            <w:tcBorders>
              <w:top w:val="single" w:color="auto" w:sz="4" w:space="0"/>
              <w:left w:val="single" w:color="auto" w:sz="4" w:space="0"/>
              <w:bottom w:val="single" w:color="auto" w:sz="4" w:space="0"/>
            </w:tcBorders>
            <w:noWrap w:val="0"/>
            <w:vAlign w:val="center"/>
          </w:tcPr>
          <w:p w14:paraId="232B5D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aps w:val="0"/>
                <w:smallCaps w:val="0"/>
                <w:color w:val="auto"/>
                <w:sz w:val="21"/>
                <w:szCs w:val="21"/>
                <w:highlight w:val="none"/>
                <w:lang w:val="en-US" w:eastAsia="zh-CN"/>
              </w:rPr>
            </w:pPr>
            <w:r>
              <w:rPr>
                <w:rFonts w:hint="eastAsia" w:ascii="宋体" w:hAnsi="宋体" w:eastAsia="宋体" w:cs="宋体"/>
                <w:caps w:val="0"/>
                <w:smallCaps w:val="0"/>
                <w:color w:val="auto"/>
                <w:sz w:val="21"/>
                <w:szCs w:val="21"/>
                <w:highlight w:val="none"/>
                <w:lang w:val="en-US" w:eastAsia="zh-CN"/>
              </w:rPr>
              <w:t>3</w:t>
            </w:r>
          </w:p>
        </w:tc>
        <w:tc>
          <w:tcPr>
            <w:tcW w:w="1946" w:type="dxa"/>
            <w:tcBorders>
              <w:top w:val="single" w:color="auto" w:sz="4" w:space="0"/>
              <w:bottom w:val="single" w:color="auto" w:sz="4" w:space="0"/>
            </w:tcBorders>
            <w:noWrap w:val="0"/>
            <w:vAlign w:val="center"/>
          </w:tcPr>
          <w:p w14:paraId="5956CD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aps w:val="0"/>
                <w:smallCaps w:val="0"/>
                <w:color w:val="auto"/>
                <w:sz w:val="21"/>
                <w:szCs w:val="21"/>
                <w:highlight w:val="none"/>
                <w:lang w:val="en-US" w:eastAsia="zh-CN"/>
              </w:rPr>
            </w:pPr>
            <w:r>
              <w:rPr>
                <w:rFonts w:hint="eastAsia" w:ascii="宋体" w:hAnsi="宋体" w:eastAsia="宋体" w:cs="宋体"/>
                <w:caps w:val="0"/>
                <w:smallCaps w:val="0"/>
                <w:color w:val="auto"/>
                <w:sz w:val="21"/>
                <w:szCs w:val="21"/>
                <w:highlight w:val="none"/>
                <w:lang w:val="en-US" w:eastAsia="zh-CN"/>
              </w:rPr>
              <w:t>轿厢意外移动保护装置</w:t>
            </w:r>
          </w:p>
        </w:tc>
        <w:tc>
          <w:tcPr>
            <w:tcW w:w="6460" w:type="dxa"/>
            <w:tcBorders>
              <w:top w:val="single" w:color="auto" w:sz="4" w:space="0"/>
              <w:bottom w:val="single" w:color="auto" w:sz="4" w:space="0"/>
              <w:right w:val="single" w:color="auto" w:sz="4" w:space="0"/>
            </w:tcBorders>
            <w:noWrap w:val="0"/>
            <w:vAlign w:val="center"/>
          </w:tcPr>
          <w:p w14:paraId="6D99DE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aps w:val="0"/>
                <w:smallCaps w:val="0"/>
                <w:color w:val="auto"/>
                <w:sz w:val="21"/>
                <w:szCs w:val="21"/>
                <w:highlight w:val="none"/>
                <w:lang w:val="en-US" w:eastAsia="zh-CN"/>
              </w:rPr>
            </w:pPr>
            <w:r>
              <w:rPr>
                <w:rFonts w:hint="eastAsia" w:ascii="宋体" w:hAnsi="宋体" w:eastAsia="宋体" w:cs="宋体"/>
                <w:caps w:val="0"/>
                <w:smallCaps w:val="0"/>
                <w:color w:val="auto"/>
                <w:sz w:val="21"/>
                <w:szCs w:val="21"/>
                <w:highlight w:val="none"/>
                <w:lang w:val="en-US" w:eastAsia="zh-CN"/>
              </w:rPr>
              <w:t>原厂原品牌。</w:t>
            </w:r>
          </w:p>
        </w:tc>
      </w:tr>
      <w:tr w14:paraId="032B4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1" w:type="dxa"/>
            <w:tcBorders>
              <w:top w:val="single" w:color="auto" w:sz="4" w:space="0"/>
              <w:left w:val="single" w:color="auto" w:sz="4" w:space="0"/>
              <w:bottom w:val="single" w:color="auto" w:sz="4" w:space="0"/>
            </w:tcBorders>
            <w:noWrap w:val="0"/>
            <w:vAlign w:val="center"/>
          </w:tcPr>
          <w:p w14:paraId="77392F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aps w:val="0"/>
                <w:smallCaps w:val="0"/>
                <w:color w:val="auto"/>
                <w:sz w:val="21"/>
                <w:szCs w:val="21"/>
                <w:highlight w:val="none"/>
                <w:lang w:val="en-US" w:eastAsia="zh-CN"/>
              </w:rPr>
            </w:pPr>
            <w:r>
              <w:rPr>
                <w:rFonts w:hint="eastAsia" w:ascii="宋体" w:hAnsi="宋体" w:eastAsia="宋体" w:cs="宋体"/>
                <w:caps w:val="0"/>
                <w:smallCaps w:val="0"/>
                <w:color w:val="auto"/>
                <w:sz w:val="21"/>
                <w:szCs w:val="21"/>
                <w:highlight w:val="none"/>
                <w:lang w:val="en-US" w:eastAsia="zh-CN"/>
              </w:rPr>
              <w:t>4</w:t>
            </w:r>
          </w:p>
        </w:tc>
        <w:tc>
          <w:tcPr>
            <w:tcW w:w="1946" w:type="dxa"/>
            <w:tcBorders>
              <w:top w:val="single" w:color="auto" w:sz="4" w:space="0"/>
              <w:bottom w:val="single" w:color="auto" w:sz="4" w:space="0"/>
            </w:tcBorders>
            <w:noWrap w:val="0"/>
            <w:vAlign w:val="center"/>
          </w:tcPr>
          <w:p w14:paraId="0614E2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aps w:val="0"/>
                <w:smallCaps w:val="0"/>
                <w:color w:val="auto"/>
                <w:sz w:val="21"/>
                <w:szCs w:val="21"/>
                <w:highlight w:val="none"/>
                <w:lang w:val="en-US" w:eastAsia="zh-CN"/>
              </w:rPr>
            </w:pPr>
            <w:r>
              <w:rPr>
                <w:rFonts w:hint="eastAsia" w:ascii="宋体" w:hAnsi="宋体" w:eastAsia="宋体" w:cs="宋体"/>
                <w:caps w:val="0"/>
                <w:smallCaps w:val="0"/>
                <w:color w:val="auto"/>
                <w:sz w:val="21"/>
                <w:szCs w:val="21"/>
                <w:highlight w:val="none"/>
                <w:lang w:val="en-US" w:eastAsia="zh-CN"/>
              </w:rPr>
              <w:t>安全电路</w:t>
            </w:r>
          </w:p>
        </w:tc>
        <w:tc>
          <w:tcPr>
            <w:tcW w:w="6460" w:type="dxa"/>
            <w:tcBorders>
              <w:top w:val="single" w:color="auto" w:sz="4" w:space="0"/>
              <w:bottom w:val="single" w:color="auto" w:sz="4" w:space="0"/>
              <w:right w:val="single" w:color="auto" w:sz="4" w:space="0"/>
            </w:tcBorders>
            <w:noWrap w:val="0"/>
            <w:vAlign w:val="center"/>
          </w:tcPr>
          <w:p w14:paraId="3FCAE2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aps w:val="0"/>
                <w:smallCaps w:val="0"/>
                <w:color w:val="auto"/>
                <w:sz w:val="21"/>
                <w:szCs w:val="21"/>
                <w:highlight w:val="none"/>
                <w:lang w:val="en-US" w:eastAsia="zh-CN"/>
              </w:rPr>
            </w:pPr>
            <w:r>
              <w:rPr>
                <w:rFonts w:hint="eastAsia" w:ascii="宋体" w:hAnsi="宋体" w:eastAsia="宋体" w:cs="宋体"/>
                <w:caps w:val="0"/>
                <w:smallCaps w:val="0"/>
                <w:color w:val="auto"/>
                <w:sz w:val="21"/>
                <w:szCs w:val="21"/>
                <w:highlight w:val="none"/>
                <w:lang w:val="en-US" w:eastAsia="zh-CN"/>
              </w:rPr>
              <w:t>原厂原品牌。</w:t>
            </w:r>
          </w:p>
        </w:tc>
      </w:tr>
      <w:tr w14:paraId="3ED55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1" w:type="dxa"/>
            <w:tcBorders>
              <w:top w:val="single" w:color="auto" w:sz="4" w:space="0"/>
              <w:left w:val="single" w:color="auto" w:sz="4" w:space="0"/>
              <w:bottom w:val="single" w:color="auto" w:sz="4" w:space="0"/>
            </w:tcBorders>
            <w:noWrap w:val="0"/>
            <w:vAlign w:val="center"/>
          </w:tcPr>
          <w:p w14:paraId="006C94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aps w:val="0"/>
                <w:smallCaps w:val="0"/>
                <w:color w:val="auto"/>
                <w:sz w:val="21"/>
                <w:szCs w:val="21"/>
                <w:highlight w:val="none"/>
                <w:lang w:val="en-US" w:eastAsia="zh-CN"/>
              </w:rPr>
            </w:pPr>
            <w:r>
              <w:rPr>
                <w:rFonts w:hint="eastAsia" w:ascii="宋体" w:hAnsi="宋体" w:eastAsia="宋体" w:cs="宋体"/>
                <w:caps w:val="0"/>
                <w:smallCaps w:val="0"/>
                <w:color w:val="auto"/>
                <w:sz w:val="21"/>
                <w:szCs w:val="21"/>
                <w:highlight w:val="none"/>
                <w:lang w:val="en-US" w:eastAsia="zh-CN"/>
              </w:rPr>
              <w:t>5</w:t>
            </w:r>
          </w:p>
        </w:tc>
        <w:tc>
          <w:tcPr>
            <w:tcW w:w="1946" w:type="dxa"/>
            <w:tcBorders>
              <w:top w:val="single" w:color="auto" w:sz="4" w:space="0"/>
              <w:bottom w:val="single" w:color="auto" w:sz="4" w:space="0"/>
            </w:tcBorders>
            <w:noWrap w:val="0"/>
            <w:vAlign w:val="center"/>
          </w:tcPr>
          <w:p w14:paraId="088E66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aps w:val="0"/>
                <w:smallCaps w:val="0"/>
                <w:color w:val="auto"/>
                <w:sz w:val="21"/>
                <w:szCs w:val="21"/>
                <w:highlight w:val="none"/>
                <w:lang w:val="en-US" w:eastAsia="zh-CN"/>
              </w:rPr>
            </w:pPr>
            <w:r>
              <w:rPr>
                <w:rFonts w:hint="eastAsia" w:ascii="宋体" w:hAnsi="宋体" w:eastAsia="宋体" w:cs="宋体"/>
                <w:caps w:val="0"/>
                <w:smallCaps w:val="0"/>
                <w:color w:val="auto"/>
                <w:sz w:val="21"/>
                <w:szCs w:val="21"/>
                <w:highlight w:val="none"/>
                <w:lang w:val="en-US" w:eastAsia="zh-CN"/>
              </w:rPr>
              <w:t>轿门门锁</w:t>
            </w:r>
          </w:p>
        </w:tc>
        <w:tc>
          <w:tcPr>
            <w:tcW w:w="6460" w:type="dxa"/>
            <w:tcBorders>
              <w:top w:val="single" w:color="auto" w:sz="4" w:space="0"/>
              <w:bottom w:val="single" w:color="auto" w:sz="4" w:space="0"/>
              <w:right w:val="single" w:color="auto" w:sz="4" w:space="0"/>
            </w:tcBorders>
            <w:noWrap w:val="0"/>
            <w:vAlign w:val="center"/>
          </w:tcPr>
          <w:p w14:paraId="2B430E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aps w:val="0"/>
                <w:smallCaps w:val="0"/>
                <w:color w:val="auto"/>
                <w:sz w:val="21"/>
                <w:szCs w:val="21"/>
                <w:highlight w:val="none"/>
                <w:lang w:val="en-US" w:eastAsia="zh-CN"/>
              </w:rPr>
            </w:pPr>
            <w:r>
              <w:rPr>
                <w:rFonts w:hint="eastAsia" w:ascii="宋体" w:hAnsi="宋体" w:eastAsia="宋体" w:cs="宋体"/>
                <w:caps w:val="0"/>
                <w:smallCaps w:val="0"/>
                <w:color w:val="auto"/>
                <w:sz w:val="21"/>
                <w:szCs w:val="21"/>
                <w:highlight w:val="none"/>
                <w:lang w:val="en-US" w:eastAsia="zh-CN"/>
              </w:rPr>
              <w:t>原厂原品牌。</w:t>
            </w:r>
          </w:p>
        </w:tc>
      </w:tr>
      <w:tr w14:paraId="16779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1" w:type="dxa"/>
            <w:tcBorders>
              <w:top w:val="single" w:color="auto" w:sz="4" w:space="0"/>
              <w:left w:val="single" w:color="auto" w:sz="4" w:space="0"/>
              <w:bottom w:val="single" w:color="auto" w:sz="4" w:space="0"/>
            </w:tcBorders>
            <w:noWrap w:val="0"/>
            <w:vAlign w:val="center"/>
          </w:tcPr>
          <w:p w14:paraId="2FB27E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aps w:val="0"/>
                <w:smallCaps w:val="0"/>
                <w:color w:val="auto"/>
                <w:sz w:val="21"/>
                <w:szCs w:val="21"/>
                <w:highlight w:val="none"/>
                <w:lang w:val="en-US" w:eastAsia="zh-CN"/>
              </w:rPr>
            </w:pPr>
            <w:r>
              <w:rPr>
                <w:rFonts w:hint="eastAsia" w:ascii="宋体" w:hAnsi="宋体" w:eastAsia="宋体" w:cs="宋体"/>
                <w:caps w:val="0"/>
                <w:smallCaps w:val="0"/>
                <w:color w:val="auto"/>
                <w:sz w:val="21"/>
                <w:szCs w:val="21"/>
                <w:highlight w:val="none"/>
                <w:lang w:val="en-US" w:eastAsia="zh-CN"/>
              </w:rPr>
              <w:t>6</w:t>
            </w:r>
          </w:p>
        </w:tc>
        <w:tc>
          <w:tcPr>
            <w:tcW w:w="1946" w:type="dxa"/>
            <w:tcBorders>
              <w:top w:val="single" w:color="auto" w:sz="4" w:space="0"/>
              <w:bottom w:val="single" w:color="auto" w:sz="4" w:space="0"/>
            </w:tcBorders>
            <w:noWrap w:val="0"/>
            <w:vAlign w:val="center"/>
          </w:tcPr>
          <w:p w14:paraId="0BDF3C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aps w:val="0"/>
                <w:smallCaps w:val="0"/>
                <w:color w:val="auto"/>
                <w:sz w:val="21"/>
                <w:szCs w:val="21"/>
                <w:highlight w:val="none"/>
                <w:lang w:val="en-US" w:eastAsia="zh-CN"/>
              </w:rPr>
            </w:pPr>
            <w:r>
              <w:rPr>
                <w:rFonts w:hint="eastAsia" w:ascii="宋体" w:hAnsi="宋体" w:eastAsia="宋体" w:cs="宋体"/>
                <w:caps w:val="0"/>
                <w:smallCaps w:val="0"/>
                <w:color w:val="auto"/>
                <w:sz w:val="21"/>
                <w:szCs w:val="21"/>
                <w:highlight w:val="none"/>
                <w:lang w:val="en-US" w:eastAsia="zh-CN"/>
              </w:rPr>
              <w:t>曳引机</w:t>
            </w:r>
          </w:p>
        </w:tc>
        <w:tc>
          <w:tcPr>
            <w:tcW w:w="6460" w:type="dxa"/>
            <w:tcBorders>
              <w:top w:val="single" w:color="auto" w:sz="4" w:space="0"/>
              <w:bottom w:val="single" w:color="auto" w:sz="4" w:space="0"/>
              <w:right w:val="single" w:color="auto" w:sz="4" w:space="0"/>
            </w:tcBorders>
            <w:noWrap w:val="0"/>
            <w:vAlign w:val="center"/>
          </w:tcPr>
          <w:p w14:paraId="49379C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aps w:val="0"/>
                <w:smallCaps w:val="0"/>
                <w:color w:val="auto"/>
                <w:sz w:val="21"/>
                <w:szCs w:val="21"/>
                <w:highlight w:val="none"/>
                <w:lang w:val="en-US" w:eastAsia="zh-CN"/>
              </w:rPr>
            </w:pPr>
            <w:r>
              <w:rPr>
                <w:rFonts w:hint="eastAsia" w:ascii="宋体" w:hAnsi="宋体" w:eastAsia="宋体" w:cs="宋体"/>
                <w:caps w:val="0"/>
                <w:smallCaps w:val="0"/>
                <w:color w:val="auto"/>
                <w:sz w:val="21"/>
                <w:szCs w:val="21"/>
                <w:highlight w:val="none"/>
                <w:lang w:val="en-US" w:eastAsia="zh-CN"/>
              </w:rPr>
              <w:t>原厂原品牌。</w:t>
            </w:r>
          </w:p>
        </w:tc>
      </w:tr>
      <w:tr w14:paraId="76C49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1" w:type="dxa"/>
            <w:tcBorders>
              <w:top w:val="single" w:color="auto" w:sz="4" w:space="0"/>
              <w:left w:val="single" w:color="auto" w:sz="4" w:space="0"/>
              <w:bottom w:val="single" w:color="auto" w:sz="4" w:space="0"/>
            </w:tcBorders>
            <w:noWrap w:val="0"/>
            <w:vAlign w:val="center"/>
          </w:tcPr>
          <w:p w14:paraId="0A9E34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aps w:val="0"/>
                <w:smallCaps w:val="0"/>
                <w:color w:val="auto"/>
                <w:sz w:val="21"/>
                <w:szCs w:val="21"/>
                <w:highlight w:val="none"/>
                <w:lang w:val="en-US" w:eastAsia="zh-CN"/>
              </w:rPr>
            </w:pPr>
            <w:r>
              <w:rPr>
                <w:rFonts w:hint="eastAsia" w:ascii="宋体" w:hAnsi="宋体" w:eastAsia="宋体" w:cs="宋体"/>
                <w:caps w:val="0"/>
                <w:smallCaps w:val="0"/>
                <w:color w:val="auto"/>
                <w:sz w:val="21"/>
                <w:szCs w:val="21"/>
                <w:highlight w:val="none"/>
                <w:lang w:val="en-US" w:eastAsia="zh-CN"/>
              </w:rPr>
              <w:t>7</w:t>
            </w:r>
          </w:p>
        </w:tc>
        <w:tc>
          <w:tcPr>
            <w:tcW w:w="1946" w:type="dxa"/>
            <w:tcBorders>
              <w:top w:val="single" w:color="auto" w:sz="4" w:space="0"/>
              <w:bottom w:val="single" w:color="auto" w:sz="4" w:space="0"/>
            </w:tcBorders>
            <w:noWrap w:val="0"/>
            <w:vAlign w:val="center"/>
          </w:tcPr>
          <w:p w14:paraId="496F45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aps w:val="0"/>
                <w:smallCaps w:val="0"/>
                <w:color w:val="auto"/>
                <w:sz w:val="21"/>
                <w:szCs w:val="21"/>
                <w:highlight w:val="none"/>
                <w:lang w:val="en-US" w:eastAsia="zh-CN"/>
              </w:rPr>
            </w:pPr>
            <w:r>
              <w:rPr>
                <w:rFonts w:hint="eastAsia" w:ascii="宋体" w:hAnsi="宋体" w:eastAsia="宋体" w:cs="宋体"/>
                <w:caps w:val="0"/>
                <w:smallCaps w:val="0"/>
                <w:color w:val="auto"/>
                <w:sz w:val="21"/>
                <w:szCs w:val="21"/>
                <w:highlight w:val="none"/>
                <w:lang w:val="en-US" w:eastAsia="zh-CN"/>
              </w:rPr>
              <w:t>安全钳</w:t>
            </w:r>
          </w:p>
        </w:tc>
        <w:tc>
          <w:tcPr>
            <w:tcW w:w="6460" w:type="dxa"/>
            <w:tcBorders>
              <w:top w:val="single" w:color="auto" w:sz="4" w:space="0"/>
              <w:bottom w:val="single" w:color="auto" w:sz="4" w:space="0"/>
              <w:right w:val="single" w:color="auto" w:sz="4" w:space="0"/>
            </w:tcBorders>
            <w:noWrap w:val="0"/>
            <w:vAlign w:val="center"/>
          </w:tcPr>
          <w:p w14:paraId="238C49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aps w:val="0"/>
                <w:smallCaps w:val="0"/>
                <w:color w:val="auto"/>
                <w:sz w:val="21"/>
                <w:szCs w:val="21"/>
                <w:highlight w:val="none"/>
                <w:lang w:val="en-US" w:eastAsia="zh-CN"/>
              </w:rPr>
            </w:pPr>
            <w:r>
              <w:rPr>
                <w:rFonts w:hint="eastAsia" w:ascii="宋体" w:hAnsi="宋体" w:eastAsia="宋体" w:cs="宋体"/>
                <w:caps w:val="0"/>
                <w:smallCaps w:val="0"/>
                <w:color w:val="auto"/>
                <w:sz w:val="21"/>
                <w:szCs w:val="21"/>
                <w:highlight w:val="none"/>
                <w:lang w:val="en-US" w:eastAsia="zh-CN"/>
              </w:rPr>
              <w:t>原厂原品牌。</w:t>
            </w:r>
          </w:p>
        </w:tc>
      </w:tr>
      <w:tr w14:paraId="6E69F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1" w:type="dxa"/>
            <w:tcBorders>
              <w:top w:val="single" w:color="auto" w:sz="4" w:space="0"/>
              <w:left w:val="single" w:color="auto" w:sz="4" w:space="0"/>
              <w:bottom w:val="single" w:color="auto" w:sz="4" w:space="0"/>
            </w:tcBorders>
            <w:noWrap w:val="0"/>
            <w:vAlign w:val="center"/>
          </w:tcPr>
          <w:p w14:paraId="1BFE0C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aps w:val="0"/>
                <w:smallCaps w:val="0"/>
                <w:color w:val="auto"/>
                <w:sz w:val="21"/>
                <w:szCs w:val="21"/>
                <w:highlight w:val="none"/>
                <w:lang w:val="en-US" w:eastAsia="zh-CN"/>
              </w:rPr>
            </w:pPr>
            <w:r>
              <w:rPr>
                <w:rFonts w:hint="eastAsia" w:ascii="宋体" w:hAnsi="宋体" w:eastAsia="宋体" w:cs="宋体"/>
                <w:caps w:val="0"/>
                <w:smallCaps w:val="0"/>
                <w:color w:val="auto"/>
                <w:sz w:val="21"/>
                <w:szCs w:val="21"/>
                <w:highlight w:val="none"/>
                <w:lang w:val="en-US" w:eastAsia="zh-CN"/>
              </w:rPr>
              <w:t>8</w:t>
            </w:r>
          </w:p>
        </w:tc>
        <w:tc>
          <w:tcPr>
            <w:tcW w:w="1946" w:type="dxa"/>
            <w:tcBorders>
              <w:top w:val="single" w:color="auto" w:sz="4" w:space="0"/>
              <w:bottom w:val="single" w:color="auto" w:sz="4" w:space="0"/>
            </w:tcBorders>
            <w:noWrap w:val="0"/>
            <w:vAlign w:val="center"/>
          </w:tcPr>
          <w:p w14:paraId="72CD9D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aps w:val="0"/>
                <w:smallCaps w:val="0"/>
                <w:color w:val="auto"/>
                <w:sz w:val="21"/>
                <w:szCs w:val="21"/>
                <w:highlight w:val="none"/>
                <w:lang w:val="en-US" w:eastAsia="zh-CN"/>
              </w:rPr>
            </w:pPr>
            <w:r>
              <w:rPr>
                <w:rFonts w:hint="eastAsia" w:ascii="宋体" w:hAnsi="宋体" w:eastAsia="宋体" w:cs="宋体"/>
                <w:caps w:val="0"/>
                <w:smallCaps w:val="0"/>
                <w:color w:val="auto"/>
                <w:sz w:val="21"/>
                <w:szCs w:val="21"/>
                <w:highlight w:val="none"/>
                <w:lang w:val="en-US" w:eastAsia="zh-CN"/>
              </w:rPr>
              <w:t>限速器</w:t>
            </w:r>
          </w:p>
        </w:tc>
        <w:tc>
          <w:tcPr>
            <w:tcW w:w="6460" w:type="dxa"/>
            <w:tcBorders>
              <w:top w:val="single" w:color="auto" w:sz="4" w:space="0"/>
              <w:bottom w:val="single" w:color="auto" w:sz="4" w:space="0"/>
              <w:right w:val="single" w:color="auto" w:sz="4" w:space="0"/>
            </w:tcBorders>
            <w:noWrap w:val="0"/>
            <w:vAlign w:val="center"/>
          </w:tcPr>
          <w:p w14:paraId="2DFD10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aps w:val="0"/>
                <w:smallCaps w:val="0"/>
                <w:color w:val="auto"/>
                <w:sz w:val="21"/>
                <w:szCs w:val="21"/>
                <w:highlight w:val="none"/>
                <w:lang w:val="en-US" w:eastAsia="zh-CN"/>
              </w:rPr>
            </w:pPr>
            <w:r>
              <w:rPr>
                <w:rFonts w:hint="eastAsia" w:ascii="宋体" w:hAnsi="宋体" w:eastAsia="宋体" w:cs="宋体"/>
                <w:caps w:val="0"/>
                <w:smallCaps w:val="0"/>
                <w:color w:val="auto"/>
                <w:sz w:val="21"/>
                <w:szCs w:val="21"/>
                <w:highlight w:val="none"/>
                <w:lang w:val="en-US" w:eastAsia="zh-CN"/>
              </w:rPr>
              <w:t>原厂原品牌。</w:t>
            </w:r>
          </w:p>
        </w:tc>
      </w:tr>
      <w:tr w14:paraId="77758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1" w:type="dxa"/>
            <w:tcBorders>
              <w:top w:val="single" w:color="auto" w:sz="4" w:space="0"/>
              <w:left w:val="single" w:color="auto" w:sz="4" w:space="0"/>
              <w:bottom w:val="single" w:color="auto" w:sz="4" w:space="0"/>
            </w:tcBorders>
            <w:noWrap w:val="0"/>
            <w:vAlign w:val="center"/>
          </w:tcPr>
          <w:p w14:paraId="57FF3B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aps w:val="0"/>
                <w:smallCaps w:val="0"/>
                <w:color w:val="auto"/>
                <w:sz w:val="21"/>
                <w:szCs w:val="21"/>
                <w:highlight w:val="none"/>
                <w:lang w:val="en-US" w:eastAsia="zh-CN"/>
              </w:rPr>
            </w:pPr>
            <w:r>
              <w:rPr>
                <w:rFonts w:hint="eastAsia" w:ascii="宋体" w:hAnsi="宋体" w:eastAsia="宋体" w:cs="宋体"/>
                <w:caps w:val="0"/>
                <w:smallCaps w:val="0"/>
                <w:color w:val="auto"/>
                <w:sz w:val="21"/>
                <w:szCs w:val="21"/>
                <w:highlight w:val="none"/>
                <w:lang w:val="en-US" w:eastAsia="zh-CN"/>
              </w:rPr>
              <w:t>9</w:t>
            </w:r>
          </w:p>
        </w:tc>
        <w:tc>
          <w:tcPr>
            <w:tcW w:w="1946" w:type="dxa"/>
            <w:tcBorders>
              <w:top w:val="single" w:color="auto" w:sz="4" w:space="0"/>
              <w:bottom w:val="single" w:color="auto" w:sz="4" w:space="0"/>
            </w:tcBorders>
            <w:noWrap w:val="0"/>
            <w:vAlign w:val="center"/>
          </w:tcPr>
          <w:p w14:paraId="43D140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aps w:val="0"/>
                <w:smallCaps w:val="0"/>
                <w:color w:val="auto"/>
                <w:sz w:val="21"/>
                <w:szCs w:val="21"/>
                <w:highlight w:val="none"/>
                <w:lang w:val="en-US" w:eastAsia="zh-CN"/>
              </w:rPr>
            </w:pPr>
            <w:r>
              <w:rPr>
                <w:rFonts w:hint="eastAsia" w:ascii="宋体" w:hAnsi="宋体" w:eastAsia="宋体" w:cs="宋体"/>
                <w:caps w:val="0"/>
                <w:smallCaps w:val="0"/>
                <w:color w:val="auto"/>
                <w:sz w:val="21"/>
                <w:szCs w:val="21"/>
                <w:highlight w:val="none"/>
                <w:lang w:val="en-US" w:eastAsia="zh-CN"/>
              </w:rPr>
              <w:t>缓冲器</w:t>
            </w:r>
          </w:p>
        </w:tc>
        <w:tc>
          <w:tcPr>
            <w:tcW w:w="6460" w:type="dxa"/>
            <w:tcBorders>
              <w:top w:val="single" w:color="auto" w:sz="4" w:space="0"/>
              <w:bottom w:val="single" w:color="auto" w:sz="4" w:space="0"/>
              <w:right w:val="single" w:color="auto" w:sz="4" w:space="0"/>
            </w:tcBorders>
            <w:noWrap w:val="0"/>
            <w:vAlign w:val="center"/>
          </w:tcPr>
          <w:p w14:paraId="03D781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aps w:val="0"/>
                <w:smallCaps w:val="0"/>
                <w:color w:val="auto"/>
                <w:sz w:val="21"/>
                <w:szCs w:val="21"/>
                <w:highlight w:val="none"/>
                <w:lang w:val="en-US" w:eastAsia="zh-CN"/>
              </w:rPr>
            </w:pPr>
            <w:r>
              <w:rPr>
                <w:rFonts w:hint="eastAsia" w:ascii="宋体" w:hAnsi="宋体" w:eastAsia="宋体" w:cs="宋体"/>
                <w:caps w:val="0"/>
                <w:smallCaps w:val="0"/>
                <w:color w:val="auto"/>
                <w:sz w:val="21"/>
                <w:szCs w:val="21"/>
                <w:highlight w:val="none"/>
                <w:lang w:val="en-US" w:eastAsia="zh-CN"/>
              </w:rPr>
              <w:t>原厂原品牌。</w:t>
            </w:r>
          </w:p>
        </w:tc>
      </w:tr>
      <w:tr w14:paraId="3BB21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1" w:type="dxa"/>
            <w:tcBorders>
              <w:top w:val="single" w:color="auto" w:sz="4" w:space="0"/>
              <w:left w:val="single" w:color="auto" w:sz="4" w:space="0"/>
              <w:bottom w:val="single" w:color="auto" w:sz="4" w:space="0"/>
            </w:tcBorders>
            <w:noWrap w:val="0"/>
            <w:vAlign w:val="center"/>
          </w:tcPr>
          <w:p w14:paraId="500B93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aps w:val="0"/>
                <w:smallCaps w:val="0"/>
                <w:color w:val="auto"/>
                <w:sz w:val="21"/>
                <w:szCs w:val="21"/>
                <w:highlight w:val="none"/>
                <w:lang w:val="en-US" w:eastAsia="zh-CN"/>
              </w:rPr>
            </w:pPr>
            <w:r>
              <w:rPr>
                <w:rFonts w:hint="eastAsia" w:ascii="宋体" w:hAnsi="宋体" w:eastAsia="宋体" w:cs="宋体"/>
                <w:caps w:val="0"/>
                <w:smallCaps w:val="0"/>
                <w:color w:val="auto"/>
                <w:sz w:val="21"/>
                <w:szCs w:val="21"/>
                <w:highlight w:val="none"/>
                <w:lang w:val="en-US" w:eastAsia="zh-CN"/>
              </w:rPr>
              <w:t>10</w:t>
            </w:r>
          </w:p>
        </w:tc>
        <w:tc>
          <w:tcPr>
            <w:tcW w:w="1946" w:type="dxa"/>
            <w:tcBorders>
              <w:top w:val="single" w:color="auto" w:sz="4" w:space="0"/>
              <w:bottom w:val="single" w:color="auto" w:sz="4" w:space="0"/>
            </w:tcBorders>
            <w:noWrap w:val="0"/>
            <w:vAlign w:val="center"/>
          </w:tcPr>
          <w:p w14:paraId="4F4050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aps w:val="0"/>
                <w:smallCaps w:val="0"/>
                <w:color w:val="auto"/>
                <w:sz w:val="21"/>
                <w:szCs w:val="21"/>
                <w:highlight w:val="none"/>
                <w:lang w:val="en-US" w:eastAsia="zh-CN"/>
              </w:rPr>
            </w:pPr>
            <w:r>
              <w:rPr>
                <w:rFonts w:hint="eastAsia" w:ascii="宋体" w:hAnsi="宋体" w:eastAsia="宋体" w:cs="宋体"/>
                <w:caps w:val="0"/>
                <w:smallCaps w:val="0"/>
                <w:color w:val="auto"/>
                <w:sz w:val="21"/>
                <w:szCs w:val="21"/>
                <w:highlight w:val="none"/>
                <w:lang w:val="en-US" w:eastAsia="zh-CN"/>
              </w:rPr>
              <w:t>层门锁</w:t>
            </w:r>
          </w:p>
        </w:tc>
        <w:tc>
          <w:tcPr>
            <w:tcW w:w="6460" w:type="dxa"/>
            <w:tcBorders>
              <w:top w:val="single" w:color="auto" w:sz="4" w:space="0"/>
              <w:bottom w:val="single" w:color="auto" w:sz="4" w:space="0"/>
              <w:right w:val="single" w:color="auto" w:sz="4" w:space="0"/>
            </w:tcBorders>
            <w:noWrap w:val="0"/>
            <w:vAlign w:val="center"/>
          </w:tcPr>
          <w:p w14:paraId="3643D6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aps w:val="0"/>
                <w:smallCaps w:val="0"/>
                <w:color w:val="auto"/>
                <w:sz w:val="21"/>
                <w:szCs w:val="21"/>
                <w:highlight w:val="none"/>
                <w:lang w:val="en-US" w:eastAsia="zh-CN"/>
              </w:rPr>
            </w:pPr>
            <w:r>
              <w:rPr>
                <w:rFonts w:hint="eastAsia" w:ascii="宋体" w:hAnsi="宋体" w:eastAsia="宋体" w:cs="宋体"/>
                <w:caps w:val="0"/>
                <w:smallCaps w:val="0"/>
                <w:color w:val="auto"/>
                <w:sz w:val="21"/>
                <w:szCs w:val="21"/>
                <w:highlight w:val="none"/>
                <w:lang w:val="en-US" w:eastAsia="zh-CN"/>
              </w:rPr>
              <w:t>原厂原品牌。</w:t>
            </w:r>
          </w:p>
        </w:tc>
      </w:tr>
      <w:tr w14:paraId="2E948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1" w:type="dxa"/>
            <w:tcBorders>
              <w:top w:val="single" w:color="auto" w:sz="4" w:space="0"/>
              <w:left w:val="single" w:color="auto" w:sz="4" w:space="0"/>
              <w:bottom w:val="single" w:color="auto" w:sz="4" w:space="0"/>
            </w:tcBorders>
            <w:noWrap w:val="0"/>
            <w:vAlign w:val="center"/>
          </w:tcPr>
          <w:p w14:paraId="1F06ED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aps w:val="0"/>
                <w:smallCaps w:val="0"/>
                <w:color w:val="auto"/>
                <w:sz w:val="21"/>
                <w:szCs w:val="21"/>
                <w:highlight w:val="none"/>
                <w:lang w:val="en-US" w:eastAsia="zh-CN"/>
              </w:rPr>
            </w:pPr>
            <w:r>
              <w:rPr>
                <w:rFonts w:hint="eastAsia" w:ascii="宋体" w:hAnsi="宋体" w:eastAsia="宋体" w:cs="宋体"/>
                <w:caps w:val="0"/>
                <w:smallCaps w:val="0"/>
                <w:color w:val="auto"/>
                <w:sz w:val="21"/>
                <w:szCs w:val="21"/>
                <w:highlight w:val="none"/>
                <w:lang w:val="en-US" w:eastAsia="zh-CN"/>
              </w:rPr>
              <w:t>11</w:t>
            </w:r>
          </w:p>
        </w:tc>
        <w:tc>
          <w:tcPr>
            <w:tcW w:w="1946" w:type="dxa"/>
            <w:tcBorders>
              <w:top w:val="single" w:color="auto" w:sz="4" w:space="0"/>
              <w:bottom w:val="single" w:color="auto" w:sz="4" w:space="0"/>
            </w:tcBorders>
            <w:noWrap w:val="0"/>
            <w:vAlign w:val="center"/>
          </w:tcPr>
          <w:p w14:paraId="2CF741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aps w:val="0"/>
                <w:smallCaps w:val="0"/>
                <w:color w:val="auto"/>
                <w:sz w:val="21"/>
                <w:szCs w:val="21"/>
                <w:highlight w:val="none"/>
                <w:lang w:val="en-US" w:eastAsia="zh-CN"/>
              </w:rPr>
            </w:pPr>
            <w:r>
              <w:rPr>
                <w:rFonts w:hint="eastAsia" w:ascii="宋体" w:hAnsi="宋体" w:eastAsia="宋体" w:cs="宋体"/>
                <w:caps w:val="0"/>
                <w:smallCaps w:val="0"/>
                <w:color w:val="auto"/>
                <w:sz w:val="21"/>
                <w:szCs w:val="21"/>
                <w:highlight w:val="none"/>
                <w:lang w:val="en-US" w:eastAsia="zh-CN"/>
              </w:rPr>
              <w:t>光幕</w:t>
            </w:r>
          </w:p>
        </w:tc>
        <w:tc>
          <w:tcPr>
            <w:tcW w:w="6460" w:type="dxa"/>
            <w:tcBorders>
              <w:top w:val="single" w:color="auto" w:sz="4" w:space="0"/>
              <w:bottom w:val="single" w:color="auto" w:sz="4" w:space="0"/>
              <w:right w:val="single" w:color="auto" w:sz="4" w:space="0"/>
            </w:tcBorders>
            <w:noWrap w:val="0"/>
            <w:vAlign w:val="center"/>
          </w:tcPr>
          <w:p w14:paraId="565E74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aps w:val="0"/>
                <w:smallCaps w:val="0"/>
                <w:color w:val="auto"/>
                <w:sz w:val="21"/>
                <w:szCs w:val="21"/>
                <w:highlight w:val="none"/>
                <w:lang w:val="en-US" w:eastAsia="zh-CN"/>
              </w:rPr>
            </w:pPr>
            <w:r>
              <w:rPr>
                <w:rFonts w:hint="eastAsia" w:ascii="宋体" w:hAnsi="宋体" w:eastAsia="宋体" w:cs="宋体"/>
                <w:caps w:val="0"/>
                <w:smallCaps w:val="0"/>
                <w:color w:val="auto"/>
                <w:sz w:val="21"/>
                <w:szCs w:val="21"/>
                <w:highlight w:val="none"/>
                <w:lang w:val="en-US" w:eastAsia="zh-CN"/>
              </w:rPr>
              <w:t>原厂原品牌。</w:t>
            </w:r>
          </w:p>
        </w:tc>
      </w:tr>
      <w:tr w14:paraId="4ED79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1" w:type="dxa"/>
            <w:tcBorders>
              <w:top w:val="single" w:color="auto" w:sz="4" w:space="0"/>
              <w:left w:val="single" w:color="auto" w:sz="4" w:space="0"/>
              <w:bottom w:val="single" w:color="auto" w:sz="4" w:space="0"/>
            </w:tcBorders>
            <w:noWrap w:val="0"/>
            <w:vAlign w:val="center"/>
          </w:tcPr>
          <w:p w14:paraId="6D1A61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aps w:val="0"/>
                <w:smallCaps w:val="0"/>
                <w:color w:val="auto"/>
                <w:kern w:val="2"/>
                <w:sz w:val="21"/>
                <w:szCs w:val="21"/>
                <w:highlight w:val="none"/>
                <w:lang w:val="en-US" w:eastAsia="zh-CN" w:bidi="ar-SA"/>
              </w:rPr>
            </w:pPr>
            <w:r>
              <w:rPr>
                <w:rFonts w:hint="eastAsia" w:ascii="宋体" w:hAnsi="宋体" w:eastAsia="宋体" w:cs="宋体"/>
                <w:caps w:val="0"/>
                <w:smallCaps w:val="0"/>
                <w:color w:val="auto"/>
                <w:sz w:val="21"/>
                <w:szCs w:val="21"/>
                <w:highlight w:val="none"/>
                <w:lang w:val="en-US" w:eastAsia="zh-CN"/>
              </w:rPr>
              <w:t>12</w:t>
            </w:r>
          </w:p>
        </w:tc>
        <w:tc>
          <w:tcPr>
            <w:tcW w:w="1946" w:type="dxa"/>
            <w:tcBorders>
              <w:top w:val="single" w:color="auto" w:sz="4" w:space="0"/>
              <w:bottom w:val="single" w:color="auto" w:sz="4" w:space="0"/>
            </w:tcBorders>
            <w:noWrap w:val="0"/>
            <w:vAlign w:val="center"/>
          </w:tcPr>
          <w:p w14:paraId="647834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aps w:val="0"/>
                <w:smallCaps w:val="0"/>
                <w:color w:val="auto"/>
                <w:kern w:val="2"/>
                <w:sz w:val="21"/>
                <w:szCs w:val="21"/>
                <w:highlight w:val="none"/>
                <w:lang w:val="en-US" w:eastAsia="zh-CN" w:bidi="ar-SA"/>
              </w:rPr>
            </w:pPr>
            <w:r>
              <w:rPr>
                <w:rFonts w:hint="eastAsia" w:ascii="宋体" w:hAnsi="宋体" w:eastAsia="宋体" w:cs="宋体"/>
                <w:caps w:val="0"/>
                <w:smallCaps w:val="0"/>
                <w:color w:val="auto"/>
                <w:sz w:val="21"/>
                <w:szCs w:val="21"/>
                <w:highlight w:val="none"/>
                <w:lang w:val="en-US" w:eastAsia="zh-CN"/>
              </w:rPr>
              <w:t>轿厢导轨</w:t>
            </w:r>
          </w:p>
        </w:tc>
        <w:tc>
          <w:tcPr>
            <w:tcW w:w="6460" w:type="dxa"/>
            <w:tcBorders>
              <w:top w:val="single" w:color="auto" w:sz="4" w:space="0"/>
              <w:bottom w:val="single" w:color="auto" w:sz="4" w:space="0"/>
              <w:right w:val="single" w:color="auto" w:sz="4" w:space="0"/>
            </w:tcBorders>
            <w:noWrap w:val="0"/>
            <w:vAlign w:val="center"/>
          </w:tcPr>
          <w:p w14:paraId="559639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宋体" w:hAnsi="宋体" w:eastAsia="宋体" w:cs="宋体"/>
                <w:caps w:val="0"/>
                <w:smallCaps w:val="0"/>
                <w:color w:val="auto"/>
                <w:kern w:val="2"/>
                <w:sz w:val="21"/>
                <w:szCs w:val="21"/>
                <w:highlight w:val="none"/>
                <w:lang w:val="en-US" w:eastAsia="zh-CN" w:bidi="ar-SA"/>
              </w:rPr>
            </w:pPr>
            <w:r>
              <w:rPr>
                <w:rFonts w:hint="eastAsia" w:ascii="宋体" w:hAnsi="宋体" w:eastAsia="宋体" w:cs="宋体"/>
                <w:caps w:val="0"/>
                <w:smallCaps w:val="0"/>
                <w:color w:val="auto"/>
                <w:sz w:val="21"/>
                <w:szCs w:val="21"/>
                <w:highlight w:val="none"/>
                <w:lang w:val="en-US" w:eastAsia="zh-CN"/>
              </w:rPr>
              <w:t>导轨型号不得低于T114</w:t>
            </w:r>
            <w:r>
              <w:rPr>
                <w:rFonts w:hint="eastAsia" w:ascii="宋体" w:hAnsi="宋体" w:cs="宋体"/>
                <w:caps w:val="0"/>
                <w:smallCaps w:val="0"/>
                <w:color w:val="auto"/>
                <w:sz w:val="21"/>
                <w:szCs w:val="21"/>
                <w:highlight w:val="none"/>
                <w:lang w:val="en-US" w:eastAsia="zh-CN"/>
              </w:rPr>
              <w:t>（保留导轨）</w:t>
            </w:r>
          </w:p>
        </w:tc>
      </w:tr>
      <w:tr w14:paraId="09D0C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1" w:type="dxa"/>
            <w:tcBorders>
              <w:top w:val="single" w:color="auto" w:sz="4" w:space="0"/>
              <w:left w:val="single" w:color="auto" w:sz="4" w:space="0"/>
              <w:bottom w:val="single" w:color="auto" w:sz="4" w:space="0"/>
            </w:tcBorders>
            <w:noWrap w:val="0"/>
            <w:vAlign w:val="center"/>
          </w:tcPr>
          <w:p w14:paraId="4520EB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aps w:val="0"/>
                <w:smallCaps w:val="0"/>
                <w:color w:val="auto"/>
                <w:sz w:val="21"/>
                <w:szCs w:val="21"/>
                <w:highlight w:val="none"/>
                <w:lang w:val="en-US" w:eastAsia="zh-CN"/>
              </w:rPr>
            </w:pPr>
            <w:r>
              <w:rPr>
                <w:rFonts w:hint="eastAsia" w:ascii="宋体" w:hAnsi="宋体" w:eastAsia="宋体" w:cs="宋体"/>
                <w:caps w:val="0"/>
                <w:smallCaps w:val="0"/>
                <w:color w:val="auto"/>
                <w:sz w:val="21"/>
                <w:szCs w:val="21"/>
                <w:highlight w:val="none"/>
                <w:lang w:val="en-US" w:eastAsia="zh-CN"/>
              </w:rPr>
              <w:t>13</w:t>
            </w:r>
          </w:p>
        </w:tc>
        <w:tc>
          <w:tcPr>
            <w:tcW w:w="1946" w:type="dxa"/>
            <w:tcBorders>
              <w:top w:val="single" w:color="auto" w:sz="4" w:space="0"/>
              <w:bottom w:val="single" w:color="auto" w:sz="4" w:space="0"/>
            </w:tcBorders>
            <w:noWrap w:val="0"/>
            <w:vAlign w:val="center"/>
          </w:tcPr>
          <w:p w14:paraId="02CFFA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aps w:val="0"/>
                <w:smallCaps w:val="0"/>
                <w:color w:val="auto"/>
                <w:sz w:val="21"/>
                <w:szCs w:val="21"/>
                <w:highlight w:val="none"/>
                <w:lang w:val="en-US" w:eastAsia="zh-CN"/>
              </w:rPr>
            </w:pPr>
            <w:r>
              <w:rPr>
                <w:rFonts w:hint="eastAsia" w:ascii="宋体" w:hAnsi="宋体" w:eastAsia="宋体" w:cs="宋体"/>
                <w:caps w:val="0"/>
                <w:smallCaps w:val="0"/>
                <w:color w:val="auto"/>
                <w:sz w:val="21"/>
                <w:szCs w:val="21"/>
                <w:highlight w:val="none"/>
                <w:lang w:val="en-US" w:eastAsia="zh-CN"/>
              </w:rPr>
              <w:t>对重导轨</w:t>
            </w:r>
          </w:p>
        </w:tc>
        <w:tc>
          <w:tcPr>
            <w:tcW w:w="6460" w:type="dxa"/>
            <w:tcBorders>
              <w:top w:val="single" w:color="auto" w:sz="4" w:space="0"/>
              <w:bottom w:val="single" w:color="auto" w:sz="4" w:space="0"/>
              <w:right w:val="single" w:color="auto" w:sz="4" w:space="0"/>
            </w:tcBorders>
            <w:noWrap w:val="0"/>
            <w:vAlign w:val="center"/>
          </w:tcPr>
          <w:p w14:paraId="36D2EB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宋体" w:hAnsi="宋体" w:eastAsia="宋体" w:cs="宋体"/>
                <w:caps w:val="0"/>
                <w:smallCaps w:val="0"/>
                <w:color w:val="auto"/>
                <w:sz w:val="21"/>
                <w:szCs w:val="21"/>
                <w:highlight w:val="none"/>
                <w:lang w:val="en-US" w:eastAsia="zh-CN"/>
              </w:rPr>
            </w:pPr>
            <w:r>
              <w:rPr>
                <w:rFonts w:hint="eastAsia" w:ascii="宋体" w:hAnsi="宋体" w:eastAsia="宋体" w:cs="宋体"/>
                <w:caps w:val="0"/>
                <w:smallCaps w:val="0"/>
                <w:color w:val="auto"/>
                <w:sz w:val="21"/>
                <w:szCs w:val="21"/>
                <w:highlight w:val="none"/>
                <w:lang w:val="en-US" w:eastAsia="zh-CN"/>
              </w:rPr>
              <w:t>导轨型号不得低于T89(实心）</w:t>
            </w:r>
            <w:r>
              <w:rPr>
                <w:rFonts w:hint="eastAsia" w:ascii="宋体" w:hAnsi="宋体" w:cs="宋体"/>
                <w:caps w:val="0"/>
                <w:smallCaps w:val="0"/>
                <w:color w:val="auto"/>
                <w:sz w:val="21"/>
                <w:szCs w:val="21"/>
                <w:highlight w:val="none"/>
                <w:lang w:val="en-US" w:eastAsia="zh-CN"/>
              </w:rPr>
              <w:t>（保留导轨）</w:t>
            </w:r>
          </w:p>
        </w:tc>
      </w:tr>
      <w:tr w14:paraId="707D7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1" w:type="dxa"/>
            <w:tcBorders>
              <w:top w:val="single" w:color="auto" w:sz="4" w:space="0"/>
              <w:left w:val="single" w:color="auto" w:sz="4" w:space="0"/>
              <w:bottom w:val="single" w:color="auto" w:sz="4" w:space="0"/>
            </w:tcBorders>
            <w:noWrap w:val="0"/>
            <w:vAlign w:val="center"/>
          </w:tcPr>
          <w:p w14:paraId="46A8D5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aps w:val="0"/>
                <w:smallCaps w:val="0"/>
                <w:color w:val="auto"/>
                <w:kern w:val="2"/>
                <w:sz w:val="21"/>
                <w:szCs w:val="21"/>
                <w:highlight w:val="none"/>
                <w:lang w:val="en-US" w:eastAsia="zh-CN" w:bidi="ar-SA"/>
              </w:rPr>
            </w:pPr>
            <w:r>
              <w:rPr>
                <w:rFonts w:hint="eastAsia" w:ascii="宋体" w:hAnsi="宋体" w:eastAsia="宋体" w:cs="宋体"/>
                <w:caps w:val="0"/>
                <w:smallCaps w:val="0"/>
                <w:color w:val="auto"/>
                <w:kern w:val="2"/>
                <w:sz w:val="21"/>
                <w:szCs w:val="21"/>
                <w:highlight w:val="none"/>
                <w:lang w:val="en-US" w:eastAsia="zh-CN" w:bidi="ar-SA"/>
              </w:rPr>
              <w:t>14</w:t>
            </w:r>
          </w:p>
        </w:tc>
        <w:tc>
          <w:tcPr>
            <w:tcW w:w="1946" w:type="dxa"/>
            <w:tcBorders>
              <w:top w:val="single" w:color="auto" w:sz="4" w:space="0"/>
              <w:bottom w:val="single" w:color="auto" w:sz="4" w:space="0"/>
            </w:tcBorders>
            <w:noWrap w:val="0"/>
            <w:vAlign w:val="center"/>
          </w:tcPr>
          <w:p w14:paraId="542B4D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aps w:val="0"/>
                <w:smallCaps w:val="0"/>
                <w:color w:val="auto"/>
                <w:kern w:val="2"/>
                <w:sz w:val="21"/>
                <w:szCs w:val="21"/>
                <w:highlight w:val="none"/>
                <w:lang w:val="en-US" w:eastAsia="zh-CN" w:bidi="ar-SA"/>
              </w:rPr>
            </w:pPr>
            <w:r>
              <w:rPr>
                <w:rFonts w:hint="eastAsia" w:ascii="宋体" w:hAnsi="宋体" w:eastAsia="宋体" w:cs="宋体"/>
                <w:caps w:val="0"/>
                <w:smallCaps w:val="0"/>
                <w:color w:val="auto"/>
                <w:kern w:val="2"/>
                <w:sz w:val="21"/>
                <w:szCs w:val="21"/>
                <w:highlight w:val="none"/>
                <w:lang w:val="en-US" w:eastAsia="zh-CN" w:bidi="ar-SA"/>
              </w:rPr>
              <w:t>对重块</w:t>
            </w:r>
          </w:p>
        </w:tc>
        <w:tc>
          <w:tcPr>
            <w:tcW w:w="6460" w:type="dxa"/>
            <w:tcBorders>
              <w:top w:val="single" w:color="auto" w:sz="4" w:space="0"/>
              <w:bottom w:val="single" w:color="auto" w:sz="4" w:space="0"/>
              <w:right w:val="single" w:color="auto" w:sz="4" w:space="0"/>
            </w:tcBorders>
            <w:noWrap w:val="0"/>
            <w:vAlign w:val="center"/>
          </w:tcPr>
          <w:p w14:paraId="3FEC84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aps w:val="0"/>
                <w:smallCaps w:val="0"/>
                <w:color w:val="auto"/>
                <w:kern w:val="2"/>
                <w:sz w:val="21"/>
                <w:szCs w:val="21"/>
                <w:highlight w:val="none"/>
                <w:lang w:val="en-US" w:eastAsia="zh-CN" w:bidi="ar-SA"/>
              </w:rPr>
            </w:pPr>
            <w:r>
              <w:rPr>
                <w:rFonts w:hint="eastAsia" w:ascii="宋体" w:hAnsi="宋体" w:eastAsia="宋体" w:cs="宋体"/>
                <w:caps w:val="0"/>
                <w:smallCaps w:val="0"/>
                <w:color w:val="auto"/>
                <w:kern w:val="2"/>
                <w:sz w:val="21"/>
                <w:szCs w:val="21"/>
                <w:highlight w:val="none"/>
                <w:lang w:val="en-US" w:eastAsia="zh-CN" w:bidi="ar-SA"/>
              </w:rPr>
              <w:t>金属材质。</w:t>
            </w:r>
          </w:p>
        </w:tc>
      </w:tr>
      <w:tr w14:paraId="30938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1" w:type="dxa"/>
            <w:tcBorders>
              <w:top w:val="single" w:color="auto" w:sz="4" w:space="0"/>
              <w:left w:val="single" w:color="auto" w:sz="4" w:space="0"/>
              <w:bottom w:val="single" w:color="auto" w:sz="4" w:space="0"/>
            </w:tcBorders>
            <w:noWrap w:val="0"/>
            <w:vAlign w:val="center"/>
          </w:tcPr>
          <w:p w14:paraId="671B6A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aps w:val="0"/>
                <w:smallCaps w:val="0"/>
                <w:color w:val="auto"/>
                <w:kern w:val="2"/>
                <w:sz w:val="21"/>
                <w:szCs w:val="21"/>
                <w:highlight w:val="none"/>
                <w:lang w:val="en-US" w:eastAsia="zh-CN" w:bidi="ar-SA"/>
              </w:rPr>
            </w:pPr>
            <w:r>
              <w:rPr>
                <w:rFonts w:hint="eastAsia" w:ascii="宋体" w:hAnsi="宋体" w:eastAsia="宋体" w:cs="宋体"/>
                <w:caps w:val="0"/>
                <w:smallCaps w:val="0"/>
                <w:color w:val="auto"/>
                <w:kern w:val="2"/>
                <w:sz w:val="21"/>
                <w:szCs w:val="21"/>
                <w:highlight w:val="none"/>
                <w:lang w:val="en-US" w:eastAsia="zh-CN" w:bidi="ar-SA"/>
              </w:rPr>
              <w:t>15</w:t>
            </w:r>
          </w:p>
        </w:tc>
        <w:tc>
          <w:tcPr>
            <w:tcW w:w="1946" w:type="dxa"/>
            <w:tcBorders>
              <w:top w:val="single" w:color="auto" w:sz="4" w:space="0"/>
              <w:bottom w:val="single" w:color="auto" w:sz="4" w:space="0"/>
            </w:tcBorders>
            <w:noWrap w:val="0"/>
            <w:vAlign w:val="center"/>
          </w:tcPr>
          <w:p w14:paraId="0FA0D4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aps w:val="0"/>
                <w:smallCaps w:val="0"/>
                <w:color w:val="auto"/>
                <w:kern w:val="2"/>
                <w:sz w:val="21"/>
                <w:szCs w:val="21"/>
                <w:highlight w:val="none"/>
                <w:lang w:val="en-US" w:eastAsia="zh-CN" w:bidi="ar-SA"/>
              </w:rPr>
            </w:pPr>
            <w:r>
              <w:rPr>
                <w:rFonts w:hint="eastAsia" w:ascii="宋体" w:hAnsi="宋体" w:cs="宋体"/>
                <w:caps w:val="0"/>
                <w:smallCaps w:val="0"/>
                <w:color w:val="auto"/>
                <w:kern w:val="2"/>
                <w:sz w:val="21"/>
                <w:szCs w:val="21"/>
                <w:highlight w:val="none"/>
                <w:lang w:val="en-US" w:eastAsia="zh-CN" w:bidi="ar-SA"/>
              </w:rPr>
              <w:t>轿厢</w:t>
            </w:r>
            <w:r>
              <w:rPr>
                <w:rFonts w:hint="eastAsia" w:ascii="宋体" w:hAnsi="宋体" w:eastAsia="宋体" w:cs="宋体"/>
                <w:caps w:val="0"/>
                <w:smallCaps w:val="0"/>
                <w:color w:val="auto"/>
                <w:kern w:val="2"/>
                <w:sz w:val="21"/>
                <w:szCs w:val="21"/>
                <w:highlight w:val="none"/>
                <w:lang w:val="en-US" w:eastAsia="zh-CN" w:bidi="ar-SA"/>
              </w:rPr>
              <w:t>反绳轮</w:t>
            </w:r>
          </w:p>
        </w:tc>
        <w:tc>
          <w:tcPr>
            <w:tcW w:w="6460" w:type="dxa"/>
            <w:tcBorders>
              <w:top w:val="single" w:color="auto" w:sz="4" w:space="0"/>
              <w:bottom w:val="single" w:color="auto" w:sz="4" w:space="0"/>
              <w:right w:val="single" w:color="auto" w:sz="4" w:space="0"/>
            </w:tcBorders>
            <w:noWrap w:val="0"/>
            <w:vAlign w:val="center"/>
          </w:tcPr>
          <w:p w14:paraId="4292B0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aps w:val="0"/>
                <w:smallCaps w:val="0"/>
                <w:color w:val="auto"/>
                <w:kern w:val="2"/>
                <w:sz w:val="21"/>
                <w:szCs w:val="21"/>
                <w:highlight w:val="none"/>
                <w:lang w:val="en-US" w:eastAsia="zh-CN" w:bidi="ar-SA"/>
              </w:rPr>
            </w:pPr>
            <w:r>
              <w:rPr>
                <w:rFonts w:hint="eastAsia" w:ascii="宋体" w:hAnsi="宋体" w:eastAsia="宋体" w:cs="宋体"/>
                <w:caps w:val="0"/>
                <w:smallCaps w:val="0"/>
                <w:color w:val="auto"/>
                <w:kern w:val="2"/>
                <w:sz w:val="21"/>
                <w:szCs w:val="21"/>
                <w:highlight w:val="none"/>
                <w:lang w:val="en-US" w:eastAsia="zh-CN" w:bidi="ar-SA"/>
              </w:rPr>
              <w:t>金属材质。</w:t>
            </w:r>
          </w:p>
        </w:tc>
      </w:tr>
      <w:tr w14:paraId="40537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1" w:type="dxa"/>
            <w:tcBorders>
              <w:top w:val="single" w:color="auto" w:sz="4" w:space="0"/>
              <w:left w:val="single" w:color="auto" w:sz="4" w:space="0"/>
              <w:bottom w:val="single" w:color="auto" w:sz="4" w:space="0"/>
            </w:tcBorders>
            <w:noWrap w:val="0"/>
            <w:vAlign w:val="center"/>
          </w:tcPr>
          <w:p w14:paraId="37A924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aps w:val="0"/>
                <w:smallCaps w:val="0"/>
                <w:color w:val="auto"/>
                <w:kern w:val="2"/>
                <w:sz w:val="21"/>
                <w:szCs w:val="21"/>
                <w:highlight w:val="none"/>
                <w:lang w:val="en-US" w:eastAsia="zh-CN" w:bidi="ar-SA"/>
              </w:rPr>
            </w:pPr>
            <w:r>
              <w:rPr>
                <w:rFonts w:hint="eastAsia" w:ascii="宋体" w:hAnsi="宋体" w:eastAsia="宋体" w:cs="宋体"/>
                <w:caps w:val="0"/>
                <w:smallCaps w:val="0"/>
                <w:color w:val="auto"/>
                <w:kern w:val="2"/>
                <w:sz w:val="21"/>
                <w:szCs w:val="21"/>
                <w:highlight w:val="none"/>
                <w:lang w:val="en-US" w:eastAsia="zh-CN" w:bidi="ar-SA"/>
              </w:rPr>
              <w:t>16</w:t>
            </w:r>
          </w:p>
        </w:tc>
        <w:tc>
          <w:tcPr>
            <w:tcW w:w="1946" w:type="dxa"/>
            <w:tcBorders>
              <w:top w:val="single" w:color="auto" w:sz="4" w:space="0"/>
              <w:bottom w:val="single" w:color="auto" w:sz="4" w:space="0"/>
            </w:tcBorders>
            <w:noWrap w:val="0"/>
            <w:vAlign w:val="center"/>
          </w:tcPr>
          <w:p w14:paraId="6C5909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aps w:val="0"/>
                <w:smallCaps w:val="0"/>
                <w:color w:val="auto"/>
                <w:kern w:val="2"/>
                <w:sz w:val="21"/>
                <w:szCs w:val="21"/>
                <w:highlight w:val="none"/>
                <w:lang w:val="en-US" w:eastAsia="zh-CN" w:bidi="ar-SA"/>
              </w:rPr>
            </w:pPr>
            <w:r>
              <w:rPr>
                <w:rFonts w:hint="eastAsia" w:ascii="宋体" w:hAnsi="宋体" w:cs="宋体"/>
                <w:caps w:val="0"/>
                <w:smallCaps w:val="0"/>
                <w:color w:val="auto"/>
                <w:kern w:val="2"/>
                <w:sz w:val="21"/>
                <w:szCs w:val="21"/>
                <w:highlight w:val="none"/>
                <w:lang w:val="en-US" w:eastAsia="zh-CN" w:bidi="ar-SA"/>
              </w:rPr>
              <w:t>对重</w:t>
            </w:r>
            <w:r>
              <w:rPr>
                <w:rFonts w:hint="eastAsia" w:ascii="宋体" w:hAnsi="宋体" w:eastAsia="宋体" w:cs="宋体"/>
                <w:caps w:val="0"/>
                <w:smallCaps w:val="0"/>
                <w:color w:val="auto"/>
                <w:kern w:val="2"/>
                <w:sz w:val="21"/>
                <w:szCs w:val="21"/>
                <w:highlight w:val="none"/>
                <w:lang w:val="en-US" w:eastAsia="zh-CN" w:bidi="ar-SA"/>
              </w:rPr>
              <w:t>反绳轮</w:t>
            </w:r>
          </w:p>
        </w:tc>
        <w:tc>
          <w:tcPr>
            <w:tcW w:w="6460" w:type="dxa"/>
            <w:tcBorders>
              <w:top w:val="single" w:color="auto" w:sz="4" w:space="0"/>
              <w:bottom w:val="single" w:color="auto" w:sz="4" w:space="0"/>
              <w:right w:val="single" w:color="auto" w:sz="4" w:space="0"/>
            </w:tcBorders>
            <w:noWrap w:val="0"/>
            <w:vAlign w:val="center"/>
          </w:tcPr>
          <w:p w14:paraId="268E8C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aps w:val="0"/>
                <w:smallCaps w:val="0"/>
                <w:color w:val="auto"/>
                <w:kern w:val="2"/>
                <w:sz w:val="21"/>
                <w:szCs w:val="21"/>
                <w:highlight w:val="none"/>
                <w:lang w:val="en-US" w:eastAsia="zh-CN" w:bidi="ar-SA"/>
              </w:rPr>
            </w:pPr>
            <w:r>
              <w:rPr>
                <w:rFonts w:hint="eastAsia" w:ascii="宋体" w:hAnsi="宋体" w:eastAsia="宋体" w:cs="宋体"/>
                <w:caps w:val="0"/>
                <w:smallCaps w:val="0"/>
                <w:color w:val="auto"/>
                <w:kern w:val="2"/>
                <w:sz w:val="21"/>
                <w:szCs w:val="21"/>
                <w:highlight w:val="none"/>
                <w:lang w:val="en-US" w:eastAsia="zh-CN" w:bidi="ar-SA"/>
              </w:rPr>
              <w:t>金属材质。</w:t>
            </w:r>
          </w:p>
        </w:tc>
      </w:tr>
      <w:tr w14:paraId="2721E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1" w:type="dxa"/>
            <w:tcBorders>
              <w:top w:val="single" w:color="auto" w:sz="4" w:space="0"/>
              <w:left w:val="single" w:color="auto" w:sz="4" w:space="0"/>
              <w:bottom w:val="single" w:color="auto" w:sz="4" w:space="0"/>
            </w:tcBorders>
            <w:noWrap w:val="0"/>
            <w:vAlign w:val="center"/>
          </w:tcPr>
          <w:p w14:paraId="286AF2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aps w:val="0"/>
                <w:smallCaps w:val="0"/>
                <w:color w:val="auto"/>
                <w:kern w:val="2"/>
                <w:sz w:val="21"/>
                <w:szCs w:val="21"/>
                <w:highlight w:val="none"/>
                <w:lang w:val="en-US" w:eastAsia="zh-CN" w:bidi="ar-SA"/>
              </w:rPr>
            </w:pPr>
            <w:r>
              <w:rPr>
                <w:rFonts w:hint="eastAsia" w:ascii="宋体" w:hAnsi="宋体" w:eastAsia="宋体" w:cs="宋体"/>
                <w:caps w:val="0"/>
                <w:smallCaps w:val="0"/>
                <w:color w:val="auto"/>
                <w:kern w:val="2"/>
                <w:sz w:val="21"/>
                <w:szCs w:val="21"/>
                <w:highlight w:val="none"/>
                <w:lang w:val="en-US" w:eastAsia="zh-CN" w:bidi="ar-SA"/>
              </w:rPr>
              <w:t>17</w:t>
            </w:r>
          </w:p>
        </w:tc>
        <w:tc>
          <w:tcPr>
            <w:tcW w:w="1946" w:type="dxa"/>
            <w:tcBorders>
              <w:top w:val="single" w:color="auto" w:sz="4" w:space="0"/>
              <w:bottom w:val="single" w:color="auto" w:sz="4" w:space="0"/>
            </w:tcBorders>
            <w:noWrap w:val="0"/>
            <w:vAlign w:val="center"/>
          </w:tcPr>
          <w:p w14:paraId="406E61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aps w:val="0"/>
                <w:smallCaps w:val="0"/>
                <w:color w:val="auto"/>
                <w:kern w:val="2"/>
                <w:sz w:val="21"/>
                <w:szCs w:val="21"/>
                <w:highlight w:val="none"/>
                <w:lang w:val="en-US" w:eastAsia="zh-CN" w:bidi="ar-SA"/>
              </w:rPr>
            </w:pPr>
            <w:r>
              <w:rPr>
                <w:rFonts w:hint="eastAsia" w:ascii="宋体" w:hAnsi="宋体" w:eastAsia="宋体" w:cs="宋体"/>
                <w:caps w:val="0"/>
                <w:smallCaps w:val="0"/>
                <w:color w:val="auto"/>
                <w:kern w:val="2"/>
                <w:sz w:val="21"/>
                <w:szCs w:val="21"/>
                <w:highlight w:val="none"/>
                <w:lang w:val="en-US" w:eastAsia="zh-CN" w:bidi="ar-SA"/>
              </w:rPr>
              <w:t>导向轮</w:t>
            </w:r>
          </w:p>
        </w:tc>
        <w:tc>
          <w:tcPr>
            <w:tcW w:w="6460" w:type="dxa"/>
            <w:tcBorders>
              <w:top w:val="single" w:color="auto" w:sz="4" w:space="0"/>
              <w:bottom w:val="single" w:color="auto" w:sz="4" w:space="0"/>
              <w:right w:val="single" w:color="auto" w:sz="4" w:space="0"/>
            </w:tcBorders>
            <w:noWrap w:val="0"/>
            <w:vAlign w:val="center"/>
          </w:tcPr>
          <w:p w14:paraId="045DF2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aps w:val="0"/>
                <w:smallCaps w:val="0"/>
                <w:color w:val="auto"/>
                <w:kern w:val="2"/>
                <w:sz w:val="21"/>
                <w:szCs w:val="21"/>
                <w:highlight w:val="none"/>
                <w:lang w:val="en-US" w:eastAsia="zh-CN" w:bidi="ar-SA"/>
              </w:rPr>
            </w:pPr>
            <w:r>
              <w:rPr>
                <w:rFonts w:hint="eastAsia" w:ascii="宋体" w:hAnsi="宋体" w:eastAsia="宋体" w:cs="宋体"/>
                <w:caps w:val="0"/>
                <w:smallCaps w:val="0"/>
                <w:color w:val="auto"/>
                <w:kern w:val="2"/>
                <w:sz w:val="21"/>
                <w:szCs w:val="21"/>
                <w:highlight w:val="none"/>
                <w:lang w:val="en-US" w:eastAsia="zh-CN" w:bidi="ar-SA"/>
              </w:rPr>
              <w:t>金属材质。</w:t>
            </w:r>
          </w:p>
        </w:tc>
      </w:tr>
      <w:tr w14:paraId="760F8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1" w:type="dxa"/>
            <w:tcBorders>
              <w:top w:val="single" w:color="auto" w:sz="4" w:space="0"/>
              <w:left w:val="single" w:color="auto" w:sz="4" w:space="0"/>
              <w:bottom w:val="single" w:color="auto" w:sz="4" w:space="0"/>
            </w:tcBorders>
            <w:noWrap w:val="0"/>
            <w:vAlign w:val="center"/>
          </w:tcPr>
          <w:p w14:paraId="2D3098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aps w:val="0"/>
                <w:smallCaps w:val="0"/>
                <w:color w:val="auto"/>
                <w:kern w:val="2"/>
                <w:sz w:val="21"/>
                <w:szCs w:val="21"/>
                <w:highlight w:val="none"/>
                <w:lang w:val="en-US" w:eastAsia="zh-CN" w:bidi="ar-SA"/>
              </w:rPr>
            </w:pPr>
            <w:r>
              <w:rPr>
                <w:rFonts w:hint="eastAsia" w:ascii="宋体" w:hAnsi="宋体" w:eastAsia="宋体" w:cs="宋体"/>
                <w:caps w:val="0"/>
                <w:smallCaps w:val="0"/>
                <w:color w:val="auto"/>
                <w:sz w:val="21"/>
                <w:szCs w:val="21"/>
                <w:highlight w:val="none"/>
                <w:lang w:val="en-US" w:eastAsia="zh-CN"/>
              </w:rPr>
              <w:t>18</w:t>
            </w:r>
          </w:p>
        </w:tc>
        <w:tc>
          <w:tcPr>
            <w:tcW w:w="1946" w:type="dxa"/>
            <w:tcBorders>
              <w:top w:val="single" w:color="auto" w:sz="4" w:space="0"/>
              <w:bottom w:val="single" w:color="auto" w:sz="4" w:space="0"/>
            </w:tcBorders>
            <w:noWrap w:val="0"/>
            <w:vAlign w:val="center"/>
          </w:tcPr>
          <w:p w14:paraId="0BE486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aps w:val="0"/>
                <w:smallCaps w:val="0"/>
                <w:color w:val="auto"/>
                <w:sz w:val="21"/>
                <w:szCs w:val="21"/>
                <w:highlight w:val="none"/>
                <w:lang w:val="en-US" w:eastAsia="zh-CN"/>
              </w:rPr>
            </w:pPr>
            <w:r>
              <w:rPr>
                <w:rFonts w:hint="eastAsia" w:ascii="宋体" w:hAnsi="宋体" w:eastAsia="宋体" w:cs="宋体"/>
                <w:caps w:val="0"/>
                <w:smallCaps w:val="0"/>
                <w:color w:val="auto"/>
                <w:sz w:val="21"/>
                <w:szCs w:val="21"/>
                <w:highlight w:val="none"/>
                <w:lang w:val="en-US" w:eastAsia="zh-CN"/>
              </w:rPr>
              <w:t>钢丝绳直径</w:t>
            </w:r>
          </w:p>
        </w:tc>
        <w:tc>
          <w:tcPr>
            <w:tcW w:w="6460" w:type="dxa"/>
            <w:tcBorders>
              <w:top w:val="single" w:color="auto" w:sz="4" w:space="0"/>
              <w:bottom w:val="single" w:color="auto" w:sz="4" w:space="0"/>
              <w:right w:val="single" w:color="auto" w:sz="4" w:space="0"/>
            </w:tcBorders>
            <w:noWrap w:val="0"/>
            <w:vAlign w:val="center"/>
          </w:tcPr>
          <w:p w14:paraId="104F57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aps w:val="0"/>
                <w:smallCaps w:val="0"/>
                <w:color w:val="auto"/>
                <w:sz w:val="21"/>
                <w:szCs w:val="21"/>
                <w:highlight w:val="none"/>
                <w:lang w:val="en-US" w:eastAsia="zh-CN"/>
              </w:rPr>
            </w:pPr>
            <w:r>
              <w:rPr>
                <w:rFonts w:hint="eastAsia" w:ascii="宋体" w:hAnsi="宋体" w:eastAsia="宋体" w:cs="宋体"/>
                <w:caps w:val="0"/>
                <w:smallCaps w:val="0"/>
                <w:color w:val="auto"/>
                <w:sz w:val="21"/>
                <w:szCs w:val="21"/>
                <w:highlight w:val="none"/>
                <w:lang w:val="en-US" w:eastAsia="zh-CN"/>
              </w:rPr>
              <w:t>钢丝绳直径不得低于10mm</w:t>
            </w:r>
          </w:p>
        </w:tc>
      </w:tr>
      <w:tr w14:paraId="59E1F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1" w:type="dxa"/>
            <w:tcBorders>
              <w:top w:val="single" w:color="auto" w:sz="4" w:space="0"/>
              <w:left w:val="single" w:color="auto" w:sz="4" w:space="0"/>
              <w:bottom w:val="single" w:color="auto" w:sz="4" w:space="0"/>
            </w:tcBorders>
            <w:noWrap w:val="0"/>
            <w:vAlign w:val="center"/>
          </w:tcPr>
          <w:p w14:paraId="61F6A3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aps w:val="0"/>
                <w:smallCaps w:val="0"/>
                <w:color w:val="auto"/>
                <w:kern w:val="2"/>
                <w:sz w:val="21"/>
                <w:szCs w:val="21"/>
                <w:highlight w:val="none"/>
                <w:lang w:val="en-US" w:eastAsia="zh-CN" w:bidi="ar-SA"/>
              </w:rPr>
            </w:pPr>
            <w:r>
              <w:rPr>
                <w:rFonts w:hint="eastAsia" w:ascii="宋体" w:hAnsi="宋体" w:eastAsia="宋体" w:cs="宋体"/>
                <w:caps w:val="0"/>
                <w:smallCaps w:val="0"/>
                <w:color w:val="auto"/>
                <w:kern w:val="2"/>
                <w:sz w:val="21"/>
                <w:szCs w:val="21"/>
                <w:highlight w:val="none"/>
                <w:lang w:val="en-US" w:eastAsia="zh-CN" w:bidi="ar-SA"/>
              </w:rPr>
              <w:t>19</w:t>
            </w:r>
          </w:p>
        </w:tc>
        <w:tc>
          <w:tcPr>
            <w:tcW w:w="1946" w:type="dxa"/>
            <w:tcBorders>
              <w:top w:val="single" w:color="auto" w:sz="4" w:space="0"/>
              <w:bottom w:val="single" w:color="auto" w:sz="4" w:space="0"/>
            </w:tcBorders>
            <w:noWrap w:val="0"/>
            <w:vAlign w:val="center"/>
          </w:tcPr>
          <w:p w14:paraId="68E522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aps w:val="0"/>
                <w:smallCaps w:val="0"/>
                <w:color w:val="auto"/>
                <w:kern w:val="2"/>
                <w:sz w:val="21"/>
                <w:szCs w:val="21"/>
                <w:highlight w:val="none"/>
                <w:lang w:val="en-US" w:eastAsia="zh-CN" w:bidi="ar-SA"/>
              </w:rPr>
            </w:pPr>
            <w:r>
              <w:rPr>
                <w:rFonts w:hint="eastAsia" w:ascii="宋体" w:hAnsi="宋体" w:eastAsia="宋体" w:cs="宋体"/>
                <w:caps w:val="0"/>
                <w:smallCaps w:val="0"/>
                <w:color w:val="auto"/>
                <w:sz w:val="21"/>
                <w:szCs w:val="21"/>
                <w:highlight w:val="none"/>
                <w:lang w:val="en-US" w:eastAsia="zh-CN"/>
              </w:rPr>
              <w:t>门机</w:t>
            </w:r>
          </w:p>
        </w:tc>
        <w:tc>
          <w:tcPr>
            <w:tcW w:w="6460" w:type="dxa"/>
            <w:tcBorders>
              <w:top w:val="single" w:color="auto" w:sz="4" w:space="0"/>
              <w:bottom w:val="single" w:color="auto" w:sz="4" w:space="0"/>
              <w:right w:val="single" w:color="auto" w:sz="4" w:space="0"/>
            </w:tcBorders>
            <w:noWrap w:val="0"/>
            <w:vAlign w:val="center"/>
          </w:tcPr>
          <w:p w14:paraId="7EBC33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aps w:val="0"/>
                <w:smallCaps w:val="0"/>
                <w:color w:val="auto"/>
                <w:kern w:val="2"/>
                <w:sz w:val="21"/>
                <w:szCs w:val="21"/>
                <w:highlight w:val="none"/>
                <w:lang w:val="en-US" w:eastAsia="zh-CN" w:bidi="ar-SA"/>
              </w:rPr>
            </w:pPr>
            <w:r>
              <w:rPr>
                <w:rFonts w:hint="eastAsia" w:ascii="宋体" w:hAnsi="宋体" w:eastAsia="宋体" w:cs="宋体"/>
                <w:caps w:val="0"/>
                <w:smallCaps w:val="0"/>
                <w:color w:val="auto"/>
                <w:sz w:val="21"/>
                <w:szCs w:val="21"/>
                <w:highlight w:val="none"/>
                <w:lang w:val="en-US" w:eastAsia="zh-CN"/>
              </w:rPr>
              <w:t>变频门机，开关门时间≤3 秒，开关门时间可设置，门机电动机IP防护等级≥IP54。</w:t>
            </w:r>
          </w:p>
        </w:tc>
      </w:tr>
      <w:tr w14:paraId="6D05D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1" w:type="dxa"/>
            <w:tcBorders>
              <w:top w:val="single" w:color="auto" w:sz="4" w:space="0"/>
              <w:left w:val="single" w:color="auto" w:sz="4" w:space="0"/>
              <w:bottom w:val="single" w:color="auto" w:sz="4" w:space="0"/>
            </w:tcBorders>
            <w:noWrap w:val="0"/>
            <w:vAlign w:val="center"/>
          </w:tcPr>
          <w:p w14:paraId="7376F1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aps w:val="0"/>
                <w:smallCaps w:val="0"/>
                <w:color w:val="auto"/>
                <w:kern w:val="2"/>
                <w:sz w:val="21"/>
                <w:szCs w:val="21"/>
                <w:highlight w:val="none"/>
                <w:lang w:val="en-US" w:eastAsia="zh-CN" w:bidi="ar-SA"/>
              </w:rPr>
            </w:pPr>
            <w:r>
              <w:rPr>
                <w:rFonts w:hint="eastAsia" w:ascii="宋体" w:hAnsi="宋体" w:eastAsia="宋体" w:cs="宋体"/>
                <w:caps w:val="0"/>
                <w:smallCaps w:val="0"/>
                <w:color w:val="auto"/>
                <w:kern w:val="2"/>
                <w:sz w:val="21"/>
                <w:szCs w:val="21"/>
                <w:highlight w:val="none"/>
                <w:lang w:val="en-US" w:eastAsia="zh-CN" w:bidi="ar-SA"/>
              </w:rPr>
              <w:t>20</w:t>
            </w:r>
          </w:p>
        </w:tc>
        <w:tc>
          <w:tcPr>
            <w:tcW w:w="1946" w:type="dxa"/>
            <w:tcBorders>
              <w:top w:val="single" w:color="auto" w:sz="4" w:space="0"/>
              <w:bottom w:val="single" w:color="auto" w:sz="4" w:space="0"/>
            </w:tcBorders>
            <w:noWrap w:val="0"/>
            <w:vAlign w:val="center"/>
          </w:tcPr>
          <w:p w14:paraId="2A4E85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aps w:val="0"/>
                <w:smallCaps w:val="0"/>
                <w:color w:val="auto"/>
                <w:kern w:val="2"/>
                <w:sz w:val="21"/>
                <w:szCs w:val="21"/>
                <w:highlight w:val="none"/>
                <w:lang w:val="en-US" w:eastAsia="zh-CN" w:bidi="ar-SA"/>
              </w:rPr>
            </w:pPr>
            <w:r>
              <w:rPr>
                <w:rFonts w:hint="eastAsia" w:ascii="宋体" w:hAnsi="宋体" w:eastAsia="宋体" w:cs="宋体"/>
                <w:caps w:val="0"/>
                <w:smallCaps w:val="0"/>
                <w:color w:val="auto"/>
                <w:sz w:val="21"/>
                <w:szCs w:val="21"/>
                <w:highlight w:val="none"/>
                <w:lang w:val="en-US" w:eastAsia="zh-CN"/>
              </w:rPr>
              <w:t>噪音指标</w:t>
            </w:r>
          </w:p>
        </w:tc>
        <w:tc>
          <w:tcPr>
            <w:tcW w:w="6460" w:type="dxa"/>
            <w:tcBorders>
              <w:top w:val="single" w:color="auto" w:sz="4" w:space="0"/>
              <w:bottom w:val="single" w:color="auto" w:sz="4" w:space="0"/>
              <w:right w:val="single" w:color="auto" w:sz="4" w:space="0"/>
            </w:tcBorders>
            <w:noWrap w:val="0"/>
            <w:vAlign w:val="center"/>
          </w:tcPr>
          <w:p w14:paraId="63A16E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aps w:val="0"/>
                <w:smallCaps w:val="0"/>
                <w:color w:val="auto"/>
                <w:kern w:val="2"/>
                <w:sz w:val="21"/>
                <w:szCs w:val="21"/>
                <w:highlight w:val="none"/>
                <w:lang w:val="en-US" w:eastAsia="zh-CN" w:bidi="ar-SA"/>
              </w:rPr>
            </w:pPr>
            <w:r>
              <w:rPr>
                <w:rFonts w:hint="eastAsia" w:ascii="宋体" w:hAnsi="宋体" w:eastAsia="宋体" w:cs="宋体"/>
                <w:caps w:val="0"/>
                <w:smallCaps w:val="0"/>
                <w:color w:val="auto"/>
                <w:sz w:val="21"/>
                <w:szCs w:val="21"/>
                <w:highlight w:val="none"/>
                <w:lang w:val="en-US" w:eastAsia="zh-CN"/>
              </w:rPr>
              <w:t>额定速度运行时机房内平均噪音值≤70dB，开关门过程最大噪音值≤55dB，运行中轿厢内≤55dB。</w:t>
            </w:r>
          </w:p>
        </w:tc>
      </w:tr>
      <w:tr w14:paraId="09E37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1" w:type="dxa"/>
            <w:tcBorders>
              <w:top w:val="single" w:color="auto" w:sz="4" w:space="0"/>
              <w:left w:val="single" w:color="auto" w:sz="4" w:space="0"/>
              <w:bottom w:val="single" w:color="auto" w:sz="4" w:space="0"/>
            </w:tcBorders>
            <w:noWrap w:val="0"/>
            <w:vAlign w:val="center"/>
          </w:tcPr>
          <w:p w14:paraId="4999FF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宋体" w:hAnsi="宋体" w:eastAsia="宋体" w:cs="宋体"/>
                <w:caps w:val="0"/>
                <w:smallCaps w:val="0"/>
                <w:color w:val="auto"/>
                <w:kern w:val="2"/>
                <w:sz w:val="21"/>
                <w:szCs w:val="21"/>
                <w:highlight w:val="none"/>
                <w:lang w:val="en-US" w:eastAsia="zh-CN" w:bidi="ar-SA"/>
              </w:rPr>
            </w:pPr>
            <w:r>
              <w:rPr>
                <w:rFonts w:hint="eastAsia" w:ascii="宋体" w:hAnsi="宋体" w:eastAsia="宋体" w:cs="宋体"/>
                <w:caps w:val="0"/>
                <w:smallCaps w:val="0"/>
                <w:color w:val="auto"/>
                <w:kern w:val="2"/>
                <w:sz w:val="21"/>
                <w:szCs w:val="21"/>
                <w:highlight w:val="none"/>
                <w:lang w:val="en-US" w:eastAsia="zh-CN" w:bidi="ar-SA"/>
              </w:rPr>
              <w:t>2</w:t>
            </w:r>
            <w:r>
              <w:rPr>
                <w:rFonts w:hint="eastAsia" w:ascii="宋体" w:hAnsi="宋体" w:cs="宋体"/>
                <w:caps w:val="0"/>
                <w:smallCaps w:val="0"/>
                <w:color w:val="auto"/>
                <w:kern w:val="2"/>
                <w:sz w:val="21"/>
                <w:szCs w:val="21"/>
                <w:highlight w:val="none"/>
                <w:lang w:val="en-US" w:eastAsia="zh-CN" w:bidi="ar-SA"/>
              </w:rPr>
              <w:t>1</w:t>
            </w:r>
          </w:p>
        </w:tc>
        <w:tc>
          <w:tcPr>
            <w:tcW w:w="1946" w:type="dxa"/>
            <w:tcBorders>
              <w:top w:val="single" w:color="auto" w:sz="4" w:space="0"/>
              <w:bottom w:val="single" w:color="auto" w:sz="4" w:space="0"/>
            </w:tcBorders>
            <w:noWrap w:val="0"/>
            <w:vAlign w:val="center"/>
          </w:tcPr>
          <w:p w14:paraId="5BAA7E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aps w:val="0"/>
                <w:smallCaps w:val="0"/>
                <w:color w:val="auto"/>
                <w:kern w:val="2"/>
                <w:sz w:val="21"/>
                <w:szCs w:val="21"/>
                <w:highlight w:val="none"/>
                <w:lang w:val="en-US" w:eastAsia="zh-CN" w:bidi="ar-SA"/>
              </w:rPr>
            </w:pPr>
            <w:r>
              <w:rPr>
                <w:rFonts w:hint="eastAsia" w:ascii="宋体" w:hAnsi="宋体" w:eastAsia="宋体" w:cs="宋体"/>
                <w:caps w:val="0"/>
                <w:smallCaps w:val="0"/>
                <w:color w:val="auto"/>
                <w:sz w:val="21"/>
                <w:szCs w:val="21"/>
                <w:highlight w:val="none"/>
                <w:lang w:val="en-US" w:eastAsia="zh-CN"/>
              </w:rPr>
              <w:t>整机节能性能</w:t>
            </w:r>
          </w:p>
        </w:tc>
        <w:tc>
          <w:tcPr>
            <w:tcW w:w="6460" w:type="dxa"/>
            <w:tcBorders>
              <w:top w:val="single" w:color="auto" w:sz="4" w:space="0"/>
              <w:bottom w:val="single" w:color="auto" w:sz="4" w:space="0"/>
              <w:right w:val="single" w:color="auto" w:sz="4" w:space="0"/>
            </w:tcBorders>
            <w:noWrap w:val="0"/>
            <w:vAlign w:val="center"/>
          </w:tcPr>
          <w:p w14:paraId="25AC89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aps w:val="0"/>
                <w:smallCaps w:val="0"/>
                <w:color w:val="auto"/>
                <w:kern w:val="2"/>
                <w:sz w:val="21"/>
                <w:szCs w:val="21"/>
                <w:highlight w:val="none"/>
                <w:lang w:val="en-US" w:eastAsia="zh-CN" w:bidi="ar-SA"/>
              </w:rPr>
            </w:pPr>
            <w:r>
              <w:rPr>
                <w:rFonts w:hint="eastAsia" w:ascii="宋体" w:hAnsi="宋体" w:eastAsia="宋体" w:cs="宋体"/>
                <w:caps w:val="0"/>
                <w:smallCaps w:val="0"/>
                <w:color w:val="auto"/>
                <w:sz w:val="21"/>
                <w:szCs w:val="21"/>
                <w:highlight w:val="none"/>
                <w:lang w:val="en-US" w:eastAsia="zh-CN"/>
              </w:rPr>
              <w:t>取得VDI 4707和ISO 25745节能认证A级。</w:t>
            </w:r>
          </w:p>
        </w:tc>
      </w:tr>
      <w:tr w14:paraId="59642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1" w:type="dxa"/>
            <w:tcBorders>
              <w:top w:val="single" w:color="auto" w:sz="4" w:space="0"/>
              <w:left w:val="single" w:color="auto" w:sz="4" w:space="0"/>
              <w:bottom w:val="single" w:color="auto" w:sz="4" w:space="0"/>
            </w:tcBorders>
            <w:noWrap w:val="0"/>
            <w:vAlign w:val="center"/>
          </w:tcPr>
          <w:p w14:paraId="3B27FC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宋体" w:hAnsi="宋体" w:eastAsia="宋体" w:cs="宋体"/>
                <w:caps w:val="0"/>
                <w:smallCaps w:val="0"/>
                <w:color w:val="auto"/>
                <w:kern w:val="2"/>
                <w:sz w:val="21"/>
                <w:szCs w:val="21"/>
                <w:highlight w:val="none"/>
                <w:lang w:val="en-US" w:eastAsia="zh-CN" w:bidi="ar-SA"/>
              </w:rPr>
            </w:pPr>
            <w:r>
              <w:rPr>
                <w:rFonts w:hint="eastAsia" w:ascii="宋体" w:hAnsi="宋体" w:cs="宋体"/>
                <w:caps w:val="0"/>
                <w:smallCaps w:val="0"/>
                <w:color w:val="auto"/>
                <w:kern w:val="2"/>
                <w:sz w:val="21"/>
                <w:szCs w:val="21"/>
                <w:highlight w:val="none"/>
                <w:lang w:val="en-US" w:eastAsia="zh-CN" w:bidi="ar-SA"/>
              </w:rPr>
              <w:t>22</w:t>
            </w:r>
          </w:p>
        </w:tc>
        <w:tc>
          <w:tcPr>
            <w:tcW w:w="1946" w:type="dxa"/>
            <w:tcBorders>
              <w:top w:val="single" w:color="auto" w:sz="4" w:space="0"/>
              <w:bottom w:val="single" w:color="auto" w:sz="4" w:space="0"/>
            </w:tcBorders>
            <w:noWrap w:val="0"/>
            <w:vAlign w:val="center"/>
          </w:tcPr>
          <w:p w14:paraId="663829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宋体" w:hAnsi="宋体" w:eastAsia="宋体" w:cs="宋体"/>
                <w:caps w:val="0"/>
                <w:smallCaps w:val="0"/>
                <w:color w:val="auto"/>
                <w:sz w:val="21"/>
                <w:szCs w:val="21"/>
                <w:highlight w:val="none"/>
                <w:lang w:val="en-US" w:eastAsia="zh-CN"/>
              </w:rPr>
            </w:pPr>
            <w:r>
              <w:rPr>
                <w:rFonts w:hint="eastAsia" w:ascii="宋体" w:hAnsi="宋体" w:cs="宋体"/>
                <w:caps w:val="0"/>
                <w:smallCaps w:val="0"/>
                <w:color w:val="auto"/>
                <w:sz w:val="21"/>
                <w:szCs w:val="21"/>
                <w:highlight w:val="none"/>
                <w:lang w:val="en-US" w:eastAsia="zh-CN"/>
              </w:rPr>
              <w:t>语音播报</w:t>
            </w:r>
          </w:p>
        </w:tc>
        <w:tc>
          <w:tcPr>
            <w:tcW w:w="6460" w:type="dxa"/>
            <w:tcBorders>
              <w:top w:val="single" w:color="auto" w:sz="4" w:space="0"/>
              <w:bottom w:val="single" w:color="auto" w:sz="4" w:space="0"/>
              <w:right w:val="single" w:color="auto" w:sz="4" w:space="0"/>
            </w:tcBorders>
            <w:noWrap w:val="0"/>
            <w:vAlign w:val="center"/>
          </w:tcPr>
          <w:p w14:paraId="179668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宋体" w:hAnsi="宋体" w:eastAsia="宋体" w:cs="宋体"/>
                <w:caps w:val="0"/>
                <w:smallCaps w:val="0"/>
                <w:color w:val="auto"/>
                <w:sz w:val="21"/>
                <w:szCs w:val="21"/>
                <w:highlight w:val="none"/>
                <w:lang w:val="en-US" w:eastAsia="zh-CN"/>
              </w:rPr>
            </w:pPr>
            <w:r>
              <w:rPr>
                <w:rFonts w:hint="eastAsia" w:ascii="宋体" w:hAnsi="宋体" w:cs="宋体"/>
                <w:caps w:val="0"/>
                <w:smallCaps w:val="0"/>
                <w:color w:val="auto"/>
                <w:sz w:val="21"/>
                <w:szCs w:val="21"/>
                <w:highlight w:val="none"/>
                <w:lang w:val="en-US" w:eastAsia="zh-CN"/>
              </w:rPr>
              <w:t>电梯内语音播报</w:t>
            </w:r>
          </w:p>
        </w:tc>
      </w:tr>
    </w:tbl>
    <w:p w14:paraId="561097AE">
      <w:pPr>
        <w:ind w:firstLine="482" w:firstLineChars="200"/>
        <w:rPr>
          <w:rFonts w:hint="eastAsia" w:ascii="宋体" w:hAnsi="宋体" w:cs="宋体"/>
          <w:b/>
          <w:bCs/>
          <w:color w:val="auto"/>
          <w:sz w:val="24"/>
          <w:szCs w:val="24"/>
          <w:highlight w:val="none"/>
          <w:lang w:eastAsia="zh-CN"/>
        </w:rPr>
      </w:pPr>
    </w:p>
    <w:p w14:paraId="1AC2FDF9">
      <w:pPr>
        <w:ind w:firstLine="482" w:firstLineChars="200"/>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三</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项目技术指标</w:t>
      </w:r>
    </w:p>
    <w:p w14:paraId="043EC45E">
      <w:pPr>
        <w:spacing w:line="44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1、整机及系统主要配置要求</w:t>
      </w:r>
    </w:p>
    <w:tbl>
      <w:tblPr>
        <w:tblStyle w:val="59"/>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841"/>
        <w:gridCol w:w="3347"/>
        <w:gridCol w:w="5272"/>
      </w:tblGrid>
      <w:tr w14:paraId="17BBC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4" w:hRule="atLeast"/>
          <w:jc w:val="center"/>
        </w:trPr>
        <w:tc>
          <w:tcPr>
            <w:tcW w:w="841" w:type="dxa"/>
            <w:noWrap w:val="0"/>
            <w:vAlign w:val="center"/>
          </w:tcPr>
          <w:p w14:paraId="679DE4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w:t>
            </w:r>
          </w:p>
        </w:tc>
        <w:tc>
          <w:tcPr>
            <w:tcW w:w="3347" w:type="dxa"/>
            <w:noWrap w:val="0"/>
            <w:vAlign w:val="center"/>
          </w:tcPr>
          <w:p w14:paraId="0EB95C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1260" w:firstLineChars="6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拖动方式</w:t>
            </w:r>
          </w:p>
        </w:tc>
        <w:tc>
          <w:tcPr>
            <w:tcW w:w="5272" w:type="dxa"/>
            <w:noWrap w:val="0"/>
            <w:vAlign w:val="center"/>
          </w:tcPr>
          <w:p w14:paraId="4225B6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交流变频变压 （VVVF)</w:t>
            </w:r>
          </w:p>
        </w:tc>
      </w:tr>
      <w:tr w14:paraId="1189F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jc w:val="center"/>
        </w:trPr>
        <w:tc>
          <w:tcPr>
            <w:tcW w:w="841" w:type="dxa"/>
            <w:noWrap w:val="0"/>
            <w:vAlign w:val="center"/>
          </w:tcPr>
          <w:p w14:paraId="47D458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347" w:type="dxa"/>
            <w:noWrap w:val="0"/>
            <w:vAlign w:val="center"/>
          </w:tcPr>
          <w:p w14:paraId="13F082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曳引主机</w:t>
            </w:r>
          </w:p>
        </w:tc>
        <w:tc>
          <w:tcPr>
            <w:tcW w:w="5272" w:type="dxa"/>
            <w:noWrap w:val="0"/>
            <w:vAlign w:val="center"/>
          </w:tcPr>
          <w:p w14:paraId="7B1EBE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原厂原品牌产</w:t>
            </w:r>
          </w:p>
        </w:tc>
      </w:tr>
      <w:tr w14:paraId="7FDBD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jc w:val="center"/>
        </w:trPr>
        <w:tc>
          <w:tcPr>
            <w:tcW w:w="841" w:type="dxa"/>
            <w:noWrap w:val="0"/>
            <w:vAlign w:val="center"/>
          </w:tcPr>
          <w:p w14:paraId="284747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347" w:type="dxa"/>
            <w:noWrap w:val="0"/>
            <w:vAlign w:val="center"/>
          </w:tcPr>
          <w:p w14:paraId="35D968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控制柜</w:t>
            </w:r>
          </w:p>
        </w:tc>
        <w:tc>
          <w:tcPr>
            <w:tcW w:w="5272" w:type="dxa"/>
            <w:noWrap w:val="0"/>
            <w:vAlign w:val="center"/>
          </w:tcPr>
          <w:p w14:paraId="7570E3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原厂原品牌生产</w:t>
            </w:r>
          </w:p>
        </w:tc>
      </w:tr>
      <w:tr w14:paraId="36F86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jc w:val="center"/>
        </w:trPr>
        <w:tc>
          <w:tcPr>
            <w:tcW w:w="841" w:type="dxa"/>
            <w:noWrap w:val="0"/>
            <w:vAlign w:val="center"/>
          </w:tcPr>
          <w:p w14:paraId="606169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3347" w:type="dxa"/>
            <w:noWrap w:val="0"/>
            <w:vAlign w:val="center"/>
          </w:tcPr>
          <w:p w14:paraId="6E1F1E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控制方式</w:t>
            </w:r>
          </w:p>
        </w:tc>
        <w:tc>
          <w:tcPr>
            <w:tcW w:w="5272" w:type="dxa"/>
            <w:noWrap w:val="0"/>
            <w:vAlign w:val="center"/>
          </w:tcPr>
          <w:p w14:paraId="0BE488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并联全集选控制</w:t>
            </w:r>
          </w:p>
        </w:tc>
      </w:tr>
      <w:tr w14:paraId="32F35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jc w:val="center"/>
        </w:trPr>
        <w:tc>
          <w:tcPr>
            <w:tcW w:w="841" w:type="dxa"/>
            <w:noWrap w:val="0"/>
            <w:vAlign w:val="center"/>
          </w:tcPr>
          <w:p w14:paraId="2B2B1E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347" w:type="dxa"/>
            <w:noWrap w:val="0"/>
            <w:vAlign w:val="center"/>
          </w:tcPr>
          <w:p w14:paraId="4E33A0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限速器</w:t>
            </w:r>
          </w:p>
        </w:tc>
        <w:tc>
          <w:tcPr>
            <w:tcW w:w="5272" w:type="dxa"/>
            <w:noWrap w:val="0"/>
            <w:vAlign w:val="center"/>
          </w:tcPr>
          <w:p w14:paraId="5E1685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原厂原品牌生产</w:t>
            </w:r>
          </w:p>
        </w:tc>
      </w:tr>
      <w:tr w14:paraId="1F323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jc w:val="center"/>
        </w:trPr>
        <w:tc>
          <w:tcPr>
            <w:tcW w:w="841" w:type="dxa"/>
            <w:noWrap w:val="0"/>
            <w:vAlign w:val="center"/>
          </w:tcPr>
          <w:p w14:paraId="197E62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3347" w:type="dxa"/>
            <w:noWrap w:val="0"/>
            <w:vAlign w:val="center"/>
          </w:tcPr>
          <w:p w14:paraId="3DA00D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安全钳</w:t>
            </w:r>
          </w:p>
        </w:tc>
        <w:tc>
          <w:tcPr>
            <w:tcW w:w="5272" w:type="dxa"/>
            <w:noWrap w:val="0"/>
            <w:vAlign w:val="center"/>
          </w:tcPr>
          <w:p w14:paraId="656D20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原厂原品牌生产</w:t>
            </w:r>
          </w:p>
        </w:tc>
      </w:tr>
      <w:tr w14:paraId="05489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jc w:val="center"/>
        </w:trPr>
        <w:tc>
          <w:tcPr>
            <w:tcW w:w="841" w:type="dxa"/>
            <w:noWrap w:val="0"/>
            <w:vAlign w:val="center"/>
          </w:tcPr>
          <w:p w14:paraId="2B1F63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3347" w:type="dxa"/>
            <w:noWrap w:val="0"/>
            <w:vAlign w:val="center"/>
          </w:tcPr>
          <w:p w14:paraId="1106B4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缓冲器</w:t>
            </w:r>
          </w:p>
        </w:tc>
        <w:tc>
          <w:tcPr>
            <w:tcW w:w="5272" w:type="dxa"/>
            <w:noWrap w:val="0"/>
            <w:vAlign w:val="center"/>
          </w:tcPr>
          <w:p w14:paraId="4F646E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原厂原品牌生产</w:t>
            </w:r>
          </w:p>
        </w:tc>
      </w:tr>
      <w:tr w14:paraId="49253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jc w:val="center"/>
        </w:trPr>
        <w:tc>
          <w:tcPr>
            <w:tcW w:w="841" w:type="dxa"/>
            <w:noWrap w:val="0"/>
            <w:vAlign w:val="center"/>
          </w:tcPr>
          <w:p w14:paraId="3B0B66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3347" w:type="dxa"/>
            <w:noWrap w:val="0"/>
            <w:vAlign w:val="center"/>
          </w:tcPr>
          <w:p w14:paraId="7D654D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层门门锁、轿门门锁</w:t>
            </w:r>
          </w:p>
        </w:tc>
        <w:tc>
          <w:tcPr>
            <w:tcW w:w="5272" w:type="dxa"/>
            <w:noWrap w:val="0"/>
            <w:vAlign w:val="center"/>
          </w:tcPr>
          <w:p w14:paraId="4DEF69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原厂原品牌生产</w:t>
            </w:r>
          </w:p>
        </w:tc>
      </w:tr>
      <w:tr w14:paraId="09A49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jc w:val="center"/>
        </w:trPr>
        <w:tc>
          <w:tcPr>
            <w:tcW w:w="841" w:type="dxa"/>
            <w:noWrap w:val="0"/>
            <w:vAlign w:val="center"/>
          </w:tcPr>
          <w:p w14:paraId="411206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3347" w:type="dxa"/>
            <w:noWrap w:val="0"/>
            <w:vAlign w:val="center"/>
          </w:tcPr>
          <w:p w14:paraId="2CD517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上行超速保护装置</w:t>
            </w:r>
          </w:p>
        </w:tc>
        <w:tc>
          <w:tcPr>
            <w:tcW w:w="5272" w:type="dxa"/>
            <w:noWrap w:val="0"/>
            <w:vAlign w:val="center"/>
          </w:tcPr>
          <w:p w14:paraId="0E8D70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原厂原品牌生产</w:t>
            </w:r>
          </w:p>
        </w:tc>
      </w:tr>
      <w:tr w14:paraId="3A1F9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jc w:val="center"/>
        </w:trPr>
        <w:tc>
          <w:tcPr>
            <w:tcW w:w="841" w:type="dxa"/>
            <w:noWrap w:val="0"/>
            <w:vAlign w:val="center"/>
          </w:tcPr>
          <w:p w14:paraId="2E7E60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3347" w:type="dxa"/>
            <w:noWrap w:val="0"/>
            <w:vAlign w:val="center"/>
          </w:tcPr>
          <w:p w14:paraId="70673A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轿厢意外移动保护装置</w:t>
            </w:r>
          </w:p>
        </w:tc>
        <w:tc>
          <w:tcPr>
            <w:tcW w:w="5272" w:type="dxa"/>
            <w:noWrap w:val="0"/>
            <w:vAlign w:val="center"/>
          </w:tcPr>
          <w:p w14:paraId="2EA98B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原厂原品牌生产</w:t>
            </w:r>
          </w:p>
        </w:tc>
      </w:tr>
      <w:tr w14:paraId="5D391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jc w:val="center"/>
        </w:trPr>
        <w:tc>
          <w:tcPr>
            <w:tcW w:w="841" w:type="dxa"/>
            <w:noWrap w:val="0"/>
            <w:vAlign w:val="center"/>
          </w:tcPr>
          <w:p w14:paraId="042974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3347" w:type="dxa"/>
            <w:noWrap w:val="0"/>
            <w:vAlign w:val="center"/>
          </w:tcPr>
          <w:p w14:paraId="47FC01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安全电路（或可编程电子安全相关系统）</w:t>
            </w:r>
          </w:p>
        </w:tc>
        <w:tc>
          <w:tcPr>
            <w:tcW w:w="5272" w:type="dxa"/>
            <w:noWrap w:val="0"/>
            <w:vAlign w:val="center"/>
          </w:tcPr>
          <w:p w14:paraId="36C5CC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原厂原品牌生产</w:t>
            </w:r>
          </w:p>
        </w:tc>
      </w:tr>
      <w:tr w14:paraId="2AB99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jc w:val="center"/>
        </w:trPr>
        <w:tc>
          <w:tcPr>
            <w:tcW w:w="841" w:type="dxa"/>
            <w:noWrap w:val="0"/>
            <w:vAlign w:val="center"/>
          </w:tcPr>
          <w:p w14:paraId="3DAE14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3347" w:type="dxa"/>
            <w:noWrap w:val="0"/>
            <w:vAlign w:val="center"/>
          </w:tcPr>
          <w:p w14:paraId="0C6B36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电源电压</w:t>
            </w:r>
          </w:p>
        </w:tc>
        <w:tc>
          <w:tcPr>
            <w:tcW w:w="5272" w:type="dxa"/>
            <w:noWrap w:val="0"/>
            <w:vAlign w:val="center"/>
          </w:tcPr>
          <w:p w14:paraId="29A75A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动力电源380V±7%50HZ照明电源220V ±7%  50HZ</w:t>
            </w:r>
          </w:p>
        </w:tc>
      </w:tr>
      <w:tr w14:paraId="65D05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0" w:hRule="atLeast"/>
          <w:jc w:val="center"/>
        </w:trPr>
        <w:tc>
          <w:tcPr>
            <w:tcW w:w="841" w:type="dxa"/>
            <w:noWrap w:val="0"/>
            <w:vAlign w:val="center"/>
          </w:tcPr>
          <w:p w14:paraId="38C451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3347" w:type="dxa"/>
            <w:noWrap w:val="0"/>
            <w:vAlign w:val="center"/>
          </w:tcPr>
          <w:p w14:paraId="445B6D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工作环境</w:t>
            </w:r>
          </w:p>
        </w:tc>
        <w:tc>
          <w:tcPr>
            <w:tcW w:w="5272" w:type="dxa"/>
            <w:noWrap w:val="0"/>
            <w:vAlign w:val="center"/>
          </w:tcPr>
          <w:p w14:paraId="4B69AC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机房轿厢高效节能LED灯</w:t>
            </w:r>
          </w:p>
        </w:tc>
      </w:tr>
    </w:tbl>
    <w:p w14:paraId="0D5EC077">
      <w:pPr>
        <w:spacing w:line="440" w:lineRule="exact"/>
        <w:ind w:firstLine="422" w:firstLineChars="200"/>
        <w:rPr>
          <w:rFonts w:hint="eastAsia" w:ascii="宋体" w:hAnsi="宋体" w:eastAsia="宋体" w:cs="宋体"/>
          <w:b/>
          <w:bCs/>
          <w:color w:val="auto"/>
          <w:sz w:val="21"/>
          <w:szCs w:val="21"/>
          <w:highlight w:val="none"/>
          <w:lang w:val="en-US" w:eastAsia="zh-CN"/>
        </w:rPr>
      </w:pPr>
    </w:p>
    <w:p w14:paraId="465D0DB0">
      <w:pPr>
        <w:spacing w:line="44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功能配置</w:t>
      </w:r>
    </w:p>
    <w:tbl>
      <w:tblPr>
        <w:tblStyle w:val="59"/>
        <w:tblW w:w="929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484"/>
        <w:gridCol w:w="766"/>
        <w:gridCol w:w="1755"/>
        <w:gridCol w:w="585"/>
        <w:gridCol w:w="1830"/>
        <w:gridCol w:w="705"/>
        <w:gridCol w:w="1331"/>
      </w:tblGrid>
      <w:tr w14:paraId="76653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840" w:type="dxa"/>
            <w:noWrap w:val="0"/>
            <w:vAlign w:val="center"/>
          </w:tcPr>
          <w:p w14:paraId="765088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484" w:type="dxa"/>
            <w:noWrap w:val="0"/>
            <w:vAlign w:val="center"/>
          </w:tcPr>
          <w:p w14:paraId="139F66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轿内通风装置手动 关闭</w:t>
            </w:r>
          </w:p>
        </w:tc>
        <w:tc>
          <w:tcPr>
            <w:tcW w:w="766" w:type="dxa"/>
            <w:noWrap w:val="0"/>
            <w:vAlign w:val="center"/>
          </w:tcPr>
          <w:p w14:paraId="5D6E4E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755" w:type="dxa"/>
            <w:noWrap w:val="0"/>
            <w:vAlign w:val="center"/>
          </w:tcPr>
          <w:p w14:paraId="4A4E1F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轿内反向指令消除</w:t>
            </w:r>
          </w:p>
        </w:tc>
        <w:tc>
          <w:tcPr>
            <w:tcW w:w="585" w:type="dxa"/>
            <w:noWrap w:val="0"/>
            <w:vAlign w:val="center"/>
          </w:tcPr>
          <w:p w14:paraId="7C12EE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1830" w:type="dxa"/>
            <w:noWrap w:val="0"/>
            <w:vAlign w:val="center"/>
          </w:tcPr>
          <w:p w14:paraId="5E7C69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开门受阻控制</w:t>
            </w:r>
          </w:p>
        </w:tc>
        <w:tc>
          <w:tcPr>
            <w:tcW w:w="705" w:type="dxa"/>
            <w:noWrap w:val="0"/>
            <w:vAlign w:val="center"/>
          </w:tcPr>
          <w:p w14:paraId="4752D9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1331" w:type="dxa"/>
            <w:noWrap w:val="0"/>
            <w:vAlign w:val="center"/>
          </w:tcPr>
          <w:p w14:paraId="70B21C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故障自诊断</w:t>
            </w:r>
          </w:p>
        </w:tc>
      </w:tr>
      <w:tr w14:paraId="67DE6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840" w:type="dxa"/>
            <w:noWrap w:val="0"/>
            <w:vAlign w:val="center"/>
          </w:tcPr>
          <w:p w14:paraId="6CEC38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484" w:type="dxa"/>
            <w:noWrap w:val="0"/>
            <w:vAlign w:val="center"/>
          </w:tcPr>
          <w:p w14:paraId="4C3C6A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轿内照明手动关闭 </w:t>
            </w:r>
          </w:p>
        </w:tc>
        <w:tc>
          <w:tcPr>
            <w:tcW w:w="766" w:type="dxa"/>
            <w:noWrap w:val="0"/>
            <w:vAlign w:val="center"/>
          </w:tcPr>
          <w:p w14:paraId="6AD043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755" w:type="dxa"/>
            <w:noWrap w:val="0"/>
            <w:vAlign w:val="center"/>
          </w:tcPr>
          <w:p w14:paraId="59C1770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层站召唤自动登记 </w:t>
            </w:r>
          </w:p>
        </w:tc>
        <w:tc>
          <w:tcPr>
            <w:tcW w:w="585" w:type="dxa"/>
            <w:noWrap w:val="0"/>
            <w:vAlign w:val="center"/>
          </w:tcPr>
          <w:p w14:paraId="6F731F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1830" w:type="dxa"/>
            <w:noWrap w:val="0"/>
            <w:vAlign w:val="center"/>
          </w:tcPr>
          <w:p w14:paraId="4104D9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关门力矩控制</w:t>
            </w:r>
          </w:p>
        </w:tc>
        <w:tc>
          <w:tcPr>
            <w:tcW w:w="705" w:type="dxa"/>
            <w:noWrap w:val="0"/>
            <w:vAlign w:val="center"/>
          </w:tcPr>
          <w:p w14:paraId="678E9D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1331" w:type="dxa"/>
            <w:noWrap w:val="0"/>
            <w:vAlign w:val="center"/>
          </w:tcPr>
          <w:p w14:paraId="09C0155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检修操作</w:t>
            </w:r>
          </w:p>
        </w:tc>
      </w:tr>
      <w:tr w14:paraId="60CD0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40" w:type="dxa"/>
            <w:noWrap w:val="0"/>
            <w:vAlign w:val="center"/>
          </w:tcPr>
          <w:p w14:paraId="0001F9A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484" w:type="dxa"/>
            <w:noWrap w:val="0"/>
            <w:vAlign w:val="center"/>
          </w:tcPr>
          <w:p w14:paraId="4F9CDA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双边静力矩周期性自动检测</w:t>
            </w:r>
          </w:p>
        </w:tc>
        <w:tc>
          <w:tcPr>
            <w:tcW w:w="766" w:type="dxa"/>
            <w:noWrap w:val="0"/>
            <w:vAlign w:val="center"/>
          </w:tcPr>
          <w:p w14:paraId="0CC87B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755" w:type="dxa"/>
            <w:noWrap w:val="0"/>
            <w:vAlign w:val="center"/>
          </w:tcPr>
          <w:p w14:paraId="1363B3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层站微机异常处理</w:t>
            </w:r>
          </w:p>
        </w:tc>
        <w:tc>
          <w:tcPr>
            <w:tcW w:w="585" w:type="dxa"/>
            <w:noWrap w:val="0"/>
            <w:vAlign w:val="center"/>
          </w:tcPr>
          <w:p w14:paraId="1F6E0A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830" w:type="dxa"/>
            <w:noWrap w:val="0"/>
            <w:vAlign w:val="center"/>
          </w:tcPr>
          <w:p w14:paraId="4DD478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轿厢应急照明</w:t>
            </w:r>
          </w:p>
        </w:tc>
        <w:tc>
          <w:tcPr>
            <w:tcW w:w="705" w:type="dxa"/>
            <w:noWrap w:val="0"/>
            <w:vAlign w:val="center"/>
          </w:tcPr>
          <w:p w14:paraId="3356BF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w:t>
            </w:r>
          </w:p>
        </w:tc>
        <w:tc>
          <w:tcPr>
            <w:tcW w:w="1331" w:type="dxa"/>
            <w:noWrap w:val="0"/>
            <w:vAlign w:val="center"/>
          </w:tcPr>
          <w:p w14:paraId="1F2EB2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称重启动</w:t>
            </w:r>
          </w:p>
        </w:tc>
      </w:tr>
      <w:tr w14:paraId="16770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0" w:type="dxa"/>
            <w:noWrap w:val="0"/>
            <w:vAlign w:val="center"/>
          </w:tcPr>
          <w:p w14:paraId="250A86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484" w:type="dxa"/>
            <w:noWrap w:val="0"/>
            <w:vAlign w:val="center"/>
          </w:tcPr>
          <w:p w14:paraId="4C7A88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开门保持时间自动调整</w:t>
            </w:r>
          </w:p>
        </w:tc>
        <w:tc>
          <w:tcPr>
            <w:tcW w:w="766" w:type="dxa"/>
            <w:noWrap w:val="0"/>
            <w:vAlign w:val="center"/>
          </w:tcPr>
          <w:p w14:paraId="61A947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755" w:type="dxa"/>
            <w:noWrap w:val="0"/>
            <w:vAlign w:val="center"/>
          </w:tcPr>
          <w:p w14:paraId="764762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层站运行控制开关 </w:t>
            </w:r>
          </w:p>
        </w:tc>
        <w:tc>
          <w:tcPr>
            <w:tcW w:w="585" w:type="dxa"/>
            <w:noWrap w:val="0"/>
            <w:vAlign w:val="center"/>
          </w:tcPr>
          <w:p w14:paraId="5DF20F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1830" w:type="dxa"/>
            <w:noWrap w:val="0"/>
            <w:vAlign w:val="center"/>
          </w:tcPr>
          <w:p w14:paraId="78615F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紧急电动运行</w:t>
            </w:r>
          </w:p>
        </w:tc>
        <w:tc>
          <w:tcPr>
            <w:tcW w:w="705" w:type="dxa"/>
            <w:noWrap w:val="0"/>
            <w:vAlign w:val="center"/>
          </w:tcPr>
          <w:p w14:paraId="78DCF0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1331" w:type="dxa"/>
            <w:noWrap w:val="0"/>
            <w:vAlign w:val="center"/>
          </w:tcPr>
          <w:p w14:paraId="75460B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超速保护</w:t>
            </w:r>
          </w:p>
        </w:tc>
      </w:tr>
      <w:tr w14:paraId="2D1B7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40" w:type="dxa"/>
            <w:noWrap w:val="0"/>
            <w:vAlign w:val="center"/>
          </w:tcPr>
          <w:p w14:paraId="3F407B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484" w:type="dxa"/>
            <w:noWrap w:val="0"/>
            <w:vAlign w:val="center"/>
          </w:tcPr>
          <w:p w14:paraId="19E8AE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节能运行</w:t>
            </w:r>
          </w:p>
        </w:tc>
        <w:tc>
          <w:tcPr>
            <w:tcW w:w="766" w:type="dxa"/>
            <w:noWrap w:val="0"/>
            <w:vAlign w:val="center"/>
          </w:tcPr>
          <w:p w14:paraId="5407B3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755" w:type="dxa"/>
            <w:noWrap w:val="0"/>
            <w:vAlign w:val="center"/>
          </w:tcPr>
          <w:p w14:paraId="62DEF0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轿内运行方向指示</w:t>
            </w:r>
          </w:p>
        </w:tc>
        <w:tc>
          <w:tcPr>
            <w:tcW w:w="585" w:type="dxa"/>
            <w:noWrap w:val="0"/>
            <w:vAlign w:val="center"/>
          </w:tcPr>
          <w:p w14:paraId="3FDBDD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1830" w:type="dxa"/>
            <w:noWrap w:val="0"/>
            <w:vAlign w:val="center"/>
          </w:tcPr>
          <w:p w14:paraId="1D6B5F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消防运行到位</w:t>
            </w:r>
          </w:p>
        </w:tc>
        <w:tc>
          <w:tcPr>
            <w:tcW w:w="705" w:type="dxa"/>
            <w:noWrap w:val="0"/>
            <w:vAlign w:val="center"/>
          </w:tcPr>
          <w:p w14:paraId="70FB69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1331" w:type="dxa"/>
            <w:noWrap w:val="0"/>
            <w:vAlign w:val="center"/>
          </w:tcPr>
          <w:p w14:paraId="334A26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逆行保护</w:t>
            </w:r>
          </w:p>
        </w:tc>
      </w:tr>
      <w:tr w14:paraId="244F2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40" w:type="dxa"/>
            <w:noWrap w:val="0"/>
            <w:vAlign w:val="center"/>
          </w:tcPr>
          <w:p w14:paraId="0E2E2B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484" w:type="dxa"/>
            <w:noWrap w:val="0"/>
            <w:vAlign w:val="center"/>
          </w:tcPr>
          <w:p w14:paraId="3323A0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自动再平层 </w:t>
            </w:r>
          </w:p>
        </w:tc>
        <w:tc>
          <w:tcPr>
            <w:tcW w:w="766" w:type="dxa"/>
            <w:noWrap w:val="0"/>
            <w:vAlign w:val="center"/>
          </w:tcPr>
          <w:p w14:paraId="52A8EE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755" w:type="dxa"/>
            <w:noWrap w:val="0"/>
            <w:vAlign w:val="center"/>
          </w:tcPr>
          <w:p w14:paraId="411E3F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层站运行方向指示</w:t>
            </w:r>
          </w:p>
        </w:tc>
        <w:tc>
          <w:tcPr>
            <w:tcW w:w="585" w:type="dxa"/>
            <w:noWrap w:val="0"/>
            <w:vAlign w:val="center"/>
          </w:tcPr>
          <w:p w14:paraId="40A470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1830" w:type="dxa"/>
            <w:noWrap w:val="0"/>
            <w:vAlign w:val="center"/>
          </w:tcPr>
          <w:p w14:paraId="477B3F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多方通话装置</w:t>
            </w:r>
          </w:p>
        </w:tc>
        <w:tc>
          <w:tcPr>
            <w:tcW w:w="705" w:type="dxa"/>
            <w:noWrap w:val="0"/>
            <w:vAlign w:val="center"/>
          </w:tcPr>
          <w:p w14:paraId="7F85FD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w:t>
            </w:r>
          </w:p>
        </w:tc>
        <w:tc>
          <w:tcPr>
            <w:tcW w:w="1331" w:type="dxa"/>
            <w:noWrap w:val="0"/>
            <w:vAlign w:val="center"/>
          </w:tcPr>
          <w:p w14:paraId="2F66C2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安全停靠</w:t>
            </w:r>
          </w:p>
        </w:tc>
      </w:tr>
      <w:tr w14:paraId="11B60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40" w:type="dxa"/>
            <w:noWrap w:val="0"/>
            <w:vAlign w:val="center"/>
          </w:tcPr>
          <w:p w14:paraId="61779E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484" w:type="dxa"/>
            <w:noWrap w:val="0"/>
            <w:vAlign w:val="center"/>
          </w:tcPr>
          <w:p w14:paraId="1DFB71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双边静力矩上电检测</w:t>
            </w:r>
          </w:p>
        </w:tc>
        <w:tc>
          <w:tcPr>
            <w:tcW w:w="766" w:type="dxa"/>
            <w:noWrap w:val="0"/>
            <w:vAlign w:val="center"/>
          </w:tcPr>
          <w:p w14:paraId="300C8A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755" w:type="dxa"/>
            <w:noWrap w:val="0"/>
            <w:vAlign w:val="center"/>
          </w:tcPr>
          <w:p w14:paraId="100C62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关门按钮响应指示</w:t>
            </w:r>
          </w:p>
        </w:tc>
        <w:tc>
          <w:tcPr>
            <w:tcW w:w="585" w:type="dxa"/>
            <w:noWrap w:val="0"/>
            <w:vAlign w:val="center"/>
          </w:tcPr>
          <w:p w14:paraId="329EEC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1830" w:type="dxa"/>
            <w:noWrap w:val="0"/>
            <w:vAlign w:val="center"/>
          </w:tcPr>
          <w:p w14:paraId="2A3296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双边静力矩上电检测</w:t>
            </w:r>
          </w:p>
        </w:tc>
        <w:tc>
          <w:tcPr>
            <w:tcW w:w="705" w:type="dxa"/>
            <w:noWrap w:val="0"/>
            <w:vAlign w:val="center"/>
          </w:tcPr>
          <w:p w14:paraId="0CC25D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1331" w:type="dxa"/>
            <w:noWrap w:val="0"/>
            <w:vAlign w:val="center"/>
          </w:tcPr>
          <w:p w14:paraId="6AC96C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停层开门</w:t>
            </w:r>
          </w:p>
        </w:tc>
      </w:tr>
      <w:tr w14:paraId="63A45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40" w:type="dxa"/>
            <w:noWrap w:val="0"/>
            <w:vAlign w:val="center"/>
          </w:tcPr>
          <w:p w14:paraId="00CE81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484" w:type="dxa"/>
            <w:noWrap w:val="0"/>
            <w:vAlign w:val="center"/>
          </w:tcPr>
          <w:p w14:paraId="0C4AE0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单边静力矩手动检测</w:t>
            </w:r>
          </w:p>
        </w:tc>
        <w:tc>
          <w:tcPr>
            <w:tcW w:w="766" w:type="dxa"/>
            <w:noWrap w:val="0"/>
            <w:vAlign w:val="center"/>
          </w:tcPr>
          <w:p w14:paraId="091533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755" w:type="dxa"/>
            <w:noWrap w:val="0"/>
            <w:vAlign w:val="center"/>
          </w:tcPr>
          <w:p w14:paraId="479E90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开门按钮响应指示</w:t>
            </w:r>
          </w:p>
        </w:tc>
        <w:tc>
          <w:tcPr>
            <w:tcW w:w="585" w:type="dxa"/>
            <w:noWrap w:val="0"/>
            <w:vAlign w:val="center"/>
          </w:tcPr>
          <w:p w14:paraId="21B054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1830" w:type="dxa"/>
            <w:noWrap w:val="0"/>
            <w:vAlign w:val="center"/>
          </w:tcPr>
          <w:p w14:paraId="483BBF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层高自测定</w:t>
            </w:r>
          </w:p>
        </w:tc>
        <w:tc>
          <w:tcPr>
            <w:tcW w:w="705" w:type="dxa"/>
            <w:noWrap w:val="0"/>
            <w:vAlign w:val="center"/>
          </w:tcPr>
          <w:p w14:paraId="64D7CC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c>
          <w:tcPr>
            <w:tcW w:w="1331" w:type="dxa"/>
            <w:noWrap w:val="0"/>
            <w:vAlign w:val="center"/>
          </w:tcPr>
          <w:p w14:paraId="23E444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关门保护</w:t>
            </w:r>
          </w:p>
        </w:tc>
      </w:tr>
      <w:tr w14:paraId="696DB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40" w:type="dxa"/>
            <w:noWrap w:val="0"/>
            <w:vAlign w:val="center"/>
          </w:tcPr>
          <w:p w14:paraId="6C2682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484" w:type="dxa"/>
            <w:noWrap w:val="0"/>
            <w:vAlign w:val="center"/>
          </w:tcPr>
          <w:p w14:paraId="35F016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运行次数与时间统计</w:t>
            </w:r>
          </w:p>
        </w:tc>
        <w:tc>
          <w:tcPr>
            <w:tcW w:w="766" w:type="dxa"/>
            <w:noWrap w:val="0"/>
            <w:vAlign w:val="center"/>
          </w:tcPr>
          <w:p w14:paraId="31D737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755" w:type="dxa"/>
            <w:noWrap w:val="0"/>
            <w:vAlign w:val="center"/>
          </w:tcPr>
          <w:p w14:paraId="40D3773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制动器冗余保护</w:t>
            </w:r>
          </w:p>
        </w:tc>
        <w:tc>
          <w:tcPr>
            <w:tcW w:w="585" w:type="dxa"/>
            <w:noWrap w:val="0"/>
            <w:vAlign w:val="center"/>
          </w:tcPr>
          <w:p w14:paraId="63639C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1830" w:type="dxa"/>
            <w:noWrap w:val="0"/>
            <w:vAlign w:val="center"/>
          </w:tcPr>
          <w:p w14:paraId="29B6DF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过电流保护</w:t>
            </w:r>
          </w:p>
        </w:tc>
        <w:tc>
          <w:tcPr>
            <w:tcW w:w="705" w:type="dxa"/>
            <w:noWrap w:val="0"/>
            <w:vAlign w:val="center"/>
          </w:tcPr>
          <w:p w14:paraId="1B303F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w:t>
            </w:r>
          </w:p>
        </w:tc>
        <w:tc>
          <w:tcPr>
            <w:tcW w:w="1331" w:type="dxa"/>
            <w:noWrap w:val="0"/>
            <w:vAlign w:val="center"/>
          </w:tcPr>
          <w:p w14:paraId="3C0EB3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即时关门</w:t>
            </w:r>
          </w:p>
        </w:tc>
      </w:tr>
      <w:tr w14:paraId="38210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40" w:type="dxa"/>
            <w:noWrap w:val="0"/>
            <w:vAlign w:val="center"/>
          </w:tcPr>
          <w:p w14:paraId="493BB7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484" w:type="dxa"/>
            <w:noWrap w:val="0"/>
            <w:vAlign w:val="center"/>
          </w:tcPr>
          <w:p w14:paraId="3D85BF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层站按钮灯闪烁指示</w:t>
            </w:r>
          </w:p>
        </w:tc>
        <w:tc>
          <w:tcPr>
            <w:tcW w:w="766" w:type="dxa"/>
            <w:noWrap w:val="0"/>
            <w:vAlign w:val="center"/>
          </w:tcPr>
          <w:p w14:paraId="048F4D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1755" w:type="dxa"/>
            <w:noWrap w:val="0"/>
            <w:vAlign w:val="center"/>
          </w:tcPr>
          <w:p w14:paraId="7D1401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门速自适应控制</w:t>
            </w:r>
          </w:p>
        </w:tc>
        <w:tc>
          <w:tcPr>
            <w:tcW w:w="585" w:type="dxa"/>
            <w:noWrap w:val="0"/>
            <w:vAlign w:val="center"/>
          </w:tcPr>
          <w:p w14:paraId="29D2673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1830" w:type="dxa"/>
            <w:noWrap w:val="0"/>
            <w:vAlign w:val="center"/>
          </w:tcPr>
          <w:p w14:paraId="7140E8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过电压保护</w:t>
            </w:r>
          </w:p>
        </w:tc>
        <w:tc>
          <w:tcPr>
            <w:tcW w:w="705" w:type="dxa"/>
            <w:noWrap w:val="0"/>
            <w:vAlign w:val="center"/>
          </w:tcPr>
          <w:p w14:paraId="35CA84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1331" w:type="dxa"/>
            <w:noWrap w:val="0"/>
            <w:vAlign w:val="center"/>
          </w:tcPr>
          <w:p w14:paraId="104647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重复关门</w:t>
            </w:r>
          </w:p>
        </w:tc>
      </w:tr>
      <w:tr w14:paraId="61BFE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40" w:type="dxa"/>
            <w:noWrap w:val="0"/>
            <w:vAlign w:val="center"/>
          </w:tcPr>
          <w:p w14:paraId="405713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484" w:type="dxa"/>
            <w:noWrap w:val="0"/>
            <w:vAlign w:val="center"/>
          </w:tcPr>
          <w:p w14:paraId="376B45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电梯受阻失速保护</w:t>
            </w:r>
          </w:p>
        </w:tc>
        <w:tc>
          <w:tcPr>
            <w:tcW w:w="766" w:type="dxa"/>
            <w:noWrap w:val="0"/>
            <w:vAlign w:val="center"/>
          </w:tcPr>
          <w:p w14:paraId="76EF82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1755" w:type="dxa"/>
            <w:noWrap w:val="0"/>
            <w:vAlign w:val="center"/>
          </w:tcPr>
          <w:p w14:paraId="0D2C34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电梯不启动报警</w:t>
            </w:r>
          </w:p>
        </w:tc>
        <w:tc>
          <w:tcPr>
            <w:tcW w:w="585" w:type="dxa"/>
            <w:noWrap w:val="0"/>
            <w:vAlign w:val="center"/>
          </w:tcPr>
          <w:p w14:paraId="20B8D2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1830" w:type="dxa"/>
            <w:noWrap w:val="0"/>
            <w:vAlign w:val="center"/>
          </w:tcPr>
          <w:p w14:paraId="23C746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上电再平层</w:t>
            </w:r>
          </w:p>
        </w:tc>
        <w:tc>
          <w:tcPr>
            <w:tcW w:w="705" w:type="dxa"/>
            <w:noWrap w:val="0"/>
            <w:vAlign w:val="center"/>
          </w:tcPr>
          <w:p w14:paraId="2354DE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w:t>
            </w:r>
          </w:p>
        </w:tc>
        <w:tc>
          <w:tcPr>
            <w:tcW w:w="1331" w:type="dxa"/>
            <w:noWrap w:val="0"/>
            <w:vAlign w:val="center"/>
          </w:tcPr>
          <w:p w14:paraId="72E876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轿内报警</w:t>
            </w:r>
          </w:p>
        </w:tc>
      </w:tr>
      <w:tr w14:paraId="004D5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40" w:type="dxa"/>
            <w:noWrap w:val="0"/>
            <w:vAlign w:val="center"/>
          </w:tcPr>
          <w:p w14:paraId="0BF8C4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484" w:type="dxa"/>
            <w:noWrap w:val="0"/>
            <w:vAlign w:val="center"/>
          </w:tcPr>
          <w:p w14:paraId="65C085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轿厢溜车安全保护</w:t>
            </w:r>
          </w:p>
        </w:tc>
        <w:tc>
          <w:tcPr>
            <w:tcW w:w="766" w:type="dxa"/>
            <w:noWrap w:val="0"/>
            <w:vAlign w:val="center"/>
          </w:tcPr>
          <w:p w14:paraId="28B296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1755" w:type="dxa"/>
            <w:noWrap w:val="0"/>
            <w:vAlign w:val="center"/>
          </w:tcPr>
          <w:p w14:paraId="752117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门锁旁路运行</w:t>
            </w:r>
          </w:p>
        </w:tc>
        <w:tc>
          <w:tcPr>
            <w:tcW w:w="585" w:type="dxa"/>
            <w:noWrap w:val="0"/>
            <w:vAlign w:val="center"/>
          </w:tcPr>
          <w:p w14:paraId="56D68B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1830" w:type="dxa"/>
            <w:noWrap w:val="0"/>
            <w:vAlign w:val="center"/>
          </w:tcPr>
          <w:p w14:paraId="6EFCF0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选层器修正</w:t>
            </w:r>
          </w:p>
        </w:tc>
        <w:tc>
          <w:tcPr>
            <w:tcW w:w="705" w:type="dxa"/>
            <w:noWrap w:val="0"/>
            <w:vAlign w:val="center"/>
          </w:tcPr>
          <w:p w14:paraId="5ED1CD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331" w:type="dxa"/>
            <w:noWrap w:val="0"/>
            <w:vAlign w:val="center"/>
          </w:tcPr>
          <w:p w14:paraId="6A4327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直达运行 </w:t>
            </w:r>
          </w:p>
        </w:tc>
      </w:tr>
      <w:tr w14:paraId="31C76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40" w:type="dxa"/>
            <w:noWrap w:val="0"/>
            <w:vAlign w:val="center"/>
          </w:tcPr>
          <w:p w14:paraId="49758C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484" w:type="dxa"/>
            <w:noWrap w:val="0"/>
            <w:vAlign w:val="center"/>
          </w:tcPr>
          <w:p w14:paraId="063153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电气安全回路保护</w:t>
            </w:r>
          </w:p>
        </w:tc>
        <w:tc>
          <w:tcPr>
            <w:tcW w:w="766" w:type="dxa"/>
            <w:noWrap w:val="0"/>
            <w:vAlign w:val="center"/>
          </w:tcPr>
          <w:p w14:paraId="4B05DB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1755" w:type="dxa"/>
            <w:noWrap w:val="0"/>
            <w:vAlign w:val="center"/>
          </w:tcPr>
          <w:p w14:paraId="6C6011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门锁短接保护</w:t>
            </w:r>
          </w:p>
        </w:tc>
        <w:tc>
          <w:tcPr>
            <w:tcW w:w="585" w:type="dxa"/>
            <w:noWrap w:val="0"/>
            <w:vAlign w:val="center"/>
          </w:tcPr>
          <w:p w14:paraId="379502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830" w:type="dxa"/>
            <w:noWrap w:val="0"/>
            <w:vAlign w:val="center"/>
          </w:tcPr>
          <w:p w14:paraId="3F1E55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过低速保护</w:t>
            </w:r>
          </w:p>
        </w:tc>
        <w:tc>
          <w:tcPr>
            <w:tcW w:w="705" w:type="dxa"/>
            <w:noWrap w:val="0"/>
            <w:vAlign w:val="center"/>
          </w:tcPr>
          <w:p w14:paraId="796770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w:t>
            </w:r>
          </w:p>
        </w:tc>
        <w:tc>
          <w:tcPr>
            <w:tcW w:w="1331" w:type="dxa"/>
            <w:noWrap w:val="0"/>
            <w:vAlign w:val="center"/>
          </w:tcPr>
          <w:p w14:paraId="305E09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次层停靠</w:t>
            </w:r>
          </w:p>
        </w:tc>
      </w:tr>
      <w:tr w14:paraId="6F8D3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40" w:type="dxa"/>
            <w:noWrap w:val="0"/>
            <w:vAlign w:val="center"/>
          </w:tcPr>
          <w:p w14:paraId="0CCE61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484" w:type="dxa"/>
            <w:noWrap w:val="0"/>
            <w:vAlign w:val="center"/>
          </w:tcPr>
          <w:p w14:paraId="79B9F6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逆变装置高温检测</w:t>
            </w:r>
          </w:p>
        </w:tc>
        <w:tc>
          <w:tcPr>
            <w:tcW w:w="766" w:type="dxa"/>
            <w:noWrap w:val="0"/>
            <w:vAlign w:val="center"/>
          </w:tcPr>
          <w:p w14:paraId="6757A5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755" w:type="dxa"/>
            <w:noWrap w:val="0"/>
            <w:vAlign w:val="center"/>
          </w:tcPr>
          <w:p w14:paraId="38B6C8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电机过热保护</w:t>
            </w:r>
          </w:p>
        </w:tc>
        <w:tc>
          <w:tcPr>
            <w:tcW w:w="585" w:type="dxa"/>
            <w:noWrap w:val="0"/>
            <w:vAlign w:val="center"/>
          </w:tcPr>
          <w:p w14:paraId="7CE89A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1830" w:type="dxa"/>
            <w:noWrap w:val="0"/>
            <w:vAlign w:val="center"/>
          </w:tcPr>
          <w:p w14:paraId="572739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换向重开门</w:t>
            </w:r>
          </w:p>
        </w:tc>
        <w:tc>
          <w:tcPr>
            <w:tcW w:w="705" w:type="dxa"/>
            <w:noWrap w:val="0"/>
            <w:vAlign w:val="center"/>
          </w:tcPr>
          <w:p w14:paraId="011076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1331" w:type="dxa"/>
            <w:noWrap w:val="0"/>
            <w:vAlign w:val="center"/>
          </w:tcPr>
          <w:p w14:paraId="2988D5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超载报警</w:t>
            </w:r>
          </w:p>
        </w:tc>
      </w:tr>
      <w:tr w14:paraId="2955F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40" w:type="dxa"/>
            <w:noWrap w:val="0"/>
            <w:vAlign w:val="center"/>
          </w:tcPr>
          <w:p w14:paraId="2AAFBC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484" w:type="dxa"/>
            <w:noWrap w:val="0"/>
            <w:vAlign w:val="center"/>
          </w:tcPr>
          <w:p w14:paraId="1AA326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轿厢意外移动保护</w:t>
            </w:r>
          </w:p>
        </w:tc>
        <w:tc>
          <w:tcPr>
            <w:tcW w:w="766" w:type="dxa"/>
            <w:noWrap w:val="0"/>
            <w:vAlign w:val="center"/>
          </w:tcPr>
          <w:p w14:paraId="3B03E7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1755" w:type="dxa"/>
            <w:noWrap w:val="0"/>
            <w:vAlign w:val="center"/>
          </w:tcPr>
          <w:p w14:paraId="59A3D6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电源故障保护</w:t>
            </w:r>
          </w:p>
        </w:tc>
        <w:tc>
          <w:tcPr>
            <w:tcW w:w="585" w:type="dxa"/>
            <w:noWrap w:val="0"/>
            <w:vAlign w:val="center"/>
          </w:tcPr>
          <w:p w14:paraId="2D1AE2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1830" w:type="dxa"/>
            <w:noWrap w:val="0"/>
            <w:vAlign w:val="center"/>
          </w:tcPr>
          <w:p w14:paraId="2DE35A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门负载检测</w:t>
            </w:r>
          </w:p>
        </w:tc>
        <w:tc>
          <w:tcPr>
            <w:tcW w:w="705" w:type="dxa"/>
            <w:noWrap w:val="0"/>
            <w:vAlign w:val="center"/>
          </w:tcPr>
          <w:p w14:paraId="4C1B26C1">
            <w:pPr>
              <w:keepNext w:val="0"/>
              <w:keepLines w:val="0"/>
              <w:suppressLineNumbers w:val="0"/>
              <w:spacing w:before="0" w:beforeAutospacing="0" w:after="0" w:afterAutospacing="0"/>
              <w:ind w:left="0" w:right="0"/>
              <w:jc w:val="left"/>
              <w:rPr>
                <w:rFonts w:hint="default" w:ascii="宋体" w:hAnsi="宋体" w:eastAsia="宋体" w:cs="宋体"/>
                <w:i w:val="0"/>
                <w:iCs w:val="0"/>
                <w:color w:val="auto"/>
                <w:sz w:val="21"/>
                <w:szCs w:val="21"/>
                <w:highlight w:val="none"/>
                <w:u w:val="none"/>
                <w:lang w:val="en-US" w:eastAsia="zh-CN"/>
              </w:rPr>
            </w:pPr>
          </w:p>
        </w:tc>
        <w:tc>
          <w:tcPr>
            <w:tcW w:w="1331" w:type="dxa"/>
            <w:noWrap w:val="0"/>
            <w:vAlign w:val="center"/>
          </w:tcPr>
          <w:p w14:paraId="20AAFCC7">
            <w:pPr>
              <w:keepNext w:val="0"/>
              <w:keepLines w:val="0"/>
              <w:suppressLineNumbers w:val="0"/>
              <w:spacing w:before="0" w:beforeAutospacing="0" w:after="0" w:afterAutospacing="0"/>
              <w:ind w:left="0" w:right="0"/>
              <w:jc w:val="left"/>
              <w:rPr>
                <w:rFonts w:hint="default" w:ascii="宋体" w:hAnsi="宋体" w:eastAsia="宋体" w:cs="宋体"/>
                <w:i w:val="0"/>
                <w:iCs w:val="0"/>
                <w:color w:val="auto"/>
                <w:sz w:val="21"/>
                <w:szCs w:val="21"/>
                <w:highlight w:val="none"/>
                <w:u w:val="none"/>
                <w:lang w:val="en-US" w:eastAsia="zh-CN"/>
              </w:rPr>
            </w:pPr>
          </w:p>
        </w:tc>
      </w:tr>
      <w:tr w14:paraId="1764D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40" w:type="dxa"/>
            <w:noWrap w:val="0"/>
            <w:vAlign w:val="center"/>
          </w:tcPr>
          <w:p w14:paraId="0AC3FB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484" w:type="dxa"/>
            <w:noWrap w:val="0"/>
            <w:vAlign w:val="center"/>
          </w:tcPr>
          <w:p w14:paraId="239986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轿厢微机异常处理</w:t>
            </w:r>
          </w:p>
        </w:tc>
        <w:tc>
          <w:tcPr>
            <w:tcW w:w="766" w:type="dxa"/>
            <w:noWrap w:val="0"/>
            <w:vAlign w:val="center"/>
          </w:tcPr>
          <w:p w14:paraId="42FA42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1755" w:type="dxa"/>
            <w:noWrap w:val="0"/>
            <w:vAlign w:val="center"/>
          </w:tcPr>
          <w:p w14:paraId="2999BE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终端强制减速</w:t>
            </w:r>
          </w:p>
        </w:tc>
        <w:tc>
          <w:tcPr>
            <w:tcW w:w="585" w:type="dxa"/>
            <w:noWrap w:val="0"/>
            <w:vAlign w:val="center"/>
          </w:tcPr>
          <w:p w14:paraId="6A013F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1830" w:type="dxa"/>
            <w:noWrap w:val="0"/>
            <w:vAlign w:val="center"/>
          </w:tcPr>
          <w:p w14:paraId="547AA2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本层再开门</w:t>
            </w:r>
          </w:p>
        </w:tc>
        <w:tc>
          <w:tcPr>
            <w:tcW w:w="705" w:type="dxa"/>
            <w:noWrap w:val="0"/>
            <w:vAlign w:val="center"/>
          </w:tcPr>
          <w:p w14:paraId="56AFFDA7">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rPr>
            </w:pPr>
          </w:p>
        </w:tc>
        <w:tc>
          <w:tcPr>
            <w:tcW w:w="1331" w:type="dxa"/>
            <w:noWrap w:val="0"/>
            <w:vAlign w:val="center"/>
          </w:tcPr>
          <w:p w14:paraId="16DA79FF">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1"/>
                <w:szCs w:val="21"/>
                <w:highlight w:val="none"/>
                <w:u w:val="none"/>
              </w:rPr>
            </w:pPr>
          </w:p>
        </w:tc>
      </w:tr>
    </w:tbl>
    <w:p w14:paraId="6B879A56">
      <w:pPr>
        <w:spacing w:line="440" w:lineRule="exact"/>
        <w:ind w:firstLine="42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特别说明：</w:t>
      </w:r>
    </w:p>
    <w:p w14:paraId="49264688">
      <w:pPr>
        <w:spacing w:line="440" w:lineRule="exact"/>
        <w:ind w:firstLine="422"/>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1、项目技术（质量）需求中的技术参数若与现场实测有出入，投标单位报名后到现场自行测量，以现场实测数据为准！并确定按市监特设发〔2025〕52 号的老旧电梯中的可以保留的配件，在</w:t>
      </w:r>
      <w:r>
        <w:rPr>
          <w:rFonts w:hint="eastAsia" w:ascii="宋体" w:hAnsi="宋体" w:eastAsia="宋体" w:cs="宋体"/>
          <w:b/>
          <w:bCs/>
          <w:color w:val="auto"/>
          <w:sz w:val="21"/>
          <w:szCs w:val="21"/>
          <w:highlight w:val="none"/>
          <w:lang w:val="en-US" w:eastAsia="zh-CN"/>
        </w:rPr>
        <w:t>《报价明细表》</w:t>
      </w:r>
      <w:r>
        <w:rPr>
          <w:rFonts w:hint="eastAsia" w:ascii="宋体" w:hAnsi="宋体" w:eastAsia="宋体" w:cs="宋体"/>
          <w:b/>
          <w:bCs/>
          <w:color w:val="auto"/>
          <w:sz w:val="21"/>
          <w:szCs w:val="21"/>
          <w:highlight w:val="none"/>
        </w:rPr>
        <w:t>中体现并报价</w:t>
      </w:r>
      <w:r>
        <w:rPr>
          <w:rFonts w:hint="eastAsia" w:ascii="宋体" w:hAnsi="宋体" w:cs="宋体"/>
          <w:b/>
          <w:bCs/>
          <w:color w:val="auto"/>
          <w:sz w:val="21"/>
          <w:szCs w:val="21"/>
          <w:highlight w:val="none"/>
          <w:lang w:eastAsia="zh-CN"/>
        </w:rPr>
        <w:t>。</w:t>
      </w:r>
    </w:p>
    <w:p w14:paraId="6DF96523">
      <w:pPr>
        <w:spacing w:line="440" w:lineRule="exact"/>
        <w:ind w:firstLine="422"/>
        <w:rPr>
          <w:rFonts w:hint="default" w:ascii="Times New Roman" w:hAnsi="Times New Roman" w:eastAsia="宋体" w:cs="Times New Roman"/>
          <w:color w:val="auto"/>
          <w:highlight w:val="none"/>
          <w:lang w:val="en-US" w:eastAsia="zh-CN"/>
        </w:rPr>
      </w:pPr>
      <w:r>
        <w:rPr>
          <w:rFonts w:hint="eastAsia" w:ascii="宋体" w:hAnsi="宋体" w:eastAsia="宋体" w:cs="宋体"/>
          <w:b/>
          <w:bCs/>
          <w:color w:val="auto"/>
          <w:sz w:val="21"/>
          <w:szCs w:val="21"/>
          <w:highlight w:val="none"/>
        </w:rPr>
        <w:t>2、供应商须承诺：提供的电梯配件是原厂、原规格、原型号、全新未使用过的，承诺格式自拟</w:t>
      </w:r>
      <w:r>
        <w:rPr>
          <w:rFonts w:hint="eastAsia" w:ascii="宋体" w:hAnsi="宋体" w:cs="宋体"/>
          <w:b/>
          <w:bCs/>
          <w:color w:val="auto"/>
          <w:sz w:val="21"/>
          <w:szCs w:val="21"/>
          <w:highlight w:val="none"/>
          <w:lang w:val="en-US" w:eastAsia="zh-CN"/>
        </w:rPr>
        <w:t>并加盖供应商公章</w:t>
      </w:r>
      <w:r>
        <w:rPr>
          <w:rFonts w:hint="eastAsia" w:ascii="宋体" w:hAnsi="宋体" w:eastAsia="宋体" w:cs="宋体"/>
          <w:b/>
          <w:bCs/>
          <w:color w:val="auto"/>
          <w:sz w:val="21"/>
          <w:szCs w:val="21"/>
          <w:highlight w:val="none"/>
        </w:rPr>
        <w:t>。</w:t>
      </w:r>
    </w:p>
    <w:p w14:paraId="4D4ACBB6">
      <w:pPr>
        <w:ind w:firstLine="560" w:firstLineChars="200"/>
        <w:rPr>
          <w:rFonts w:ascii="宋体" w:hAnsi="宋体" w:cs="宋体"/>
          <w:color w:val="auto"/>
          <w:highlight w:val="none"/>
        </w:rPr>
      </w:pPr>
      <w:r>
        <w:rPr>
          <w:rFonts w:hint="eastAsia" w:ascii="宋体" w:hAnsi="宋体" w:cs="宋体"/>
          <w:color w:val="auto"/>
          <w:highlight w:val="none"/>
        </w:rPr>
        <w:br w:type="page"/>
      </w:r>
    </w:p>
    <w:p w14:paraId="159BC9A2">
      <w:pPr>
        <w:pStyle w:val="2"/>
        <w:jc w:val="center"/>
        <w:rPr>
          <w:rFonts w:hAnsi="宋体" w:cs="宋体"/>
          <w:b/>
          <w:bCs/>
          <w:color w:val="auto"/>
          <w:sz w:val="30"/>
          <w:szCs w:val="30"/>
          <w:highlight w:val="none"/>
        </w:rPr>
      </w:pPr>
      <w:bookmarkStart w:id="93" w:name="_Toc16875"/>
      <w:r>
        <w:rPr>
          <w:rFonts w:hint="eastAsia" w:hAnsi="宋体" w:cs="宋体"/>
          <w:b/>
          <w:bCs/>
          <w:color w:val="auto"/>
          <w:sz w:val="30"/>
          <w:szCs w:val="30"/>
          <w:highlight w:val="none"/>
        </w:rPr>
        <w:t xml:space="preserve">第三篇  </w:t>
      </w:r>
      <w:bookmarkEnd w:id="87"/>
      <w:bookmarkEnd w:id="88"/>
      <w:bookmarkEnd w:id="89"/>
      <w:bookmarkEnd w:id="90"/>
      <w:bookmarkEnd w:id="91"/>
      <w:bookmarkEnd w:id="92"/>
      <w:r>
        <w:rPr>
          <w:rFonts w:hint="eastAsia" w:hAnsi="宋体" w:cs="宋体"/>
          <w:b/>
          <w:bCs/>
          <w:color w:val="auto"/>
          <w:sz w:val="30"/>
          <w:szCs w:val="30"/>
          <w:highlight w:val="none"/>
        </w:rPr>
        <w:t>比选项目商务需求</w:t>
      </w:r>
      <w:bookmarkEnd w:id="93"/>
    </w:p>
    <w:p w14:paraId="7E4ED68F">
      <w:pPr>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360" w:lineRule="exact"/>
        <w:ind w:firstLine="482" w:firstLineChars="200"/>
        <w:jc w:val="both"/>
        <w:textAlignment w:val="auto"/>
        <w:outlineLvl w:val="1"/>
        <w:rPr>
          <w:rFonts w:hint="eastAsia" w:ascii="Times New Roman" w:hAnsi="Times New Roman" w:eastAsia="宋体" w:cs="Times New Roman"/>
          <w:b/>
          <w:color w:val="auto"/>
          <w:kern w:val="2"/>
          <w:sz w:val="24"/>
          <w:szCs w:val="24"/>
          <w:highlight w:val="none"/>
          <w:lang w:val="en-US" w:eastAsia="zh-CN" w:bidi="ar-SA"/>
        </w:rPr>
      </w:pPr>
      <w:bookmarkStart w:id="94" w:name="_Toc3146"/>
      <w:bookmarkStart w:id="95" w:name="_Toc24195"/>
      <w:bookmarkStart w:id="96" w:name="_Toc16123"/>
      <w:bookmarkStart w:id="97" w:name="_Toc65660349"/>
      <w:bookmarkStart w:id="98" w:name="_Toc31282"/>
      <w:bookmarkStart w:id="99" w:name="_Toc24816"/>
      <w:bookmarkStart w:id="100" w:name="_Toc342913389"/>
      <w:r>
        <w:rPr>
          <w:rFonts w:hint="eastAsia" w:ascii="Times New Roman" w:hAnsi="Times New Roman" w:eastAsia="宋体" w:cs="Times New Roman"/>
          <w:b/>
          <w:color w:val="auto"/>
          <w:kern w:val="2"/>
          <w:sz w:val="24"/>
          <w:szCs w:val="24"/>
          <w:highlight w:val="none"/>
          <w:lang w:val="en-US" w:eastAsia="zh-CN" w:bidi="ar-SA"/>
        </w:rPr>
        <w:t>一、服务期限：</w:t>
      </w:r>
    </w:p>
    <w:p w14:paraId="55FA38F6">
      <w:pPr>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施工工期暂定120日历天（根据项目总体施工进度由项目部具体约定，进场必须满足项目部的要求。）</w:t>
      </w:r>
    </w:p>
    <w:p w14:paraId="2C837E8A">
      <w:pPr>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360" w:lineRule="exact"/>
        <w:ind w:firstLine="482" w:firstLineChars="200"/>
        <w:jc w:val="both"/>
        <w:textAlignment w:val="auto"/>
        <w:outlineLvl w:val="1"/>
        <w:rPr>
          <w:rFonts w:hint="eastAsia" w:ascii="Times New Roman" w:hAnsi="Times New Roman" w:eastAsia="宋体" w:cs="Times New Roman"/>
          <w:b w:val="0"/>
          <w:bCs/>
          <w:color w:val="auto"/>
          <w:kern w:val="2"/>
          <w:sz w:val="24"/>
          <w:szCs w:val="24"/>
          <w:highlight w:val="none"/>
          <w:lang w:val="en-US" w:eastAsia="zh-CN" w:bidi="ar-SA"/>
        </w:rPr>
      </w:pPr>
      <w:r>
        <w:rPr>
          <w:rFonts w:hint="eastAsia" w:ascii="Times New Roman" w:hAnsi="Times New Roman" w:eastAsia="宋体" w:cs="Times New Roman"/>
          <w:b/>
          <w:color w:val="auto"/>
          <w:kern w:val="2"/>
          <w:sz w:val="24"/>
          <w:szCs w:val="24"/>
          <w:highlight w:val="none"/>
          <w:lang w:val="en-US" w:eastAsia="zh-CN" w:bidi="ar-SA"/>
        </w:rPr>
        <w:t>二、交货地点：</w:t>
      </w:r>
      <w:r>
        <w:rPr>
          <w:rFonts w:hint="eastAsia" w:ascii="Times New Roman" w:hAnsi="Times New Roman" w:eastAsia="宋体" w:cs="Times New Roman"/>
          <w:b w:val="0"/>
          <w:bCs/>
          <w:color w:val="auto"/>
          <w:kern w:val="2"/>
          <w:sz w:val="24"/>
          <w:szCs w:val="24"/>
          <w:highlight w:val="none"/>
          <w:lang w:val="en-US" w:eastAsia="zh-CN" w:bidi="ar-SA"/>
        </w:rPr>
        <w:t>重庆南岸区光电路30号</w:t>
      </w:r>
      <w:r>
        <w:rPr>
          <w:rFonts w:hint="eastAsia" w:ascii="Times New Roman" w:hAnsi="Times New Roman" w:cs="Times New Roman"/>
          <w:b w:val="0"/>
          <w:bCs/>
          <w:color w:val="auto"/>
          <w:kern w:val="2"/>
          <w:sz w:val="24"/>
          <w:szCs w:val="24"/>
          <w:highlight w:val="none"/>
          <w:lang w:val="en-US" w:eastAsia="zh-CN" w:bidi="ar-SA"/>
        </w:rPr>
        <w:t>。</w:t>
      </w:r>
    </w:p>
    <w:p w14:paraId="5979D76A">
      <w:pPr>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360" w:lineRule="exact"/>
        <w:ind w:firstLine="482" w:firstLineChars="200"/>
        <w:jc w:val="both"/>
        <w:textAlignment w:val="auto"/>
        <w:outlineLvl w:val="1"/>
        <w:rPr>
          <w:rFonts w:hint="eastAsia" w:ascii="Times New Roman" w:hAnsi="Times New Roman" w:eastAsia="宋体" w:cs="Times New Roman"/>
          <w:b/>
          <w:color w:val="auto"/>
          <w:kern w:val="2"/>
          <w:sz w:val="24"/>
          <w:szCs w:val="24"/>
          <w:highlight w:val="none"/>
          <w:lang w:val="en-US" w:eastAsia="zh-CN" w:bidi="ar-SA"/>
        </w:rPr>
      </w:pPr>
      <w:r>
        <w:rPr>
          <w:rFonts w:hint="eastAsia" w:ascii="Times New Roman" w:hAnsi="Times New Roman" w:eastAsia="宋体" w:cs="Times New Roman"/>
          <w:b/>
          <w:color w:val="auto"/>
          <w:kern w:val="2"/>
          <w:sz w:val="24"/>
          <w:szCs w:val="24"/>
          <w:highlight w:val="none"/>
          <w:lang w:val="en-US" w:eastAsia="zh-CN" w:bidi="ar-SA"/>
        </w:rPr>
        <w:t>三、报价要求：</w:t>
      </w:r>
    </w:p>
    <w:p w14:paraId="7CDD5551">
      <w:pPr>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本项目为交钥匙工程</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报价方式为</w:t>
      </w:r>
      <w:r>
        <w:rPr>
          <w:rFonts w:hint="eastAsia" w:ascii="宋体" w:hAnsi="宋体" w:cs="宋体"/>
          <w:color w:val="auto"/>
          <w:sz w:val="24"/>
          <w:szCs w:val="24"/>
          <w:highlight w:val="none"/>
        </w:rPr>
        <w:t>总价包干，供应商的报价应包括但不限于设备费、保险、运输、安装、调试、装卸、法定验收检测合格所需要的各种费用、税金等所有费用、旧</w:t>
      </w:r>
      <w:r>
        <w:rPr>
          <w:rFonts w:hint="eastAsia" w:ascii="宋体" w:hAnsi="宋体" w:cs="宋体"/>
          <w:color w:val="auto"/>
          <w:sz w:val="24"/>
          <w:szCs w:val="24"/>
          <w:highlight w:val="none"/>
          <w:lang w:val="en-US" w:eastAsia="zh-CN"/>
        </w:rPr>
        <w:t>电梯</w:t>
      </w:r>
      <w:r>
        <w:rPr>
          <w:rFonts w:hint="eastAsia" w:ascii="宋体" w:hAnsi="宋体" w:cs="宋体"/>
          <w:color w:val="auto"/>
          <w:sz w:val="24"/>
          <w:szCs w:val="24"/>
          <w:highlight w:val="none"/>
        </w:rPr>
        <w:t>的折价回收处理等费用及采购代理服务费等一切费用。因供应商自身原因造成漏报、少报皆由供应商自行承担，采购人不再补偿。</w:t>
      </w:r>
    </w:p>
    <w:p w14:paraId="6E62D397">
      <w:pPr>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360" w:lineRule="exact"/>
        <w:ind w:firstLine="482" w:firstLineChars="200"/>
        <w:jc w:val="both"/>
        <w:textAlignment w:val="auto"/>
        <w:outlineLvl w:val="1"/>
        <w:rPr>
          <w:rFonts w:hint="eastAsia" w:ascii="Times New Roman" w:hAnsi="Times New Roman" w:eastAsia="宋体" w:cs="Times New Roman"/>
          <w:b/>
          <w:color w:val="auto"/>
          <w:kern w:val="2"/>
          <w:sz w:val="24"/>
          <w:szCs w:val="24"/>
          <w:highlight w:val="none"/>
          <w:lang w:val="en-US" w:eastAsia="zh-CN" w:bidi="ar-SA"/>
        </w:rPr>
      </w:pPr>
      <w:r>
        <w:rPr>
          <w:rFonts w:hint="eastAsia" w:ascii="Times New Roman" w:hAnsi="Times New Roman" w:eastAsia="宋体" w:cs="Times New Roman"/>
          <w:b/>
          <w:color w:val="auto"/>
          <w:kern w:val="2"/>
          <w:sz w:val="24"/>
          <w:szCs w:val="24"/>
          <w:highlight w:val="none"/>
          <w:lang w:val="en-US" w:eastAsia="zh-CN" w:bidi="ar-SA"/>
        </w:rPr>
        <w:t>四、付款方式和条件</w:t>
      </w:r>
    </w:p>
    <w:p w14:paraId="5C23FB16">
      <w:pPr>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1、电梯设备进场后支付单台电梯合同金额</w:t>
      </w:r>
      <w:r>
        <w:rPr>
          <w:rFonts w:hint="eastAsia" w:ascii="宋体" w:hAnsi="宋体" w:cs="宋体"/>
          <w:color w:val="auto"/>
          <w:sz w:val="24"/>
          <w:szCs w:val="24"/>
          <w:highlight w:val="none"/>
        </w:rPr>
        <w:t>的30%，</w:t>
      </w:r>
      <w:r>
        <w:rPr>
          <w:rFonts w:hint="eastAsia" w:ascii="宋体" w:hAnsi="宋体" w:cs="宋体"/>
          <w:color w:val="auto"/>
          <w:sz w:val="24"/>
          <w:szCs w:val="24"/>
          <w:highlight w:val="none"/>
          <w:lang w:val="en-US" w:eastAsia="zh-CN"/>
        </w:rPr>
        <w:t>电梯安装调试完毕并</w:t>
      </w:r>
      <w:r>
        <w:rPr>
          <w:rFonts w:hint="eastAsia" w:ascii="宋体" w:hAnsi="宋体" w:cs="宋体"/>
          <w:color w:val="auto"/>
          <w:sz w:val="24"/>
          <w:szCs w:val="24"/>
          <w:highlight w:val="none"/>
        </w:rPr>
        <w:t>经</w:t>
      </w:r>
      <w:r>
        <w:rPr>
          <w:rFonts w:hint="eastAsia" w:ascii="宋体" w:hAnsi="宋体" w:cs="宋体"/>
          <w:color w:val="auto"/>
          <w:sz w:val="24"/>
          <w:szCs w:val="24"/>
          <w:highlight w:val="none"/>
          <w:lang w:val="en-US" w:eastAsia="zh-CN"/>
        </w:rPr>
        <w:t>验收合格</w:t>
      </w:r>
      <w:r>
        <w:rPr>
          <w:rFonts w:hint="eastAsia" w:ascii="宋体" w:hAnsi="宋体" w:cs="宋体"/>
          <w:color w:val="auto"/>
          <w:sz w:val="24"/>
          <w:szCs w:val="24"/>
          <w:highlight w:val="none"/>
        </w:rPr>
        <w:t>后，支付至</w:t>
      </w:r>
      <w:r>
        <w:rPr>
          <w:rFonts w:hint="eastAsia" w:ascii="宋体" w:hAnsi="宋体" w:cs="宋体"/>
          <w:color w:val="auto"/>
          <w:sz w:val="24"/>
          <w:szCs w:val="24"/>
          <w:highlight w:val="none"/>
          <w:lang w:val="en-US" w:eastAsia="zh-CN"/>
        </w:rPr>
        <w:t>电梯合同金额的</w:t>
      </w:r>
      <w:r>
        <w:rPr>
          <w:rFonts w:hint="eastAsia" w:ascii="宋体" w:hAnsi="宋体" w:cs="宋体"/>
          <w:color w:val="auto"/>
          <w:sz w:val="24"/>
          <w:szCs w:val="24"/>
          <w:highlight w:val="none"/>
        </w:rPr>
        <w:t>97%。余款3%作为质保金，</w:t>
      </w:r>
      <w:r>
        <w:rPr>
          <w:rFonts w:hint="eastAsia" w:ascii="宋体" w:hAnsi="宋体" w:cs="宋体"/>
          <w:color w:val="auto"/>
          <w:sz w:val="24"/>
          <w:szCs w:val="24"/>
          <w:highlight w:val="none"/>
          <w:lang w:val="en-US" w:eastAsia="zh-CN"/>
        </w:rPr>
        <w:t>整机</w:t>
      </w:r>
      <w:r>
        <w:rPr>
          <w:rFonts w:hint="eastAsia" w:ascii="宋体" w:hAnsi="宋体" w:cs="宋体"/>
          <w:color w:val="auto"/>
          <w:sz w:val="24"/>
          <w:szCs w:val="24"/>
          <w:highlight w:val="none"/>
        </w:rPr>
        <w:t>质保期满后无任何质量问题</w:t>
      </w:r>
      <w:r>
        <w:rPr>
          <w:rFonts w:hint="eastAsia" w:ascii="宋体" w:hAnsi="宋体" w:cs="宋体"/>
          <w:color w:val="auto"/>
          <w:sz w:val="24"/>
          <w:szCs w:val="24"/>
          <w:highlight w:val="none"/>
          <w:lang w:eastAsia="zh-CN"/>
        </w:rPr>
        <w:t>的</w:t>
      </w:r>
      <w:r>
        <w:rPr>
          <w:rFonts w:hint="eastAsia" w:ascii="宋体" w:hAnsi="宋体" w:cs="宋体"/>
          <w:color w:val="auto"/>
          <w:sz w:val="24"/>
          <w:szCs w:val="24"/>
          <w:highlight w:val="none"/>
        </w:rPr>
        <w:t>无息退还。</w:t>
      </w:r>
    </w:p>
    <w:p w14:paraId="682EE7FB">
      <w:pPr>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2、政府补贴资金则按政府补贴资金申请流程进行。</w:t>
      </w:r>
    </w:p>
    <w:p w14:paraId="31A76F82">
      <w:pPr>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360" w:lineRule="exact"/>
        <w:ind w:firstLine="482" w:firstLineChars="200"/>
        <w:jc w:val="both"/>
        <w:textAlignment w:val="auto"/>
        <w:outlineLvl w:val="1"/>
        <w:rPr>
          <w:rFonts w:hint="eastAsia" w:ascii="Times New Roman" w:hAnsi="Times New Roman" w:eastAsia="宋体" w:cs="Times New Roman"/>
          <w:b/>
          <w:color w:val="auto"/>
          <w:kern w:val="2"/>
          <w:sz w:val="24"/>
          <w:szCs w:val="24"/>
          <w:highlight w:val="none"/>
          <w:lang w:val="en-US" w:eastAsia="zh-CN" w:bidi="ar-SA"/>
        </w:rPr>
      </w:pPr>
      <w:r>
        <w:rPr>
          <w:rFonts w:hint="eastAsia" w:ascii="Times New Roman" w:hAnsi="Times New Roman" w:eastAsia="宋体" w:cs="Times New Roman"/>
          <w:b/>
          <w:color w:val="auto"/>
          <w:kern w:val="2"/>
          <w:sz w:val="24"/>
          <w:szCs w:val="24"/>
          <w:highlight w:val="none"/>
          <w:lang w:val="en-US" w:eastAsia="zh-CN" w:bidi="ar-SA"/>
        </w:rPr>
        <w:t>五、违约责任</w:t>
      </w:r>
    </w:p>
    <w:p w14:paraId="1326BA58">
      <w:pPr>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1、中标供应商违约责任</w:t>
      </w:r>
    </w:p>
    <w:p w14:paraId="5B565380">
      <w:pPr>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 中标供应商交付的货物质量不符合合同规定的，中标供应商应向采购人支付合同总价的 </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%的违约金，并须在合同规定的交货时间内更换合格的货物给采购人，否则，视作中标供应商不能交付货物而违约，按本条本款下述第“ (2) ”项规定由 中标供应商偿付违约赔偿金给采购人。</w:t>
      </w:r>
    </w:p>
    <w:p w14:paraId="6D38B468">
      <w:pPr>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 中标供应商不能按期完工或逾期完工而违约的，除应及时交足货物</w:t>
      </w:r>
      <w:r>
        <w:rPr>
          <w:rFonts w:hint="eastAsia" w:ascii="宋体" w:hAnsi="宋体" w:cs="宋体"/>
          <w:color w:val="auto"/>
          <w:sz w:val="24"/>
          <w:szCs w:val="24"/>
          <w:highlight w:val="none"/>
          <w:lang w:eastAsia="zh-CN"/>
        </w:rPr>
        <w:t>弥补工期</w:t>
      </w:r>
      <w:r>
        <w:rPr>
          <w:rFonts w:hint="eastAsia" w:ascii="宋体" w:hAnsi="宋体" w:cs="宋体"/>
          <w:color w:val="auto"/>
          <w:sz w:val="24"/>
          <w:szCs w:val="24"/>
          <w:highlight w:val="none"/>
        </w:rPr>
        <w:t>外，应向采购人偿付逾期总额的万分之二/天的违约金；</w:t>
      </w:r>
    </w:p>
    <w:p w14:paraId="6673A3B1">
      <w:pPr>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 中标供应商向采购人送交具有法定资格条件的质量技术监督机构检测后，如检测结果认定货物质量不符合本合同规定标准的，则视为中标供应商没有按时交货而违约，中标供应商须在 2 天内无条件更换合格的货物。</w:t>
      </w:r>
    </w:p>
    <w:p w14:paraId="109CCAE9">
      <w:pPr>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(4) 中标供应商保证本合同货物的权利无瑕疵，包括货物所有权及知识产权等权利无瑕疵。如任何第三方经法院 (或仲裁机构) 裁决有权对上述货物主张权利或国家机关依法对货物进行没收查处的，中标供应商除应向采购人返还已收款项外，还应另按合同总价的 </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%向采购人支付违约金。</w:t>
      </w:r>
    </w:p>
    <w:p w14:paraId="15A6D943">
      <w:pPr>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(5) 中标供应商偿付的违约金不足以弥补采购人损失的，还应按采购人损失尚未弥补的部分，支付赔偿金给采购人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供应商承诺本项目实施过程中承担一切安全责任 </w:t>
      </w:r>
      <w:r>
        <w:rPr>
          <w:rFonts w:hint="eastAsia" w:ascii="宋体" w:hAnsi="宋体" w:cs="宋体"/>
          <w:color w:val="auto"/>
          <w:sz w:val="24"/>
          <w:szCs w:val="24"/>
          <w:highlight w:val="none"/>
          <w:lang w:eastAsia="zh-CN"/>
        </w:rPr>
        <w:t>。</w:t>
      </w:r>
    </w:p>
    <w:p w14:paraId="7909DB10">
      <w:pPr>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360" w:lineRule="exact"/>
        <w:ind w:firstLine="482" w:firstLineChars="200"/>
        <w:jc w:val="both"/>
        <w:textAlignment w:val="auto"/>
        <w:outlineLvl w:val="1"/>
        <w:rPr>
          <w:rFonts w:hint="eastAsia" w:ascii="Times New Roman" w:hAnsi="Times New Roman" w:eastAsia="宋体" w:cs="Times New Roman"/>
          <w:b/>
          <w:color w:val="auto"/>
          <w:kern w:val="2"/>
          <w:sz w:val="24"/>
          <w:szCs w:val="24"/>
          <w:highlight w:val="none"/>
          <w:lang w:val="en-US" w:eastAsia="zh-CN" w:bidi="ar-SA"/>
        </w:rPr>
      </w:pPr>
      <w:r>
        <w:rPr>
          <w:rFonts w:hint="eastAsia" w:ascii="Times New Roman" w:hAnsi="Times New Roman" w:eastAsia="宋体" w:cs="Times New Roman"/>
          <w:b/>
          <w:color w:val="auto"/>
          <w:kern w:val="2"/>
          <w:sz w:val="24"/>
          <w:szCs w:val="24"/>
          <w:highlight w:val="none"/>
          <w:lang w:val="en-US" w:eastAsia="zh-CN" w:bidi="ar-SA"/>
        </w:rPr>
        <w:t>六、验收标准和方法</w:t>
      </w:r>
    </w:p>
    <w:p w14:paraId="2CFB34B1">
      <w:pPr>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一) 安装验收规范和标准 (现行最新版本)</w:t>
      </w:r>
    </w:p>
    <w:p w14:paraId="028FD1CB">
      <w:pPr>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1、GB/T 7588.1-2020/GB/T 7588.2-2020《电梯制造与安装安全规范》；</w:t>
      </w:r>
    </w:p>
    <w:p w14:paraId="1EB67905">
      <w:pPr>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2、GB/T 10060-2023《电梯安装验收规范》；</w:t>
      </w:r>
    </w:p>
    <w:p w14:paraId="3F0CE853">
      <w:pPr>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3、GB/T 30560-2014《电梯操作装置、信号及附件》；</w:t>
      </w:r>
    </w:p>
    <w:p w14:paraId="1CE51A35">
      <w:pPr>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4、GB/T 22562-2008《电梯T型导轨》；</w:t>
      </w:r>
    </w:p>
    <w:p w14:paraId="6D8C1C35">
      <w:pPr>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5、GB 8903-2024《电梯用钢丝绳》；</w:t>
      </w:r>
    </w:p>
    <w:p w14:paraId="6A2D50C6">
      <w:pPr>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6、GB/T 24478-2023《电梯拽引机》；</w:t>
      </w:r>
    </w:p>
    <w:p w14:paraId="73D00B96">
      <w:pPr>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(二) 安装后，投标人委托当地特种设备检验检测研究院进行监督检验，并出具检验报告，合格的，颁发特种设备使用标志。</w:t>
      </w:r>
    </w:p>
    <w:p w14:paraId="2653F81F">
      <w:pPr>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采购人有权根据招标文件、投标文件及采购合同对电梯的规格、技术参数及功能自行组织验收。</w:t>
      </w:r>
    </w:p>
    <w:p w14:paraId="3E3E91C5">
      <w:pPr>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1、产品保护</w:t>
      </w:r>
    </w:p>
    <w:p w14:paraId="02B10E96">
      <w:pPr>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电梯安装工程完成后，中标供应商须负责全部设备的保护和清洁工作，直至设备验收合格并正常投入运行后为止。在安装过程中，如建筑结构或其它设备被损坏，中标供应商将要负责修理或赔偿损失。</w:t>
      </w:r>
    </w:p>
    <w:p w14:paraId="07A23F01">
      <w:pPr>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2、验收合格条件</w:t>
      </w:r>
    </w:p>
    <w:p w14:paraId="2D40503C">
      <w:pPr>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1)运行结果须符合产品标准和技术规格书及合同要求。</w:t>
      </w:r>
    </w:p>
    <w:p w14:paraId="14AE5012">
      <w:pPr>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2)设备在交付采购人使用之前，中标供应商应提供国家认可的检测机构出具的电梯验收检验合格证书</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检测费用计入投标报价中。</w:t>
      </w:r>
    </w:p>
    <w:p w14:paraId="271CCB5F">
      <w:pPr>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3)整套设备图纸及技术文件都已提交</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并得到接受确认。</w:t>
      </w:r>
    </w:p>
    <w:p w14:paraId="41ACA975">
      <w:pPr>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4)提供电梯成品保护的相关材料并负责安装到位。</w:t>
      </w:r>
    </w:p>
    <w:p w14:paraId="558F6029">
      <w:pPr>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360" w:lineRule="exact"/>
        <w:ind w:firstLine="482" w:firstLineChars="200"/>
        <w:jc w:val="both"/>
        <w:textAlignment w:val="auto"/>
        <w:outlineLvl w:val="1"/>
        <w:rPr>
          <w:rFonts w:hint="eastAsia" w:ascii="Times New Roman" w:hAnsi="Times New Roman" w:eastAsia="宋体" w:cs="Times New Roman"/>
          <w:b/>
          <w:color w:val="auto"/>
          <w:kern w:val="2"/>
          <w:sz w:val="24"/>
          <w:szCs w:val="24"/>
          <w:highlight w:val="none"/>
          <w:lang w:val="en-US" w:eastAsia="zh-CN" w:bidi="ar-SA"/>
        </w:rPr>
      </w:pPr>
      <w:r>
        <w:rPr>
          <w:rFonts w:hint="eastAsia" w:ascii="Times New Roman" w:hAnsi="Times New Roman" w:eastAsia="宋体" w:cs="Times New Roman"/>
          <w:b/>
          <w:color w:val="auto"/>
          <w:kern w:val="2"/>
          <w:sz w:val="24"/>
          <w:szCs w:val="24"/>
          <w:highlight w:val="none"/>
          <w:lang w:val="en-US" w:eastAsia="zh-CN" w:bidi="ar-SA"/>
        </w:rPr>
        <w:t>七、安装、调试和试运行</w:t>
      </w:r>
    </w:p>
    <w:p w14:paraId="15E4D4FB">
      <w:pPr>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1、安装调试和验收测试</w:t>
      </w:r>
    </w:p>
    <w:p w14:paraId="4856C615">
      <w:pPr>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1）提供能保证电梯的正常安装、调试和运行的全部技术资料、整套附件、配套件和材料的详细清单； 电梯轿厢及电梯安 装 (含井道) 的各项尺寸、设备重量等。</w:t>
      </w:r>
    </w:p>
    <w:p w14:paraId="2403455D">
      <w:pPr>
        <w:pageBreakBefore w:val="0"/>
        <w:widowControl w:val="0"/>
        <w:kinsoku/>
        <w:wordWrap/>
        <w:overflowPunct/>
        <w:topLinePunct w:val="0"/>
        <w:autoSpaceDE/>
        <w:autoSpaceDN/>
        <w:bidi w:val="0"/>
        <w:adjustRightInd/>
        <w:snapToGrid w:val="0"/>
        <w:spacing w:line="360" w:lineRule="exac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）电梯设备的验收，须经采购人和</w:t>
      </w:r>
      <w:r>
        <w:rPr>
          <w:rFonts w:hint="eastAsia" w:ascii="宋体" w:hAnsi="宋体" w:cs="宋体"/>
          <w:color w:val="auto"/>
          <w:sz w:val="24"/>
          <w:szCs w:val="24"/>
          <w:highlight w:val="none"/>
          <w:lang w:val="en-US" w:eastAsia="zh-CN"/>
        </w:rPr>
        <w:t>部分</w:t>
      </w:r>
      <w:r>
        <w:rPr>
          <w:rFonts w:hint="eastAsia" w:ascii="宋体" w:hAnsi="宋体" w:cs="宋体"/>
          <w:color w:val="auto"/>
          <w:sz w:val="24"/>
          <w:szCs w:val="24"/>
          <w:highlight w:val="none"/>
        </w:rPr>
        <w:t>业主代表签字盖章确认；在设备运转测试时，供货商应无条件完成调试服务，经重庆市特种设备检测研究院监督检验合格后，施工单位到区市场监管局变更使用登记。</w:t>
      </w:r>
    </w:p>
    <w:p w14:paraId="6F231FAB">
      <w:pPr>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4）电梯设备的试运行，经重庆市特种设备检测研究院监督检验合格后，电梯交付使用初期，约定试运行期</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日，用于对电梯开展调试测试。</w:t>
      </w:r>
    </w:p>
    <w:p w14:paraId="19A42376">
      <w:pPr>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GB/T 7588.1-2020/GB/T 7588.2-2020《电梯制造与安装安全规范》；</w:t>
      </w:r>
    </w:p>
    <w:p w14:paraId="436BB386">
      <w:pPr>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GB/T 10058-2023《电梯技术条件》；</w:t>
      </w:r>
    </w:p>
    <w:p w14:paraId="33D7661D">
      <w:pPr>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GB/T 10059-2023《电梯试验方法》；</w:t>
      </w:r>
    </w:p>
    <w:p w14:paraId="730C3209">
      <w:pPr>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GB/T 10060-2023《电梯安装验收规范》；</w:t>
      </w:r>
    </w:p>
    <w:p w14:paraId="11F97966">
      <w:pPr>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GB 50310-2002《电梯工程施工质量验收规范》；</w:t>
      </w:r>
    </w:p>
    <w:p w14:paraId="0286B678">
      <w:pPr>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GB 50310-2002《电梯工程施工质量验收规范》；</w:t>
      </w:r>
    </w:p>
    <w:p w14:paraId="6E453C43">
      <w:pPr>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GB</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50231-2009《机械设备安装工程施工及验收通用规范 》；</w:t>
      </w:r>
    </w:p>
    <w:p w14:paraId="2F1C53B9">
      <w:pPr>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GB/T 7025.1-2023《电梯主参数及轿厢、井道、机房的型式与尺寸 第1部分:Ⅰ、Ⅱ、Ⅲ、Ⅵ类电梯 》等规范，如有最新的行业标准，将按照最新标准执行</w:t>
      </w:r>
    </w:p>
    <w:p w14:paraId="3DCC29E8">
      <w:pPr>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(招标人应对合同设备在考核中应达到的技术性能考核指标进行规定，并可根据合同设备的实际情况，规定可以接受的合同设备的最低技术性能考核指标。)</w:t>
      </w:r>
    </w:p>
    <w:p w14:paraId="79EED2E1">
      <w:pPr>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360" w:lineRule="exact"/>
        <w:ind w:firstLine="482" w:firstLineChars="200"/>
        <w:jc w:val="both"/>
        <w:textAlignment w:val="auto"/>
        <w:outlineLvl w:val="1"/>
        <w:rPr>
          <w:rFonts w:hint="eastAsia" w:ascii="Times New Roman" w:hAnsi="Times New Roman" w:eastAsia="宋体" w:cs="Times New Roman"/>
          <w:b/>
          <w:color w:val="auto"/>
          <w:kern w:val="2"/>
          <w:sz w:val="24"/>
          <w:szCs w:val="24"/>
          <w:highlight w:val="none"/>
          <w:lang w:val="en-US" w:eastAsia="zh-CN" w:bidi="ar-SA"/>
        </w:rPr>
      </w:pPr>
      <w:r>
        <w:rPr>
          <w:rFonts w:hint="eastAsia" w:ascii="Times New Roman" w:hAnsi="Times New Roman" w:eastAsia="宋体" w:cs="Times New Roman"/>
          <w:b/>
          <w:color w:val="auto"/>
          <w:kern w:val="2"/>
          <w:sz w:val="24"/>
          <w:szCs w:val="24"/>
          <w:highlight w:val="none"/>
          <w:lang w:val="en-US" w:eastAsia="zh-CN" w:bidi="ar-SA"/>
        </w:rPr>
        <w:t>八、质量保证期内服务要求</w:t>
      </w:r>
    </w:p>
    <w:p w14:paraId="29FD2BC7">
      <w:pPr>
        <w:pageBreakBefore w:val="0"/>
        <w:widowControl w:val="0"/>
        <w:kinsoku/>
        <w:wordWrap/>
        <w:overflowPunct/>
        <w:topLinePunct w:val="0"/>
        <w:autoSpaceDE/>
        <w:autoSpaceDN/>
        <w:bidi w:val="0"/>
        <w:adjustRightInd/>
        <w:snapToGrid w:val="0"/>
        <w:spacing w:line="360" w:lineRule="exact"/>
        <w:ind w:firstLine="482" w:firstLineChars="200"/>
        <w:textAlignment w:val="auto"/>
        <w:rPr>
          <w:rFonts w:hint="eastAsia" w:ascii="宋体" w:hAnsi="宋体" w:cs="宋体"/>
          <w:color w:val="auto"/>
          <w:sz w:val="24"/>
          <w:szCs w:val="24"/>
          <w:highlight w:val="none"/>
        </w:rPr>
      </w:pPr>
      <w:r>
        <w:rPr>
          <w:rFonts w:hint="eastAsia" w:ascii="宋体" w:hAnsi="宋体" w:cs="宋体"/>
          <w:b/>
          <w:bCs/>
          <w:color w:val="auto"/>
          <w:sz w:val="24"/>
          <w:szCs w:val="24"/>
          <w:highlight w:val="none"/>
        </w:rPr>
        <w:t>1、质量保证期：</w:t>
      </w:r>
      <w:r>
        <w:rPr>
          <w:rFonts w:hint="eastAsia" w:ascii="宋体" w:hAnsi="宋体" w:cs="宋体"/>
          <w:b/>
          <w:bCs/>
          <w:color w:val="auto"/>
          <w:sz w:val="24"/>
          <w:szCs w:val="24"/>
          <w:highlight w:val="none"/>
          <w:lang w:val="en-US" w:eastAsia="zh-CN"/>
        </w:rPr>
        <w:t>通过特检院验收合格之日起</w:t>
      </w:r>
      <w:r>
        <w:rPr>
          <w:rFonts w:hint="eastAsia" w:ascii="宋体" w:hAnsi="宋体" w:cs="宋体"/>
          <w:b/>
          <w:bCs/>
          <w:color w:val="auto"/>
          <w:sz w:val="24"/>
          <w:szCs w:val="24"/>
          <w:highlight w:val="none"/>
        </w:rPr>
        <w:t>进入质保期，核心部件（曳引机、门机、控制柜、安全钳、缓冲器、限速器）质保10年，整机质保5年（含电梯更新附属各类设备设施），</w:t>
      </w:r>
      <w:r>
        <w:rPr>
          <w:rFonts w:hint="eastAsia" w:ascii="宋体" w:hAnsi="宋体" w:cs="宋体"/>
          <w:b/>
          <w:bCs/>
          <w:color w:val="auto"/>
          <w:sz w:val="24"/>
          <w:szCs w:val="24"/>
          <w:highlight w:val="none"/>
          <w:lang w:val="en-US" w:eastAsia="zh-CN"/>
        </w:rPr>
        <w:t>免费维保期2年，</w:t>
      </w:r>
      <w:r>
        <w:rPr>
          <w:rFonts w:hint="eastAsia" w:ascii="宋体" w:hAnsi="宋体" w:cs="宋体"/>
          <w:b/>
          <w:bCs/>
          <w:color w:val="auto"/>
          <w:sz w:val="24"/>
          <w:szCs w:val="24"/>
          <w:highlight w:val="none"/>
        </w:rPr>
        <w:t>按照 TSG 08-2017 《电梯使用管理和维护保养规则》的规定，维保项目和计划，完成半月、季度、年度维保后的电梯应符合GB/T 7588.1-2020</w:t>
      </w:r>
      <w:r>
        <w:rPr>
          <w:rFonts w:hint="eastAsia" w:ascii="宋体" w:hAnsi="宋体" w:cs="宋体"/>
          <w:b/>
          <w:bCs/>
          <w:color w:val="auto"/>
          <w:sz w:val="24"/>
          <w:szCs w:val="24"/>
          <w:highlight w:val="none"/>
          <w:lang w:val="en-US" w:eastAsia="zh-CN"/>
        </w:rPr>
        <w:t>/GB/T 7588.2-2020</w:t>
      </w:r>
      <w:r>
        <w:rPr>
          <w:rFonts w:hint="eastAsia" w:ascii="宋体" w:hAnsi="宋体" w:cs="宋体"/>
          <w:b/>
          <w:bCs/>
          <w:color w:val="auto"/>
          <w:sz w:val="24"/>
          <w:szCs w:val="24"/>
          <w:highlight w:val="none"/>
        </w:rPr>
        <w:t>《电梯制造与安装安全规范》的相关规定。</w:t>
      </w:r>
    </w:p>
    <w:p w14:paraId="1C32D7B4">
      <w:pPr>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2、电话咨询：供应商或厂家应当为用户提供技术援助电话，解答用户在使用中遇到的问题，及时为用户提出解决问题的建议。</w:t>
      </w:r>
    </w:p>
    <w:p w14:paraId="47F1D52B">
      <w:pPr>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3、现场响应</w:t>
      </w:r>
    </w:p>
    <w:p w14:paraId="3EE05634">
      <w:pPr>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中标供应商所提供的设备发生故障后，采购人应立即通知供应商。供应商应在接到故障通知后的30分钟内派技术人员到现场排除故障，无法及时解决的，应在24小时内修复产品，使用户能够正常使用。</w:t>
      </w:r>
    </w:p>
    <w:p w14:paraId="164D3AB5">
      <w:pPr>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360" w:lineRule="exact"/>
        <w:ind w:firstLine="482" w:firstLineChars="200"/>
        <w:jc w:val="both"/>
        <w:textAlignment w:val="auto"/>
        <w:outlineLvl w:val="1"/>
        <w:rPr>
          <w:rFonts w:hint="eastAsia" w:ascii="Times New Roman" w:hAnsi="Times New Roman" w:eastAsia="宋体" w:cs="Times New Roman"/>
          <w:b/>
          <w:color w:val="auto"/>
          <w:kern w:val="2"/>
          <w:sz w:val="24"/>
          <w:szCs w:val="24"/>
          <w:highlight w:val="none"/>
          <w:lang w:val="en-US" w:eastAsia="zh-CN" w:bidi="ar-SA"/>
        </w:rPr>
      </w:pPr>
      <w:r>
        <w:rPr>
          <w:rFonts w:hint="eastAsia" w:ascii="Times New Roman" w:hAnsi="Times New Roman" w:eastAsia="宋体" w:cs="Times New Roman"/>
          <w:b/>
          <w:color w:val="auto"/>
          <w:kern w:val="2"/>
          <w:sz w:val="24"/>
          <w:szCs w:val="24"/>
          <w:highlight w:val="none"/>
          <w:lang w:val="en-US" w:eastAsia="zh-CN" w:bidi="ar-SA"/>
        </w:rPr>
        <w:t>九、质保期外服务要求</w:t>
      </w:r>
    </w:p>
    <w:p w14:paraId="1FA4B76D">
      <w:pPr>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1、质量保证期过后，供应商或厂家应同样提供电话咨询服务，并应承诺提供产品上门维修服务。</w:t>
      </w:r>
    </w:p>
    <w:p w14:paraId="1F09E068">
      <w:pPr>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2、质量保证期过后，采购人需要继续由供应商或厂家提供售后服务的，该供应商或厂家应以出厂价提供配件和售后服务</w:t>
      </w:r>
      <w:r>
        <w:rPr>
          <w:rFonts w:hint="eastAsia" w:ascii="宋体" w:hAnsi="宋体" w:cs="宋体"/>
          <w:color w:val="auto"/>
          <w:sz w:val="24"/>
          <w:szCs w:val="24"/>
          <w:highlight w:val="none"/>
          <w:lang w:eastAsia="zh-CN"/>
        </w:rPr>
        <w:t>。</w:t>
      </w:r>
    </w:p>
    <w:p w14:paraId="1637801A">
      <w:pPr>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360" w:lineRule="exact"/>
        <w:ind w:firstLine="482" w:firstLineChars="200"/>
        <w:jc w:val="both"/>
        <w:textAlignment w:val="auto"/>
        <w:outlineLvl w:val="1"/>
        <w:rPr>
          <w:rFonts w:hint="eastAsia" w:ascii="Times New Roman" w:hAnsi="Times New Roman" w:eastAsia="宋体" w:cs="Times New Roman"/>
          <w:b/>
          <w:color w:val="auto"/>
          <w:kern w:val="2"/>
          <w:sz w:val="24"/>
          <w:szCs w:val="24"/>
          <w:highlight w:val="none"/>
          <w:lang w:val="en-US" w:eastAsia="zh-CN" w:bidi="ar-SA"/>
        </w:rPr>
      </w:pPr>
      <w:r>
        <w:rPr>
          <w:rFonts w:hint="eastAsia" w:ascii="Times New Roman" w:hAnsi="Times New Roman" w:eastAsia="宋体" w:cs="Times New Roman"/>
          <w:b/>
          <w:color w:val="auto"/>
          <w:kern w:val="2"/>
          <w:sz w:val="24"/>
          <w:szCs w:val="24"/>
          <w:highlight w:val="none"/>
          <w:lang w:val="en-US" w:eastAsia="zh-CN" w:bidi="ar-SA"/>
        </w:rPr>
        <w:t>十、知识产权</w:t>
      </w:r>
    </w:p>
    <w:p w14:paraId="476A8273">
      <w:pPr>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采购人在中华人民共和国境内使用中标人提供的货物及服务时免受第三方提出的侵犯其专利权或其它知识产权的起诉。如果第三方提出侵权指控，中标人应承担由此而引起的一切法律责任和费用。</w:t>
      </w:r>
    </w:p>
    <w:p w14:paraId="4297D90E">
      <w:pPr>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注：（若涉及软件开发等服务类项目知识产权的，知识产权归采购人所有）。</w:t>
      </w:r>
    </w:p>
    <w:p w14:paraId="228BDD13">
      <w:pPr>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360" w:lineRule="exact"/>
        <w:ind w:firstLine="482" w:firstLineChars="200"/>
        <w:jc w:val="both"/>
        <w:textAlignment w:val="auto"/>
        <w:outlineLvl w:val="1"/>
        <w:rPr>
          <w:rFonts w:hint="eastAsia" w:ascii="Times New Roman" w:hAnsi="Times New Roman" w:eastAsia="宋体" w:cs="Times New Roman"/>
          <w:b/>
          <w:color w:val="auto"/>
          <w:kern w:val="2"/>
          <w:sz w:val="24"/>
          <w:szCs w:val="24"/>
          <w:highlight w:val="none"/>
          <w:lang w:val="en-US" w:eastAsia="zh-CN" w:bidi="ar-SA"/>
        </w:rPr>
      </w:pPr>
      <w:r>
        <w:rPr>
          <w:rFonts w:hint="eastAsia" w:ascii="Times New Roman" w:hAnsi="Times New Roman" w:eastAsia="宋体" w:cs="Times New Roman"/>
          <w:b/>
          <w:color w:val="auto"/>
          <w:kern w:val="2"/>
          <w:sz w:val="24"/>
          <w:szCs w:val="24"/>
          <w:highlight w:val="none"/>
          <w:lang w:val="en-US" w:eastAsia="zh-CN" w:bidi="ar-SA"/>
        </w:rPr>
        <w:t xml:space="preserve">十一、培训 </w:t>
      </w:r>
    </w:p>
    <w:p w14:paraId="05092140">
      <w:pPr>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中标人须提供对设备的操作培训，使相关使用人员能够正常操作相关设备。</w:t>
      </w:r>
    </w:p>
    <w:p w14:paraId="5E99A4E3">
      <w:pPr>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360" w:lineRule="exact"/>
        <w:ind w:firstLine="482" w:firstLineChars="200"/>
        <w:jc w:val="both"/>
        <w:textAlignment w:val="auto"/>
        <w:outlineLvl w:val="1"/>
        <w:rPr>
          <w:rFonts w:hint="eastAsia" w:ascii="Times New Roman" w:hAnsi="Times New Roman" w:eastAsia="宋体" w:cs="Times New Roman"/>
          <w:b/>
          <w:color w:val="auto"/>
          <w:kern w:val="2"/>
          <w:sz w:val="24"/>
          <w:szCs w:val="24"/>
          <w:highlight w:val="none"/>
          <w:lang w:val="en-US" w:eastAsia="zh-CN" w:bidi="ar-SA"/>
        </w:rPr>
      </w:pPr>
      <w:r>
        <w:rPr>
          <w:rFonts w:hint="eastAsia" w:ascii="Times New Roman" w:hAnsi="Times New Roman" w:eastAsia="宋体" w:cs="Times New Roman"/>
          <w:b/>
          <w:color w:val="auto"/>
          <w:kern w:val="2"/>
          <w:sz w:val="24"/>
          <w:szCs w:val="24"/>
          <w:highlight w:val="none"/>
          <w:lang w:val="en-US" w:eastAsia="zh-CN" w:bidi="ar-SA"/>
        </w:rPr>
        <w:t>十二、其他</w:t>
      </w:r>
    </w:p>
    <w:p w14:paraId="610CEB90">
      <w:pPr>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（一）投标人必须在投标文件中对以上条款和服务承诺明确列出，承诺内容必须达到本篇及招标文件其他条款的要求。</w:t>
      </w:r>
    </w:p>
    <w:p w14:paraId="08F79998">
      <w:pPr>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（二）施工方无条件配合物业在相关部门办理旧电梯注销以及新梯注册、登记、使用等手续。</w:t>
      </w:r>
    </w:p>
    <w:p w14:paraId="3D7E36CA">
      <w:pPr>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（三）移交时，施工方必须将锁梯钥匙，以及一切涉及密码告知物业。</w:t>
      </w:r>
    </w:p>
    <w:p w14:paraId="64F8298D">
      <w:pPr>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（四）其他未尽事宜由供需双方在采购合同中详细约定。</w:t>
      </w:r>
    </w:p>
    <w:p w14:paraId="35D25A37">
      <w:pPr>
        <w:pageBreakBefore w:val="0"/>
        <w:widowControl w:val="0"/>
        <w:kinsoku/>
        <w:wordWrap/>
        <w:overflowPunct/>
        <w:topLinePunct w:val="0"/>
        <w:autoSpaceDE/>
        <w:autoSpaceDN/>
        <w:bidi w:val="0"/>
        <w:adjustRightInd/>
        <w:spacing w:line="360" w:lineRule="exact"/>
        <w:textAlignment w:val="auto"/>
        <w:rPr>
          <w:rStyle w:val="69"/>
          <w:rFonts w:hint="eastAsia" w:hAnsi="宋体" w:cs="宋体"/>
          <w:b/>
          <w:bCs/>
          <w:color w:val="auto"/>
          <w:sz w:val="30"/>
          <w:szCs w:val="30"/>
          <w:highlight w:val="none"/>
        </w:rPr>
      </w:pPr>
      <w:r>
        <w:rPr>
          <w:rStyle w:val="69"/>
          <w:rFonts w:hint="eastAsia" w:hAnsi="宋体" w:cs="宋体"/>
          <w:b/>
          <w:bCs/>
          <w:color w:val="auto"/>
          <w:sz w:val="30"/>
          <w:szCs w:val="30"/>
          <w:highlight w:val="none"/>
        </w:rPr>
        <w:br w:type="page"/>
      </w:r>
    </w:p>
    <w:p w14:paraId="5E2A6608">
      <w:pPr>
        <w:keepNext/>
        <w:keepLines/>
        <w:spacing w:line="360" w:lineRule="auto"/>
        <w:jc w:val="center"/>
        <w:outlineLvl w:val="1"/>
        <w:rPr>
          <w:rStyle w:val="69"/>
          <w:rFonts w:hAnsi="宋体" w:cs="宋体"/>
          <w:color w:val="auto"/>
          <w:szCs w:val="28"/>
          <w:highlight w:val="none"/>
        </w:rPr>
      </w:pPr>
      <w:r>
        <w:rPr>
          <w:rStyle w:val="69"/>
          <w:rFonts w:hint="eastAsia" w:hAnsi="宋体" w:cs="宋体"/>
          <w:b/>
          <w:bCs/>
          <w:color w:val="auto"/>
          <w:sz w:val="30"/>
          <w:szCs w:val="30"/>
          <w:highlight w:val="none"/>
        </w:rPr>
        <w:t>第四篇  采购程序、评定成交的标准、无效报价及采购终止</w:t>
      </w:r>
      <w:bookmarkEnd w:id="94"/>
      <w:bookmarkEnd w:id="95"/>
      <w:bookmarkEnd w:id="96"/>
      <w:bookmarkEnd w:id="97"/>
      <w:bookmarkEnd w:id="98"/>
    </w:p>
    <w:bookmarkEnd w:id="99"/>
    <w:p w14:paraId="28A8D742">
      <w:pPr>
        <w:keepNext/>
        <w:keepLines/>
        <w:adjustRightInd w:val="0"/>
        <w:snapToGrid w:val="0"/>
        <w:spacing w:line="400" w:lineRule="exact"/>
        <w:ind w:firstLine="482" w:firstLineChars="200"/>
        <w:outlineLvl w:val="1"/>
        <w:rPr>
          <w:rFonts w:ascii="宋体" w:hAnsi="宋体" w:cs="宋体"/>
          <w:b/>
          <w:color w:val="auto"/>
          <w:sz w:val="24"/>
          <w:highlight w:val="none"/>
        </w:rPr>
      </w:pPr>
      <w:bookmarkStart w:id="101" w:name="_Toc5167"/>
      <w:bookmarkStart w:id="102" w:name="_Toc65660350"/>
      <w:bookmarkStart w:id="103" w:name="_Toc9361"/>
      <w:bookmarkStart w:id="104" w:name="_Toc64732012"/>
      <w:bookmarkStart w:id="105" w:name="_Toc27932"/>
      <w:bookmarkStart w:id="106" w:name="_Toc10177"/>
      <w:r>
        <w:rPr>
          <w:rFonts w:hint="eastAsia" w:ascii="宋体" w:hAnsi="宋体" w:cs="宋体"/>
          <w:b/>
          <w:color w:val="auto"/>
          <w:sz w:val="24"/>
          <w:highlight w:val="none"/>
        </w:rPr>
        <w:t>一、采购程序</w:t>
      </w:r>
      <w:bookmarkEnd w:id="101"/>
      <w:bookmarkEnd w:id="102"/>
      <w:bookmarkEnd w:id="103"/>
      <w:bookmarkEnd w:id="104"/>
      <w:bookmarkEnd w:id="105"/>
      <w:bookmarkEnd w:id="106"/>
    </w:p>
    <w:p w14:paraId="23165D0A">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（一）比选按竞争性比选文件规定的时间和地点进行。</w:t>
      </w:r>
    </w:p>
    <w:p w14:paraId="660F7369">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（二）由本项目评审小组对各供应商的资格条件、实质性响应等进行审查并汇总评审得分。</w:t>
      </w:r>
    </w:p>
    <w:p w14:paraId="1C4EF5A3">
      <w:pPr>
        <w:spacing w:line="392" w:lineRule="exact"/>
        <w:ind w:firstLine="420"/>
        <w:rPr>
          <w:rFonts w:hint="eastAsia" w:ascii="宋体" w:hAnsi="宋体" w:eastAsia="宋体" w:cs="宋体"/>
          <w:b/>
          <w:bCs/>
          <w:color w:val="auto"/>
          <w:sz w:val="24"/>
          <w:szCs w:val="24"/>
          <w:highlight w:val="none"/>
        </w:rPr>
      </w:pPr>
      <w:r>
        <w:rPr>
          <w:rFonts w:hint="eastAsia" w:ascii="宋体" w:hAnsi="宋体" w:cs="宋体"/>
          <w:color w:val="auto"/>
          <w:sz w:val="24"/>
          <w:szCs w:val="24"/>
          <w:highlight w:val="none"/>
        </w:rPr>
        <w:t>（三）</w:t>
      </w:r>
      <w:r>
        <w:rPr>
          <w:rFonts w:hint="eastAsia" w:ascii="宋体" w:hAnsi="宋体" w:eastAsia="宋体" w:cs="宋体"/>
          <w:b/>
          <w:bCs/>
          <w:color w:val="auto"/>
          <w:sz w:val="24"/>
          <w:szCs w:val="24"/>
          <w:highlight w:val="none"/>
        </w:rPr>
        <w:t>经评审小组专家评审后按评审得分由高到低的顺序推荐</w:t>
      </w:r>
      <w:r>
        <w:rPr>
          <w:rFonts w:hint="eastAsia" w:ascii="宋体" w:hAnsi="宋体" w:eastAsia="宋体" w:cs="宋体"/>
          <w:b/>
          <w:bCs/>
          <w:color w:val="auto"/>
          <w:sz w:val="24"/>
          <w:szCs w:val="24"/>
          <w:highlight w:val="none"/>
          <w:lang w:val="en-US" w:eastAsia="zh-CN"/>
        </w:rPr>
        <w:t>前</w:t>
      </w:r>
      <w:r>
        <w:rPr>
          <w:rFonts w:hint="eastAsia" w:ascii="宋体" w:hAnsi="宋体" w:eastAsia="宋体" w:cs="宋体"/>
          <w:b/>
          <w:bCs/>
          <w:color w:val="auto"/>
          <w:sz w:val="24"/>
          <w:szCs w:val="24"/>
          <w:highlight w:val="none"/>
        </w:rPr>
        <w:t>三名候选人</w:t>
      </w:r>
      <w:r>
        <w:rPr>
          <w:rFonts w:hint="eastAsia" w:ascii="宋体" w:hAnsi="宋体" w:cs="宋体"/>
          <w:b/>
          <w:bCs/>
          <w:color w:val="auto"/>
          <w:sz w:val="24"/>
          <w:szCs w:val="24"/>
          <w:highlight w:val="none"/>
          <w:lang w:val="en-US" w:eastAsia="zh-CN"/>
        </w:rPr>
        <w:t>并出具评审报告，接着由专家推荐的前三名候选人在现场（开评标当日）对自己的产品进行不超过20分钟</w:t>
      </w:r>
      <w:r>
        <w:rPr>
          <w:rFonts w:hint="default" w:ascii="宋体" w:hAnsi="宋体" w:eastAsia="宋体" w:cs="宋体"/>
          <w:b/>
          <w:bCs/>
          <w:color w:val="auto"/>
          <w:kern w:val="2"/>
          <w:sz w:val="24"/>
          <w:szCs w:val="24"/>
          <w:highlight w:val="none"/>
          <w:lang w:val="en-US" w:eastAsia="zh-CN" w:bidi="ar-SA"/>
        </w:rPr>
        <w:t>（含</w:t>
      </w:r>
      <w:r>
        <w:rPr>
          <w:rFonts w:hint="eastAsia" w:ascii="宋体" w:hAnsi="宋体" w:eastAsia="宋体" w:cs="宋体"/>
          <w:b/>
          <w:bCs/>
          <w:color w:val="auto"/>
          <w:kern w:val="2"/>
          <w:sz w:val="24"/>
          <w:szCs w:val="24"/>
          <w:highlight w:val="none"/>
          <w:lang w:val="en-US" w:eastAsia="zh-CN" w:bidi="ar-SA"/>
        </w:rPr>
        <w:t>现场</w:t>
      </w:r>
      <w:r>
        <w:rPr>
          <w:rFonts w:hint="default" w:ascii="宋体" w:hAnsi="宋体" w:eastAsia="宋体" w:cs="宋体"/>
          <w:b/>
          <w:bCs/>
          <w:color w:val="auto"/>
          <w:kern w:val="2"/>
          <w:sz w:val="24"/>
          <w:szCs w:val="24"/>
          <w:highlight w:val="none"/>
          <w:lang w:val="en-US" w:eastAsia="zh-CN" w:bidi="ar-SA"/>
        </w:rPr>
        <w:t>业主提问时间）述标介绍</w:t>
      </w:r>
      <w:r>
        <w:rPr>
          <w:rFonts w:hint="eastAsia" w:ascii="宋体" w:hAnsi="宋体" w:cs="宋体"/>
          <w:b/>
          <w:bCs/>
          <w:color w:val="auto"/>
          <w:sz w:val="24"/>
          <w:szCs w:val="24"/>
          <w:highlight w:val="none"/>
          <w:lang w:val="en-US" w:eastAsia="zh-CN"/>
        </w:rPr>
        <w:t>。述标结束后采购人对前三名候选人</w:t>
      </w:r>
      <w:r>
        <w:rPr>
          <w:rFonts w:hint="eastAsia" w:ascii="宋体" w:hAnsi="宋体" w:eastAsia="宋体" w:cs="宋体"/>
          <w:b/>
          <w:bCs/>
          <w:color w:val="auto"/>
          <w:sz w:val="24"/>
          <w:szCs w:val="24"/>
          <w:highlight w:val="none"/>
        </w:rPr>
        <w:t>进行公示，</w:t>
      </w:r>
      <w:r>
        <w:rPr>
          <w:rFonts w:hint="eastAsia" w:ascii="宋体" w:hAnsi="宋体" w:eastAsia="宋体" w:cs="宋体"/>
          <w:b/>
          <w:bCs/>
          <w:color w:val="auto"/>
          <w:sz w:val="24"/>
          <w:szCs w:val="24"/>
          <w:highlight w:val="none"/>
          <w:lang w:val="en-US" w:eastAsia="zh-CN"/>
        </w:rPr>
        <w:t>公示期3个日历日，</w:t>
      </w:r>
      <w:r>
        <w:rPr>
          <w:rFonts w:hint="eastAsia" w:ascii="宋体" w:hAnsi="宋体" w:eastAsia="宋体" w:cs="宋体"/>
          <w:b/>
          <w:bCs/>
          <w:color w:val="auto"/>
          <w:sz w:val="24"/>
          <w:szCs w:val="24"/>
          <w:highlight w:val="none"/>
        </w:rPr>
        <w:t>在此期间采购人组织相关业主</w:t>
      </w:r>
      <w:r>
        <w:rPr>
          <w:rFonts w:hint="eastAsia" w:ascii="宋体" w:hAnsi="宋体" w:eastAsia="宋体" w:cs="宋体"/>
          <w:b/>
          <w:bCs/>
          <w:color w:val="auto"/>
          <w:sz w:val="24"/>
          <w:szCs w:val="24"/>
          <w:highlight w:val="none"/>
          <w:lang w:val="en-US" w:eastAsia="zh-CN"/>
        </w:rPr>
        <w:t>对前三名候选人进行投票表决</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参与投票的业主数量应达到法定比例，采购人将前三名候选人的得票数进行统计</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按照得票数由高到低的顺序进行排序，排名第一的为成交供应商，其得分为100分，排名第二的得分为90分，排名第三得分为80分，以此类推，</w:t>
      </w:r>
      <w:r>
        <w:rPr>
          <w:rFonts w:hint="eastAsia" w:ascii="宋体" w:hAnsi="宋体" w:eastAsia="宋体" w:cs="宋体"/>
          <w:b/>
          <w:bCs/>
          <w:color w:val="auto"/>
          <w:sz w:val="24"/>
          <w:szCs w:val="24"/>
          <w:highlight w:val="none"/>
        </w:rPr>
        <w:t>此分数</w:t>
      </w:r>
      <w:r>
        <w:rPr>
          <w:rFonts w:hint="eastAsia" w:ascii="宋体" w:hAnsi="宋体" w:eastAsia="宋体" w:cs="宋体"/>
          <w:b/>
          <w:bCs/>
          <w:color w:val="auto"/>
          <w:sz w:val="24"/>
          <w:szCs w:val="24"/>
          <w:highlight w:val="none"/>
          <w:lang w:val="en-US" w:eastAsia="zh-CN"/>
        </w:rPr>
        <w:t>作为</w:t>
      </w:r>
      <w:r>
        <w:rPr>
          <w:rFonts w:hint="eastAsia" w:ascii="宋体" w:hAnsi="宋体" w:eastAsia="宋体" w:cs="宋体"/>
          <w:b/>
          <w:bCs/>
          <w:color w:val="auto"/>
          <w:sz w:val="24"/>
          <w:szCs w:val="24"/>
          <w:highlight w:val="none"/>
        </w:rPr>
        <w:t>行采家结果公告。</w:t>
      </w:r>
    </w:p>
    <w:p w14:paraId="5CF7A900">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sz w:val="24"/>
          <w:szCs w:val="24"/>
          <w:highlight w:val="none"/>
        </w:rPr>
        <w:t>1.资格性审查。依据法律法规和竞争性比选文件的规定对响应文件进行审查。资格性审查内容如下：</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14:paraId="04151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04350F3C">
            <w:pPr>
              <w:keepNext w:val="0"/>
              <w:keepLines w:val="0"/>
              <w:suppressLineNumbers w:val="0"/>
              <w:spacing w:before="0" w:beforeAutospacing="0" w:after="0" w:afterAutospacing="0"/>
              <w:ind w:left="0" w:right="0"/>
              <w:jc w:val="center"/>
              <w:rPr>
                <w:rFonts w:hint="default" w:ascii="宋体" w:hAnsi="宋体" w:cs="宋体"/>
                <w:b/>
                <w:color w:val="auto"/>
                <w:kern w:val="0"/>
                <w:sz w:val="21"/>
                <w:szCs w:val="21"/>
                <w:highlight w:val="none"/>
              </w:rPr>
            </w:pPr>
            <w:r>
              <w:rPr>
                <w:rFonts w:hint="eastAsia" w:ascii="宋体" w:hAnsi="宋体" w:cs="宋体"/>
                <w:b/>
                <w:color w:val="auto"/>
                <w:kern w:val="0"/>
                <w:sz w:val="21"/>
                <w:szCs w:val="21"/>
                <w:highlight w:val="none"/>
              </w:rPr>
              <w:t>序号</w:t>
            </w:r>
          </w:p>
        </w:tc>
        <w:tc>
          <w:tcPr>
            <w:tcW w:w="3544" w:type="dxa"/>
            <w:gridSpan w:val="2"/>
            <w:tcBorders>
              <w:top w:val="single" w:color="auto" w:sz="4" w:space="0"/>
              <w:left w:val="single" w:color="auto" w:sz="4" w:space="0"/>
              <w:bottom w:val="single" w:color="auto" w:sz="4" w:space="0"/>
              <w:right w:val="single" w:color="auto" w:sz="4" w:space="0"/>
            </w:tcBorders>
            <w:vAlign w:val="center"/>
          </w:tcPr>
          <w:p w14:paraId="576846D3">
            <w:pPr>
              <w:keepNext w:val="0"/>
              <w:keepLines w:val="0"/>
              <w:suppressLineNumbers w:val="0"/>
              <w:spacing w:before="0" w:beforeAutospacing="0" w:after="0" w:afterAutospacing="0"/>
              <w:ind w:left="0" w:right="0"/>
              <w:jc w:val="center"/>
              <w:rPr>
                <w:rFonts w:hint="default" w:ascii="宋体" w:hAnsi="宋体" w:cs="宋体"/>
                <w:b/>
                <w:color w:val="auto"/>
                <w:kern w:val="0"/>
                <w:sz w:val="21"/>
                <w:szCs w:val="21"/>
                <w:highlight w:val="none"/>
              </w:rPr>
            </w:pPr>
            <w:r>
              <w:rPr>
                <w:rFonts w:hint="eastAsia" w:ascii="宋体" w:hAnsi="宋体" w:cs="宋体"/>
                <w:b/>
                <w:color w:val="auto"/>
                <w:kern w:val="0"/>
                <w:sz w:val="21"/>
                <w:szCs w:val="21"/>
                <w:highlight w:val="none"/>
              </w:rPr>
              <w:t>检查因素</w:t>
            </w:r>
          </w:p>
        </w:tc>
        <w:tc>
          <w:tcPr>
            <w:tcW w:w="5267" w:type="dxa"/>
            <w:tcBorders>
              <w:top w:val="single" w:color="auto" w:sz="4" w:space="0"/>
              <w:left w:val="single" w:color="auto" w:sz="4" w:space="0"/>
              <w:bottom w:val="single" w:color="auto" w:sz="4" w:space="0"/>
              <w:right w:val="single" w:color="auto" w:sz="4" w:space="0"/>
            </w:tcBorders>
            <w:vAlign w:val="center"/>
          </w:tcPr>
          <w:p w14:paraId="4DE6D5BF">
            <w:pPr>
              <w:keepNext w:val="0"/>
              <w:keepLines w:val="0"/>
              <w:suppressLineNumbers w:val="0"/>
              <w:spacing w:before="0" w:beforeAutospacing="0" w:after="0" w:afterAutospacing="0"/>
              <w:ind w:left="0" w:right="0"/>
              <w:jc w:val="center"/>
              <w:rPr>
                <w:rFonts w:hint="default" w:ascii="宋体" w:hAnsi="宋体" w:cs="宋体"/>
                <w:b/>
                <w:color w:val="auto"/>
                <w:kern w:val="0"/>
                <w:sz w:val="21"/>
                <w:szCs w:val="21"/>
                <w:highlight w:val="none"/>
              </w:rPr>
            </w:pPr>
            <w:r>
              <w:rPr>
                <w:rFonts w:hint="eastAsia" w:ascii="宋体" w:hAnsi="宋体" w:cs="宋体"/>
                <w:b/>
                <w:color w:val="auto"/>
                <w:kern w:val="0"/>
                <w:sz w:val="21"/>
                <w:szCs w:val="21"/>
                <w:highlight w:val="none"/>
              </w:rPr>
              <w:t>检查内容</w:t>
            </w:r>
          </w:p>
        </w:tc>
      </w:tr>
      <w:tr w14:paraId="20D67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432E27A8">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r>
              <w:rPr>
                <w:rFonts w:hint="eastAsia" w:ascii="宋体" w:hAnsi="宋体" w:cs="宋体"/>
                <w:color w:val="auto"/>
                <w:sz w:val="21"/>
                <w:szCs w:val="21"/>
                <w:highlight w:val="none"/>
              </w:rPr>
              <w:t>（一）</w:t>
            </w:r>
          </w:p>
        </w:tc>
        <w:tc>
          <w:tcPr>
            <w:tcW w:w="709" w:type="dxa"/>
            <w:vMerge w:val="restart"/>
            <w:vAlign w:val="center"/>
          </w:tcPr>
          <w:p w14:paraId="31B326FB">
            <w:pPr>
              <w:keepNext w:val="0"/>
              <w:keepLines w:val="0"/>
              <w:suppressLineNumbers w:val="0"/>
              <w:spacing w:before="0" w:beforeAutospacing="0" w:after="0" w:afterAutospacing="0"/>
              <w:ind w:left="0" w:right="0"/>
              <w:rPr>
                <w:rFonts w:hint="default" w:ascii="宋体" w:hAnsi="宋体" w:cs="宋体"/>
                <w:color w:val="auto"/>
                <w:sz w:val="21"/>
                <w:szCs w:val="21"/>
                <w:highlight w:val="none"/>
                <w:lang w:val="zh-CN"/>
              </w:rPr>
            </w:pPr>
            <w:r>
              <w:rPr>
                <w:rFonts w:hint="eastAsia" w:ascii="宋体" w:hAnsi="宋体" w:cs="宋体"/>
                <w:color w:val="auto"/>
                <w:sz w:val="21"/>
                <w:szCs w:val="21"/>
                <w:highlight w:val="none"/>
                <w:lang w:val="zh-CN"/>
              </w:rPr>
              <w:t>《中华人民共和国政府采购法》第二十二条规定</w:t>
            </w:r>
          </w:p>
        </w:tc>
        <w:tc>
          <w:tcPr>
            <w:tcW w:w="2835" w:type="dxa"/>
            <w:vAlign w:val="center"/>
          </w:tcPr>
          <w:p w14:paraId="431D11B5">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r>
              <w:rPr>
                <w:rFonts w:hint="eastAsia" w:ascii="宋体" w:hAnsi="宋体" w:cs="宋体"/>
                <w:color w:val="auto"/>
                <w:sz w:val="21"/>
                <w:szCs w:val="21"/>
                <w:highlight w:val="none"/>
              </w:rPr>
              <w:t>1.具有独立承担民事责任的能力</w:t>
            </w:r>
          </w:p>
        </w:tc>
        <w:tc>
          <w:tcPr>
            <w:tcW w:w="5267" w:type="dxa"/>
            <w:vAlign w:val="center"/>
          </w:tcPr>
          <w:p w14:paraId="60D551C1">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r>
              <w:rPr>
                <w:rFonts w:hint="eastAsia" w:ascii="宋体" w:hAnsi="宋体" w:cs="宋体"/>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5FB514AE">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r>
              <w:rPr>
                <w:rFonts w:hint="eastAsia" w:ascii="宋体" w:hAnsi="宋体" w:cs="宋体"/>
                <w:color w:val="auto"/>
                <w:sz w:val="21"/>
                <w:szCs w:val="21"/>
                <w:highlight w:val="none"/>
              </w:rPr>
              <w:t>2.供应商法定代表人身份证明和法定代表人授权代表委托书。</w:t>
            </w:r>
          </w:p>
        </w:tc>
      </w:tr>
      <w:tr w14:paraId="10368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74F7D12A">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p>
        </w:tc>
        <w:tc>
          <w:tcPr>
            <w:tcW w:w="709" w:type="dxa"/>
            <w:vMerge w:val="continue"/>
            <w:vAlign w:val="center"/>
          </w:tcPr>
          <w:p w14:paraId="477B58A1">
            <w:pPr>
              <w:keepNext w:val="0"/>
              <w:keepLines w:val="0"/>
              <w:suppressLineNumbers w:val="0"/>
              <w:spacing w:before="0" w:beforeAutospacing="0" w:after="0" w:afterAutospacing="0"/>
              <w:ind w:left="0" w:right="0"/>
              <w:rPr>
                <w:rFonts w:hint="default" w:ascii="宋体" w:hAnsi="宋体" w:cs="宋体"/>
                <w:color w:val="auto"/>
                <w:sz w:val="21"/>
                <w:szCs w:val="21"/>
                <w:highlight w:val="none"/>
                <w:lang w:val="zh-CN"/>
              </w:rPr>
            </w:pPr>
          </w:p>
        </w:tc>
        <w:tc>
          <w:tcPr>
            <w:tcW w:w="2835" w:type="dxa"/>
            <w:vAlign w:val="center"/>
          </w:tcPr>
          <w:p w14:paraId="77576704">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r>
              <w:rPr>
                <w:rFonts w:hint="eastAsia" w:ascii="宋体" w:hAnsi="宋体" w:cs="宋体"/>
                <w:color w:val="auto"/>
                <w:sz w:val="21"/>
                <w:szCs w:val="21"/>
                <w:highlight w:val="none"/>
                <w:lang w:val="zh-CN"/>
              </w:rPr>
              <w:t>2.</w:t>
            </w:r>
            <w:r>
              <w:rPr>
                <w:rFonts w:hint="eastAsia" w:ascii="宋体" w:hAnsi="宋体" w:cs="宋体"/>
                <w:color w:val="auto"/>
                <w:sz w:val="21"/>
                <w:szCs w:val="21"/>
                <w:highlight w:val="none"/>
              </w:rPr>
              <w:t>具有良好的商业信誉和健全的财务会计制度</w:t>
            </w:r>
          </w:p>
        </w:tc>
        <w:tc>
          <w:tcPr>
            <w:tcW w:w="5267" w:type="dxa"/>
            <w:vMerge w:val="restart"/>
            <w:vAlign w:val="center"/>
          </w:tcPr>
          <w:p w14:paraId="11534CD1">
            <w:pPr>
              <w:keepNext w:val="0"/>
              <w:keepLines w:val="0"/>
              <w:suppressLineNumbers w:val="0"/>
              <w:spacing w:before="0" w:beforeAutospacing="0" w:after="0" w:afterAutospacing="0"/>
              <w:ind w:left="0" w:right="0"/>
              <w:rPr>
                <w:rFonts w:hint="default" w:ascii="宋体" w:hAnsi="宋体" w:cs="宋体"/>
                <w:b/>
                <w:color w:val="auto"/>
                <w:sz w:val="21"/>
                <w:szCs w:val="21"/>
                <w:highlight w:val="none"/>
              </w:rPr>
            </w:pPr>
            <w:r>
              <w:rPr>
                <w:rFonts w:hint="eastAsia" w:ascii="宋体" w:hAnsi="宋体" w:cs="宋体"/>
                <w:color w:val="auto"/>
                <w:sz w:val="21"/>
                <w:szCs w:val="21"/>
                <w:highlight w:val="none"/>
              </w:rPr>
              <w:t>供应商提供“基本资格条件承诺函”（格式详见第七篇）</w:t>
            </w:r>
          </w:p>
        </w:tc>
      </w:tr>
      <w:tr w14:paraId="2C773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2E56BB2">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p>
        </w:tc>
        <w:tc>
          <w:tcPr>
            <w:tcW w:w="709" w:type="dxa"/>
            <w:vMerge w:val="continue"/>
            <w:vAlign w:val="center"/>
          </w:tcPr>
          <w:p w14:paraId="053AC629">
            <w:pPr>
              <w:keepNext w:val="0"/>
              <w:keepLines w:val="0"/>
              <w:suppressLineNumbers w:val="0"/>
              <w:spacing w:before="0" w:beforeAutospacing="0" w:after="0" w:afterAutospacing="0"/>
              <w:ind w:left="0" w:right="0"/>
              <w:rPr>
                <w:rFonts w:hint="default" w:ascii="宋体" w:hAnsi="宋体" w:cs="宋体"/>
                <w:color w:val="auto"/>
                <w:sz w:val="21"/>
                <w:szCs w:val="21"/>
                <w:highlight w:val="none"/>
                <w:lang w:val="zh-CN"/>
              </w:rPr>
            </w:pPr>
          </w:p>
        </w:tc>
        <w:tc>
          <w:tcPr>
            <w:tcW w:w="2835" w:type="dxa"/>
            <w:vAlign w:val="center"/>
          </w:tcPr>
          <w:p w14:paraId="0850120E">
            <w:pPr>
              <w:keepNext w:val="0"/>
              <w:keepLines w:val="0"/>
              <w:suppressLineNumbers w:val="0"/>
              <w:spacing w:before="0" w:beforeAutospacing="0" w:after="0" w:afterAutospacing="0"/>
              <w:ind w:left="0" w:right="0"/>
              <w:rPr>
                <w:rFonts w:hint="default" w:ascii="宋体" w:hAnsi="宋体" w:cs="宋体"/>
                <w:color w:val="auto"/>
                <w:sz w:val="21"/>
                <w:szCs w:val="21"/>
                <w:highlight w:val="none"/>
                <w:lang w:val="zh-CN"/>
              </w:rPr>
            </w:pPr>
            <w:r>
              <w:rPr>
                <w:rFonts w:hint="eastAsia" w:ascii="宋体" w:hAnsi="宋体" w:cs="宋体"/>
                <w:color w:val="auto"/>
                <w:sz w:val="21"/>
                <w:szCs w:val="21"/>
                <w:highlight w:val="none"/>
                <w:lang w:val="zh-CN"/>
              </w:rPr>
              <w:t>3.具有履行合同所必需的设备和专业技术能力</w:t>
            </w:r>
          </w:p>
        </w:tc>
        <w:tc>
          <w:tcPr>
            <w:tcW w:w="5267" w:type="dxa"/>
            <w:vMerge w:val="continue"/>
            <w:vAlign w:val="center"/>
          </w:tcPr>
          <w:p w14:paraId="688F95AA">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p>
        </w:tc>
      </w:tr>
      <w:tr w14:paraId="7591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189D618">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p>
        </w:tc>
        <w:tc>
          <w:tcPr>
            <w:tcW w:w="709" w:type="dxa"/>
            <w:vMerge w:val="continue"/>
            <w:vAlign w:val="center"/>
          </w:tcPr>
          <w:p w14:paraId="39D807D2">
            <w:pPr>
              <w:keepNext w:val="0"/>
              <w:keepLines w:val="0"/>
              <w:suppressLineNumbers w:val="0"/>
              <w:spacing w:before="0" w:beforeAutospacing="0" w:after="0" w:afterAutospacing="0"/>
              <w:ind w:left="0" w:right="0"/>
              <w:rPr>
                <w:rFonts w:hint="default" w:ascii="宋体" w:hAnsi="宋体" w:cs="宋体"/>
                <w:color w:val="auto"/>
                <w:sz w:val="21"/>
                <w:szCs w:val="21"/>
                <w:highlight w:val="none"/>
                <w:lang w:val="zh-CN"/>
              </w:rPr>
            </w:pPr>
          </w:p>
        </w:tc>
        <w:tc>
          <w:tcPr>
            <w:tcW w:w="2835" w:type="dxa"/>
            <w:vAlign w:val="center"/>
          </w:tcPr>
          <w:p w14:paraId="1B27506C">
            <w:pPr>
              <w:keepNext w:val="0"/>
              <w:keepLines w:val="0"/>
              <w:suppressLineNumbers w:val="0"/>
              <w:spacing w:before="0" w:beforeAutospacing="0" w:after="0" w:afterAutospacing="0"/>
              <w:ind w:left="0" w:right="0"/>
              <w:rPr>
                <w:rFonts w:hint="default" w:ascii="宋体" w:hAnsi="宋体" w:cs="宋体"/>
                <w:color w:val="auto"/>
                <w:sz w:val="21"/>
                <w:szCs w:val="21"/>
                <w:highlight w:val="none"/>
                <w:lang w:val="zh-CN"/>
              </w:rPr>
            </w:pPr>
            <w:r>
              <w:rPr>
                <w:rFonts w:hint="eastAsia" w:ascii="宋体" w:hAnsi="宋体" w:cs="宋体"/>
                <w:color w:val="auto"/>
                <w:sz w:val="21"/>
                <w:szCs w:val="21"/>
                <w:highlight w:val="none"/>
                <w:lang w:val="zh-CN"/>
              </w:rPr>
              <w:t>4.有依法缴纳税收和社会保障金的良好记录</w:t>
            </w:r>
          </w:p>
        </w:tc>
        <w:tc>
          <w:tcPr>
            <w:tcW w:w="5267" w:type="dxa"/>
            <w:vMerge w:val="continue"/>
            <w:vAlign w:val="center"/>
          </w:tcPr>
          <w:p w14:paraId="14CFE619">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p>
        </w:tc>
      </w:tr>
      <w:tr w14:paraId="6F83D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524788F">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p>
        </w:tc>
        <w:tc>
          <w:tcPr>
            <w:tcW w:w="709" w:type="dxa"/>
            <w:vMerge w:val="continue"/>
            <w:vAlign w:val="center"/>
          </w:tcPr>
          <w:p w14:paraId="4B830326">
            <w:pPr>
              <w:keepNext w:val="0"/>
              <w:keepLines w:val="0"/>
              <w:suppressLineNumbers w:val="0"/>
              <w:spacing w:before="0" w:beforeAutospacing="0" w:after="0" w:afterAutospacing="0"/>
              <w:ind w:left="0" w:right="0"/>
              <w:rPr>
                <w:rFonts w:hint="default" w:ascii="宋体" w:hAnsi="宋体" w:cs="宋体"/>
                <w:color w:val="auto"/>
                <w:sz w:val="21"/>
                <w:szCs w:val="21"/>
                <w:highlight w:val="none"/>
                <w:lang w:val="zh-CN"/>
              </w:rPr>
            </w:pPr>
          </w:p>
        </w:tc>
        <w:tc>
          <w:tcPr>
            <w:tcW w:w="2835" w:type="dxa"/>
            <w:vAlign w:val="center"/>
          </w:tcPr>
          <w:p w14:paraId="5F7C8492">
            <w:pPr>
              <w:keepNext w:val="0"/>
              <w:keepLines w:val="0"/>
              <w:suppressLineNumbers w:val="0"/>
              <w:spacing w:before="0" w:beforeAutospacing="0" w:after="0" w:afterAutospacing="0"/>
              <w:ind w:left="0" w:right="0"/>
              <w:rPr>
                <w:rFonts w:hint="default" w:ascii="宋体" w:hAnsi="宋体" w:cs="宋体"/>
                <w:color w:val="auto"/>
                <w:sz w:val="21"/>
                <w:szCs w:val="21"/>
                <w:highlight w:val="none"/>
                <w:lang w:val="zh-CN"/>
              </w:rPr>
            </w:pPr>
            <w:r>
              <w:rPr>
                <w:rFonts w:hint="eastAsia" w:ascii="宋体" w:hAnsi="宋体" w:cs="宋体"/>
                <w:color w:val="auto"/>
                <w:sz w:val="21"/>
                <w:szCs w:val="21"/>
                <w:highlight w:val="none"/>
              </w:rPr>
              <w:t>5.参加政府采购活动前三年内，在经营活动中没有重大违法记录</w:t>
            </w:r>
          </w:p>
        </w:tc>
        <w:tc>
          <w:tcPr>
            <w:tcW w:w="5267" w:type="dxa"/>
            <w:vMerge w:val="continue"/>
            <w:vAlign w:val="center"/>
          </w:tcPr>
          <w:p w14:paraId="50277042">
            <w:pPr>
              <w:keepNext w:val="0"/>
              <w:keepLines w:val="0"/>
              <w:suppressLineNumbers w:val="0"/>
              <w:spacing w:before="0" w:beforeAutospacing="0" w:after="0" w:afterAutospacing="0"/>
              <w:ind w:left="0" w:right="0"/>
              <w:rPr>
                <w:rFonts w:hint="default" w:ascii="宋体" w:hAnsi="宋体" w:cs="宋体"/>
                <w:b/>
                <w:color w:val="auto"/>
                <w:sz w:val="21"/>
                <w:szCs w:val="21"/>
                <w:highlight w:val="none"/>
              </w:rPr>
            </w:pPr>
          </w:p>
        </w:tc>
      </w:tr>
      <w:tr w14:paraId="64445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2D406F92">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p>
        </w:tc>
        <w:tc>
          <w:tcPr>
            <w:tcW w:w="709" w:type="dxa"/>
            <w:vMerge w:val="continue"/>
            <w:vAlign w:val="center"/>
          </w:tcPr>
          <w:p w14:paraId="293FB800">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p>
        </w:tc>
        <w:tc>
          <w:tcPr>
            <w:tcW w:w="2835" w:type="dxa"/>
            <w:vAlign w:val="center"/>
          </w:tcPr>
          <w:p w14:paraId="1E1737F7">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r>
              <w:rPr>
                <w:rFonts w:hint="eastAsia" w:ascii="宋体" w:hAnsi="宋体" w:cs="宋体"/>
                <w:color w:val="auto"/>
                <w:sz w:val="21"/>
                <w:szCs w:val="21"/>
                <w:highlight w:val="none"/>
              </w:rPr>
              <w:t>6.法律、行政法规规定的其他条件</w:t>
            </w:r>
          </w:p>
        </w:tc>
        <w:tc>
          <w:tcPr>
            <w:tcW w:w="5267" w:type="dxa"/>
            <w:vMerge w:val="continue"/>
            <w:vAlign w:val="center"/>
          </w:tcPr>
          <w:p w14:paraId="740AF6F3">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p>
        </w:tc>
      </w:tr>
      <w:tr w14:paraId="44A72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3371E4EA">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p>
        </w:tc>
        <w:tc>
          <w:tcPr>
            <w:tcW w:w="709" w:type="dxa"/>
            <w:vMerge w:val="continue"/>
            <w:vAlign w:val="center"/>
          </w:tcPr>
          <w:p w14:paraId="4E77E085">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p>
        </w:tc>
        <w:tc>
          <w:tcPr>
            <w:tcW w:w="2835" w:type="dxa"/>
            <w:vAlign w:val="center"/>
          </w:tcPr>
          <w:p w14:paraId="4201CC78">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r>
              <w:rPr>
                <w:rFonts w:hint="eastAsia" w:ascii="宋体" w:hAnsi="宋体" w:cs="宋体"/>
                <w:color w:val="auto"/>
                <w:sz w:val="21"/>
                <w:szCs w:val="21"/>
                <w:highlight w:val="none"/>
              </w:rPr>
              <w:t>7.本项目的特定资格要求</w:t>
            </w:r>
          </w:p>
        </w:tc>
        <w:tc>
          <w:tcPr>
            <w:tcW w:w="5267" w:type="dxa"/>
            <w:vAlign w:val="center"/>
          </w:tcPr>
          <w:p w14:paraId="570EE2C5">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r>
              <w:rPr>
                <w:rFonts w:hint="eastAsia" w:ascii="宋体" w:hAnsi="宋体" w:cs="宋体"/>
                <w:color w:val="auto"/>
                <w:sz w:val="21"/>
                <w:szCs w:val="21"/>
                <w:highlight w:val="none"/>
              </w:rPr>
              <w:t>按“第一篇三、供应商资格要求（二）特定资格条件”的要求提交。</w:t>
            </w:r>
          </w:p>
        </w:tc>
      </w:tr>
      <w:tr w14:paraId="7349B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17" w:type="dxa"/>
            <w:vAlign w:val="center"/>
          </w:tcPr>
          <w:p w14:paraId="72CF21D0">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r>
              <w:rPr>
                <w:rFonts w:hint="eastAsia" w:ascii="宋体" w:hAnsi="宋体" w:cs="宋体"/>
                <w:color w:val="auto"/>
                <w:sz w:val="21"/>
                <w:szCs w:val="21"/>
                <w:highlight w:val="none"/>
              </w:rPr>
              <w:t>（二）</w:t>
            </w:r>
          </w:p>
        </w:tc>
        <w:tc>
          <w:tcPr>
            <w:tcW w:w="3544" w:type="dxa"/>
            <w:gridSpan w:val="2"/>
            <w:vAlign w:val="center"/>
          </w:tcPr>
          <w:p w14:paraId="13000069">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r>
              <w:rPr>
                <w:rFonts w:hint="eastAsia" w:ascii="宋体" w:hAnsi="宋体" w:cs="宋体"/>
                <w:color w:val="auto"/>
                <w:sz w:val="21"/>
                <w:szCs w:val="21"/>
                <w:highlight w:val="none"/>
              </w:rPr>
              <w:t>投标保证金</w:t>
            </w:r>
          </w:p>
        </w:tc>
        <w:tc>
          <w:tcPr>
            <w:tcW w:w="5267" w:type="dxa"/>
            <w:vAlign w:val="center"/>
          </w:tcPr>
          <w:p w14:paraId="1208DE1B">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r>
              <w:rPr>
                <w:rFonts w:hint="eastAsia" w:ascii="宋体" w:hAnsi="宋体" w:cs="宋体"/>
                <w:color w:val="auto"/>
                <w:sz w:val="21"/>
                <w:szCs w:val="21"/>
                <w:highlight w:val="none"/>
              </w:rPr>
              <w:t>按照竞争性比选文件要求足额交纳投标保证金。</w:t>
            </w:r>
          </w:p>
        </w:tc>
      </w:tr>
    </w:tbl>
    <w:p w14:paraId="06D7CA47">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sz w:val="24"/>
          <w:szCs w:val="24"/>
          <w:highlight w:val="none"/>
        </w:rPr>
        <w:t>2.实质性响应审查。评审小组应当对响应文件进行评审，并根据竞争性比选文件规定的采购程序、评定成交的标准等事项与实质性响应竞争性比选文件要求的供应商进行评审。未实质性响应竞争性比选文件的响应文件按无效处理，评审小组应当告知有关供应商。实质性响应审查内容如下：</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76558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5656E3A4">
            <w:pPr>
              <w:keepNext w:val="0"/>
              <w:keepLines w:val="0"/>
              <w:suppressLineNumbers w:val="0"/>
              <w:spacing w:before="0" w:beforeAutospacing="0" w:after="0" w:afterAutospacing="0"/>
              <w:ind w:left="0" w:right="0"/>
              <w:jc w:val="center"/>
              <w:rPr>
                <w:rFonts w:hint="default" w:ascii="宋体" w:hAnsi="宋体" w:cs="宋体"/>
                <w:b/>
                <w:color w:val="auto"/>
                <w:kern w:val="0"/>
                <w:sz w:val="21"/>
                <w:szCs w:val="21"/>
                <w:highlight w:val="none"/>
              </w:rPr>
            </w:pPr>
            <w:r>
              <w:rPr>
                <w:rFonts w:hint="eastAsia" w:ascii="宋体" w:hAnsi="宋体" w:cs="宋体"/>
                <w:b/>
                <w:color w:val="auto"/>
                <w:kern w:val="0"/>
                <w:sz w:val="21"/>
                <w:szCs w:val="21"/>
                <w:highlight w:val="none"/>
              </w:rPr>
              <w:t>序号</w:t>
            </w:r>
          </w:p>
        </w:tc>
        <w:tc>
          <w:tcPr>
            <w:tcW w:w="2694" w:type="dxa"/>
            <w:vAlign w:val="center"/>
          </w:tcPr>
          <w:p w14:paraId="57E70E7B">
            <w:pPr>
              <w:keepNext w:val="0"/>
              <w:keepLines w:val="0"/>
              <w:suppressLineNumbers w:val="0"/>
              <w:spacing w:before="0" w:beforeAutospacing="0" w:after="0" w:afterAutospacing="0"/>
              <w:ind w:left="0" w:right="0"/>
              <w:jc w:val="center"/>
              <w:rPr>
                <w:rFonts w:hint="default" w:ascii="宋体" w:hAnsi="宋体" w:cs="宋体"/>
                <w:b/>
                <w:color w:val="auto"/>
                <w:kern w:val="0"/>
                <w:sz w:val="21"/>
                <w:szCs w:val="21"/>
                <w:highlight w:val="none"/>
              </w:rPr>
            </w:pPr>
            <w:r>
              <w:rPr>
                <w:rFonts w:hint="eastAsia" w:ascii="宋体" w:hAnsi="宋体" w:cs="宋体"/>
                <w:b/>
                <w:color w:val="auto"/>
                <w:kern w:val="0"/>
                <w:sz w:val="21"/>
                <w:szCs w:val="21"/>
                <w:highlight w:val="none"/>
              </w:rPr>
              <w:t>审查因素</w:t>
            </w:r>
          </w:p>
        </w:tc>
        <w:tc>
          <w:tcPr>
            <w:tcW w:w="6259" w:type="dxa"/>
            <w:vAlign w:val="center"/>
          </w:tcPr>
          <w:p w14:paraId="47276EC4">
            <w:pPr>
              <w:keepNext w:val="0"/>
              <w:keepLines w:val="0"/>
              <w:suppressLineNumbers w:val="0"/>
              <w:spacing w:before="0" w:beforeAutospacing="0" w:after="0" w:afterAutospacing="0"/>
              <w:ind w:left="0" w:right="0"/>
              <w:jc w:val="center"/>
              <w:rPr>
                <w:rFonts w:hint="default" w:ascii="宋体" w:hAnsi="宋体" w:cs="宋体"/>
                <w:b/>
                <w:color w:val="auto"/>
                <w:kern w:val="0"/>
                <w:sz w:val="21"/>
                <w:szCs w:val="21"/>
                <w:highlight w:val="none"/>
              </w:rPr>
            </w:pPr>
            <w:r>
              <w:rPr>
                <w:rFonts w:hint="eastAsia" w:ascii="宋体" w:hAnsi="宋体" w:cs="宋体"/>
                <w:b/>
                <w:color w:val="auto"/>
                <w:kern w:val="0"/>
                <w:sz w:val="21"/>
                <w:szCs w:val="21"/>
                <w:highlight w:val="none"/>
              </w:rPr>
              <w:t>审查标准</w:t>
            </w:r>
          </w:p>
        </w:tc>
      </w:tr>
      <w:tr w14:paraId="0DE1F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2BAA5A33">
            <w:pPr>
              <w:keepNext w:val="0"/>
              <w:keepLines w:val="0"/>
              <w:suppressLineNumbers w:val="0"/>
              <w:spacing w:before="0" w:beforeAutospacing="0" w:after="0" w:afterAutospacing="0"/>
              <w:ind w:left="0" w:right="0"/>
              <w:jc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2694" w:type="dxa"/>
            <w:vAlign w:val="center"/>
          </w:tcPr>
          <w:p w14:paraId="62707221">
            <w:pPr>
              <w:keepNext w:val="0"/>
              <w:keepLines w:val="0"/>
              <w:suppressLineNumbers w:val="0"/>
              <w:spacing w:before="0" w:beforeAutospacing="0" w:after="0" w:afterAutospacing="0"/>
              <w:ind w:left="0" w:right="0"/>
              <w:rPr>
                <w:rFonts w:hint="default" w:ascii="宋体" w:hAnsi="宋体" w:cs="宋体"/>
                <w:color w:val="auto"/>
                <w:kern w:val="0"/>
                <w:sz w:val="21"/>
                <w:szCs w:val="21"/>
                <w:highlight w:val="none"/>
              </w:rPr>
            </w:pPr>
            <w:r>
              <w:rPr>
                <w:rFonts w:hint="eastAsia" w:ascii="宋体" w:hAnsi="宋体" w:cs="宋体"/>
                <w:color w:val="auto"/>
                <w:sz w:val="21"/>
                <w:szCs w:val="21"/>
                <w:highlight w:val="none"/>
              </w:rPr>
              <w:t>响应文件签署或盖章</w:t>
            </w:r>
          </w:p>
        </w:tc>
        <w:tc>
          <w:tcPr>
            <w:tcW w:w="6259" w:type="dxa"/>
            <w:vAlign w:val="center"/>
          </w:tcPr>
          <w:p w14:paraId="68D21E1C">
            <w:pPr>
              <w:keepNext w:val="0"/>
              <w:keepLines w:val="0"/>
              <w:suppressLineNumbers w:val="0"/>
              <w:spacing w:before="0" w:beforeAutospacing="0" w:after="0" w:afterAutospacing="0"/>
              <w:ind w:left="0" w:right="0"/>
              <w:rPr>
                <w:rFonts w:hint="default" w:ascii="宋体" w:hAnsi="宋体" w:cs="宋体"/>
                <w:color w:val="auto"/>
                <w:kern w:val="0"/>
                <w:sz w:val="21"/>
                <w:szCs w:val="21"/>
                <w:highlight w:val="none"/>
              </w:rPr>
            </w:pPr>
            <w:r>
              <w:rPr>
                <w:rFonts w:hint="eastAsia" w:ascii="宋体" w:hAnsi="宋体" w:cs="宋体"/>
                <w:color w:val="auto"/>
                <w:sz w:val="21"/>
                <w:szCs w:val="21"/>
                <w:highlight w:val="none"/>
              </w:rPr>
              <w:t>按“第七篇响应文件格式要求”要求签署或盖章</w:t>
            </w:r>
          </w:p>
        </w:tc>
      </w:tr>
      <w:tr w14:paraId="54DA1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68134771">
            <w:pPr>
              <w:keepNext w:val="0"/>
              <w:keepLines w:val="0"/>
              <w:suppressLineNumbers w:val="0"/>
              <w:spacing w:before="0" w:beforeAutospacing="0" w:after="0" w:afterAutospacing="0"/>
              <w:ind w:left="0" w:right="0"/>
              <w:jc w:val="center"/>
              <w:rPr>
                <w:rFonts w:hint="default" w:ascii="宋体" w:hAnsi="宋体" w:cs="宋体"/>
                <w:color w:val="auto"/>
                <w:kern w:val="0"/>
                <w:sz w:val="21"/>
                <w:szCs w:val="21"/>
                <w:highlight w:val="none"/>
              </w:rPr>
            </w:pPr>
          </w:p>
        </w:tc>
        <w:tc>
          <w:tcPr>
            <w:tcW w:w="2694" w:type="dxa"/>
            <w:vAlign w:val="center"/>
          </w:tcPr>
          <w:p w14:paraId="3408D758">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r>
              <w:rPr>
                <w:rFonts w:hint="eastAsia" w:ascii="宋体" w:hAnsi="宋体" w:cs="宋体"/>
                <w:color w:val="auto"/>
                <w:sz w:val="21"/>
                <w:szCs w:val="21"/>
                <w:highlight w:val="none"/>
              </w:rPr>
              <w:t>法定代表人身份证明及授权委托书</w:t>
            </w:r>
          </w:p>
        </w:tc>
        <w:tc>
          <w:tcPr>
            <w:tcW w:w="6259" w:type="dxa"/>
            <w:vAlign w:val="center"/>
          </w:tcPr>
          <w:p w14:paraId="2D1FFCDA">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r>
              <w:rPr>
                <w:rFonts w:hint="eastAsia" w:ascii="宋体" w:hAnsi="宋体" w:cs="宋体"/>
                <w:color w:val="auto"/>
                <w:sz w:val="21"/>
                <w:szCs w:val="21"/>
                <w:highlight w:val="none"/>
              </w:rPr>
              <w:t>法定代表人身份证明及授权委托书有效，符合竞争性比选文件规定的格式，签署或盖章齐全。</w:t>
            </w:r>
          </w:p>
        </w:tc>
      </w:tr>
      <w:tr w14:paraId="5D936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249B2E9A">
            <w:pPr>
              <w:keepNext w:val="0"/>
              <w:keepLines w:val="0"/>
              <w:suppressLineNumbers w:val="0"/>
              <w:spacing w:before="0" w:beforeAutospacing="0" w:after="0" w:afterAutospacing="0"/>
              <w:ind w:left="0" w:right="0"/>
              <w:jc w:val="center"/>
              <w:rPr>
                <w:rFonts w:hint="default" w:ascii="宋体" w:hAnsi="宋体" w:cs="宋体"/>
                <w:color w:val="auto"/>
                <w:kern w:val="0"/>
                <w:sz w:val="21"/>
                <w:szCs w:val="21"/>
                <w:highlight w:val="none"/>
              </w:rPr>
            </w:pPr>
          </w:p>
        </w:tc>
        <w:tc>
          <w:tcPr>
            <w:tcW w:w="2694" w:type="dxa"/>
            <w:vAlign w:val="center"/>
          </w:tcPr>
          <w:p w14:paraId="1A93915E">
            <w:pPr>
              <w:keepNext w:val="0"/>
              <w:keepLines w:val="0"/>
              <w:suppressLineNumbers w:val="0"/>
              <w:spacing w:before="0" w:beforeAutospacing="0" w:after="0" w:afterAutospacing="0"/>
              <w:ind w:left="0" w:right="0"/>
              <w:rPr>
                <w:rFonts w:hint="default" w:ascii="宋体" w:hAnsi="宋体" w:cs="宋体"/>
                <w:color w:val="auto"/>
                <w:sz w:val="21"/>
                <w:szCs w:val="21"/>
                <w:highlight w:val="none"/>
                <w:lang w:val="zh-CN"/>
              </w:rPr>
            </w:pPr>
            <w:r>
              <w:rPr>
                <w:rFonts w:hint="eastAsia" w:ascii="宋体" w:hAnsi="宋体" w:cs="宋体"/>
                <w:color w:val="auto"/>
                <w:sz w:val="21"/>
                <w:szCs w:val="21"/>
                <w:highlight w:val="none"/>
              </w:rPr>
              <w:t>响应</w:t>
            </w:r>
            <w:r>
              <w:rPr>
                <w:rFonts w:hint="eastAsia" w:ascii="宋体" w:hAnsi="宋体" w:cs="宋体"/>
                <w:color w:val="auto"/>
                <w:sz w:val="21"/>
                <w:szCs w:val="21"/>
                <w:highlight w:val="none"/>
                <w:lang w:val="zh-CN"/>
              </w:rPr>
              <w:t>方案</w:t>
            </w:r>
          </w:p>
        </w:tc>
        <w:tc>
          <w:tcPr>
            <w:tcW w:w="6259" w:type="dxa"/>
            <w:vAlign w:val="center"/>
          </w:tcPr>
          <w:p w14:paraId="69F29336">
            <w:pPr>
              <w:keepNext w:val="0"/>
              <w:keepLines w:val="0"/>
              <w:suppressLineNumbers w:val="0"/>
              <w:spacing w:before="0" w:beforeAutospacing="0" w:after="0" w:afterAutospacing="0"/>
              <w:ind w:left="0" w:right="0"/>
              <w:rPr>
                <w:rFonts w:hint="default" w:ascii="宋体" w:hAnsi="宋体" w:cs="宋体"/>
                <w:color w:val="auto"/>
                <w:kern w:val="0"/>
                <w:sz w:val="21"/>
                <w:szCs w:val="21"/>
                <w:highlight w:val="none"/>
              </w:rPr>
            </w:pPr>
            <w:r>
              <w:rPr>
                <w:rFonts w:hint="eastAsia" w:ascii="宋体" w:hAnsi="宋体" w:cs="宋体"/>
                <w:color w:val="auto"/>
                <w:sz w:val="21"/>
                <w:szCs w:val="21"/>
                <w:highlight w:val="none"/>
                <w:lang w:val="zh-CN"/>
              </w:rPr>
              <w:t>只能有一个</w:t>
            </w:r>
            <w:r>
              <w:rPr>
                <w:rFonts w:hint="eastAsia" w:ascii="宋体" w:hAnsi="宋体" w:cs="宋体"/>
                <w:color w:val="auto"/>
                <w:sz w:val="21"/>
                <w:szCs w:val="21"/>
                <w:highlight w:val="none"/>
              </w:rPr>
              <w:t>响应</w:t>
            </w:r>
            <w:r>
              <w:rPr>
                <w:rFonts w:hint="eastAsia" w:ascii="宋体" w:hAnsi="宋体" w:cs="宋体"/>
                <w:color w:val="auto"/>
                <w:sz w:val="21"/>
                <w:szCs w:val="21"/>
                <w:highlight w:val="none"/>
                <w:lang w:val="zh-CN"/>
              </w:rPr>
              <w:t>方案。</w:t>
            </w:r>
          </w:p>
        </w:tc>
      </w:tr>
      <w:tr w14:paraId="62268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vAlign w:val="center"/>
          </w:tcPr>
          <w:p w14:paraId="63A86A48">
            <w:pPr>
              <w:keepNext w:val="0"/>
              <w:keepLines w:val="0"/>
              <w:suppressLineNumbers w:val="0"/>
              <w:spacing w:before="0" w:beforeAutospacing="0" w:after="0" w:afterAutospacing="0"/>
              <w:ind w:left="0" w:right="0"/>
              <w:jc w:val="center"/>
              <w:rPr>
                <w:rFonts w:hint="default" w:ascii="宋体" w:hAnsi="宋体" w:cs="宋体"/>
                <w:color w:val="auto"/>
                <w:kern w:val="0"/>
                <w:sz w:val="21"/>
                <w:szCs w:val="21"/>
                <w:highlight w:val="none"/>
              </w:rPr>
            </w:pPr>
          </w:p>
        </w:tc>
        <w:tc>
          <w:tcPr>
            <w:tcW w:w="2694" w:type="dxa"/>
            <w:vAlign w:val="center"/>
          </w:tcPr>
          <w:p w14:paraId="4987BBA0">
            <w:pPr>
              <w:keepNext w:val="0"/>
              <w:keepLines w:val="0"/>
              <w:suppressLineNumbers w:val="0"/>
              <w:spacing w:before="0" w:beforeAutospacing="0" w:after="0" w:afterAutospacing="0"/>
              <w:ind w:left="0" w:right="0"/>
              <w:rPr>
                <w:rFonts w:hint="default" w:ascii="宋体" w:hAnsi="宋体" w:cs="宋体"/>
                <w:color w:val="auto"/>
                <w:sz w:val="21"/>
                <w:szCs w:val="21"/>
                <w:highlight w:val="none"/>
                <w:lang w:val="zh-CN"/>
              </w:rPr>
            </w:pPr>
            <w:r>
              <w:rPr>
                <w:rFonts w:hint="eastAsia" w:ascii="宋体" w:hAnsi="宋体" w:cs="宋体"/>
                <w:color w:val="auto"/>
                <w:sz w:val="21"/>
                <w:szCs w:val="21"/>
                <w:highlight w:val="none"/>
              </w:rPr>
              <w:t>报价唯一</w:t>
            </w:r>
          </w:p>
        </w:tc>
        <w:tc>
          <w:tcPr>
            <w:tcW w:w="6259" w:type="dxa"/>
            <w:vAlign w:val="center"/>
          </w:tcPr>
          <w:p w14:paraId="45824A98">
            <w:pPr>
              <w:keepNext w:val="0"/>
              <w:keepLines w:val="0"/>
              <w:suppressLineNumbers w:val="0"/>
              <w:spacing w:before="0" w:beforeAutospacing="0" w:after="0" w:afterAutospacing="0"/>
              <w:ind w:left="0" w:right="0"/>
              <w:rPr>
                <w:rFonts w:hint="default" w:ascii="宋体" w:hAnsi="宋体" w:cs="宋体"/>
                <w:color w:val="auto"/>
                <w:kern w:val="0"/>
                <w:sz w:val="21"/>
                <w:szCs w:val="21"/>
                <w:highlight w:val="none"/>
              </w:rPr>
            </w:pPr>
            <w:r>
              <w:rPr>
                <w:rFonts w:hint="eastAsia" w:ascii="宋体" w:hAnsi="宋体" w:cs="宋体"/>
                <w:color w:val="auto"/>
                <w:sz w:val="21"/>
                <w:szCs w:val="21"/>
                <w:highlight w:val="none"/>
              </w:rPr>
              <w:t>只能有一个有效报价，不得提交选择性报价。</w:t>
            </w:r>
          </w:p>
        </w:tc>
      </w:tr>
      <w:tr w14:paraId="7CB53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vAlign w:val="center"/>
          </w:tcPr>
          <w:p w14:paraId="14603183">
            <w:pPr>
              <w:keepNext w:val="0"/>
              <w:keepLines w:val="0"/>
              <w:suppressLineNumbers w:val="0"/>
              <w:spacing w:before="0" w:beforeAutospacing="0" w:after="0" w:afterAutospacing="0"/>
              <w:ind w:left="0" w:right="0"/>
              <w:jc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2694" w:type="dxa"/>
            <w:vAlign w:val="center"/>
          </w:tcPr>
          <w:p w14:paraId="318796AF">
            <w:pPr>
              <w:keepNext w:val="0"/>
              <w:keepLines w:val="0"/>
              <w:suppressLineNumbers w:val="0"/>
              <w:spacing w:before="0" w:beforeAutospacing="0" w:after="0" w:afterAutospacing="0"/>
              <w:ind w:left="0" w:right="0"/>
              <w:rPr>
                <w:rFonts w:hint="default" w:ascii="宋体" w:hAnsi="宋体" w:cs="宋体"/>
                <w:color w:val="auto"/>
                <w:kern w:val="0"/>
                <w:sz w:val="21"/>
                <w:szCs w:val="21"/>
                <w:highlight w:val="none"/>
              </w:rPr>
            </w:pPr>
            <w:r>
              <w:rPr>
                <w:rFonts w:hint="eastAsia" w:ascii="宋体" w:hAnsi="宋体" w:cs="宋体"/>
                <w:color w:val="auto"/>
                <w:sz w:val="21"/>
                <w:szCs w:val="21"/>
                <w:highlight w:val="none"/>
              </w:rPr>
              <w:t>响应文件</w:t>
            </w:r>
            <w:r>
              <w:rPr>
                <w:rFonts w:hint="eastAsia" w:ascii="宋体" w:hAnsi="宋体" w:cs="宋体"/>
                <w:color w:val="auto"/>
                <w:sz w:val="21"/>
                <w:szCs w:val="21"/>
                <w:highlight w:val="none"/>
                <w:lang w:val="zh-CN"/>
              </w:rPr>
              <w:t>份数</w:t>
            </w:r>
          </w:p>
        </w:tc>
        <w:tc>
          <w:tcPr>
            <w:tcW w:w="6259" w:type="dxa"/>
            <w:vAlign w:val="center"/>
          </w:tcPr>
          <w:p w14:paraId="0E34B182">
            <w:pPr>
              <w:keepNext w:val="0"/>
              <w:keepLines w:val="0"/>
              <w:suppressLineNumbers w:val="0"/>
              <w:spacing w:before="0" w:beforeAutospacing="0" w:after="0" w:afterAutospacing="0"/>
              <w:ind w:left="0" w:right="0"/>
              <w:rPr>
                <w:rFonts w:hint="default" w:ascii="宋体" w:hAnsi="宋体" w:cs="宋体"/>
                <w:color w:val="auto"/>
                <w:kern w:val="0"/>
                <w:sz w:val="21"/>
                <w:szCs w:val="21"/>
                <w:highlight w:val="none"/>
              </w:rPr>
            </w:pPr>
            <w:r>
              <w:rPr>
                <w:rFonts w:hint="eastAsia" w:ascii="宋体" w:hAnsi="宋体" w:cs="宋体"/>
                <w:color w:val="auto"/>
                <w:sz w:val="21"/>
                <w:szCs w:val="21"/>
                <w:highlight w:val="none"/>
              </w:rPr>
              <w:t>响应文件</w:t>
            </w:r>
            <w:r>
              <w:rPr>
                <w:rFonts w:hint="eastAsia" w:ascii="宋体" w:hAnsi="宋体" w:cs="宋体"/>
                <w:color w:val="auto"/>
                <w:sz w:val="21"/>
                <w:szCs w:val="21"/>
                <w:highlight w:val="none"/>
                <w:lang w:val="zh-CN"/>
              </w:rPr>
              <w:t>正、副本数量（含电子文档）符合</w:t>
            </w:r>
            <w:r>
              <w:rPr>
                <w:rFonts w:hint="eastAsia" w:ascii="宋体" w:hAnsi="宋体" w:cs="宋体"/>
                <w:color w:val="auto"/>
                <w:sz w:val="21"/>
                <w:szCs w:val="21"/>
                <w:highlight w:val="none"/>
              </w:rPr>
              <w:t>竞争性比选文件</w:t>
            </w:r>
            <w:r>
              <w:rPr>
                <w:rFonts w:hint="eastAsia" w:ascii="宋体" w:hAnsi="宋体" w:cs="宋体"/>
                <w:color w:val="auto"/>
                <w:sz w:val="21"/>
                <w:szCs w:val="21"/>
                <w:highlight w:val="none"/>
                <w:lang w:val="zh-CN"/>
              </w:rPr>
              <w:t>要求。</w:t>
            </w:r>
          </w:p>
        </w:tc>
      </w:tr>
      <w:tr w14:paraId="39B04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6853BA07">
            <w:pPr>
              <w:keepNext w:val="0"/>
              <w:keepLines w:val="0"/>
              <w:suppressLineNumbers w:val="0"/>
              <w:spacing w:before="0" w:beforeAutospacing="0" w:after="0" w:afterAutospacing="0"/>
              <w:ind w:left="0" w:right="0"/>
              <w:jc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2694" w:type="dxa"/>
            <w:vAlign w:val="center"/>
          </w:tcPr>
          <w:p w14:paraId="52262A78">
            <w:pPr>
              <w:keepNext w:val="0"/>
              <w:keepLines w:val="0"/>
              <w:suppressLineNumbers w:val="0"/>
              <w:spacing w:before="0" w:beforeAutospacing="0" w:after="0" w:afterAutospacing="0"/>
              <w:ind w:left="0" w:right="0"/>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响应文件内容</w:t>
            </w:r>
          </w:p>
        </w:tc>
        <w:tc>
          <w:tcPr>
            <w:tcW w:w="6259" w:type="dxa"/>
            <w:vAlign w:val="center"/>
          </w:tcPr>
          <w:p w14:paraId="0A0C8F68">
            <w:pPr>
              <w:keepNext w:val="0"/>
              <w:keepLines w:val="0"/>
              <w:suppressLineNumbers w:val="0"/>
              <w:spacing w:before="0" w:beforeAutospacing="0" w:after="0" w:afterAutospacing="0"/>
              <w:ind w:left="0" w:right="0"/>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对竞争性比选文件第二篇、第三篇规定的比选内容进行实质性响应。</w:t>
            </w:r>
          </w:p>
        </w:tc>
      </w:tr>
      <w:tr w14:paraId="304A4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7228F786">
            <w:pPr>
              <w:keepNext w:val="0"/>
              <w:keepLines w:val="0"/>
              <w:suppressLineNumbers w:val="0"/>
              <w:spacing w:before="0" w:beforeAutospacing="0" w:after="0" w:afterAutospacing="0"/>
              <w:ind w:left="0" w:right="0"/>
              <w:jc w:val="center"/>
              <w:rPr>
                <w:rFonts w:hint="default" w:ascii="宋体" w:hAnsi="宋体" w:cs="宋体"/>
                <w:color w:val="auto"/>
                <w:kern w:val="0"/>
                <w:sz w:val="21"/>
                <w:szCs w:val="21"/>
                <w:highlight w:val="none"/>
              </w:rPr>
            </w:pPr>
          </w:p>
        </w:tc>
        <w:tc>
          <w:tcPr>
            <w:tcW w:w="2694" w:type="dxa"/>
            <w:vAlign w:val="center"/>
          </w:tcPr>
          <w:p w14:paraId="00D8B974">
            <w:pPr>
              <w:keepNext w:val="0"/>
              <w:keepLines w:val="0"/>
              <w:suppressLineNumbers w:val="0"/>
              <w:spacing w:before="0" w:beforeAutospacing="0" w:after="0" w:afterAutospacing="0"/>
              <w:ind w:left="0" w:right="0"/>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比选有效期</w:t>
            </w:r>
          </w:p>
        </w:tc>
        <w:tc>
          <w:tcPr>
            <w:tcW w:w="6259" w:type="dxa"/>
            <w:vAlign w:val="center"/>
          </w:tcPr>
          <w:p w14:paraId="44CD8B11">
            <w:pPr>
              <w:keepNext w:val="0"/>
              <w:keepLines w:val="0"/>
              <w:suppressLineNumbers w:val="0"/>
              <w:spacing w:before="0" w:beforeAutospacing="0" w:after="0" w:afterAutospacing="0"/>
              <w:ind w:left="0" w:right="0"/>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响应文件及有关承诺文件有效期为提交响应文件截止时间起90天。</w:t>
            </w:r>
          </w:p>
        </w:tc>
      </w:tr>
    </w:tbl>
    <w:p w14:paraId="0C1588FD">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0E88841">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评审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5B638F43">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（四）评审的依据为竞争性比选文件和现场递交的纸质响应文件（含有效的补充文件）。评审小组判断响应文件对竞争性比选文件的响应，仅基于响应文件本身而不靠外部证据。</w:t>
      </w:r>
    </w:p>
    <w:p w14:paraId="7E1D5D6F">
      <w:pPr>
        <w:spacing w:line="400" w:lineRule="exact"/>
        <w:ind w:firstLine="360" w:firstLineChars="150"/>
        <w:rPr>
          <w:rFonts w:ascii="宋体" w:hAnsi="宋体" w:cs="宋体"/>
          <w:color w:val="auto"/>
          <w:sz w:val="24"/>
          <w:szCs w:val="24"/>
          <w:highlight w:val="none"/>
        </w:rPr>
      </w:pPr>
      <w:bookmarkStart w:id="107" w:name="_Toc31463"/>
      <w:bookmarkStart w:id="108" w:name="_Toc65660351"/>
      <w:bookmarkStart w:id="109" w:name="_Toc11713"/>
      <w:bookmarkStart w:id="110" w:name="_Toc30639"/>
      <w:bookmarkStart w:id="111" w:name="_Toc64732013"/>
      <w:bookmarkStart w:id="112" w:name="_Toc5149"/>
      <w:r>
        <w:rPr>
          <w:rFonts w:hint="eastAsia" w:ascii="宋体" w:hAnsi="宋体" w:cs="宋体"/>
          <w:color w:val="auto"/>
          <w:sz w:val="24"/>
          <w:szCs w:val="24"/>
          <w:highlight w:val="none"/>
        </w:rPr>
        <w:t>（五）评审小组采用综合评分法对每个有效响应（通过资格性检查、实质性响应检查的供应商）的响应文件进行综合评分。综合评分法，是指响应文件满足比选文件全部实质性要求且按照评审因素的量化指标评审并汇总评审得分。供应商</w:t>
      </w:r>
      <w:r>
        <w:rPr>
          <w:rFonts w:hint="eastAsia" w:ascii="宋体" w:hAnsi="宋体" w:cs="宋体"/>
          <w:color w:val="auto"/>
          <w:sz w:val="24"/>
          <w:szCs w:val="24"/>
          <w:highlight w:val="none"/>
          <w:lang w:val="en-US" w:eastAsia="zh-CN"/>
        </w:rPr>
        <w:t>评审</w:t>
      </w:r>
      <w:r>
        <w:rPr>
          <w:rFonts w:hint="eastAsia" w:ascii="宋体" w:hAnsi="宋体" w:cs="宋体"/>
          <w:color w:val="auto"/>
          <w:sz w:val="24"/>
          <w:szCs w:val="24"/>
          <w:highlight w:val="none"/>
        </w:rPr>
        <w:t>得分为评审专家根据评定因素分别按照相应权重值计算分项得分后相加，满分为100分。</w:t>
      </w:r>
    </w:p>
    <w:p w14:paraId="33A007AB">
      <w:pPr>
        <w:keepNext/>
        <w:keepLines/>
        <w:adjustRightInd w:val="0"/>
        <w:snapToGrid w:val="0"/>
        <w:spacing w:line="400" w:lineRule="exact"/>
        <w:ind w:firstLine="480" w:firstLineChars="200"/>
        <w:outlineLvl w:val="1"/>
        <w:rPr>
          <w:rFonts w:ascii="宋体" w:hAnsi="宋体" w:cs="宋体"/>
          <w:color w:val="auto"/>
          <w:sz w:val="24"/>
          <w:szCs w:val="24"/>
          <w:highlight w:val="none"/>
        </w:rPr>
      </w:pPr>
      <w:r>
        <w:rPr>
          <w:rFonts w:hint="eastAsia" w:ascii="宋体" w:hAnsi="宋体" w:cs="宋体"/>
          <w:color w:val="auto"/>
          <w:sz w:val="24"/>
          <w:szCs w:val="24"/>
          <w:highlight w:val="none"/>
        </w:rPr>
        <w:t>（六）评审小组各成员独立对每个有效响应（通过资格性检查、实质性响应检查的供应商）的文件进行评价、打分，然后汇总每个供应商每项评分因素的得分，并根据综合评分情况按照评审得分由高到低顺序推荐3名候选人，并编写评审报告。若供应商的评审得分相同的，按照技术部分优劣顺序排列推荐。技术部分也相同的，按商务部分优劣顺序排列推荐，以上全部相同由评审小组抽签决定排序，若所推荐的供应商的技术部分为0分，将失去成为成交候选供应商的资格。</w:t>
      </w:r>
    </w:p>
    <w:p w14:paraId="7EED0AC5">
      <w:pPr>
        <w:keepNext/>
        <w:keepLines/>
        <w:adjustRightInd w:val="0"/>
        <w:snapToGrid w:val="0"/>
        <w:spacing w:line="400" w:lineRule="exact"/>
        <w:ind w:firstLine="482" w:firstLineChars="200"/>
        <w:outlineLvl w:val="1"/>
        <w:rPr>
          <w:rFonts w:ascii="宋体" w:hAnsi="宋体" w:cs="宋体"/>
          <w:b/>
          <w:bCs/>
          <w:color w:val="auto"/>
          <w:sz w:val="24"/>
          <w:highlight w:val="none"/>
        </w:rPr>
      </w:pPr>
      <w:r>
        <w:rPr>
          <w:rFonts w:hint="eastAsia" w:ascii="宋体" w:hAnsi="宋体" w:cs="宋体"/>
          <w:b/>
          <w:bCs/>
          <w:color w:val="auto"/>
          <w:sz w:val="24"/>
          <w:szCs w:val="24"/>
          <w:highlight w:val="none"/>
        </w:rPr>
        <w:t>二、</w:t>
      </w:r>
      <w:r>
        <w:rPr>
          <w:rFonts w:hint="eastAsia" w:ascii="宋体" w:hAnsi="宋体" w:cs="宋体"/>
          <w:b/>
          <w:bCs/>
          <w:color w:val="auto"/>
          <w:sz w:val="24"/>
          <w:highlight w:val="none"/>
        </w:rPr>
        <w:t>评审标准</w:t>
      </w:r>
      <w:bookmarkEnd w:id="107"/>
      <w:bookmarkEnd w:id="108"/>
      <w:bookmarkEnd w:id="109"/>
      <w:bookmarkEnd w:id="110"/>
      <w:bookmarkEnd w:id="111"/>
      <w:bookmarkEnd w:id="112"/>
    </w:p>
    <w:tbl>
      <w:tblPr>
        <w:tblStyle w:val="59"/>
        <w:tblW w:w="10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153"/>
        <w:gridCol w:w="1000"/>
        <w:gridCol w:w="5802"/>
        <w:gridCol w:w="1389"/>
      </w:tblGrid>
      <w:tr w14:paraId="58E3C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804" w:type="dxa"/>
            <w:vAlign w:val="center"/>
          </w:tcPr>
          <w:p w14:paraId="204D4EBE">
            <w:pPr>
              <w:keepNext w:val="0"/>
              <w:keepLines w:val="0"/>
              <w:suppressLineNumbers w:val="0"/>
              <w:spacing w:before="0" w:beforeAutospacing="0" w:after="0" w:afterAutospacing="0" w:line="280" w:lineRule="exact"/>
              <w:ind w:left="0" w:right="0"/>
              <w:jc w:val="center"/>
              <w:rPr>
                <w:rFonts w:hint="default" w:ascii="宋体" w:hAnsi="宋体" w:cs="宋体"/>
                <w:b/>
                <w:bCs/>
                <w:color w:val="auto"/>
                <w:sz w:val="24"/>
                <w:szCs w:val="24"/>
                <w:highlight w:val="none"/>
              </w:rPr>
            </w:pPr>
            <w:bookmarkStart w:id="113" w:name="_Toc65660352"/>
            <w:bookmarkStart w:id="114" w:name="_Toc12644"/>
            <w:bookmarkStart w:id="115" w:name="_Toc29113"/>
            <w:bookmarkStart w:id="116" w:name="_Toc5891"/>
            <w:bookmarkStart w:id="117" w:name="_Toc19473"/>
            <w:r>
              <w:rPr>
                <w:rFonts w:hint="eastAsia" w:ascii="宋体" w:hAnsi="宋体" w:cs="宋体"/>
                <w:b/>
                <w:bCs/>
                <w:color w:val="auto"/>
                <w:sz w:val="24"/>
                <w:szCs w:val="24"/>
                <w:highlight w:val="none"/>
              </w:rPr>
              <w:t>序号</w:t>
            </w:r>
          </w:p>
        </w:tc>
        <w:tc>
          <w:tcPr>
            <w:tcW w:w="1153" w:type="dxa"/>
            <w:vAlign w:val="center"/>
          </w:tcPr>
          <w:p w14:paraId="18431C58">
            <w:pPr>
              <w:keepNext w:val="0"/>
              <w:keepLines w:val="0"/>
              <w:suppressLineNumbers w:val="0"/>
              <w:spacing w:before="0" w:beforeAutospacing="0" w:after="0" w:afterAutospacing="0" w:line="280" w:lineRule="exact"/>
              <w:ind w:left="0" w:right="0"/>
              <w:jc w:val="center"/>
              <w:rPr>
                <w:rFonts w:hint="default" w:ascii="宋体" w:hAnsi="宋体" w:cs="宋体"/>
                <w:b/>
                <w:bCs/>
                <w:color w:val="auto"/>
                <w:sz w:val="24"/>
                <w:szCs w:val="24"/>
                <w:highlight w:val="none"/>
              </w:rPr>
            </w:pPr>
            <w:r>
              <w:rPr>
                <w:rFonts w:hint="eastAsia" w:ascii="宋体" w:hAnsi="宋体" w:cs="宋体"/>
                <w:b/>
                <w:bCs/>
                <w:color w:val="auto"/>
                <w:sz w:val="24"/>
                <w:szCs w:val="24"/>
                <w:highlight w:val="none"/>
              </w:rPr>
              <w:t>评分因素及权重</w:t>
            </w:r>
          </w:p>
        </w:tc>
        <w:tc>
          <w:tcPr>
            <w:tcW w:w="1000" w:type="dxa"/>
            <w:vAlign w:val="center"/>
          </w:tcPr>
          <w:p w14:paraId="0F757D3C">
            <w:pPr>
              <w:keepNext w:val="0"/>
              <w:keepLines w:val="0"/>
              <w:suppressLineNumbers w:val="0"/>
              <w:spacing w:before="0" w:beforeAutospacing="0" w:after="0" w:afterAutospacing="0" w:line="280" w:lineRule="exact"/>
              <w:ind w:left="0" w:right="0"/>
              <w:jc w:val="center"/>
              <w:rPr>
                <w:rFonts w:hint="default" w:ascii="宋体" w:hAnsi="宋体" w:cs="宋体"/>
                <w:b/>
                <w:bCs/>
                <w:color w:val="auto"/>
                <w:sz w:val="24"/>
                <w:szCs w:val="24"/>
                <w:highlight w:val="none"/>
              </w:rPr>
            </w:pPr>
            <w:r>
              <w:rPr>
                <w:rFonts w:hint="eastAsia" w:ascii="宋体" w:hAnsi="宋体" w:cs="宋体"/>
                <w:b/>
                <w:bCs/>
                <w:color w:val="auto"/>
                <w:sz w:val="24"/>
                <w:szCs w:val="24"/>
                <w:highlight w:val="none"/>
              </w:rPr>
              <w:t>分值</w:t>
            </w:r>
          </w:p>
        </w:tc>
        <w:tc>
          <w:tcPr>
            <w:tcW w:w="5802" w:type="dxa"/>
            <w:vAlign w:val="center"/>
          </w:tcPr>
          <w:p w14:paraId="374F4074">
            <w:pPr>
              <w:keepNext w:val="0"/>
              <w:keepLines w:val="0"/>
              <w:suppressLineNumbers w:val="0"/>
              <w:spacing w:before="0" w:beforeAutospacing="0" w:after="0" w:afterAutospacing="0" w:line="280" w:lineRule="exact"/>
              <w:ind w:left="0" w:right="0"/>
              <w:jc w:val="center"/>
              <w:rPr>
                <w:rFonts w:hint="default" w:ascii="宋体" w:hAnsi="宋体" w:cs="宋体"/>
                <w:b/>
                <w:bCs/>
                <w:color w:val="auto"/>
                <w:sz w:val="24"/>
                <w:szCs w:val="24"/>
                <w:highlight w:val="none"/>
              </w:rPr>
            </w:pPr>
            <w:r>
              <w:rPr>
                <w:rFonts w:hint="eastAsia" w:ascii="宋体" w:hAnsi="宋体" w:cs="宋体"/>
                <w:b/>
                <w:bCs/>
                <w:color w:val="auto"/>
                <w:sz w:val="24"/>
                <w:szCs w:val="24"/>
                <w:highlight w:val="none"/>
              </w:rPr>
              <w:t>评分标准</w:t>
            </w:r>
          </w:p>
        </w:tc>
        <w:tc>
          <w:tcPr>
            <w:tcW w:w="1389" w:type="dxa"/>
            <w:vAlign w:val="center"/>
          </w:tcPr>
          <w:p w14:paraId="4F6B58D4">
            <w:pPr>
              <w:keepNext w:val="0"/>
              <w:keepLines w:val="0"/>
              <w:suppressLineNumbers w:val="0"/>
              <w:spacing w:before="0" w:beforeAutospacing="0" w:after="0" w:afterAutospacing="0" w:line="280" w:lineRule="exact"/>
              <w:ind w:left="0" w:right="0"/>
              <w:jc w:val="center"/>
              <w:rPr>
                <w:rFonts w:hint="default" w:ascii="宋体" w:hAnsi="宋体" w:cs="宋体"/>
                <w:b/>
                <w:bCs/>
                <w:color w:val="auto"/>
                <w:sz w:val="24"/>
                <w:szCs w:val="24"/>
                <w:highlight w:val="none"/>
              </w:rPr>
            </w:pPr>
            <w:r>
              <w:rPr>
                <w:rFonts w:hint="eastAsia" w:ascii="宋体" w:hAnsi="宋体" w:cs="宋体"/>
                <w:b/>
                <w:bCs/>
                <w:color w:val="auto"/>
                <w:sz w:val="24"/>
                <w:szCs w:val="24"/>
                <w:highlight w:val="none"/>
              </w:rPr>
              <w:t>说明</w:t>
            </w:r>
          </w:p>
        </w:tc>
      </w:tr>
      <w:tr w14:paraId="5226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04" w:type="dxa"/>
            <w:vAlign w:val="center"/>
          </w:tcPr>
          <w:p w14:paraId="7D078CF1">
            <w:pPr>
              <w:keepNext w:val="0"/>
              <w:keepLines w:val="0"/>
              <w:suppressLineNumbers w:val="0"/>
              <w:spacing w:before="0" w:beforeAutospacing="0" w:after="0" w:afterAutospacing="0" w:line="320" w:lineRule="exac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1</w:t>
            </w:r>
          </w:p>
        </w:tc>
        <w:tc>
          <w:tcPr>
            <w:tcW w:w="1153" w:type="dxa"/>
            <w:vAlign w:val="center"/>
          </w:tcPr>
          <w:p w14:paraId="5E3223B7">
            <w:pPr>
              <w:keepNext w:val="0"/>
              <w:keepLines w:val="0"/>
              <w:suppressLineNumbers w:val="0"/>
              <w:spacing w:before="0" w:beforeAutospacing="0" w:after="0" w:afterAutospacing="0" w:line="320" w:lineRule="exac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投标报价（50%）</w:t>
            </w:r>
          </w:p>
        </w:tc>
        <w:tc>
          <w:tcPr>
            <w:tcW w:w="1000" w:type="dxa"/>
            <w:vAlign w:val="center"/>
          </w:tcPr>
          <w:p w14:paraId="27A318A8">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50</w:t>
            </w:r>
            <w:r>
              <w:rPr>
                <w:rFonts w:hint="eastAsia" w:ascii="宋体" w:hAnsi="宋体" w:eastAsia="宋体" w:cs="宋体"/>
                <w:color w:val="auto"/>
                <w:sz w:val="21"/>
                <w:szCs w:val="21"/>
                <w:highlight w:val="none"/>
                <w:lang w:val="en-US" w:eastAsia="zh-CN"/>
              </w:rPr>
              <w:t>分</w:t>
            </w:r>
          </w:p>
        </w:tc>
        <w:tc>
          <w:tcPr>
            <w:tcW w:w="5802" w:type="dxa"/>
            <w:vAlign w:val="center"/>
          </w:tcPr>
          <w:p w14:paraId="4E93A537">
            <w:pPr>
              <w:keepNext w:val="0"/>
              <w:keepLines w:val="0"/>
              <w:suppressLineNumbers w:val="0"/>
              <w:spacing w:before="0" w:beforeAutospacing="0" w:after="0" w:afterAutospacing="0" w:line="320" w:lineRule="exact"/>
              <w:ind w:left="0" w:right="0" w:firstLine="210" w:firstLineChars="100"/>
              <w:jc w:val="left"/>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所有通过资格审查和实质性响应审查的有效供应商的投标报价的算术平均值为投标报价的评标基准价。</w:t>
            </w:r>
          </w:p>
          <w:p w14:paraId="065AE209">
            <w:pPr>
              <w:keepNext w:val="0"/>
              <w:keepLines w:val="0"/>
              <w:suppressLineNumbers w:val="0"/>
              <w:spacing w:before="0" w:beforeAutospacing="0" w:after="0" w:afterAutospacing="0" w:line="320" w:lineRule="exact"/>
              <w:ind w:left="0" w:right="0" w:firstLine="210" w:firstLineChars="100"/>
              <w:jc w:val="left"/>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各有效投标报价与评标基准价相比，等于评标基准价的投标报价得满分50分，在此基础上，投标报价与评标基准价相比，每增加1%扣0.2分，每减少1%扣0.1分，按插入法计算得分，扣完为止。</w:t>
            </w:r>
          </w:p>
          <w:p w14:paraId="3DDF653E">
            <w:pPr>
              <w:keepNext w:val="0"/>
              <w:keepLines w:val="0"/>
              <w:suppressLineNumbers w:val="0"/>
              <w:spacing w:before="0" w:beforeAutospacing="0" w:after="0" w:afterAutospacing="0" w:line="320" w:lineRule="exact"/>
              <w:ind w:left="0" w:right="0" w:firstLine="210" w:firstLineChars="100"/>
              <w:jc w:val="left"/>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以上计算取小数点后两位，第三位四舍五入。</w:t>
            </w:r>
          </w:p>
        </w:tc>
        <w:tc>
          <w:tcPr>
            <w:tcW w:w="1389" w:type="dxa"/>
            <w:vAlign w:val="center"/>
          </w:tcPr>
          <w:p w14:paraId="49DC422C">
            <w:pPr>
              <w:keepNext w:val="0"/>
              <w:keepLines w:val="0"/>
              <w:suppressLineNumbers w:val="0"/>
              <w:spacing w:before="0" w:beforeAutospacing="0" w:after="0" w:afterAutospacing="0" w:line="320" w:lineRule="exact"/>
              <w:ind w:left="0" w:right="0"/>
              <w:rPr>
                <w:rFonts w:hint="default" w:ascii="宋体" w:hAnsi="宋体" w:cs="宋体"/>
                <w:bCs/>
                <w:color w:val="auto"/>
                <w:sz w:val="21"/>
                <w:szCs w:val="21"/>
                <w:highlight w:val="none"/>
              </w:rPr>
            </w:pPr>
            <w:r>
              <w:rPr>
                <w:rFonts w:hint="eastAsia" w:ascii="宋体" w:hAnsi="宋体" w:cs="宋体"/>
                <w:bCs/>
                <w:color w:val="auto"/>
                <w:sz w:val="21"/>
                <w:szCs w:val="21"/>
                <w:highlight w:val="none"/>
              </w:rPr>
              <w:t>参与评审的投标报价为投标总报价</w:t>
            </w:r>
          </w:p>
        </w:tc>
      </w:tr>
      <w:tr w14:paraId="47864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804" w:type="dxa"/>
            <w:vMerge w:val="restart"/>
            <w:vAlign w:val="center"/>
          </w:tcPr>
          <w:p w14:paraId="38E00B51">
            <w:pPr>
              <w:keepNext w:val="0"/>
              <w:keepLines w:val="0"/>
              <w:suppressLineNumbers w:val="0"/>
              <w:spacing w:before="0" w:beforeAutospacing="0" w:after="0" w:afterAutospacing="0" w:line="320" w:lineRule="exac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2</w:t>
            </w:r>
          </w:p>
        </w:tc>
        <w:tc>
          <w:tcPr>
            <w:tcW w:w="1153" w:type="dxa"/>
            <w:vMerge w:val="restart"/>
            <w:vAlign w:val="center"/>
          </w:tcPr>
          <w:p w14:paraId="51BD0AD7">
            <w:pPr>
              <w:keepNext w:val="0"/>
              <w:keepLines w:val="0"/>
              <w:suppressLineNumbers w:val="0"/>
              <w:spacing w:before="0" w:beforeAutospacing="0" w:after="0" w:afterAutospacing="0" w:line="320" w:lineRule="exact"/>
              <w:ind w:left="0" w:right="0"/>
              <w:jc w:val="center"/>
              <w:rPr>
                <w:rFonts w:hint="default" w:ascii="宋体" w:hAnsi="宋体" w:cs="宋体"/>
                <w:bCs/>
                <w:color w:val="auto"/>
                <w:sz w:val="21"/>
                <w:szCs w:val="21"/>
                <w:highlight w:val="none"/>
              </w:rPr>
            </w:pPr>
            <w:r>
              <w:rPr>
                <w:rFonts w:hint="eastAsia" w:ascii="宋体" w:hAnsi="宋体" w:cs="宋体"/>
                <w:bCs/>
                <w:color w:val="auto"/>
                <w:sz w:val="21"/>
                <w:szCs w:val="21"/>
                <w:highlight w:val="none"/>
              </w:rPr>
              <w:t>技术部分（40%）</w:t>
            </w:r>
          </w:p>
        </w:tc>
        <w:tc>
          <w:tcPr>
            <w:tcW w:w="1000" w:type="dxa"/>
            <w:vAlign w:val="center"/>
          </w:tcPr>
          <w:p w14:paraId="7D6E70A0">
            <w:pPr>
              <w:keepNext w:val="0"/>
              <w:keepLines w:val="0"/>
              <w:suppressLineNumbers w:val="0"/>
              <w:spacing w:before="0" w:beforeAutospacing="0" w:after="0" w:afterAutospacing="0" w:line="320" w:lineRule="exact"/>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核心部件要求（4</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rPr>
              <w:t>）</w:t>
            </w:r>
          </w:p>
        </w:tc>
        <w:tc>
          <w:tcPr>
            <w:tcW w:w="5802" w:type="dxa"/>
            <w:vAlign w:val="center"/>
          </w:tcPr>
          <w:p w14:paraId="1899A15B">
            <w:pPr>
              <w:keepNext w:val="0"/>
              <w:keepLines w:val="0"/>
              <w:suppressLineNumbers w:val="0"/>
              <w:spacing w:before="0" w:beforeAutospacing="0" w:after="0" w:afterAutospacing="0" w:line="320" w:lineRule="exact"/>
              <w:ind w:left="0" w:right="0" w:firstLine="210" w:firstLineChars="100"/>
              <w:jc w:val="left"/>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该项不满足0分，满足得4分。</w:t>
            </w:r>
          </w:p>
          <w:p w14:paraId="1E8CF060">
            <w:pPr>
              <w:keepNext w:val="0"/>
              <w:keepLines w:val="0"/>
              <w:suppressLineNumbers w:val="0"/>
              <w:spacing w:before="0" w:beforeAutospacing="0" w:after="0" w:afterAutospacing="0" w:line="320" w:lineRule="exact"/>
              <w:ind w:left="0" w:right="0" w:firstLine="210" w:firstLineChars="100"/>
              <w:jc w:val="left"/>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满足核心部件原厂原品牌:曳引机、门机、控制柜、安全钳、缓冲器、限速器。</w:t>
            </w:r>
          </w:p>
          <w:p w14:paraId="78B96691">
            <w:pPr>
              <w:keepNext w:val="0"/>
              <w:keepLines w:val="0"/>
              <w:suppressLineNumbers w:val="0"/>
              <w:spacing w:before="0" w:beforeAutospacing="0" w:after="0" w:afterAutospacing="0" w:line="320" w:lineRule="exact"/>
              <w:ind w:left="0" w:right="0" w:firstLine="210" w:firstLineChars="100"/>
              <w:jc w:val="left"/>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(提供投标产品型号整机型式试验报告复印件并加盖供应商公章)。</w:t>
            </w:r>
          </w:p>
        </w:tc>
        <w:tc>
          <w:tcPr>
            <w:tcW w:w="1389" w:type="dxa"/>
            <w:vMerge w:val="restart"/>
            <w:vAlign w:val="center"/>
          </w:tcPr>
          <w:p w14:paraId="4D56E0D5">
            <w:pPr>
              <w:keepNext w:val="0"/>
              <w:keepLines w:val="0"/>
              <w:suppressLineNumbers w:val="0"/>
              <w:spacing w:before="0" w:beforeAutospacing="0" w:after="0" w:afterAutospacing="0" w:line="320" w:lineRule="exact"/>
              <w:ind w:left="0" w:right="0" w:firstLine="210" w:firstLineChars="100"/>
              <w:rPr>
                <w:rFonts w:hint="eastAsia" w:ascii="宋体" w:hAnsi="宋体" w:cs="宋体"/>
                <w:bCs/>
                <w:color w:val="auto"/>
                <w:sz w:val="21"/>
                <w:szCs w:val="21"/>
                <w:highlight w:val="none"/>
              </w:rPr>
            </w:pPr>
          </w:p>
          <w:p w14:paraId="445E2559">
            <w:pPr>
              <w:keepNext w:val="0"/>
              <w:keepLines w:val="0"/>
              <w:suppressLineNumbers w:val="0"/>
              <w:spacing w:before="0" w:beforeAutospacing="0" w:after="0" w:afterAutospacing="0" w:line="320" w:lineRule="exact"/>
              <w:ind w:left="0" w:right="0" w:firstLine="210" w:firstLineChars="100"/>
              <w:rPr>
                <w:rFonts w:hint="default" w:ascii="宋体" w:hAnsi="宋体" w:cs="宋体"/>
                <w:bCs/>
                <w:color w:val="auto"/>
                <w:sz w:val="21"/>
                <w:szCs w:val="21"/>
                <w:highlight w:val="none"/>
              </w:rPr>
            </w:pPr>
            <w:r>
              <w:rPr>
                <w:rFonts w:hint="eastAsia" w:ascii="宋体" w:hAnsi="宋体" w:cs="宋体"/>
                <w:bCs/>
                <w:color w:val="auto"/>
                <w:sz w:val="21"/>
                <w:szCs w:val="21"/>
                <w:highlight w:val="none"/>
              </w:rPr>
              <w:t>取评审小组独立评审分值的算术平均值为本项得分，得分取小数点后两位，第三位四舍五入。</w:t>
            </w:r>
          </w:p>
        </w:tc>
      </w:tr>
      <w:tr w14:paraId="43C54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804" w:type="dxa"/>
            <w:vMerge w:val="continue"/>
            <w:vAlign w:val="center"/>
          </w:tcPr>
          <w:p w14:paraId="38F2B5F8">
            <w:pPr>
              <w:keepNext w:val="0"/>
              <w:keepLines w:val="0"/>
              <w:suppressLineNumbers w:val="0"/>
              <w:spacing w:before="0" w:beforeAutospacing="0" w:after="0" w:afterAutospacing="0" w:line="320" w:lineRule="exact"/>
              <w:ind w:left="0" w:right="0"/>
              <w:jc w:val="center"/>
              <w:rPr>
                <w:rFonts w:hint="default" w:ascii="宋体" w:hAnsi="宋体" w:cs="宋体"/>
                <w:color w:val="auto"/>
                <w:sz w:val="21"/>
                <w:szCs w:val="21"/>
                <w:highlight w:val="none"/>
              </w:rPr>
            </w:pPr>
          </w:p>
        </w:tc>
        <w:tc>
          <w:tcPr>
            <w:tcW w:w="1153" w:type="dxa"/>
            <w:vMerge w:val="continue"/>
            <w:vAlign w:val="center"/>
          </w:tcPr>
          <w:p w14:paraId="06F44796">
            <w:pPr>
              <w:keepNext w:val="0"/>
              <w:keepLines w:val="0"/>
              <w:suppressLineNumbers w:val="0"/>
              <w:spacing w:before="0" w:beforeAutospacing="0" w:after="0" w:afterAutospacing="0" w:line="320" w:lineRule="exact"/>
              <w:ind w:left="0" w:right="0"/>
              <w:jc w:val="center"/>
              <w:rPr>
                <w:rFonts w:hint="default" w:ascii="宋体" w:hAnsi="宋体" w:cs="宋体"/>
                <w:bCs/>
                <w:color w:val="auto"/>
                <w:sz w:val="21"/>
                <w:szCs w:val="21"/>
                <w:highlight w:val="none"/>
              </w:rPr>
            </w:pPr>
          </w:p>
        </w:tc>
        <w:tc>
          <w:tcPr>
            <w:tcW w:w="1000" w:type="dxa"/>
            <w:vAlign w:val="center"/>
          </w:tcPr>
          <w:p w14:paraId="7BE7F395">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主要部件参数要求</w:t>
            </w:r>
          </w:p>
          <w:p w14:paraId="44D2CF9B">
            <w:pPr>
              <w:keepNext w:val="0"/>
              <w:keepLines w:val="0"/>
              <w:suppressLineNumbers w:val="0"/>
              <w:spacing w:before="0" w:beforeAutospacing="0" w:after="0" w:afterAutospacing="0" w:line="320" w:lineRule="exact"/>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rPr>
              <w:t>）</w:t>
            </w:r>
          </w:p>
        </w:tc>
        <w:tc>
          <w:tcPr>
            <w:tcW w:w="5802" w:type="dxa"/>
            <w:vAlign w:val="center"/>
          </w:tcPr>
          <w:p w14:paraId="162A44CF">
            <w:pPr>
              <w:keepNext w:val="0"/>
              <w:keepLines w:val="0"/>
              <w:suppressLineNumbers w:val="0"/>
              <w:spacing w:before="0" w:beforeAutospacing="0" w:after="0" w:afterAutospacing="0" w:line="320" w:lineRule="exact"/>
              <w:ind w:left="0" w:right="0" w:firstLine="210" w:firstLineChars="100"/>
              <w:jc w:val="left"/>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该项按提供资料得分，未提供不得分。</w:t>
            </w:r>
          </w:p>
          <w:p w14:paraId="12E5640C">
            <w:pPr>
              <w:keepNext w:val="0"/>
              <w:keepLines w:val="0"/>
              <w:suppressLineNumbers w:val="0"/>
              <w:spacing w:before="0" w:beforeAutospacing="0" w:after="0" w:afterAutospacing="0" w:line="320" w:lineRule="exact"/>
              <w:ind w:left="0" w:right="0" w:firstLine="210" w:firstLineChars="100"/>
              <w:jc w:val="left"/>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光幕束:光速量≥174得2分；主机:IP防护等级≥IP21 得2分；门机:IP防护等级≥IP40得2分;</w:t>
            </w:r>
          </w:p>
          <w:p w14:paraId="0E0C5609">
            <w:pPr>
              <w:keepNext w:val="0"/>
              <w:keepLines w:val="0"/>
              <w:suppressLineNumbers w:val="0"/>
              <w:spacing w:before="0" w:beforeAutospacing="0" w:after="0" w:afterAutospacing="0" w:line="320" w:lineRule="exact"/>
              <w:ind w:left="0" w:right="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（提供报告或证书复印件加盖制造商公章)</w:t>
            </w:r>
          </w:p>
        </w:tc>
        <w:tc>
          <w:tcPr>
            <w:tcW w:w="1389" w:type="dxa"/>
            <w:vMerge w:val="continue"/>
            <w:vAlign w:val="center"/>
          </w:tcPr>
          <w:p w14:paraId="25E0AEEA">
            <w:pPr>
              <w:keepNext w:val="0"/>
              <w:keepLines w:val="0"/>
              <w:suppressLineNumbers w:val="0"/>
              <w:spacing w:before="0" w:beforeAutospacing="0" w:after="0" w:afterAutospacing="0" w:line="320" w:lineRule="exact"/>
              <w:ind w:left="0" w:right="0"/>
              <w:rPr>
                <w:rFonts w:hint="default" w:ascii="宋体" w:hAnsi="宋体" w:cs="宋体"/>
                <w:bCs/>
                <w:color w:val="auto"/>
                <w:sz w:val="21"/>
                <w:szCs w:val="21"/>
                <w:highlight w:val="none"/>
              </w:rPr>
            </w:pPr>
          </w:p>
        </w:tc>
      </w:tr>
      <w:tr w14:paraId="7DD02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jc w:val="center"/>
        </w:trPr>
        <w:tc>
          <w:tcPr>
            <w:tcW w:w="804" w:type="dxa"/>
            <w:vMerge w:val="continue"/>
            <w:vAlign w:val="center"/>
          </w:tcPr>
          <w:p w14:paraId="1C7E3AED">
            <w:pPr>
              <w:keepNext w:val="0"/>
              <w:keepLines w:val="0"/>
              <w:suppressLineNumbers w:val="0"/>
              <w:spacing w:before="0" w:beforeAutospacing="0" w:after="0" w:afterAutospacing="0" w:line="320" w:lineRule="exact"/>
              <w:ind w:left="0" w:right="0"/>
              <w:jc w:val="center"/>
              <w:rPr>
                <w:rFonts w:hint="default" w:ascii="宋体" w:hAnsi="宋体" w:cs="宋体"/>
                <w:color w:val="auto"/>
                <w:sz w:val="21"/>
                <w:szCs w:val="21"/>
                <w:highlight w:val="none"/>
              </w:rPr>
            </w:pPr>
          </w:p>
        </w:tc>
        <w:tc>
          <w:tcPr>
            <w:tcW w:w="1153" w:type="dxa"/>
            <w:vMerge w:val="continue"/>
            <w:vAlign w:val="center"/>
          </w:tcPr>
          <w:p w14:paraId="112476D6">
            <w:pPr>
              <w:keepNext w:val="0"/>
              <w:keepLines w:val="0"/>
              <w:suppressLineNumbers w:val="0"/>
              <w:spacing w:before="0" w:beforeAutospacing="0" w:after="0" w:afterAutospacing="0" w:line="320" w:lineRule="exact"/>
              <w:ind w:left="0" w:right="0"/>
              <w:jc w:val="center"/>
              <w:rPr>
                <w:rFonts w:hint="default" w:ascii="宋体" w:hAnsi="宋体" w:cs="宋体"/>
                <w:bCs/>
                <w:color w:val="auto"/>
                <w:sz w:val="21"/>
                <w:szCs w:val="21"/>
                <w:highlight w:val="none"/>
              </w:rPr>
            </w:pPr>
          </w:p>
        </w:tc>
        <w:tc>
          <w:tcPr>
            <w:tcW w:w="1000" w:type="dxa"/>
            <w:vAlign w:val="center"/>
          </w:tcPr>
          <w:p w14:paraId="646CA550">
            <w:pPr>
              <w:keepNext w:val="0"/>
              <w:keepLines w:val="0"/>
              <w:suppressLineNumbers w:val="0"/>
              <w:spacing w:before="0" w:beforeAutospacing="0" w:after="0" w:afterAutospacing="0" w:line="320" w:lineRule="exact"/>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旧梯拆除施工方案</w:t>
            </w:r>
          </w:p>
          <w:p w14:paraId="13D4FDA6">
            <w:pPr>
              <w:keepNext w:val="0"/>
              <w:keepLines w:val="0"/>
              <w:suppressLineNumbers w:val="0"/>
              <w:spacing w:before="0" w:beforeAutospacing="0" w:after="0" w:afterAutospacing="0" w:line="320" w:lineRule="exact"/>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c>
          <w:tcPr>
            <w:tcW w:w="5802" w:type="dxa"/>
            <w:vAlign w:val="center"/>
          </w:tcPr>
          <w:p w14:paraId="02B1527C">
            <w:pPr>
              <w:keepNext w:val="0"/>
              <w:keepLines w:val="0"/>
              <w:suppressLineNumbers w:val="0"/>
              <w:spacing w:before="0" w:beforeAutospacing="0" w:after="0" w:afterAutospacing="0" w:line="320" w:lineRule="exact"/>
              <w:ind w:left="0" w:right="0" w:firstLine="210" w:firstLineChars="100"/>
              <w:jc w:val="left"/>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供应商自行提供方案（5分）。</w:t>
            </w:r>
          </w:p>
          <w:p w14:paraId="72286517">
            <w:pPr>
              <w:keepNext w:val="0"/>
              <w:keepLines w:val="0"/>
              <w:suppressLineNumbers w:val="0"/>
              <w:spacing w:before="0" w:beforeAutospacing="0" w:after="0" w:afterAutospacing="0" w:line="320" w:lineRule="exact"/>
              <w:ind w:left="0" w:right="0" w:firstLine="210" w:firstLineChars="100"/>
              <w:jc w:val="left"/>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包括但不限于电梯拆除方案、拆除进度方案等内容。方案内容详实、具体、可行得5分；方案较详实、具体、可行得3分；方案不够详实、具体，但具有一定可行性得1分；未提供旧梯拆除方案或</w:t>
            </w:r>
            <w:r>
              <w:rPr>
                <w:rFonts w:hint="eastAsia" w:ascii="宋体" w:hAnsi="宋体" w:eastAsia="宋体" w:cs="宋体"/>
                <w:color w:val="auto"/>
                <w:sz w:val="21"/>
                <w:szCs w:val="21"/>
                <w:highlight w:val="none"/>
                <w:lang w:val="en-US" w:eastAsia="zh-CN"/>
              </w:rPr>
              <w:t>方案</w:t>
            </w:r>
            <w:r>
              <w:rPr>
                <w:rFonts w:hint="eastAsia" w:ascii="宋体" w:hAnsi="宋体" w:eastAsia="宋体" w:cs="宋体"/>
                <w:color w:val="auto"/>
                <w:sz w:val="21"/>
                <w:szCs w:val="21"/>
                <w:highlight w:val="none"/>
              </w:rPr>
              <w:t>与本项目实际不相符的本项得0分。</w:t>
            </w:r>
          </w:p>
        </w:tc>
        <w:tc>
          <w:tcPr>
            <w:tcW w:w="1389" w:type="dxa"/>
            <w:vMerge w:val="continue"/>
            <w:vAlign w:val="center"/>
          </w:tcPr>
          <w:p w14:paraId="0AA0DA30">
            <w:pPr>
              <w:keepNext w:val="0"/>
              <w:keepLines w:val="0"/>
              <w:suppressLineNumbers w:val="0"/>
              <w:spacing w:before="0" w:beforeAutospacing="0" w:after="0" w:afterAutospacing="0" w:line="320" w:lineRule="exact"/>
              <w:ind w:left="0" w:right="0"/>
              <w:rPr>
                <w:rFonts w:hint="default" w:ascii="宋体" w:hAnsi="宋体" w:cs="宋体"/>
                <w:bCs/>
                <w:color w:val="auto"/>
                <w:sz w:val="21"/>
                <w:szCs w:val="21"/>
                <w:highlight w:val="none"/>
              </w:rPr>
            </w:pPr>
          </w:p>
        </w:tc>
      </w:tr>
      <w:tr w14:paraId="7494E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jc w:val="center"/>
        </w:trPr>
        <w:tc>
          <w:tcPr>
            <w:tcW w:w="804" w:type="dxa"/>
            <w:vMerge w:val="continue"/>
            <w:vAlign w:val="center"/>
          </w:tcPr>
          <w:p w14:paraId="1EA202AE">
            <w:pPr>
              <w:keepNext w:val="0"/>
              <w:keepLines w:val="0"/>
              <w:suppressLineNumbers w:val="0"/>
              <w:spacing w:before="0" w:beforeAutospacing="0" w:after="0" w:afterAutospacing="0" w:line="320" w:lineRule="exact"/>
              <w:ind w:left="0" w:right="0"/>
              <w:jc w:val="center"/>
              <w:rPr>
                <w:rFonts w:hint="default" w:ascii="宋体" w:hAnsi="宋体" w:cs="宋体"/>
                <w:color w:val="auto"/>
                <w:sz w:val="21"/>
                <w:szCs w:val="21"/>
                <w:highlight w:val="none"/>
              </w:rPr>
            </w:pPr>
          </w:p>
        </w:tc>
        <w:tc>
          <w:tcPr>
            <w:tcW w:w="1153" w:type="dxa"/>
            <w:vMerge w:val="continue"/>
            <w:vAlign w:val="center"/>
          </w:tcPr>
          <w:p w14:paraId="72E411DC">
            <w:pPr>
              <w:keepNext w:val="0"/>
              <w:keepLines w:val="0"/>
              <w:suppressLineNumbers w:val="0"/>
              <w:spacing w:before="0" w:beforeAutospacing="0" w:after="0" w:afterAutospacing="0" w:line="320" w:lineRule="exact"/>
              <w:ind w:left="0" w:right="0"/>
              <w:jc w:val="center"/>
              <w:rPr>
                <w:rFonts w:hint="default" w:ascii="宋体" w:hAnsi="宋体" w:cs="宋体"/>
                <w:bCs/>
                <w:color w:val="auto"/>
                <w:sz w:val="21"/>
                <w:szCs w:val="21"/>
                <w:highlight w:val="none"/>
              </w:rPr>
            </w:pPr>
          </w:p>
        </w:tc>
        <w:tc>
          <w:tcPr>
            <w:tcW w:w="1000" w:type="dxa"/>
            <w:vAlign w:val="center"/>
          </w:tcPr>
          <w:p w14:paraId="560F4232">
            <w:pPr>
              <w:keepNext w:val="0"/>
              <w:keepLines w:val="0"/>
              <w:suppressLineNumbers w:val="0"/>
              <w:spacing w:before="0" w:beforeAutospacing="0" w:after="0" w:afterAutospacing="0" w:line="320" w:lineRule="exact"/>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新梯安装施工方案</w:t>
            </w:r>
          </w:p>
          <w:p w14:paraId="77504D3B">
            <w:pPr>
              <w:keepNext w:val="0"/>
              <w:keepLines w:val="0"/>
              <w:suppressLineNumbers w:val="0"/>
              <w:spacing w:before="0" w:beforeAutospacing="0" w:after="0" w:afterAutospacing="0" w:line="320" w:lineRule="exact"/>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（15分）</w:t>
            </w:r>
          </w:p>
        </w:tc>
        <w:tc>
          <w:tcPr>
            <w:tcW w:w="5802" w:type="dxa"/>
            <w:vAlign w:val="center"/>
          </w:tcPr>
          <w:p w14:paraId="60EF2463">
            <w:pPr>
              <w:keepNext w:val="0"/>
              <w:keepLines w:val="0"/>
              <w:suppressLineNumbers w:val="0"/>
              <w:spacing w:before="0" w:beforeAutospacing="0" w:after="0" w:afterAutospacing="0" w:line="320" w:lineRule="exact"/>
              <w:ind w:left="0" w:right="0"/>
              <w:jc w:val="left"/>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供应商自行提供方案（15分）。</w:t>
            </w:r>
          </w:p>
          <w:p w14:paraId="72FD08D2">
            <w:pPr>
              <w:keepNext w:val="0"/>
              <w:keepLines w:val="0"/>
              <w:suppressLineNumbers w:val="0"/>
              <w:spacing w:before="0" w:beforeAutospacing="0" w:after="0" w:afterAutospacing="0" w:line="320" w:lineRule="exact"/>
              <w:ind w:left="0" w:right="0" w:firstLine="210" w:firstLineChars="100"/>
              <w:jc w:val="left"/>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1、根据项目情况编制合理的交货进度计划方案及保证措施，方案中包括但不限于产品生产、供货计划、安装工程进度计划及措施、安装设备投入、安装作业流程、移交流程等</w:t>
            </w:r>
            <w:r>
              <w:rPr>
                <w:rFonts w:hint="eastAsia" w:ascii="宋体" w:hAnsi="宋体" w:eastAsia="宋体" w:cs="宋体"/>
                <w:color w:val="auto"/>
                <w:sz w:val="21"/>
                <w:szCs w:val="21"/>
                <w:highlight w:val="none"/>
                <w:lang w:val="en-US" w:eastAsia="zh-CN"/>
              </w:rPr>
              <w:t>内容</w:t>
            </w:r>
            <w:r>
              <w:rPr>
                <w:rFonts w:hint="eastAsia" w:ascii="宋体" w:hAnsi="宋体" w:eastAsia="宋体" w:cs="宋体"/>
                <w:color w:val="auto"/>
                <w:sz w:val="21"/>
                <w:szCs w:val="21"/>
                <w:highlight w:val="none"/>
              </w:rPr>
              <w:t>。</w:t>
            </w:r>
          </w:p>
          <w:p w14:paraId="2425F054">
            <w:pPr>
              <w:keepNext w:val="0"/>
              <w:keepLines w:val="0"/>
              <w:suppressLineNumbers w:val="0"/>
              <w:spacing w:before="0" w:beforeAutospacing="0" w:after="0" w:afterAutospacing="0" w:line="320" w:lineRule="exact"/>
              <w:ind w:left="0" w:right="0" w:firstLine="210" w:firstLineChars="100"/>
              <w:jc w:val="left"/>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2、根据项目情况编制合理的质量保证措施方案，方案中包括但不限于产品生产质量的控制、运输保管措施、安装过程中的质量保证措施</w:t>
            </w:r>
            <w:r>
              <w:rPr>
                <w:rFonts w:hint="eastAsia" w:ascii="宋体" w:hAnsi="宋体" w:eastAsia="宋体" w:cs="宋体"/>
                <w:color w:val="auto"/>
                <w:sz w:val="21"/>
                <w:szCs w:val="21"/>
                <w:highlight w:val="none"/>
                <w:lang w:val="en-US" w:eastAsia="zh-CN"/>
              </w:rPr>
              <w:t>等内容</w:t>
            </w:r>
            <w:r>
              <w:rPr>
                <w:rFonts w:hint="eastAsia" w:ascii="宋体" w:hAnsi="宋体" w:eastAsia="宋体" w:cs="宋体"/>
                <w:color w:val="auto"/>
                <w:sz w:val="21"/>
                <w:szCs w:val="21"/>
                <w:highlight w:val="none"/>
              </w:rPr>
              <w:t>。</w:t>
            </w:r>
          </w:p>
          <w:p w14:paraId="2504820B">
            <w:pPr>
              <w:keepNext w:val="0"/>
              <w:keepLines w:val="0"/>
              <w:suppressLineNumbers w:val="0"/>
              <w:spacing w:before="0" w:beforeAutospacing="0" w:after="0" w:afterAutospacing="0" w:line="320" w:lineRule="exact"/>
              <w:ind w:left="0" w:right="0" w:firstLine="210" w:firstLineChars="100"/>
              <w:jc w:val="left"/>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3、根据项目情况编制安全文明施工措施，方案中包括但不限于安全生产制度建设、施工操作规程、安全管理培训等内容。</w:t>
            </w:r>
          </w:p>
          <w:p w14:paraId="45D15DCA">
            <w:pPr>
              <w:keepNext w:val="0"/>
              <w:keepLines w:val="0"/>
              <w:suppressLineNumbers w:val="0"/>
              <w:spacing w:before="0" w:beforeAutospacing="0" w:after="0" w:afterAutospacing="0" w:line="320" w:lineRule="exact"/>
              <w:ind w:left="0" w:right="0" w:firstLine="210" w:firstLineChars="100"/>
              <w:jc w:val="left"/>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以上</w:t>
            </w:r>
            <w:r>
              <w:rPr>
                <w:rFonts w:hint="default" w:ascii="宋体" w:hAnsi="宋体" w:eastAsia="宋体" w:cs="宋体"/>
                <w:color w:val="auto"/>
                <w:sz w:val="21"/>
                <w:szCs w:val="21"/>
                <w:highlight w:val="none"/>
              </w:rPr>
              <w:t>方案内容详实、具体、可行得15分；方案较详实、具体、可行得10分；方案不够详实、具体，但具有一定可行性得</w:t>
            </w:r>
            <w:r>
              <w:rPr>
                <w:rFonts w:hint="eastAsia" w:ascii="宋体" w:hAnsi="宋体" w:eastAsia="宋体" w:cs="宋体"/>
                <w:color w:val="auto"/>
                <w:sz w:val="21"/>
                <w:szCs w:val="21"/>
                <w:highlight w:val="none"/>
              </w:rPr>
              <w:t>5</w:t>
            </w:r>
            <w:r>
              <w:rPr>
                <w:rFonts w:hint="default" w:ascii="宋体" w:hAnsi="宋体" w:eastAsia="宋体" w:cs="宋体"/>
                <w:color w:val="auto"/>
                <w:sz w:val="21"/>
                <w:szCs w:val="21"/>
                <w:highlight w:val="none"/>
              </w:rPr>
              <w:t>分；未提供新梯安装施工方案或</w:t>
            </w:r>
            <w:r>
              <w:rPr>
                <w:rFonts w:hint="eastAsia" w:ascii="宋体" w:hAnsi="宋体" w:eastAsia="宋体" w:cs="宋体"/>
                <w:color w:val="auto"/>
                <w:sz w:val="21"/>
                <w:szCs w:val="21"/>
                <w:highlight w:val="none"/>
                <w:lang w:val="en-US" w:eastAsia="zh-CN"/>
              </w:rPr>
              <w:t>方案</w:t>
            </w:r>
            <w:r>
              <w:rPr>
                <w:rFonts w:hint="default" w:ascii="宋体" w:hAnsi="宋体" w:eastAsia="宋体" w:cs="宋体"/>
                <w:color w:val="auto"/>
                <w:sz w:val="21"/>
                <w:szCs w:val="21"/>
                <w:highlight w:val="none"/>
              </w:rPr>
              <w:t>与本项目实际不相符的本项得0分。</w:t>
            </w:r>
          </w:p>
        </w:tc>
        <w:tc>
          <w:tcPr>
            <w:tcW w:w="1389" w:type="dxa"/>
            <w:vMerge w:val="continue"/>
            <w:vAlign w:val="center"/>
          </w:tcPr>
          <w:p w14:paraId="0F31C2FC">
            <w:pPr>
              <w:keepNext w:val="0"/>
              <w:keepLines w:val="0"/>
              <w:suppressLineNumbers w:val="0"/>
              <w:spacing w:before="0" w:beforeAutospacing="0" w:after="0" w:afterAutospacing="0" w:line="320" w:lineRule="exact"/>
              <w:ind w:left="0" w:right="0"/>
              <w:rPr>
                <w:rFonts w:hint="default" w:ascii="宋体" w:hAnsi="宋体" w:cs="宋体"/>
                <w:bCs/>
                <w:color w:val="auto"/>
                <w:sz w:val="21"/>
                <w:szCs w:val="21"/>
                <w:highlight w:val="none"/>
              </w:rPr>
            </w:pPr>
          </w:p>
        </w:tc>
      </w:tr>
      <w:tr w14:paraId="19FA0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804" w:type="dxa"/>
            <w:vMerge w:val="continue"/>
            <w:vAlign w:val="center"/>
          </w:tcPr>
          <w:p w14:paraId="13C08990">
            <w:pPr>
              <w:keepNext w:val="0"/>
              <w:keepLines w:val="0"/>
              <w:suppressLineNumbers w:val="0"/>
              <w:spacing w:before="0" w:beforeAutospacing="0" w:after="0" w:afterAutospacing="0" w:line="320" w:lineRule="exact"/>
              <w:ind w:left="0" w:right="0"/>
              <w:jc w:val="center"/>
              <w:rPr>
                <w:rFonts w:hint="default" w:ascii="宋体" w:hAnsi="宋体" w:cs="宋体"/>
                <w:color w:val="auto"/>
                <w:sz w:val="21"/>
                <w:szCs w:val="21"/>
                <w:highlight w:val="none"/>
              </w:rPr>
            </w:pPr>
          </w:p>
        </w:tc>
        <w:tc>
          <w:tcPr>
            <w:tcW w:w="1153" w:type="dxa"/>
            <w:vMerge w:val="continue"/>
            <w:vAlign w:val="center"/>
          </w:tcPr>
          <w:p w14:paraId="2F3DC501">
            <w:pPr>
              <w:keepNext w:val="0"/>
              <w:keepLines w:val="0"/>
              <w:suppressLineNumbers w:val="0"/>
              <w:spacing w:before="0" w:beforeAutospacing="0" w:after="0" w:afterAutospacing="0" w:line="320" w:lineRule="exact"/>
              <w:ind w:left="0" w:right="0"/>
              <w:jc w:val="center"/>
              <w:rPr>
                <w:rFonts w:hint="default" w:ascii="宋体" w:hAnsi="宋体" w:cs="宋体"/>
                <w:bCs/>
                <w:color w:val="auto"/>
                <w:sz w:val="21"/>
                <w:szCs w:val="21"/>
                <w:highlight w:val="none"/>
              </w:rPr>
            </w:pPr>
          </w:p>
        </w:tc>
        <w:tc>
          <w:tcPr>
            <w:tcW w:w="1000" w:type="dxa"/>
            <w:vAlign w:val="center"/>
          </w:tcPr>
          <w:p w14:paraId="0FE8D950">
            <w:pPr>
              <w:keepNext w:val="0"/>
              <w:keepLines w:val="0"/>
              <w:suppressLineNumbers w:val="0"/>
              <w:spacing w:before="0" w:beforeAutospacing="0" w:after="0" w:afterAutospacing="0" w:line="320" w:lineRule="exact"/>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售后服务方案</w:t>
            </w:r>
          </w:p>
          <w:p w14:paraId="2BCDFD29">
            <w:pPr>
              <w:keepNext w:val="0"/>
              <w:keepLines w:val="0"/>
              <w:suppressLineNumbers w:val="0"/>
              <w:spacing w:before="0" w:beforeAutospacing="0" w:after="0" w:afterAutospacing="0" w:line="320" w:lineRule="exact"/>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w:t>
            </w:r>
            <w:r>
              <w:rPr>
                <w:rFonts w:hint="eastAsia" w:ascii="宋体" w:hAnsi="宋体" w:eastAsia="宋体" w:cs="宋体"/>
                <w:color w:val="auto"/>
                <w:sz w:val="21"/>
                <w:szCs w:val="21"/>
                <w:highlight w:val="none"/>
              </w:rPr>
              <w:t>0</w:t>
            </w:r>
            <w:r>
              <w:rPr>
                <w:rFonts w:hint="default" w:ascii="宋体" w:hAnsi="宋体" w:eastAsia="宋体" w:cs="宋体"/>
                <w:color w:val="auto"/>
                <w:sz w:val="21"/>
                <w:szCs w:val="21"/>
                <w:highlight w:val="none"/>
              </w:rPr>
              <w:t>分）</w:t>
            </w:r>
          </w:p>
        </w:tc>
        <w:tc>
          <w:tcPr>
            <w:tcW w:w="5802" w:type="dxa"/>
            <w:vAlign w:val="center"/>
          </w:tcPr>
          <w:p w14:paraId="6CBCC962">
            <w:pPr>
              <w:keepNext w:val="0"/>
              <w:keepLines w:val="0"/>
              <w:suppressLineNumbers w:val="0"/>
              <w:spacing w:before="0" w:beforeAutospacing="0" w:after="0" w:afterAutospacing="0" w:line="320" w:lineRule="exact"/>
              <w:ind w:left="0" w:right="0"/>
              <w:jc w:val="left"/>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供应商提供电梯售后服务方案，方案包含维护保养措施和故障处置措施两个方面：</w:t>
            </w:r>
          </w:p>
          <w:p w14:paraId="0BD2046F">
            <w:pPr>
              <w:keepNext w:val="0"/>
              <w:keepLines w:val="0"/>
              <w:suppressLineNumbers w:val="0"/>
              <w:spacing w:before="0" w:beforeAutospacing="0" w:after="0" w:afterAutospacing="0" w:line="320" w:lineRule="exact"/>
              <w:ind w:left="0" w:right="0" w:firstLine="210" w:firstLineChars="10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default" w:ascii="宋体" w:hAnsi="宋体" w:eastAsia="宋体" w:cs="宋体"/>
                <w:color w:val="auto"/>
                <w:sz w:val="21"/>
                <w:szCs w:val="21"/>
                <w:highlight w:val="none"/>
              </w:rPr>
              <w:t>、维护保养措施</w:t>
            </w:r>
            <w:r>
              <w:rPr>
                <w:rFonts w:hint="eastAsia" w:ascii="宋体" w:hAnsi="宋体" w:eastAsia="宋体" w:cs="宋体"/>
                <w:color w:val="auto"/>
                <w:sz w:val="21"/>
                <w:szCs w:val="21"/>
                <w:highlight w:val="none"/>
                <w:lang w:val="en-US" w:eastAsia="zh-CN"/>
              </w:rPr>
              <w:t>包含不限于</w:t>
            </w:r>
            <w:r>
              <w:rPr>
                <w:rFonts w:hint="default" w:ascii="宋体" w:hAnsi="宋体" w:eastAsia="宋体" w:cs="宋体"/>
                <w:color w:val="auto"/>
                <w:sz w:val="21"/>
                <w:szCs w:val="21"/>
                <w:highlight w:val="none"/>
              </w:rPr>
              <w:t>售后人员安排</w:t>
            </w:r>
            <w:r>
              <w:rPr>
                <w:rFonts w:hint="eastAsia" w:ascii="宋体" w:hAnsi="宋体" w:eastAsia="宋体" w:cs="宋体"/>
                <w:color w:val="auto"/>
                <w:sz w:val="21"/>
                <w:szCs w:val="21"/>
                <w:highlight w:val="none"/>
                <w:lang w:eastAsia="zh-CN"/>
              </w:rPr>
              <w:t>、</w:t>
            </w:r>
            <w:r>
              <w:rPr>
                <w:rFonts w:hint="default" w:ascii="宋体" w:hAnsi="宋体" w:eastAsia="宋体" w:cs="宋体"/>
                <w:color w:val="auto"/>
                <w:sz w:val="21"/>
                <w:szCs w:val="21"/>
                <w:highlight w:val="none"/>
              </w:rPr>
              <w:t>维保设施设备情况</w:t>
            </w:r>
            <w:r>
              <w:rPr>
                <w:rFonts w:hint="eastAsia" w:ascii="宋体" w:hAnsi="宋体" w:eastAsia="宋体" w:cs="宋体"/>
                <w:color w:val="auto"/>
                <w:sz w:val="21"/>
                <w:szCs w:val="21"/>
                <w:highlight w:val="none"/>
                <w:lang w:eastAsia="zh-CN"/>
              </w:rPr>
              <w:t>、</w:t>
            </w:r>
            <w:r>
              <w:rPr>
                <w:rFonts w:hint="default" w:ascii="宋体" w:hAnsi="宋体" w:eastAsia="宋体" w:cs="宋体"/>
                <w:color w:val="auto"/>
                <w:sz w:val="21"/>
                <w:szCs w:val="21"/>
                <w:highlight w:val="none"/>
              </w:rPr>
              <w:t>备品备件保障</w:t>
            </w:r>
            <w:r>
              <w:rPr>
                <w:rFonts w:hint="eastAsia" w:ascii="宋体" w:hAnsi="宋体" w:eastAsia="宋体" w:cs="宋体"/>
                <w:color w:val="auto"/>
                <w:sz w:val="21"/>
                <w:szCs w:val="21"/>
                <w:highlight w:val="none"/>
                <w:lang w:eastAsia="zh-CN"/>
              </w:rPr>
              <w:t>、</w:t>
            </w:r>
            <w:r>
              <w:rPr>
                <w:rFonts w:hint="default" w:ascii="宋体" w:hAnsi="宋体" w:eastAsia="宋体" w:cs="宋体"/>
                <w:color w:val="auto"/>
                <w:sz w:val="21"/>
                <w:szCs w:val="21"/>
                <w:highlight w:val="none"/>
              </w:rPr>
              <w:t>维护保养方法</w:t>
            </w:r>
            <w:r>
              <w:rPr>
                <w:rFonts w:hint="eastAsia" w:ascii="宋体" w:hAnsi="宋体" w:eastAsia="宋体" w:cs="宋体"/>
                <w:color w:val="auto"/>
                <w:sz w:val="21"/>
                <w:szCs w:val="21"/>
                <w:highlight w:val="none"/>
                <w:lang w:eastAsia="zh-CN"/>
              </w:rPr>
              <w:t>、</w:t>
            </w:r>
            <w:r>
              <w:rPr>
                <w:rFonts w:hint="default" w:ascii="宋体" w:hAnsi="宋体" w:eastAsia="宋体" w:cs="宋体"/>
                <w:color w:val="auto"/>
                <w:sz w:val="21"/>
                <w:szCs w:val="21"/>
                <w:highlight w:val="none"/>
              </w:rPr>
              <w:t>维护保养的质量管理</w:t>
            </w:r>
            <w:r>
              <w:rPr>
                <w:rFonts w:hint="eastAsia" w:ascii="宋体" w:hAnsi="宋体" w:eastAsia="宋体" w:cs="宋体"/>
                <w:color w:val="auto"/>
                <w:sz w:val="21"/>
                <w:szCs w:val="21"/>
                <w:highlight w:val="none"/>
                <w:lang w:eastAsia="zh-CN"/>
              </w:rPr>
              <w:t>、</w:t>
            </w:r>
            <w:r>
              <w:rPr>
                <w:rFonts w:hint="default" w:ascii="宋体" w:hAnsi="宋体" w:eastAsia="宋体" w:cs="宋体"/>
                <w:color w:val="auto"/>
                <w:sz w:val="21"/>
                <w:szCs w:val="21"/>
                <w:highlight w:val="none"/>
              </w:rPr>
              <w:t>维护保养的安全措施</w:t>
            </w:r>
            <w:r>
              <w:rPr>
                <w:rFonts w:hint="eastAsia" w:ascii="宋体" w:hAnsi="宋体" w:eastAsia="宋体" w:cs="宋体"/>
                <w:color w:val="auto"/>
                <w:sz w:val="21"/>
                <w:szCs w:val="21"/>
                <w:highlight w:val="none"/>
                <w:lang w:val="en-US" w:eastAsia="zh-CN"/>
              </w:rPr>
              <w:t>等内容。</w:t>
            </w:r>
          </w:p>
          <w:p w14:paraId="14264EC7">
            <w:pPr>
              <w:keepNext w:val="0"/>
              <w:keepLines w:val="0"/>
              <w:suppressLineNumbers w:val="0"/>
              <w:spacing w:before="0" w:beforeAutospacing="0" w:after="0" w:afterAutospacing="0" w:line="320" w:lineRule="exact"/>
              <w:ind w:left="0" w:right="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default" w:ascii="宋体" w:hAnsi="宋体" w:eastAsia="宋体" w:cs="宋体"/>
                <w:color w:val="auto"/>
                <w:sz w:val="21"/>
                <w:szCs w:val="21"/>
                <w:highlight w:val="none"/>
              </w:rPr>
              <w:t>故障处置措施</w:t>
            </w:r>
            <w:r>
              <w:rPr>
                <w:rFonts w:hint="default" w:ascii="宋体" w:hAnsi="宋体" w:eastAsia="宋体" w:cs="宋体"/>
                <w:color w:val="auto"/>
                <w:sz w:val="21"/>
                <w:szCs w:val="21"/>
                <w:highlight w:val="none"/>
                <w:lang w:val="en-US" w:eastAsia="zh-CN"/>
              </w:rPr>
              <w:t>包含不限于</w:t>
            </w:r>
            <w:r>
              <w:rPr>
                <w:rFonts w:hint="default" w:ascii="宋体" w:hAnsi="宋体" w:eastAsia="宋体" w:cs="宋体"/>
                <w:color w:val="auto"/>
                <w:sz w:val="21"/>
                <w:szCs w:val="21"/>
                <w:highlight w:val="none"/>
              </w:rPr>
              <w:t>电梯使用中常见故障介绍</w:t>
            </w:r>
            <w:r>
              <w:rPr>
                <w:rFonts w:hint="eastAsia" w:ascii="宋体" w:hAnsi="宋体" w:eastAsia="宋体" w:cs="宋体"/>
                <w:color w:val="auto"/>
                <w:sz w:val="21"/>
                <w:szCs w:val="21"/>
                <w:highlight w:val="none"/>
                <w:lang w:eastAsia="zh-CN"/>
              </w:rPr>
              <w:t>、</w:t>
            </w:r>
            <w:r>
              <w:rPr>
                <w:rFonts w:hint="default" w:ascii="宋体" w:hAnsi="宋体" w:eastAsia="宋体" w:cs="宋体"/>
                <w:color w:val="auto"/>
                <w:sz w:val="21"/>
                <w:szCs w:val="21"/>
                <w:highlight w:val="none"/>
              </w:rPr>
              <w:t>排除故障处理时间</w:t>
            </w:r>
            <w:r>
              <w:rPr>
                <w:rFonts w:hint="eastAsia" w:ascii="宋体" w:hAnsi="宋体" w:eastAsia="宋体" w:cs="宋体"/>
                <w:color w:val="auto"/>
                <w:sz w:val="21"/>
                <w:szCs w:val="21"/>
                <w:highlight w:val="none"/>
                <w:lang w:eastAsia="zh-CN"/>
              </w:rPr>
              <w:t>、</w:t>
            </w:r>
            <w:r>
              <w:rPr>
                <w:rFonts w:hint="default" w:ascii="宋体" w:hAnsi="宋体" w:eastAsia="宋体" w:cs="宋体"/>
                <w:color w:val="auto"/>
                <w:sz w:val="21"/>
                <w:szCs w:val="21"/>
                <w:highlight w:val="none"/>
              </w:rPr>
              <w:t>故障处置方法介绍</w:t>
            </w:r>
            <w:r>
              <w:rPr>
                <w:rFonts w:hint="eastAsia" w:ascii="宋体" w:hAnsi="宋体" w:eastAsia="宋体" w:cs="宋体"/>
                <w:color w:val="auto"/>
                <w:sz w:val="21"/>
                <w:szCs w:val="21"/>
                <w:highlight w:val="none"/>
                <w:lang w:eastAsia="zh-CN"/>
              </w:rPr>
              <w:t>、</w:t>
            </w:r>
            <w:r>
              <w:rPr>
                <w:rFonts w:hint="default" w:ascii="宋体" w:hAnsi="宋体" w:eastAsia="宋体" w:cs="宋体"/>
                <w:color w:val="auto"/>
                <w:sz w:val="21"/>
                <w:szCs w:val="21"/>
                <w:highlight w:val="none"/>
              </w:rPr>
              <w:t>相关故障解决技术人员情况</w:t>
            </w:r>
            <w:r>
              <w:rPr>
                <w:rFonts w:hint="eastAsia" w:ascii="宋体" w:hAnsi="宋体" w:eastAsia="宋体" w:cs="宋体"/>
                <w:color w:val="auto"/>
                <w:sz w:val="21"/>
                <w:szCs w:val="21"/>
                <w:highlight w:val="none"/>
                <w:lang w:eastAsia="zh-CN"/>
              </w:rPr>
              <w:t>、</w:t>
            </w:r>
            <w:r>
              <w:rPr>
                <w:rFonts w:hint="default" w:ascii="宋体" w:hAnsi="宋体" w:eastAsia="宋体" w:cs="宋体"/>
                <w:color w:val="auto"/>
                <w:sz w:val="21"/>
                <w:szCs w:val="21"/>
                <w:highlight w:val="none"/>
              </w:rPr>
              <w:t>处理故障过程中注意的安全措施</w:t>
            </w:r>
            <w:r>
              <w:rPr>
                <w:rFonts w:hint="eastAsia" w:ascii="宋体" w:hAnsi="宋体" w:eastAsia="宋体" w:cs="宋体"/>
                <w:color w:val="auto"/>
                <w:sz w:val="21"/>
                <w:szCs w:val="21"/>
                <w:highlight w:val="none"/>
                <w:lang w:val="en-US" w:eastAsia="zh-CN"/>
              </w:rPr>
              <w:t>等内容。</w:t>
            </w:r>
          </w:p>
          <w:p w14:paraId="25768A6F">
            <w:pPr>
              <w:keepNext w:val="0"/>
              <w:keepLines w:val="0"/>
              <w:suppressLineNumbers w:val="0"/>
              <w:spacing w:before="0" w:beforeAutospacing="0" w:after="0" w:afterAutospacing="0" w:line="320" w:lineRule="exact"/>
              <w:ind w:left="0" w:right="0" w:firstLine="210" w:firstLineChars="100"/>
              <w:jc w:val="left"/>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以上</w:t>
            </w:r>
            <w:r>
              <w:rPr>
                <w:rFonts w:hint="default" w:ascii="宋体" w:hAnsi="宋体" w:eastAsia="宋体" w:cs="宋体"/>
                <w:color w:val="auto"/>
                <w:sz w:val="21"/>
                <w:szCs w:val="21"/>
                <w:highlight w:val="none"/>
              </w:rPr>
              <w:t>方案包含上述所有内容，方案内容详实、具体、可行得</w:t>
            </w:r>
            <w:r>
              <w:rPr>
                <w:rFonts w:hint="eastAsia" w:ascii="宋体" w:hAnsi="宋体" w:eastAsia="宋体" w:cs="宋体"/>
                <w:color w:val="auto"/>
                <w:sz w:val="21"/>
                <w:szCs w:val="21"/>
                <w:highlight w:val="none"/>
              </w:rPr>
              <w:t>10</w:t>
            </w:r>
            <w:r>
              <w:rPr>
                <w:rFonts w:hint="default" w:ascii="宋体" w:hAnsi="宋体" w:eastAsia="宋体" w:cs="宋体"/>
                <w:color w:val="auto"/>
                <w:sz w:val="21"/>
                <w:szCs w:val="21"/>
                <w:highlight w:val="none"/>
              </w:rPr>
              <w:t>分；方案较详实、具体、可行得</w:t>
            </w:r>
            <w:r>
              <w:rPr>
                <w:rFonts w:hint="eastAsia" w:ascii="宋体" w:hAnsi="宋体" w:eastAsia="宋体" w:cs="宋体"/>
                <w:color w:val="auto"/>
                <w:sz w:val="21"/>
                <w:szCs w:val="21"/>
                <w:highlight w:val="none"/>
              </w:rPr>
              <w:t>6</w:t>
            </w:r>
            <w:r>
              <w:rPr>
                <w:rFonts w:hint="default" w:ascii="宋体" w:hAnsi="宋体" w:eastAsia="宋体" w:cs="宋体"/>
                <w:color w:val="auto"/>
                <w:sz w:val="21"/>
                <w:szCs w:val="21"/>
                <w:highlight w:val="none"/>
              </w:rPr>
              <w:t>分；方案不够详实、具体，但具有一定可行性得</w:t>
            </w:r>
            <w:r>
              <w:rPr>
                <w:rFonts w:hint="eastAsia" w:ascii="宋体" w:hAnsi="宋体" w:eastAsia="宋体" w:cs="宋体"/>
                <w:color w:val="auto"/>
                <w:sz w:val="21"/>
                <w:szCs w:val="21"/>
                <w:highlight w:val="none"/>
              </w:rPr>
              <w:t>2</w:t>
            </w:r>
            <w:r>
              <w:rPr>
                <w:rFonts w:hint="default" w:ascii="宋体" w:hAnsi="宋体" w:eastAsia="宋体" w:cs="宋体"/>
                <w:color w:val="auto"/>
                <w:sz w:val="21"/>
                <w:szCs w:val="21"/>
                <w:highlight w:val="none"/>
              </w:rPr>
              <w:t>分；扣完为止，未提供售后服务方案或</w:t>
            </w:r>
            <w:r>
              <w:rPr>
                <w:rFonts w:hint="default" w:ascii="宋体" w:hAnsi="宋体" w:eastAsia="宋体" w:cs="宋体"/>
                <w:color w:val="auto"/>
                <w:sz w:val="21"/>
                <w:szCs w:val="21"/>
                <w:highlight w:val="none"/>
                <w:lang w:val="en-US" w:eastAsia="zh-CN"/>
              </w:rPr>
              <w:t>方案</w:t>
            </w:r>
            <w:r>
              <w:rPr>
                <w:rFonts w:hint="default" w:ascii="宋体" w:hAnsi="宋体" w:eastAsia="宋体" w:cs="宋体"/>
                <w:color w:val="auto"/>
                <w:sz w:val="21"/>
                <w:szCs w:val="21"/>
                <w:highlight w:val="none"/>
              </w:rPr>
              <w:t>与本项目实际不相符的本项得0分。</w:t>
            </w:r>
          </w:p>
        </w:tc>
        <w:tc>
          <w:tcPr>
            <w:tcW w:w="1389" w:type="dxa"/>
            <w:vMerge w:val="continue"/>
            <w:vAlign w:val="center"/>
          </w:tcPr>
          <w:p w14:paraId="38A052CD">
            <w:pPr>
              <w:keepNext w:val="0"/>
              <w:keepLines w:val="0"/>
              <w:suppressLineNumbers w:val="0"/>
              <w:spacing w:before="0" w:beforeAutospacing="0" w:after="0" w:afterAutospacing="0" w:line="320" w:lineRule="exact"/>
              <w:ind w:left="0" w:right="0"/>
              <w:rPr>
                <w:rFonts w:hint="default" w:ascii="宋体" w:hAnsi="宋体" w:cs="宋体"/>
                <w:bCs/>
                <w:color w:val="auto"/>
                <w:sz w:val="21"/>
                <w:szCs w:val="21"/>
                <w:highlight w:val="none"/>
              </w:rPr>
            </w:pPr>
          </w:p>
        </w:tc>
      </w:tr>
      <w:tr w14:paraId="5E1BE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804" w:type="dxa"/>
            <w:vMerge w:val="restart"/>
            <w:vAlign w:val="center"/>
          </w:tcPr>
          <w:p w14:paraId="36A9B4C0">
            <w:pPr>
              <w:keepNext w:val="0"/>
              <w:keepLines w:val="0"/>
              <w:suppressLineNumbers w:val="0"/>
              <w:spacing w:before="0" w:beforeAutospacing="0" w:after="0" w:afterAutospacing="0" w:line="320" w:lineRule="exac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3</w:t>
            </w:r>
          </w:p>
        </w:tc>
        <w:tc>
          <w:tcPr>
            <w:tcW w:w="1153" w:type="dxa"/>
            <w:vMerge w:val="restart"/>
            <w:vAlign w:val="center"/>
          </w:tcPr>
          <w:p w14:paraId="0186725E">
            <w:pPr>
              <w:keepNext w:val="0"/>
              <w:keepLines w:val="0"/>
              <w:suppressLineNumbers w:val="0"/>
              <w:spacing w:before="0" w:beforeAutospacing="0" w:after="0" w:afterAutospacing="0" w:line="320" w:lineRule="exact"/>
              <w:ind w:left="0" w:right="0"/>
              <w:jc w:val="center"/>
              <w:rPr>
                <w:rFonts w:hint="default" w:ascii="宋体" w:hAnsi="宋体" w:cs="宋体"/>
                <w:bCs/>
                <w:color w:val="auto"/>
                <w:sz w:val="21"/>
                <w:szCs w:val="21"/>
                <w:highlight w:val="none"/>
              </w:rPr>
            </w:pPr>
            <w:r>
              <w:rPr>
                <w:rFonts w:hint="eastAsia" w:ascii="宋体" w:hAnsi="宋体" w:cs="宋体"/>
                <w:bCs/>
                <w:color w:val="auto"/>
                <w:sz w:val="21"/>
                <w:szCs w:val="21"/>
                <w:highlight w:val="none"/>
              </w:rPr>
              <w:t>商务部分（10%）</w:t>
            </w:r>
          </w:p>
        </w:tc>
        <w:tc>
          <w:tcPr>
            <w:tcW w:w="1000" w:type="dxa"/>
            <w:vAlign w:val="center"/>
          </w:tcPr>
          <w:p w14:paraId="59F6912D">
            <w:pPr>
              <w:keepNext w:val="0"/>
              <w:keepLines w:val="0"/>
              <w:suppressLineNumbers w:val="0"/>
              <w:spacing w:before="0" w:beforeAutospacing="0" w:after="0" w:afterAutospacing="0" w:line="320" w:lineRule="exact"/>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体系认证</w:t>
            </w:r>
          </w:p>
          <w:p w14:paraId="0FBBE0ED">
            <w:pPr>
              <w:keepNext w:val="0"/>
              <w:keepLines w:val="0"/>
              <w:suppressLineNumbers w:val="0"/>
              <w:spacing w:before="0" w:beforeAutospacing="0" w:after="0" w:afterAutospacing="0" w:line="320" w:lineRule="exact"/>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default" w:ascii="宋体" w:hAnsi="宋体" w:eastAsia="宋体" w:cs="宋体"/>
                <w:color w:val="auto"/>
                <w:sz w:val="21"/>
                <w:szCs w:val="21"/>
                <w:highlight w:val="none"/>
              </w:rPr>
              <w:t>分）</w:t>
            </w:r>
          </w:p>
        </w:tc>
        <w:tc>
          <w:tcPr>
            <w:tcW w:w="5802" w:type="dxa"/>
            <w:vAlign w:val="center"/>
          </w:tcPr>
          <w:p w14:paraId="00AD1438">
            <w:pPr>
              <w:keepNext w:val="0"/>
              <w:keepLines w:val="0"/>
              <w:suppressLineNumbers w:val="0"/>
              <w:spacing w:before="0" w:beforeAutospacing="0" w:after="0" w:afterAutospacing="0" w:line="320" w:lineRule="exact"/>
              <w:ind w:left="0" w:right="0"/>
              <w:jc w:val="left"/>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所投乘客电梯制造商同时具有ISO9001质量管理体系认证证书、ISO14001环境管理体系认证证书以及ISO45001职业健康安全管理体系认证证书的得3分，否则不得分。</w:t>
            </w:r>
          </w:p>
          <w:p w14:paraId="2E24E77F">
            <w:pPr>
              <w:keepNext w:val="0"/>
              <w:keepLines w:val="0"/>
              <w:suppressLineNumbers w:val="0"/>
              <w:spacing w:before="0" w:beforeAutospacing="0" w:after="0" w:afterAutospacing="0" w:line="320" w:lineRule="exact"/>
              <w:ind w:left="0" w:right="0"/>
              <w:jc w:val="left"/>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【注：提供有效期内的证书复印件并加盖供应商公章，不提供不得分。】</w:t>
            </w:r>
          </w:p>
        </w:tc>
        <w:tc>
          <w:tcPr>
            <w:tcW w:w="1389" w:type="dxa"/>
            <w:vAlign w:val="center"/>
          </w:tcPr>
          <w:p w14:paraId="7FD63D5C">
            <w:pPr>
              <w:keepNext w:val="0"/>
              <w:keepLines w:val="0"/>
              <w:suppressLineNumbers w:val="0"/>
              <w:spacing w:before="0" w:beforeAutospacing="0" w:after="0" w:afterAutospacing="0" w:line="320" w:lineRule="exact"/>
              <w:ind w:left="0" w:right="0"/>
              <w:rPr>
                <w:rFonts w:hint="default" w:ascii="宋体" w:hAnsi="宋体" w:cs="宋体"/>
                <w:bCs/>
                <w:color w:val="auto"/>
                <w:sz w:val="21"/>
                <w:szCs w:val="21"/>
                <w:highlight w:val="none"/>
              </w:rPr>
            </w:pPr>
          </w:p>
        </w:tc>
      </w:tr>
      <w:tr w14:paraId="670B2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804" w:type="dxa"/>
            <w:vMerge w:val="continue"/>
            <w:vAlign w:val="center"/>
          </w:tcPr>
          <w:p w14:paraId="6A9CEF2B">
            <w:pPr>
              <w:keepNext w:val="0"/>
              <w:keepLines w:val="0"/>
              <w:suppressLineNumbers w:val="0"/>
              <w:spacing w:before="0" w:beforeAutospacing="0" w:after="0" w:afterAutospacing="0" w:line="320" w:lineRule="exact"/>
              <w:ind w:left="0" w:right="0"/>
              <w:jc w:val="center"/>
              <w:rPr>
                <w:rFonts w:hint="default" w:ascii="宋体" w:hAnsi="宋体" w:cs="宋体"/>
                <w:color w:val="auto"/>
                <w:sz w:val="21"/>
                <w:szCs w:val="21"/>
                <w:highlight w:val="none"/>
              </w:rPr>
            </w:pPr>
          </w:p>
        </w:tc>
        <w:tc>
          <w:tcPr>
            <w:tcW w:w="1153" w:type="dxa"/>
            <w:vMerge w:val="continue"/>
            <w:vAlign w:val="center"/>
          </w:tcPr>
          <w:p w14:paraId="48C66E12">
            <w:pPr>
              <w:keepNext w:val="0"/>
              <w:keepLines w:val="0"/>
              <w:suppressLineNumbers w:val="0"/>
              <w:spacing w:before="0" w:beforeAutospacing="0" w:after="0" w:afterAutospacing="0" w:line="320" w:lineRule="exact"/>
              <w:ind w:left="0" w:right="0"/>
              <w:jc w:val="center"/>
              <w:rPr>
                <w:rFonts w:hint="default" w:ascii="宋体" w:hAnsi="宋体" w:cs="宋体"/>
                <w:bCs/>
                <w:color w:val="auto"/>
                <w:sz w:val="21"/>
                <w:szCs w:val="21"/>
                <w:highlight w:val="none"/>
              </w:rPr>
            </w:pPr>
          </w:p>
        </w:tc>
        <w:tc>
          <w:tcPr>
            <w:tcW w:w="1000" w:type="dxa"/>
            <w:vAlign w:val="center"/>
          </w:tcPr>
          <w:p w14:paraId="04C4BE68">
            <w:pPr>
              <w:keepNext w:val="0"/>
              <w:keepLines w:val="0"/>
              <w:suppressLineNumbers w:val="0"/>
              <w:spacing w:before="0" w:beforeAutospacing="0" w:after="0" w:afterAutospacing="0" w:line="320" w:lineRule="exact"/>
              <w:ind w:left="0" w:right="0"/>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售后网点（</w:t>
            </w:r>
            <w:r>
              <w:rPr>
                <w:rFonts w:hint="eastAsia" w:ascii="宋体" w:hAnsi="宋体" w:eastAsia="宋体" w:cs="宋体"/>
                <w:color w:val="auto"/>
                <w:sz w:val="21"/>
                <w:szCs w:val="21"/>
                <w:highlight w:val="none"/>
              </w:rPr>
              <w:t>4</w:t>
            </w:r>
            <w:r>
              <w:rPr>
                <w:rFonts w:hint="default" w:ascii="宋体" w:hAnsi="宋体" w:eastAsia="宋体" w:cs="宋体"/>
                <w:color w:val="auto"/>
                <w:sz w:val="21"/>
                <w:szCs w:val="21"/>
                <w:highlight w:val="none"/>
              </w:rPr>
              <w:t>分）</w:t>
            </w:r>
          </w:p>
        </w:tc>
        <w:tc>
          <w:tcPr>
            <w:tcW w:w="5802" w:type="dxa"/>
            <w:vAlign w:val="center"/>
          </w:tcPr>
          <w:p w14:paraId="75904E95">
            <w:pPr>
              <w:keepNext w:val="0"/>
              <w:keepLines w:val="0"/>
              <w:suppressLineNumbers w:val="0"/>
              <w:spacing w:before="0" w:beforeAutospacing="0" w:after="0" w:afterAutospacing="0" w:line="320" w:lineRule="exact"/>
              <w:ind w:left="0" w:right="0"/>
              <w:jc w:val="left"/>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该项未提供0分，满足全分。</w:t>
            </w:r>
          </w:p>
          <w:p w14:paraId="526D9EC8">
            <w:pPr>
              <w:keepNext w:val="0"/>
              <w:keepLines w:val="0"/>
              <w:suppressLineNumbers w:val="0"/>
              <w:spacing w:before="0" w:beforeAutospacing="0" w:after="0" w:afterAutospacing="0" w:line="320" w:lineRule="exact"/>
              <w:ind w:left="0" w:right="0"/>
              <w:jc w:val="left"/>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供应商（制造商或代理商）的售后机构服务网点距离服务地点距离，15分钟以内得4分，20钟以内得2分，30分钟以内得1分，超过30分钟不得分。时速按30公里/小时计算。</w:t>
            </w:r>
          </w:p>
          <w:p w14:paraId="42469432">
            <w:pPr>
              <w:keepNext w:val="0"/>
              <w:keepLines w:val="0"/>
              <w:suppressLineNumbers w:val="0"/>
              <w:spacing w:before="0" w:beforeAutospacing="0" w:after="0" w:afterAutospacing="0" w:line="320" w:lineRule="exact"/>
              <w:ind w:left="0" w:right="0"/>
              <w:jc w:val="left"/>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（提供售后机构服务网点到小区地图距离截图，以及售后机构服务网点照片2张并加盖供应商公章。）</w:t>
            </w:r>
          </w:p>
          <w:p w14:paraId="7764B611">
            <w:pPr>
              <w:keepNext w:val="0"/>
              <w:keepLines w:val="0"/>
              <w:suppressLineNumbers w:val="0"/>
              <w:spacing w:before="0" w:beforeAutospacing="0" w:after="0" w:afterAutospacing="0" w:line="320" w:lineRule="exact"/>
              <w:ind w:left="0" w:right="0" w:firstLine="210" w:firstLineChars="100"/>
              <w:jc w:val="left"/>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注：成交供应商中标后，签订合同前采购人可现场考察售后机构，如有虚假应标，可取消其中标资格，</w:t>
            </w:r>
            <w:r>
              <w:rPr>
                <w:rFonts w:hint="eastAsia" w:ascii="宋体" w:hAnsi="宋体" w:eastAsia="宋体" w:cs="宋体"/>
                <w:color w:val="auto"/>
                <w:sz w:val="21"/>
                <w:szCs w:val="21"/>
                <w:highlight w:val="none"/>
                <w:lang w:val="en-US" w:eastAsia="zh-CN"/>
              </w:rPr>
              <w:t>其</w:t>
            </w:r>
            <w:r>
              <w:rPr>
                <w:rFonts w:hint="eastAsia" w:ascii="宋体" w:hAnsi="宋体" w:eastAsia="宋体" w:cs="宋体"/>
                <w:color w:val="auto"/>
                <w:sz w:val="21"/>
                <w:szCs w:val="21"/>
                <w:highlight w:val="none"/>
              </w:rPr>
              <w:t>投标保证金不予退还，由第二中标候选人中标，以此类推。</w:t>
            </w:r>
          </w:p>
        </w:tc>
        <w:tc>
          <w:tcPr>
            <w:tcW w:w="1389" w:type="dxa"/>
            <w:vAlign w:val="center"/>
          </w:tcPr>
          <w:p w14:paraId="4C36AE95">
            <w:pPr>
              <w:keepNext w:val="0"/>
              <w:keepLines w:val="0"/>
              <w:suppressLineNumbers w:val="0"/>
              <w:spacing w:before="0" w:beforeAutospacing="0" w:after="0" w:afterAutospacing="0" w:line="320" w:lineRule="exact"/>
              <w:ind w:left="0" w:right="0"/>
              <w:rPr>
                <w:rFonts w:hint="default" w:ascii="宋体" w:hAnsi="宋体" w:cs="宋体"/>
                <w:bCs/>
                <w:color w:val="auto"/>
                <w:sz w:val="21"/>
                <w:szCs w:val="21"/>
                <w:highlight w:val="none"/>
              </w:rPr>
            </w:pPr>
          </w:p>
        </w:tc>
      </w:tr>
      <w:tr w14:paraId="5F1E6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804" w:type="dxa"/>
            <w:vMerge w:val="continue"/>
            <w:vAlign w:val="center"/>
          </w:tcPr>
          <w:p w14:paraId="1BCD6A30">
            <w:pPr>
              <w:keepNext w:val="0"/>
              <w:keepLines w:val="0"/>
              <w:suppressLineNumbers w:val="0"/>
              <w:spacing w:before="0" w:beforeAutospacing="0" w:after="0" w:afterAutospacing="0" w:line="320" w:lineRule="exact"/>
              <w:ind w:left="0" w:right="0"/>
              <w:jc w:val="center"/>
              <w:rPr>
                <w:rFonts w:hint="default" w:ascii="宋体" w:hAnsi="宋体" w:cs="宋体"/>
                <w:color w:val="auto"/>
                <w:sz w:val="21"/>
                <w:szCs w:val="21"/>
                <w:highlight w:val="none"/>
              </w:rPr>
            </w:pPr>
          </w:p>
        </w:tc>
        <w:tc>
          <w:tcPr>
            <w:tcW w:w="1153" w:type="dxa"/>
            <w:vMerge w:val="continue"/>
            <w:vAlign w:val="center"/>
          </w:tcPr>
          <w:p w14:paraId="139B70C3">
            <w:pPr>
              <w:keepNext w:val="0"/>
              <w:keepLines w:val="0"/>
              <w:suppressLineNumbers w:val="0"/>
              <w:spacing w:before="0" w:beforeAutospacing="0" w:after="0" w:afterAutospacing="0" w:line="320" w:lineRule="exact"/>
              <w:ind w:left="0" w:right="0"/>
              <w:jc w:val="center"/>
              <w:rPr>
                <w:rFonts w:hint="default" w:ascii="宋体" w:hAnsi="宋体" w:cs="宋体"/>
                <w:bCs/>
                <w:color w:val="auto"/>
                <w:sz w:val="21"/>
                <w:szCs w:val="21"/>
                <w:highlight w:val="none"/>
              </w:rPr>
            </w:pPr>
          </w:p>
        </w:tc>
        <w:tc>
          <w:tcPr>
            <w:tcW w:w="1000" w:type="dxa"/>
            <w:vAlign w:val="center"/>
          </w:tcPr>
          <w:p w14:paraId="07878D96">
            <w:pPr>
              <w:keepNext w:val="0"/>
              <w:keepLines w:val="0"/>
              <w:suppressLineNumbers w:val="0"/>
              <w:spacing w:before="0" w:beforeAutospacing="0" w:after="0" w:afterAutospacing="0" w:line="320" w:lineRule="exact"/>
              <w:ind w:left="0" w:right="0"/>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维保期年限</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（3分）</w:t>
            </w:r>
          </w:p>
        </w:tc>
        <w:tc>
          <w:tcPr>
            <w:tcW w:w="5802" w:type="dxa"/>
            <w:vAlign w:val="center"/>
          </w:tcPr>
          <w:p w14:paraId="683D636C">
            <w:pPr>
              <w:keepNext w:val="0"/>
              <w:keepLines w:val="0"/>
              <w:suppressLineNumbers w:val="0"/>
              <w:spacing w:before="0" w:beforeAutospacing="0" w:after="0" w:afterAutospacing="0" w:line="320" w:lineRule="exact"/>
              <w:ind w:left="0" w:right="0" w:firstLine="210" w:firstLineChars="100"/>
              <w:jc w:val="left"/>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免费维保在原要求</w:t>
            </w:r>
            <w:r>
              <w:rPr>
                <w:rFonts w:hint="eastAsia" w:ascii="宋体" w:hAnsi="宋体" w:cs="宋体"/>
                <w:color w:val="auto"/>
                <w:sz w:val="21"/>
                <w:szCs w:val="21"/>
                <w:highlight w:val="none"/>
                <w:lang w:val="en-US" w:eastAsia="zh-CN"/>
              </w:rPr>
              <w:t>2年的基础上</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每增加1 年，加1分，此项最多加3分。</w:t>
            </w:r>
          </w:p>
          <w:p w14:paraId="3719E475">
            <w:pPr>
              <w:keepNext w:val="0"/>
              <w:keepLines w:val="0"/>
              <w:suppressLineNumbers w:val="0"/>
              <w:spacing w:before="0" w:beforeAutospacing="0" w:after="0" w:afterAutospacing="0" w:line="320" w:lineRule="exact"/>
              <w:ind w:left="0" w:right="0" w:firstLine="210" w:firstLineChars="100"/>
              <w:jc w:val="left"/>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（提供供应商承诺函并加盖供应商公章）</w:t>
            </w:r>
          </w:p>
        </w:tc>
        <w:tc>
          <w:tcPr>
            <w:tcW w:w="1389" w:type="dxa"/>
            <w:vAlign w:val="center"/>
          </w:tcPr>
          <w:p w14:paraId="420FB026">
            <w:pPr>
              <w:keepNext w:val="0"/>
              <w:keepLines w:val="0"/>
              <w:suppressLineNumbers w:val="0"/>
              <w:spacing w:before="0" w:beforeAutospacing="0" w:after="0" w:afterAutospacing="0" w:line="320" w:lineRule="exact"/>
              <w:ind w:left="0" w:right="0"/>
              <w:rPr>
                <w:rFonts w:hint="default" w:ascii="宋体" w:hAnsi="宋体" w:cs="宋体"/>
                <w:bCs/>
                <w:color w:val="auto"/>
                <w:sz w:val="21"/>
                <w:szCs w:val="21"/>
                <w:highlight w:val="none"/>
              </w:rPr>
            </w:pPr>
          </w:p>
        </w:tc>
      </w:tr>
    </w:tbl>
    <w:p w14:paraId="251C76A8">
      <w:pPr>
        <w:pageBreakBefore w:val="0"/>
        <w:widowControl w:val="0"/>
        <w:kinsoku/>
        <w:wordWrap/>
        <w:overflowPunct/>
        <w:topLinePunct w:val="0"/>
        <w:autoSpaceDE/>
        <w:autoSpaceDN/>
        <w:bidi w:val="0"/>
        <w:snapToGrid w:val="0"/>
        <w:spacing w:line="380" w:lineRule="exact"/>
        <w:ind w:firstLine="465"/>
        <w:textAlignment w:val="auto"/>
        <w:rPr>
          <w:rFonts w:ascii="宋体" w:hAnsi="宋体" w:cs="宋体"/>
          <w:color w:val="auto"/>
          <w:sz w:val="24"/>
          <w:szCs w:val="24"/>
          <w:highlight w:val="none"/>
        </w:rPr>
      </w:pPr>
      <w:r>
        <w:rPr>
          <w:rFonts w:hint="eastAsia" w:ascii="宋体" w:hAnsi="宋体" w:cs="宋体"/>
          <w:color w:val="auto"/>
          <w:sz w:val="24"/>
          <w:szCs w:val="24"/>
          <w:highlight w:val="none"/>
        </w:rPr>
        <w:t>说明：</w:t>
      </w:r>
    </w:p>
    <w:p w14:paraId="070C8255">
      <w:pPr>
        <w:keepNext/>
        <w:keepLines/>
        <w:pageBreakBefore w:val="0"/>
        <w:widowControl w:val="0"/>
        <w:numPr>
          <w:ilvl w:val="0"/>
          <w:numId w:val="14"/>
        </w:numPr>
        <w:kinsoku/>
        <w:wordWrap/>
        <w:overflowPunct/>
        <w:topLinePunct w:val="0"/>
        <w:autoSpaceDE/>
        <w:autoSpaceDN/>
        <w:bidi w:val="0"/>
        <w:adjustRightInd w:val="0"/>
        <w:snapToGrid w:val="0"/>
        <w:spacing w:line="380" w:lineRule="exact"/>
        <w:ind w:firstLine="480" w:firstLineChars="200"/>
        <w:textAlignment w:val="auto"/>
        <w:outlineLvl w:val="1"/>
        <w:rPr>
          <w:rFonts w:hint="eastAsia" w:ascii="宋体" w:hAnsi="宋体" w:cs="宋体"/>
          <w:color w:val="auto"/>
          <w:sz w:val="24"/>
          <w:szCs w:val="24"/>
          <w:highlight w:val="none"/>
        </w:rPr>
      </w:pPr>
      <w:bookmarkStart w:id="118" w:name="_Toc21473"/>
      <w:bookmarkStart w:id="119" w:name="_Toc31747"/>
      <w:r>
        <w:rPr>
          <w:rFonts w:hint="eastAsia" w:ascii="宋体" w:hAnsi="宋体" w:cs="宋体"/>
          <w:color w:val="auto"/>
          <w:sz w:val="24"/>
          <w:szCs w:val="24"/>
          <w:highlight w:val="none"/>
        </w:rPr>
        <w:t>评审小组认为供应商的投标报价明显低于其他通过符合性审查供应商的报价，有可能影响产品质量或者不能诚信履约的，应当要求其在评标现场合理的时间内提供书面说明，必要时提交相关证明材料；供应商不能证明其报价合理性的，评审小组应当将其作为无效响应处理。</w:t>
      </w:r>
      <w:bookmarkEnd w:id="118"/>
      <w:bookmarkEnd w:id="119"/>
    </w:p>
    <w:p w14:paraId="65EF9DF4">
      <w:pPr>
        <w:pStyle w:val="57"/>
        <w:pageBreakBefore w:val="0"/>
        <w:widowControl w:val="0"/>
        <w:numPr>
          <w:ilvl w:val="0"/>
          <w:numId w:val="14"/>
        </w:numPr>
        <w:kinsoku/>
        <w:wordWrap/>
        <w:overflowPunct/>
        <w:topLinePunct w:val="0"/>
        <w:autoSpaceDE/>
        <w:autoSpaceDN/>
        <w:bidi w:val="0"/>
        <w:spacing w:line="380" w:lineRule="exac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评审小组根据评审得分由高到低的顺序排序推荐的前三名</w:t>
      </w:r>
      <w:r>
        <w:rPr>
          <w:rFonts w:hint="default" w:ascii="宋体" w:hAnsi="宋体" w:eastAsia="宋体" w:cs="宋体"/>
          <w:b/>
          <w:bCs/>
          <w:color w:val="auto"/>
          <w:kern w:val="2"/>
          <w:sz w:val="24"/>
          <w:szCs w:val="24"/>
          <w:highlight w:val="none"/>
          <w:lang w:val="en-US" w:eastAsia="zh-CN" w:bidi="ar-SA"/>
        </w:rPr>
        <w:t>供应商对各自</w:t>
      </w:r>
      <w:r>
        <w:rPr>
          <w:rFonts w:hint="eastAsia" w:eastAsia="宋体" w:cs="宋体"/>
          <w:b/>
          <w:bCs/>
          <w:color w:val="auto"/>
          <w:kern w:val="2"/>
          <w:sz w:val="24"/>
          <w:szCs w:val="24"/>
          <w:highlight w:val="none"/>
          <w:lang w:val="en-US" w:eastAsia="zh-CN" w:bidi="ar-SA"/>
        </w:rPr>
        <w:t>产品</w:t>
      </w:r>
      <w:r>
        <w:rPr>
          <w:rFonts w:hint="default" w:ascii="宋体" w:hAnsi="宋体" w:eastAsia="宋体" w:cs="宋体"/>
          <w:b/>
          <w:bCs/>
          <w:color w:val="auto"/>
          <w:kern w:val="2"/>
          <w:sz w:val="24"/>
          <w:szCs w:val="24"/>
          <w:highlight w:val="none"/>
          <w:lang w:val="en-US" w:eastAsia="zh-CN" w:bidi="ar-SA"/>
        </w:rPr>
        <w:t>进行不超过</w:t>
      </w:r>
      <w:r>
        <w:rPr>
          <w:rFonts w:hint="eastAsia" w:eastAsia="宋体" w:cs="宋体"/>
          <w:b/>
          <w:bCs/>
          <w:color w:val="auto"/>
          <w:kern w:val="2"/>
          <w:sz w:val="24"/>
          <w:szCs w:val="24"/>
          <w:highlight w:val="none"/>
          <w:lang w:val="en-US" w:eastAsia="zh-CN" w:bidi="ar-SA"/>
        </w:rPr>
        <w:t>20</w:t>
      </w:r>
      <w:r>
        <w:rPr>
          <w:rFonts w:hint="default" w:ascii="宋体" w:hAnsi="宋体" w:eastAsia="宋体" w:cs="宋体"/>
          <w:b/>
          <w:bCs/>
          <w:color w:val="auto"/>
          <w:kern w:val="2"/>
          <w:sz w:val="24"/>
          <w:szCs w:val="24"/>
          <w:highlight w:val="none"/>
          <w:lang w:val="en-US" w:eastAsia="zh-CN" w:bidi="ar-SA"/>
        </w:rPr>
        <w:t>分钟（含</w:t>
      </w:r>
      <w:r>
        <w:rPr>
          <w:rFonts w:hint="eastAsia" w:ascii="宋体" w:hAnsi="宋体" w:eastAsia="宋体" w:cs="宋体"/>
          <w:b/>
          <w:bCs/>
          <w:color w:val="auto"/>
          <w:kern w:val="2"/>
          <w:sz w:val="24"/>
          <w:szCs w:val="24"/>
          <w:highlight w:val="none"/>
          <w:lang w:val="en-US" w:eastAsia="zh-CN" w:bidi="ar-SA"/>
        </w:rPr>
        <w:t>现场</w:t>
      </w:r>
      <w:r>
        <w:rPr>
          <w:rFonts w:hint="default" w:ascii="宋体" w:hAnsi="宋体" w:eastAsia="宋体" w:cs="宋体"/>
          <w:b/>
          <w:bCs/>
          <w:color w:val="auto"/>
          <w:kern w:val="2"/>
          <w:sz w:val="24"/>
          <w:szCs w:val="24"/>
          <w:highlight w:val="none"/>
          <w:lang w:val="en-US" w:eastAsia="zh-CN" w:bidi="ar-SA"/>
        </w:rPr>
        <w:t>业主提问时间）述标介绍。</w:t>
      </w:r>
    </w:p>
    <w:p w14:paraId="03E132A2">
      <w:pPr>
        <w:keepNext/>
        <w:keepLines/>
        <w:adjustRightInd w:val="0"/>
        <w:snapToGrid w:val="0"/>
        <w:spacing w:line="400" w:lineRule="exact"/>
        <w:ind w:firstLine="482" w:firstLineChars="200"/>
        <w:outlineLvl w:val="1"/>
        <w:rPr>
          <w:rFonts w:ascii="宋体" w:hAnsi="宋体" w:cs="宋体"/>
          <w:b/>
          <w:color w:val="auto"/>
          <w:sz w:val="24"/>
          <w:highlight w:val="none"/>
        </w:rPr>
      </w:pPr>
      <w:r>
        <w:rPr>
          <w:rFonts w:hint="eastAsia" w:ascii="宋体" w:hAnsi="宋体" w:cs="宋体"/>
          <w:b/>
          <w:color w:val="auto"/>
          <w:sz w:val="24"/>
          <w:highlight w:val="none"/>
        </w:rPr>
        <w:t>三、无效</w:t>
      </w:r>
      <w:bookmarkEnd w:id="113"/>
      <w:bookmarkEnd w:id="114"/>
      <w:bookmarkEnd w:id="115"/>
      <w:r>
        <w:rPr>
          <w:rFonts w:hint="eastAsia" w:ascii="宋体" w:hAnsi="宋体" w:cs="宋体"/>
          <w:b/>
          <w:color w:val="auto"/>
          <w:sz w:val="24"/>
          <w:highlight w:val="none"/>
        </w:rPr>
        <w:t>报价</w:t>
      </w:r>
      <w:bookmarkEnd w:id="116"/>
      <w:bookmarkEnd w:id="117"/>
    </w:p>
    <w:p w14:paraId="0AA0746A">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供应商发生以下条款情况之一者，视为无效报价：</w:t>
      </w:r>
    </w:p>
    <w:p w14:paraId="3BFEAC0A">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（一）供应商不符合规定的资格条件的；</w:t>
      </w:r>
    </w:p>
    <w:p w14:paraId="6CB2511D">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（二）供应商未通过实质性响应审查的；</w:t>
      </w:r>
    </w:p>
    <w:p w14:paraId="09F68619">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（三）供应商未在保证金到账截止时间前足额交纳所参与包保证金的；</w:t>
      </w:r>
    </w:p>
    <w:p w14:paraId="2A583C34">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（四）供应商所提交的响应文件未按“第七篇响应文件格式要求”要求签署或盖章的；</w:t>
      </w:r>
    </w:p>
    <w:p w14:paraId="63FA3EE3">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（五）供应商的报价超过采购预算或最高限价的；</w:t>
      </w:r>
    </w:p>
    <w:p w14:paraId="7E11A03B">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（六）供应商不接受评审小组修正后的价格的；</w:t>
      </w:r>
    </w:p>
    <w:p w14:paraId="308F1738">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（七）单位负责人为同一人或者存在直接控股、管理关系的不同供应商，参加同一合同项（包）报价的；</w:t>
      </w:r>
    </w:p>
    <w:p w14:paraId="0C627039">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（八）为采购项目提供整体设计、规范编制或者项目管理、监理、检测等服务的供应商再参加该采购项目的其他采购活动的；</w:t>
      </w:r>
    </w:p>
    <w:p w14:paraId="739D4FC8">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（九）同一合同项（包）下的货物，制造商参与报价，再委托代理商参与报价的；</w:t>
      </w:r>
    </w:p>
    <w:p w14:paraId="2C4F3ECD">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（十）供应商响应文件内容有与国家现行法律法规相违背的内容，或附有采购人无法接受条件的；</w:t>
      </w:r>
    </w:p>
    <w:p w14:paraId="0BB1E1CD">
      <w:pPr>
        <w:snapToGrid w:val="0"/>
        <w:spacing w:line="400" w:lineRule="exact"/>
        <w:ind w:firstLine="540"/>
        <w:rPr>
          <w:rFonts w:ascii="宋体" w:hAnsi="宋体" w:cs="宋体"/>
          <w:color w:val="auto"/>
          <w:sz w:val="24"/>
          <w:szCs w:val="24"/>
          <w:highlight w:val="none"/>
        </w:rPr>
      </w:pPr>
      <w:r>
        <w:rPr>
          <w:rFonts w:hint="eastAsia" w:ascii="宋体" w:hAnsi="宋体" w:cs="宋体"/>
          <w:color w:val="auto"/>
          <w:sz w:val="24"/>
          <w:szCs w:val="24"/>
          <w:highlight w:val="none"/>
        </w:rPr>
        <w:t>（十一）法律、法规和竞争性比选规定的其他无效情形。</w:t>
      </w:r>
    </w:p>
    <w:p w14:paraId="67D4706D">
      <w:pPr>
        <w:keepNext/>
        <w:keepLines/>
        <w:adjustRightInd w:val="0"/>
        <w:snapToGrid w:val="0"/>
        <w:spacing w:line="400" w:lineRule="exact"/>
        <w:ind w:firstLine="482" w:firstLineChars="200"/>
        <w:outlineLvl w:val="1"/>
        <w:rPr>
          <w:rFonts w:ascii="宋体" w:hAnsi="宋体" w:cs="宋体"/>
          <w:b/>
          <w:color w:val="auto"/>
          <w:sz w:val="24"/>
          <w:highlight w:val="none"/>
        </w:rPr>
      </w:pPr>
      <w:bookmarkStart w:id="120" w:name="_Toc28422"/>
      <w:bookmarkStart w:id="121" w:name="_Toc29298"/>
      <w:bookmarkStart w:id="122" w:name="_Toc65660353"/>
      <w:bookmarkStart w:id="123" w:name="_Toc22716"/>
      <w:bookmarkStart w:id="124" w:name="_Toc12152"/>
      <w:r>
        <w:rPr>
          <w:rFonts w:hint="eastAsia" w:ascii="宋体" w:hAnsi="宋体" w:cs="宋体"/>
          <w:b/>
          <w:color w:val="auto"/>
          <w:sz w:val="24"/>
          <w:highlight w:val="none"/>
        </w:rPr>
        <w:t>四、采购终止</w:t>
      </w:r>
      <w:bookmarkEnd w:id="120"/>
      <w:bookmarkEnd w:id="121"/>
      <w:bookmarkEnd w:id="122"/>
      <w:bookmarkEnd w:id="123"/>
      <w:bookmarkEnd w:id="124"/>
    </w:p>
    <w:p w14:paraId="3A131E2C">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出现下列情形之一的，采购人或者采购代理机构应当终止比选采购活动，发布项目终止公告并说明原因，重新开展采购活动：</w:t>
      </w:r>
    </w:p>
    <w:p w14:paraId="008609C8">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（一）因情况变化，不再符合规定的比选采购方式适用情形的；</w:t>
      </w:r>
    </w:p>
    <w:p w14:paraId="44AEB4BB">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（二）出现影响采购公正的违法、违规行为的；</w:t>
      </w:r>
    </w:p>
    <w:p w14:paraId="16143D57">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（三）在采购过程中符合竞争要求的供应商或者报价未超过采购预算的供应商不足3家的。</w:t>
      </w:r>
    </w:p>
    <w:p w14:paraId="65AC24FF">
      <w:pPr>
        <w:keepNext/>
        <w:keepLines/>
        <w:spacing w:line="360" w:lineRule="auto"/>
        <w:jc w:val="center"/>
        <w:outlineLvl w:val="1"/>
        <w:rPr>
          <w:rFonts w:ascii="宋体" w:hAnsi="宋体" w:cs="宋体"/>
          <w:b/>
          <w:bCs/>
          <w:color w:val="auto"/>
          <w:sz w:val="30"/>
          <w:szCs w:val="30"/>
          <w:highlight w:val="none"/>
        </w:rPr>
      </w:pPr>
      <w:r>
        <w:rPr>
          <w:rFonts w:hint="eastAsia" w:ascii="宋体" w:hAnsi="宋体" w:cs="宋体"/>
          <w:b/>
          <w:color w:val="auto"/>
          <w:sz w:val="24"/>
          <w:szCs w:val="24"/>
          <w:highlight w:val="none"/>
        </w:rPr>
        <w:br w:type="page"/>
      </w:r>
      <w:bookmarkStart w:id="125" w:name="_Toc8916"/>
      <w:bookmarkStart w:id="126" w:name="_Toc10768"/>
      <w:bookmarkStart w:id="127" w:name="_Toc20055"/>
      <w:bookmarkStart w:id="128" w:name="_Toc65660354"/>
      <w:bookmarkStart w:id="129" w:name="_Toc8372"/>
      <w:bookmarkStart w:id="130" w:name="_Toc22379"/>
      <w:r>
        <w:rPr>
          <w:rStyle w:val="69"/>
          <w:rFonts w:hint="eastAsia" w:hAnsi="宋体" w:cs="宋体"/>
          <w:b/>
          <w:bCs/>
          <w:color w:val="auto"/>
          <w:sz w:val="30"/>
          <w:szCs w:val="30"/>
          <w:highlight w:val="none"/>
        </w:rPr>
        <w:t>第五篇  供应商须知</w:t>
      </w:r>
      <w:bookmarkEnd w:id="125"/>
      <w:bookmarkEnd w:id="126"/>
      <w:bookmarkEnd w:id="127"/>
      <w:bookmarkEnd w:id="128"/>
      <w:bookmarkEnd w:id="129"/>
      <w:bookmarkEnd w:id="130"/>
    </w:p>
    <w:p w14:paraId="6C955FF5">
      <w:pPr>
        <w:keepNext/>
        <w:keepLines/>
        <w:adjustRightInd w:val="0"/>
        <w:snapToGrid w:val="0"/>
        <w:spacing w:line="400" w:lineRule="exact"/>
        <w:ind w:firstLine="482" w:firstLineChars="200"/>
        <w:outlineLvl w:val="1"/>
        <w:rPr>
          <w:rFonts w:ascii="宋体" w:hAnsi="宋体" w:cs="宋体"/>
          <w:b/>
          <w:color w:val="auto"/>
          <w:sz w:val="24"/>
          <w:highlight w:val="none"/>
        </w:rPr>
      </w:pPr>
      <w:bookmarkStart w:id="131" w:name="_Toc2864"/>
      <w:bookmarkStart w:id="132" w:name="_Toc9357"/>
      <w:bookmarkStart w:id="133" w:name="_Toc16524"/>
      <w:bookmarkStart w:id="134" w:name="_Toc65660355"/>
      <w:bookmarkStart w:id="135" w:name="_Toc5290"/>
      <w:r>
        <w:rPr>
          <w:rFonts w:hint="eastAsia" w:ascii="宋体" w:hAnsi="宋体" w:cs="宋体"/>
          <w:b/>
          <w:color w:val="auto"/>
          <w:sz w:val="24"/>
          <w:highlight w:val="none"/>
        </w:rPr>
        <w:t>一、比选费用</w:t>
      </w:r>
      <w:bookmarkEnd w:id="131"/>
      <w:bookmarkEnd w:id="132"/>
      <w:bookmarkEnd w:id="133"/>
      <w:bookmarkEnd w:id="134"/>
      <w:bookmarkEnd w:id="135"/>
    </w:p>
    <w:p w14:paraId="2223090A">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参与报价的供应商应承担其编制响应文件与递交响应文件所涉及的一切费用，不论比选结果如何，采购人和采购代理机构在任何情况下无义务也无责任承担这些费用。</w:t>
      </w:r>
    </w:p>
    <w:p w14:paraId="47B5C9B9">
      <w:pPr>
        <w:keepNext/>
        <w:keepLines/>
        <w:adjustRightInd w:val="0"/>
        <w:snapToGrid w:val="0"/>
        <w:spacing w:line="400" w:lineRule="exact"/>
        <w:ind w:firstLine="482" w:firstLineChars="200"/>
        <w:outlineLvl w:val="1"/>
        <w:rPr>
          <w:rFonts w:ascii="宋体" w:hAnsi="宋体" w:cs="宋体"/>
          <w:b/>
          <w:color w:val="auto"/>
          <w:sz w:val="24"/>
          <w:highlight w:val="none"/>
        </w:rPr>
      </w:pPr>
      <w:bookmarkStart w:id="136" w:name="_Toc65660356"/>
      <w:bookmarkStart w:id="137" w:name="_Toc31070"/>
      <w:bookmarkStart w:id="138" w:name="_Toc31739"/>
      <w:bookmarkStart w:id="139" w:name="_Toc5915"/>
      <w:bookmarkStart w:id="140" w:name="_Toc25444"/>
      <w:r>
        <w:rPr>
          <w:rFonts w:hint="eastAsia" w:ascii="宋体" w:hAnsi="宋体" w:cs="宋体"/>
          <w:b/>
          <w:color w:val="auto"/>
          <w:sz w:val="24"/>
          <w:highlight w:val="none"/>
        </w:rPr>
        <w:t>二、</w:t>
      </w:r>
      <w:bookmarkEnd w:id="136"/>
      <w:bookmarkEnd w:id="137"/>
      <w:bookmarkEnd w:id="138"/>
      <w:bookmarkEnd w:id="139"/>
      <w:bookmarkEnd w:id="140"/>
      <w:r>
        <w:rPr>
          <w:rFonts w:hint="eastAsia" w:ascii="宋体" w:hAnsi="宋体" w:cs="宋体"/>
          <w:b/>
          <w:color w:val="auto"/>
          <w:sz w:val="24"/>
          <w:highlight w:val="none"/>
        </w:rPr>
        <w:t>竞争性比选</w:t>
      </w:r>
      <w:r>
        <w:rPr>
          <w:rFonts w:hint="eastAsia" w:ascii="宋体" w:hAnsi="宋体" w:cs="宋体"/>
          <w:b/>
          <w:color w:val="auto"/>
          <w:sz w:val="24"/>
          <w:highlight w:val="none"/>
        </w:rPr>
        <w:tab/>
      </w:r>
    </w:p>
    <w:p w14:paraId="6A7DF8DC">
      <w:pP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（一）竞争性比选文件由比选采购邀请书、比选项目技术（质量）需求、比选项目商务需求、采购程序、评定成交的标准、无效报价及采购终止、供应商须知、合同草案条款、响应文件格式要求七部分组成。</w:t>
      </w:r>
    </w:p>
    <w:p w14:paraId="2F1F4AAB">
      <w:pPr>
        <w:snapToGrid w:val="0"/>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（二）采购人（或采购代理机构）所作的一切有效的书面通知、修改及补充，都是竞争性比选文件不可分割的部分。</w:t>
      </w:r>
    </w:p>
    <w:p w14:paraId="611F7304">
      <w:pPr>
        <w:keepNext/>
        <w:keepLines/>
        <w:adjustRightInd w:val="0"/>
        <w:snapToGrid w:val="0"/>
        <w:spacing w:line="400" w:lineRule="exact"/>
        <w:ind w:firstLine="482" w:firstLineChars="200"/>
        <w:outlineLvl w:val="1"/>
        <w:rPr>
          <w:rFonts w:ascii="宋体" w:hAnsi="宋体" w:cs="宋体"/>
          <w:b/>
          <w:color w:val="auto"/>
          <w:sz w:val="24"/>
          <w:highlight w:val="none"/>
        </w:rPr>
      </w:pPr>
      <w:bookmarkStart w:id="141" w:name="_Toc1922"/>
      <w:bookmarkStart w:id="142" w:name="_Toc65660357"/>
      <w:bookmarkStart w:id="143" w:name="_Toc3061"/>
      <w:bookmarkStart w:id="144" w:name="_Toc9532"/>
      <w:bookmarkStart w:id="145" w:name="_Toc5273"/>
      <w:r>
        <w:rPr>
          <w:rFonts w:hint="eastAsia" w:ascii="宋体" w:hAnsi="宋体" w:cs="宋体"/>
          <w:b/>
          <w:color w:val="auto"/>
          <w:sz w:val="24"/>
          <w:highlight w:val="none"/>
        </w:rPr>
        <w:t>三、报价要求</w:t>
      </w:r>
      <w:bookmarkEnd w:id="141"/>
      <w:bookmarkEnd w:id="142"/>
      <w:bookmarkEnd w:id="143"/>
      <w:bookmarkEnd w:id="144"/>
      <w:bookmarkEnd w:id="145"/>
    </w:p>
    <w:p w14:paraId="18C4E907">
      <w:pPr>
        <w:snapToGrid w:val="0"/>
        <w:spacing w:line="40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（一）响应文件</w:t>
      </w:r>
    </w:p>
    <w:p w14:paraId="61C40C2F">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供应商应当按照竞争性比选文件的要求编制响应文件，并对竞争性比选文件提出的要求和条件作出实质性响应，响应文件原则上采用软面订本。</w:t>
      </w:r>
    </w:p>
    <w:p w14:paraId="4150C04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1.响应文件组成</w:t>
      </w:r>
    </w:p>
    <w:p w14:paraId="48C4AB78">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243DB128">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2.联合体</w:t>
      </w:r>
    </w:p>
    <w:p w14:paraId="149CB051">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rPr>
        <w:t>本项目不接受联合体。</w:t>
      </w:r>
    </w:p>
    <w:p w14:paraId="292CAEF6">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3.报价有效期：响应文件及有关承诺文件有效期为提交响应文件截止时间起90天。</w:t>
      </w:r>
    </w:p>
    <w:p w14:paraId="7C2057CC">
      <w:pPr>
        <w:snapToGrid w:val="0"/>
        <w:spacing w:line="40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（二）保证金：</w:t>
      </w:r>
    </w:p>
    <w:p w14:paraId="3B496945">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1.供应商提交保证金金额和方式详见“</w:t>
      </w:r>
      <w:r>
        <w:rPr>
          <w:rFonts w:hint="eastAsia" w:ascii="宋体" w:hAnsi="宋体" w:cs="宋体"/>
          <w:b/>
          <w:color w:val="auto"/>
          <w:sz w:val="24"/>
          <w:szCs w:val="24"/>
          <w:highlight w:val="none"/>
          <w:u w:val="single"/>
        </w:rPr>
        <w:t>第一篇比选采购邀请书”</w:t>
      </w:r>
      <w:r>
        <w:rPr>
          <w:rFonts w:hint="eastAsia" w:ascii="宋体" w:hAnsi="宋体" w:cs="宋体"/>
          <w:color w:val="auto"/>
          <w:sz w:val="24"/>
          <w:szCs w:val="24"/>
          <w:highlight w:val="none"/>
        </w:rPr>
        <w:t>；</w:t>
      </w:r>
    </w:p>
    <w:p w14:paraId="1AC405A7">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2.发生以下情况之一者，保证金不予退还：</w:t>
      </w:r>
    </w:p>
    <w:p w14:paraId="4E50B099">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2.1供应商在提交响应文件截止时间后撤回响应文件的；</w:t>
      </w:r>
    </w:p>
    <w:p w14:paraId="023F1D18">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2.2供应商在响应文件中提供虚假材料的；</w:t>
      </w:r>
    </w:p>
    <w:p w14:paraId="004915B4">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2.3除因不可抗力或竞争性比选文件认可的情形以外，成交供应商不与采购人签订合同的；</w:t>
      </w:r>
    </w:p>
    <w:p w14:paraId="416071D9">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2.4供应商与采购人、其他供应商或者采购代理机构恶意串通的；</w:t>
      </w:r>
    </w:p>
    <w:p w14:paraId="2C4B2FC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2.5成交供应商不按规定的时间或拒绝按成交状态签订合同（即不按照竞争性比选文件确定的合同文本以及采购标的、规格型号、采购金额、采购数量、技术（质量）和服务要求等事项签订合同的）。</w:t>
      </w:r>
    </w:p>
    <w:p w14:paraId="38F32CCB">
      <w:pPr>
        <w:spacing w:line="400" w:lineRule="exact"/>
        <w:ind w:firstLine="480" w:firstLineChars="200"/>
        <w:rPr>
          <w:rFonts w:ascii="宋体" w:hAnsi="宋体" w:cs="宋体"/>
          <w:color w:val="auto"/>
          <w:sz w:val="24"/>
          <w:highlight w:val="none"/>
        </w:rPr>
      </w:pPr>
      <w:r>
        <w:rPr>
          <w:rFonts w:hint="eastAsia" w:ascii="宋体" w:hAnsi="宋体" w:cs="宋体"/>
          <w:color w:val="auto"/>
          <w:sz w:val="24"/>
          <w:szCs w:val="24"/>
          <w:highlight w:val="none"/>
        </w:rPr>
        <w:t>3.</w:t>
      </w:r>
      <w:r>
        <w:rPr>
          <w:rFonts w:hint="eastAsia" w:ascii="宋体" w:hAnsi="宋体" w:cs="宋体"/>
          <w:color w:val="auto"/>
          <w:sz w:val="24"/>
          <w:highlight w:val="none"/>
        </w:rPr>
        <w:t>保证金的有效期限在</w:t>
      </w:r>
      <w:r>
        <w:rPr>
          <w:rFonts w:hint="eastAsia" w:ascii="宋体" w:hAnsi="宋体" w:cs="宋体"/>
          <w:color w:val="auto"/>
          <w:sz w:val="24"/>
          <w:szCs w:val="24"/>
          <w:highlight w:val="none"/>
        </w:rPr>
        <w:t>报价有效期</w:t>
      </w:r>
      <w:r>
        <w:rPr>
          <w:rFonts w:hint="eastAsia" w:ascii="宋体" w:hAnsi="宋体" w:cs="宋体"/>
          <w:color w:val="auto"/>
          <w:sz w:val="24"/>
          <w:highlight w:val="none"/>
        </w:rPr>
        <w:t>过后三十天继续有效。</w:t>
      </w:r>
    </w:p>
    <w:p w14:paraId="0B73DC1C">
      <w:pPr>
        <w:pStyle w:val="23"/>
        <w:rPr>
          <w:rFonts w:ascii="宋体" w:hAnsi="宋体" w:eastAsia="宋体" w:cs="宋体"/>
          <w:color w:val="auto"/>
          <w:sz w:val="24"/>
          <w:szCs w:val="24"/>
          <w:highlight w:val="none"/>
        </w:rPr>
      </w:pPr>
      <w:r>
        <w:rPr>
          <w:rFonts w:hint="eastAsia"/>
          <w:color w:val="auto"/>
          <w:highlight w:val="none"/>
        </w:rPr>
        <w:t xml:space="preserve">   </w:t>
      </w:r>
    </w:p>
    <w:p w14:paraId="51E4D729">
      <w:pPr>
        <w:snapToGrid w:val="0"/>
        <w:spacing w:line="40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（三）修正错误</w:t>
      </w:r>
    </w:p>
    <w:p w14:paraId="74F07841">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若供应商所递交的响应文件或报价中的价格出现大写金额和小写金额不一致的错误，以大写金额修正为准。</w:t>
      </w:r>
    </w:p>
    <w:p w14:paraId="039B35B3">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评审小组或采购人按上述修正错误的原则及方法修正供应商的报价，供应商同意并签署确认后，修正后的报价对供应商具有约束作用。如果供应商不接受修正后的价格，将视为无效报价。</w:t>
      </w:r>
    </w:p>
    <w:p w14:paraId="5F33DA59">
      <w:pPr>
        <w:snapToGrid w:val="0"/>
        <w:spacing w:line="40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（四）提交响应文件的份数和签署</w:t>
      </w:r>
    </w:p>
    <w:p w14:paraId="488D92F0">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响应文件一式四份，其中正本一份，副本二份，上传行采家网站响应文件电子文档一份；纸质副本可为纸质正本的复印件，应与纸质正本一致，如出现不一致情况以纸质正本为准，响应文件电子文档应为签字盖章齐全的纸质响应文件正本的扫描件（PDF格式），若与纸质响应文件正本不一致的，以纸质响应文件正本为准。</w:t>
      </w:r>
    </w:p>
    <w:p w14:paraId="51099CAA">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szCs w:val="24"/>
          <w:highlight w:val="none"/>
        </w:rPr>
        <w:t>2.</w:t>
      </w:r>
      <w:r>
        <w:rPr>
          <w:rFonts w:hint="eastAsia" w:ascii="宋体" w:hAnsi="宋体" w:cs="宋体"/>
          <w:color w:val="auto"/>
          <w:sz w:val="24"/>
          <w:highlight w:val="none"/>
        </w:rPr>
        <w:t>在响应文件正本中，竞争性比选文件第七篇响应文件格式中规定签署、盖章的地方必须按其规定签署、盖章。</w:t>
      </w:r>
    </w:p>
    <w:p w14:paraId="535C2E91">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3.若供应商对响应文件的错处作必要修改，则应在修改处加盖供应商公章或由法定代表人（或其授权代表）或自然人</w:t>
      </w:r>
      <w:r>
        <w:rPr>
          <w:rFonts w:hint="eastAsia" w:ascii="宋体" w:hAnsi="宋体" w:cs="宋体"/>
          <w:color w:val="auto"/>
          <w:sz w:val="24"/>
          <w:szCs w:val="24"/>
          <w:highlight w:val="none"/>
        </w:rPr>
        <w:t>（供应商为自然人）签署</w:t>
      </w:r>
      <w:r>
        <w:rPr>
          <w:rFonts w:hint="eastAsia" w:ascii="宋体" w:hAnsi="宋体" w:cs="宋体"/>
          <w:color w:val="auto"/>
          <w:sz w:val="24"/>
          <w:highlight w:val="none"/>
        </w:rPr>
        <w:t>确认。</w:t>
      </w:r>
    </w:p>
    <w:p w14:paraId="2A98D1E6">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4、本项目纸质响应文件概不接受邮递。</w:t>
      </w:r>
    </w:p>
    <w:p w14:paraId="2A62CEAB">
      <w:pPr>
        <w:snapToGrid w:val="0"/>
        <w:spacing w:line="40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（五）响应文件的递交</w:t>
      </w:r>
    </w:p>
    <w:p w14:paraId="2AC875E5">
      <w:pPr>
        <w:snapToGrid w:val="0"/>
        <w:spacing w:line="40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纸质响应文件的正本、副本均应密封送达递交响应文件地点，应在封套上注明项目名称、供应商名称。若正本、副本分别进行密封的，还应在封套上注明“正本”、“副本”字样。响应文件电子文档应在线上报价的同时上传行采家网站。</w:t>
      </w:r>
    </w:p>
    <w:p w14:paraId="14A29406">
      <w:pPr>
        <w:snapToGrid w:val="0"/>
        <w:spacing w:line="40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（六）响应文件语言：简体中文</w:t>
      </w:r>
    </w:p>
    <w:p w14:paraId="252798C2">
      <w:pPr>
        <w:keepNext/>
        <w:keepLines/>
        <w:adjustRightInd w:val="0"/>
        <w:snapToGrid w:val="0"/>
        <w:spacing w:line="400" w:lineRule="exact"/>
        <w:ind w:firstLine="482" w:firstLineChars="200"/>
        <w:outlineLvl w:val="1"/>
        <w:rPr>
          <w:rFonts w:ascii="宋体" w:hAnsi="宋体" w:cs="宋体"/>
          <w:b/>
          <w:color w:val="auto"/>
          <w:sz w:val="24"/>
          <w:highlight w:val="none"/>
        </w:rPr>
      </w:pPr>
      <w:bookmarkStart w:id="146" w:name="_Toc14702"/>
      <w:bookmarkStart w:id="147" w:name="_Toc6242"/>
      <w:bookmarkStart w:id="148" w:name="_Toc65660358"/>
      <w:bookmarkStart w:id="149" w:name="_Toc10172"/>
      <w:bookmarkStart w:id="150" w:name="_Toc22146"/>
      <w:r>
        <w:rPr>
          <w:rFonts w:hint="eastAsia" w:ascii="宋体" w:hAnsi="宋体" w:cs="宋体"/>
          <w:b/>
          <w:color w:val="auto"/>
          <w:sz w:val="24"/>
          <w:highlight w:val="none"/>
        </w:rPr>
        <w:t>四、成交供应商的确定和变更</w:t>
      </w:r>
      <w:bookmarkEnd w:id="146"/>
      <w:bookmarkEnd w:id="147"/>
      <w:bookmarkEnd w:id="148"/>
      <w:bookmarkEnd w:id="149"/>
      <w:bookmarkEnd w:id="150"/>
    </w:p>
    <w:p w14:paraId="7FC3AAA1">
      <w:pPr>
        <w:spacing w:line="392" w:lineRule="exact"/>
        <w:ind w:firstLine="420"/>
        <w:rPr>
          <w:rFonts w:ascii="宋体" w:hAnsi="宋体" w:cs="宋体"/>
          <w:b/>
          <w:bCs/>
          <w:color w:val="auto"/>
          <w:sz w:val="24"/>
          <w:szCs w:val="24"/>
          <w:highlight w:val="none"/>
        </w:rPr>
      </w:pPr>
      <w:r>
        <w:rPr>
          <w:rFonts w:hint="eastAsia" w:ascii="宋体" w:hAnsi="宋体" w:cs="宋体"/>
          <w:b/>
          <w:bCs/>
          <w:color w:val="auto"/>
          <w:sz w:val="24"/>
          <w:szCs w:val="24"/>
          <w:highlight w:val="none"/>
        </w:rPr>
        <w:t>（一）</w:t>
      </w:r>
      <w:r>
        <w:rPr>
          <w:rFonts w:hint="eastAsia" w:ascii="宋体" w:hAnsi="宋体" w:eastAsia="宋体" w:cs="宋体"/>
          <w:b/>
          <w:bCs/>
          <w:color w:val="auto"/>
          <w:sz w:val="24"/>
          <w:szCs w:val="24"/>
          <w:highlight w:val="none"/>
        </w:rPr>
        <w:t>经评审小组专家评审后按评审得分由高到低的顺序推荐</w:t>
      </w:r>
      <w:r>
        <w:rPr>
          <w:rFonts w:hint="eastAsia" w:ascii="宋体" w:hAnsi="宋体" w:eastAsia="宋体" w:cs="宋体"/>
          <w:b/>
          <w:bCs/>
          <w:color w:val="auto"/>
          <w:sz w:val="24"/>
          <w:szCs w:val="24"/>
          <w:highlight w:val="none"/>
          <w:lang w:val="en-US" w:eastAsia="zh-CN"/>
        </w:rPr>
        <w:t>前</w:t>
      </w:r>
      <w:r>
        <w:rPr>
          <w:rFonts w:hint="eastAsia" w:ascii="宋体" w:hAnsi="宋体" w:eastAsia="宋体" w:cs="宋体"/>
          <w:b/>
          <w:bCs/>
          <w:color w:val="auto"/>
          <w:sz w:val="24"/>
          <w:szCs w:val="24"/>
          <w:highlight w:val="none"/>
        </w:rPr>
        <w:t>三名候选人</w:t>
      </w:r>
      <w:r>
        <w:rPr>
          <w:rFonts w:hint="eastAsia" w:ascii="宋体" w:hAnsi="宋体" w:cs="宋体"/>
          <w:b/>
          <w:bCs/>
          <w:color w:val="auto"/>
          <w:sz w:val="24"/>
          <w:szCs w:val="24"/>
          <w:highlight w:val="none"/>
          <w:lang w:val="en-US" w:eastAsia="zh-CN"/>
        </w:rPr>
        <w:t>并出具评审报告，接着由专家推荐的前三名候选人在现场（开评标当日）对自己的产品进行不超过20分钟</w:t>
      </w:r>
      <w:r>
        <w:rPr>
          <w:rFonts w:hint="default" w:ascii="宋体" w:hAnsi="宋体" w:eastAsia="宋体" w:cs="宋体"/>
          <w:b/>
          <w:bCs/>
          <w:color w:val="auto"/>
          <w:kern w:val="2"/>
          <w:sz w:val="24"/>
          <w:szCs w:val="24"/>
          <w:highlight w:val="none"/>
          <w:lang w:val="en-US" w:eastAsia="zh-CN" w:bidi="ar-SA"/>
        </w:rPr>
        <w:t>（含</w:t>
      </w:r>
      <w:r>
        <w:rPr>
          <w:rFonts w:hint="eastAsia" w:ascii="宋体" w:hAnsi="宋体" w:eastAsia="宋体" w:cs="宋体"/>
          <w:b/>
          <w:bCs/>
          <w:color w:val="auto"/>
          <w:kern w:val="2"/>
          <w:sz w:val="24"/>
          <w:szCs w:val="24"/>
          <w:highlight w:val="none"/>
          <w:lang w:val="en-US" w:eastAsia="zh-CN" w:bidi="ar-SA"/>
        </w:rPr>
        <w:t>现场</w:t>
      </w:r>
      <w:r>
        <w:rPr>
          <w:rFonts w:hint="default" w:ascii="宋体" w:hAnsi="宋体" w:eastAsia="宋体" w:cs="宋体"/>
          <w:b/>
          <w:bCs/>
          <w:color w:val="auto"/>
          <w:kern w:val="2"/>
          <w:sz w:val="24"/>
          <w:szCs w:val="24"/>
          <w:highlight w:val="none"/>
          <w:lang w:val="en-US" w:eastAsia="zh-CN" w:bidi="ar-SA"/>
        </w:rPr>
        <w:t>业主提问时间）述标介绍</w:t>
      </w:r>
      <w:r>
        <w:rPr>
          <w:rFonts w:hint="eastAsia" w:ascii="宋体" w:hAnsi="宋体" w:cs="宋体"/>
          <w:b/>
          <w:bCs/>
          <w:color w:val="auto"/>
          <w:sz w:val="24"/>
          <w:szCs w:val="24"/>
          <w:highlight w:val="none"/>
          <w:lang w:val="en-US" w:eastAsia="zh-CN"/>
        </w:rPr>
        <w:t>。述标结束后采购人对前三名候选人</w:t>
      </w:r>
      <w:r>
        <w:rPr>
          <w:rFonts w:hint="eastAsia" w:ascii="宋体" w:hAnsi="宋体" w:eastAsia="宋体" w:cs="宋体"/>
          <w:b/>
          <w:bCs/>
          <w:color w:val="auto"/>
          <w:sz w:val="24"/>
          <w:szCs w:val="24"/>
          <w:highlight w:val="none"/>
        </w:rPr>
        <w:t>进行公示，</w:t>
      </w:r>
      <w:r>
        <w:rPr>
          <w:rFonts w:hint="eastAsia" w:ascii="宋体" w:hAnsi="宋体" w:eastAsia="宋体" w:cs="宋体"/>
          <w:b/>
          <w:bCs/>
          <w:color w:val="auto"/>
          <w:sz w:val="24"/>
          <w:szCs w:val="24"/>
          <w:highlight w:val="none"/>
          <w:lang w:val="en-US" w:eastAsia="zh-CN"/>
        </w:rPr>
        <w:t>公示期3个日历日，</w:t>
      </w:r>
      <w:r>
        <w:rPr>
          <w:rFonts w:hint="eastAsia" w:ascii="宋体" w:hAnsi="宋体" w:eastAsia="宋体" w:cs="宋体"/>
          <w:b/>
          <w:bCs/>
          <w:color w:val="auto"/>
          <w:sz w:val="24"/>
          <w:szCs w:val="24"/>
          <w:highlight w:val="none"/>
        </w:rPr>
        <w:t>在此期间采购人组织相关业主</w:t>
      </w:r>
      <w:r>
        <w:rPr>
          <w:rFonts w:hint="eastAsia" w:ascii="宋体" w:hAnsi="宋体" w:eastAsia="宋体" w:cs="宋体"/>
          <w:b/>
          <w:bCs/>
          <w:color w:val="auto"/>
          <w:sz w:val="24"/>
          <w:szCs w:val="24"/>
          <w:highlight w:val="none"/>
          <w:lang w:val="en-US" w:eastAsia="zh-CN"/>
        </w:rPr>
        <w:t>对前三名候选人进行投票表决</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参与投票的业主数量应达到法定比例，采购人将前三名候选人的得票数进行统计</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按照得票数由高到低的顺序进行排序，排名第一的为成交供应商，其得分为100分，排名第二的得分为90分，排名第三得分为80分，以此类推，</w:t>
      </w:r>
      <w:r>
        <w:rPr>
          <w:rFonts w:hint="eastAsia" w:ascii="宋体" w:hAnsi="宋体" w:eastAsia="宋体" w:cs="宋体"/>
          <w:b/>
          <w:bCs/>
          <w:color w:val="auto"/>
          <w:sz w:val="24"/>
          <w:szCs w:val="24"/>
          <w:highlight w:val="none"/>
        </w:rPr>
        <w:t>此分数</w:t>
      </w:r>
      <w:r>
        <w:rPr>
          <w:rFonts w:hint="eastAsia" w:ascii="宋体" w:hAnsi="宋体" w:eastAsia="宋体" w:cs="宋体"/>
          <w:b/>
          <w:bCs/>
          <w:color w:val="auto"/>
          <w:sz w:val="24"/>
          <w:szCs w:val="24"/>
          <w:highlight w:val="none"/>
          <w:lang w:val="en-US" w:eastAsia="zh-CN"/>
        </w:rPr>
        <w:t>作为</w:t>
      </w:r>
      <w:r>
        <w:rPr>
          <w:rFonts w:hint="eastAsia" w:ascii="宋体" w:hAnsi="宋体" w:eastAsia="宋体" w:cs="宋体"/>
          <w:b/>
          <w:bCs/>
          <w:color w:val="auto"/>
          <w:sz w:val="24"/>
          <w:szCs w:val="24"/>
          <w:highlight w:val="none"/>
        </w:rPr>
        <w:t>行采家结果公告。</w:t>
      </w:r>
    </w:p>
    <w:p w14:paraId="5A72965A">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（二）成交供应商的变更</w:t>
      </w:r>
    </w:p>
    <w:p w14:paraId="7DA25BA5">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成交供应商拒绝签订合同的，采购人可以按照评审报告推荐的成交候选人顺序，确定排名下一位的候选人为成交供应商，也可以重新开展采购活动。拒绝签订合同的成交供应商不得参加对该项目重新开展的采购活动。</w:t>
      </w:r>
    </w:p>
    <w:p w14:paraId="1B0830B2">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2.成交供应商无充分理由放弃成交的，采购人将向监督部门报告，监督部门将根据相关法律法规的规定进行处理。</w:t>
      </w:r>
    </w:p>
    <w:p w14:paraId="3CC2378B">
      <w:pPr>
        <w:keepNext/>
        <w:keepLines/>
        <w:adjustRightInd w:val="0"/>
        <w:snapToGrid w:val="0"/>
        <w:spacing w:line="400" w:lineRule="exact"/>
        <w:ind w:firstLine="482" w:firstLineChars="200"/>
        <w:outlineLvl w:val="1"/>
        <w:rPr>
          <w:rFonts w:ascii="宋体" w:hAnsi="宋体" w:cs="宋体"/>
          <w:b/>
          <w:color w:val="auto"/>
          <w:sz w:val="24"/>
          <w:highlight w:val="none"/>
        </w:rPr>
      </w:pPr>
      <w:bookmarkStart w:id="151" w:name="_Toc1092"/>
      <w:bookmarkStart w:id="152" w:name="_Toc65660359"/>
      <w:bookmarkStart w:id="153" w:name="_Toc29725"/>
      <w:bookmarkStart w:id="154" w:name="_Toc10504"/>
      <w:bookmarkStart w:id="155" w:name="_Toc29821"/>
      <w:r>
        <w:rPr>
          <w:rFonts w:hint="eastAsia" w:ascii="宋体" w:hAnsi="宋体" w:cs="宋体"/>
          <w:b/>
          <w:color w:val="auto"/>
          <w:sz w:val="24"/>
          <w:highlight w:val="none"/>
        </w:rPr>
        <w:t>五、成交通知</w:t>
      </w:r>
      <w:bookmarkEnd w:id="151"/>
      <w:bookmarkEnd w:id="152"/>
      <w:bookmarkEnd w:id="153"/>
      <w:bookmarkEnd w:id="154"/>
      <w:bookmarkEnd w:id="155"/>
    </w:p>
    <w:p w14:paraId="0FE5C3EB">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（一）成交供应商确定后，采购人将在行采家平台发布及</w:t>
      </w:r>
      <w:r>
        <w:rPr>
          <w:rFonts w:hint="eastAsia" w:ascii="宋体" w:hAnsi="宋体" w:cs="宋体"/>
          <w:color w:val="auto"/>
          <w:sz w:val="24"/>
          <w:szCs w:val="24"/>
          <w:highlight w:val="none"/>
          <w:lang w:eastAsia="zh-CN"/>
        </w:rPr>
        <w:t>双子星座小区</w:t>
      </w:r>
      <w:r>
        <w:rPr>
          <w:rFonts w:hint="eastAsia" w:ascii="宋体" w:hAnsi="宋体" w:cs="宋体"/>
          <w:color w:val="auto"/>
          <w:sz w:val="24"/>
          <w:szCs w:val="24"/>
          <w:highlight w:val="none"/>
        </w:rPr>
        <w:t>公告栏张贴中标（成交）结果公告。</w:t>
      </w:r>
    </w:p>
    <w:p w14:paraId="6F212B67">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（二）结果公告发出同时，采购代理机构将以书面形式发出《成交通知书》。《成交通知书》一经发出即发生法律效力。</w:t>
      </w:r>
    </w:p>
    <w:p w14:paraId="04B2E7C2">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（三）《成交通知书》将作为签订合同的依据。</w:t>
      </w:r>
    </w:p>
    <w:p w14:paraId="3C07464B">
      <w:pPr>
        <w:keepNext/>
        <w:keepLines/>
        <w:adjustRightInd w:val="0"/>
        <w:snapToGrid w:val="0"/>
        <w:spacing w:line="400" w:lineRule="exact"/>
        <w:ind w:firstLine="482" w:firstLineChars="200"/>
        <w:outlineLvl w:val="1"/>
        <w:rPr>
          <w:rFonts w:ascii="宋体" w:hAnsi="宋体" w:cs="宋体"/>
          <w:b/>
          <w:color w:val="auto"/>
          <w:sz w:val="24"/>
          <w:highlight w:val="none"/>
        </w:rPr>
      </w:pPr>
      <w:bookmarkStart w:id="156" w:name="_Toc30909"/>
      <w:bookmarkStart w:id="157" w:name="_Toc1398"/>
      <w:bookmarkStart w:id="158" w:name="_Toc1010"/>
      <w:bookmarkStart w:id="159" w:name="_Toc65660360"/>
      <w:bookmarkStart w:id="160" w:name="_Toc31082"/>
      <w:r>
        <w:rPr>
          <w:rFonts w:hint="eastAsia" w:ascii="宋体" w:hAnsi="宋体" w:cs="宋体"/>
          <w:b/>
          <w:color w:val="auto"/>
          <w:sz w:val="24"/>
          <w:highlight w:val="none"/>
        </w:rPr>
        <w:t>六、关于质疑和投诉</w:t>
      </w:r>
      <w:bookmarkEnd w:id="156"/>
      <w:bookmarkEnd w:id="157"/>
      <w:bookmarkEnd w:id="158"/>
      <w:bookmarkEnd w:id="159"/>
      <w:bookmarkEnd w:id="160"/>
    </w:p>
    <w:p w14:paraId="71D7821A">
      <w:pPr>
        <w:spacing w:line="40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 xml:space="preserve"> （一）质疑</w:t>
      </w:r>
    </w:p>
    <w:p w14:paraId="4A15462E">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供应商认为比选文件、比选过程和成交结果使自己的权益收到伤害的，可向采购人或采购代理机构以书面形式提出质疑。</w:t>
      </w:r>
    </w:p>
    <w:p w14:paraId="3D0B3172">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 xml:space="preserve">提出质疑的应当是参与所质疑项目采购活动的供应商。 </w:t>
      </w:r>
    </w:p>
    <w:p w14:paraId="0DE32425">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1.质疑时限、内容</w:t>
      </w:r>
    </w:p>
    <w:p w14:paraId="4C363ABA">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1.1供应商认为竞争性比选文件、采购过程、成交结果使自己的权益受到损害的，可以在知道或者应知其权益受到损害之日起3个工作日内，以书面形式向采购人、采购代理机构提出质疑。</w:t>
      </w:r>
    </w:p>
    <w:p w14:paraId="505F1FBD">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1.2供应商提出质疑应当提交质疑函和必要的证明材料，质疑函应当包括下列内容：</w:t>
      </w:r>
    </w:p>
    <w:p w14:paraId="704452F2">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1.2.1供应商的姓名或者名称、地址、邮编、联系人及联系电话；</w:t>
      </w:r>
    </w:p>
    <w:p w14:paraId="76D30C1A">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1.2.2</w:t>
      </w:r>
      <w:r>
        <w:rPr>
          <w:rFonts w:hint="eastAsia" w:ascii="宋体" w:hAnsi="宋体" w:cs="宋体"/>
          <w:color w:val="auto"/>
          <w:sz w:val="24"/>
          <w:szCs w:val="24"/>
          <w:highlight w:val="none"/>
        </w:rPr>
        <w:t>质疑项目的项目名称、采购执行编号以及采购执行编号</w:t>
      </w:r>
      <w:r>
        <w:rPr>
          <w:rFonts w:hint="eastAsia" w:ascii="宋体" w:hAnsi="宋体" w:cs="宋体"/>
          <w:color w:val="auto"/>
          <w:sz w:val="24"/>
          <w:highlight w:val="none"/>
        </w:rPr>
        <w:t>；</w:t>
      </w:r>
    </w:p>
    <w:p w14:paraId="2558C58F">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1.2.3具体、明确的质疑事项和与质疑事项相关的请求；</w:t>
      </w:r>
    </w:p>
    <w:p w14:paraId="3A05EAEB">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1.2.4事实依据；</w:t>
      </w:r>
    </w:p>
    <w:p w14:paraId="29AC0736">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1.2.5必要的法律依据；</w:t>
      </w:r>
    </w:p>
    <w:p w14:paraId="70E4361B">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1.2.6提出质疑的日期；</w:t>
      </w:r>
    </w:p>
    <w:p w14:paraId="70604863">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1.2.7营业执照（或事业单位法人证书，或个体工商户营业执照或有效的自然人身份证明）复印件；</w:t>
      </w:r>
    </w:p>
    <w:p w14:paraId="3933DA26">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1.2.8法定代表人授权委托书原件、法定代表人身份证复印件和其授权代表的身份证复印件（供应商为自然人的提供自然人身份证复印件）；</w:t>
      </w:r>
    </w:p>
    <w:p w14:paraId="769BCE7A">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1.3供应商为自然人的，质疑函应当由本人签字；供应商为法人或者其他组织的，质疑函应当由法定代表人、主要负责人，或者其授权代表签字或者盖章，并加盖公章。</w:t>
      </w:r>
    </w:p>
    <w:p w14:paraId="4B098176">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2.质疑答复</w:t>
      </w:r>
    </w:p>
    <w:p w14:paraId="4E70E033">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采购人、采购代理机构应当在收到供应商的书面质疑后3个工作日内作出答复，并以书面形式通知质疑供应商和其他有关供应商。</w:t>
      </w:r>
    </w:p>
    <w:p w14:paraId="3BBF110A">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3.其他</w:t>
      </w:r>
    </w:p>
    <w:p w14:paraId="5D27ACD1">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3.1供应商应在本项目规定的质疑期内一次性提出针对同一采购程序环节的质疑。</w:t>
      </w:r>
    </w:p>
    <w:p w14:paraId="10059B88">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3.2质疑函范本可在监督部门户网站和中国政府采购网下载。</w:t>
      </w:r>
    </w:p>
    <w:p w14:paraId="0C1D57AF">
      <w:pPr>
        <w:spacing w:line="400" w:lineRule="exact"/>
        <w:ind w:right="12" w:firstLine="480"/>
        <w:outlineLvl w:val="2"/>
        <w:rPr>
          <w:rFonts w:ascii="宋体" w:hAnsi="宋体" w:cs="宋体"/>
          <w:color w:val="auto"/>
          <w:sz w:val="24"/>
          <w:highlight w:val="none"/>
        </w:rPr>
      </w:pPr>
      <w:r>
        <w:rPr>
          <w:rFonts w:hint="eastAsia" w:ascii="宋体" w:hAnsi="宋体" w:cs="宋体"/>
          <w:color w:val="auto"/>
          <w:sz w:val="24"/>
          <w:highlight w:val="none"/>
        </w:rPr>
        <w:t>（二）投诉</w:t>
      </w:r>
    </w:p>
    <w:p w14:paraId="79BBADFC">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1.供应商对采购人、采购代理机构的答复不满意，或者采购人、采购代理机构未在规定时间内作出答复的，可以在答复期满后15个工作日内按照相关法律法规向监督部门提起投诉。</w:t>
      </w:r>
    </w:p>
    <w:p w14:paraId="3DAA6AAD">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2.供应商应按照《政府采购质疑和投诉办法》（财政部令第94号）及相关法律法规要求递交投诉书和必要的证明材料。投诉书范本可在监督部门户网站和中国政府采购网下载。</w:t>
      </w:r>
    </w:p>
    <w:p w14:paraId="6566CC8A">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3.投诉书应当使用中文，相关当事人提供外文书证或者外国语视听资料的，应当附有中文译本，由翻译机构盖章或者翻译人员签名；相关当事人向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7612929D">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rPr>
        <w:t>4.在确定受理投诉后，监督部门自受理投诉之日起30个工作日内（需要检验、检测、鉴定、专家评审以及需要投诉人补正材料的，所需时间不计算在投诉处理期限内）对投诉事项做出处理决定。</w:t>
      </w:r>
    </w:p>
    <w:p w14:paraId="56C10CCB">
      <w:pPr>
        <w:keepNext/>
        <w:keepLines/>
        <w:adjustRightInd w:val="0"/>
        <w:snapToGrid w:val="0"/>
        <w:spacing w:line="400" w:lineRule="exact"/>
        <w:ind w:firstLine="482" w:firstLineChars="200"/>
        <w:outlineLvl w:val="1"/>
        <w:rPr>
          <w:rFonts w:ascii="宋体" w:hAnsi="宋体" w:cs="宋体"/>
          <w:b/>
          <w:color w:val="auto"/>
          <w:sz w:val="24"/>
          <w:highlight w:val="none"/>
        </w:rPr>
      </w:pPr>
      <w:bookmarkStart w:id="161" w:name="_Toc3127"/>
      <w:bookmarkStart w:id="162" w:name="_Toc16648"/>
      <w:bookmarkStart w:id="163" w:name="_Toc23778"/>
      <w:bookmarkStart w:id="164" w:name="_Toc5724"/>
      <w:bookmarkStart w:id="165" w:name="_Toc65660361"/>
      <w:r>
        <w:rPr>
          <w:rFonts w:hint="eastAsia" w:ascii="宋体" w:hAnsi="宋体" w:cs="宋体"/>
          <w:b/>
          <w:color w:val="auto"/>
          <w:sz w:val="24"/>
          <w:highlight w:val="none"/>
        </w:rPr>
        <w:t>七、签订合同</w:t>
      </w:r>
      <w:bookmarkEnd w:id="161"/>
      <w:bookmarkEnd w:id="162"/>
      <w:bookmarkEnd w:id="163"/>
      <w:bookmarkEnd w:id="164"/>
      <w:bookmarkEnd w:id="165"/>
    </w:p>
    <w:p w14:paraId="639B3EE7">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（一）</w:t>
      </w:r>
      <w:r>
        <w:rPr>
          <w:rFonts w:hint="eastAsia" w:ascii="宋体" w:hAnsi="宋体" w:cs="宋体"/>
          <w:color w:val="auto"/>
          <w:sz w:val="24"/>
          <w:highlight w:val="none"/>
        </w:rPr>
        <w:t>采购人原则上应在成交通知书发出之日起二十日内和成交供应商签订合同，无正当理由不得拒绝或拖延合同签订</w:t>
      </w:r>
      <w:r>
        <w:rPr>
          <w:rFonts w:hint="eastAsia" w:ascii="宋体" w:hAnsi="宋体" w:cs="宋体"/>
          <w:color w:val="auto"/>
          <w:sz w:val="24"/>
          <w:szCs w:val="24"/>
          <w:highlight w:val="none"/>
        </w:rPr>
        <w:t>。所签订的合同不得对竞争性比选和供应商的响应文件作实质性修改。其他未尽事宜由采购人和成交供应商在采购合同中详细约定。</w:t>
      </w:r>
    </w:p>
    <w:p w14:paraId="35EE34B4">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（二）竞争性比选文件、供应商的响应文件及澄清文件等，均为签订合同的依据。</w:t>
      </w:r>
    </w:p>
    <w:p w14:paraId="7072233A">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（三）合同生效条款由供需双方约定，法律、行政法规规定应当办理批准、登记等手续后生效的合同，依照其规定。</w:t>
      </w:r>
    </w:p>
    <w:p w14:paraId="138F159E">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（四）采购人要求成交供应商提供履约保证金的，应当在竞争性比选中予以约定。成交供应商履约完毕后，采购人或采购代理机构根据竞争性比选文件规定无息退还其履约保证金。</w:t>
      </w:r>
    </w:p>
    <w:p w14:paraId="10792A04">
      <w:pPr>
        <w:keepNext/>
        <w:keepLines/>
        <w:adjustRightInd w:val="0"/>
        <w:snapToGrid w:val="0"/>
        <w:spacing w:line="400" w:lineRule="exact"/>
        <w:ind w:firstLine="482" w:firstLineChars="200"/>
        <w:outlineLvl w:val="1"/>
        <w:rPr>
          <w:rFonts w:ascii="宋体" w:hAnsi="宋体" w:cs="宋体"/>
          <w:b/>
          <w:color w:val="auto"/>
          <w:sz w:val="24"/>
          <w:highlight w:val="none"/>
        </w:rPr>
      </w:pPr>
      <w:bookmarkStart w:id="166" w:name="_Toc6247"/>
      <w:bookmarkStart w:id="167" w:name="_Toc29513"/>
      <w:bookmarkStart w:id="168" w:name="_Toc2438"/>
      <w:bookmarkStart w:id="169" w:name="_Toc32594"/>
      <w:bookmarkStart w:id="170" w:name="_Toc65660362"/>
      <w:r>
        <w:rPr>
          <w:rFonts w:hint="eastAsia" w:ascii="宋体" w:hAnsi="宋体" w:cs="宋体"/>
          <w:b/>
          <w:color w:val="auto"/>
          <w:sz w:val="24"/>
          <w:highlight w:val="none"/>
        </w:rPr>
        <w:t>八、采购代理服务费</w:t>
      </w:r>
      <w:bookmarkEnd w:id="166"/>
      <w:bookmarkEnd w:id="167"/>
      <w:bookmarkEnd w:id="168"/>
      <w:bookmarkEnd w:id="169"/>
      <w:bookmarkEnd w:id="170"/>
    </w:p>
    <w:p w14:paraId="2DD5D2DD">
      <w:pPr>
        <w:spacing w:line="400" w:lineRule="exact"/>
        <w:ind w:firstLine="360" w:firstLineChars="150"/>
        <w:rPr>
          <w:rFonts w:hint="default" w:ascii="宋体" w:hAnsi="宋体" w:eastAsia="宋体" w:cs="宋体"/>
          <w:color w:val="auto"/>
          <w:sz w:val="24"/>
          <w:highlight w:val="none"/>
          <w:lang w:val="en-US" w:eastAsia="zh-CN"/>
        </w:rPr>
      </w:pPr>
      <w:bookmarkStart w:id="171" w:name="_Toc65660363"/>
      <w:bookmarkStart w:id="172" w:name="_Toc9730"/>
      <w:bookmarkStart w:id="173" w:name="_Toc15521"/>
      <w:bookmarkStart w:id="174" w:name="_Toc4867"/>
      <w:r>
        <w:rPr>
          <w:rFonts w:hint="eastAsia" w:ascii="宋体" w:hAnsi="宋体" w:cs="宋体"/>
          <w:color w:val="auto"/>
          <w:sz w:val="24"/>
          <w:highlight w:val="none"/>
        </w:rPr>
        <w:t>成交供应商在领取成交通知书前一次性向采购代理机构缴纳采购代理服务费人民币</w:t>
      </w:r>
      <w:r>
        <w:rPr>
          <w:rFonts w:hint="eastAsia" w:ascii="宋体" w:hAnsi="宋体" w:cs="宋体"/>
          <w:color w:val="auto"/>
          <w:sz w:val="24"/>
          <w:highlight w:val="none"/>
          <w:lang w:val="en-US" w:eastAsia="zh-CN"/>
        </w:rPr>
        <w:t>36</w:t>
      </w:r>
      <w:r>
        <w:rPr>
          <w:rFonts w:hint="eastAsia" w:ascii="宋体" w:hAnsi="宋体" w:cs="宋体"/>
          <w:color w:val="auto"/>
          <w:sz w:val="24"/>
          <w:highlight w:val="none"/>
        </w:rPr>
        <w:t>00元。</w:t>
      </w:r>
      <w:r>
        <w:rPr>
          <w:rFonts w:hint="eastAsia" w:ascii="宋体" w:hAnsi="宋体" w:cs="宋体"/>
          <w:color w:val="auto"/>
          <w:sz w:val="24"/>
          <w:highlight w:val="none"/>
          <w:lang w:val="en-US" w:eastAsia="zh-CN"/>
        </w:rPr>
        <w:t>此费用包含在投标报价中，不得单列。</w:t>
      </w:r>
    </w:p>
    <w:p w14:paraId="6350A7DC">
      <w:pPr>
        <w:spacing w:line="4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采购代理服务费收款账户信息：</w:t>
      </w:r>
    </w:p>
    <w:p w14:paraId="15796BCF">
      <w:pPr>
        <w:spacing w:line="4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户  名：重庆靖正恒悦项目管理有限公司</w:t>
      </w:r>
    </w:p>
    <w:p w14:paraId="021004FD">
      <w:pPr>
        <w:spacing w:line="4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开户行：浙商银行重庆沙坪坝支行</w:t>
      </w:r>
    </w:p>
    <w:p w14:paraId="190254A4">
      <w:pPr>
        <w:spacing w:line="4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账  号：6530000810120100049709</w:t>
      </w:r>
    </w:p>
    <w:bookmarkEnd w:id="100"/>
    <w:bookmarkEnd w:id="171"/>
    <w:bookmarkEnd w:id="172"/>
    <w:bookmarkEnd w:id="173"/>
    <w:bookmarkEnd w:id="174"/>
    <w:p w14:paraId="65B79BF7">
      <w:pPr>
        <w:rPr>
          <w:rFonts w:ascii="宋体" w:hAnsi="宋体" w:cs="宋体"/>
          <w:b/>
          <w:bCs/>
          <w:color w:val="auto"/>
          <w:sz w:val="30"/>
          <w:szCs w:val="30"/>
          <w:highlight w:val="none"/>
        </w:rPr>
      </w:pPr>
      <w:bookmarkStart w:id="175" w:name="_Toc12789059"/>
      <w:bookmarkStart w:id="176" w:name="_Toc11641055"/>
      <w:bookmarkStart w:id="177" w:name="_Toc65660365"/>
      <w:bookmarkStart w:id="178" w:name="_Toc19901"/>
      <w:bookmarkStart w:id="179" w:name="_Toc10599"/>
      <w:bookmarkStart w:id="180" w:name="_Toc28162"/>
      <w:bookmarkStart w:id="181" w:name="_Toc14861"/>
      <w:r>
        <w:rPr>
          <w:rFonts w:hint="eastAsia" w:ascii="宋体" w:hAnsi="宋体" w:cs="宋体"/>
          <w:b/>
          <w:bCs/>
          <w:color w:val="auto"/>
          <w:sz w:val="30"/>
          <w:szCs w:val="30"/>
          <w:highlight w:val="none"/>
        </w:rPr>
        <w:br w:type="page"/>
      </w:r>
    </w:p>
    <w:p w14:paraId="36664F3E">
      <w:pPr>
        <w:pStyle w:val="2"/>
        <w:jc w:val="center"/>
        <w:rPr>
          <w:rFonts w:hAnsi="宋体" w:cs="宋体"/>
          <w:b/>
          <w:bCs/>
          <w:color w:val="auto"/>
          <w:sz w:val="30"/>
          <w:szCs w:val="30"/>
          <w:highlight w:val="none"/>
        </w:rPr>
      </w:pPr>
      <w:bookmarkStart w:id="182" w:name="_Toc21218"/>
      <w:r>
        <w:rPr>
          <w:rFonts w:hint="eastAsia" w:hAnsi="宋体" w:cs="宋体"/>
          <w:b/>
          <w:bCs/>
          <w:color w:val="auto"/>
          <w:sz w:val="30"/>
          <w:szCs w:val="30"/>
          <w:highlight w:val="none"/>
        </w:rPr>
        <w:t xml:space="preserve">第六篇  </w:t>
      </w:r>
      <w:bookmarkEnd w:id="175"/>
      <w:bookmarkEnd w:id="176"/>
      <w:r>
        <w:rPr>
          <w:rFonts w:hint="eastAsia" w:hAnsi="宋体" w:cs="宋体"/>
          <w:b/>
          <w:bCs/>
          <w:color w:val="auto"/>
          <w:sz w:val="30"/>
          <w:szCs w:val="30"/>
          <w:highlight w:val="none"/>
        </w:rPr>
        <w:t>合同草案条款</w:t>
      </w:r>
      <w:bookmarkEnd w:id="177"/>
      <w:bookmarkEnd w:id="178"/>
      <w:bookmarkEnd w:id="179"/>
      <w:bookmarkEnd w:id="180"/>
      <w:bookmarkEnd w:id="181"/>
      <w:bookmarkEnd w:id="182"/>
    </w:p>
    <w:p w14:paraId="3432B65B">
      <w:pPr>
        <w:spacing w:line="480" w:lineRule="exact"/>
        <w:jc w:val="center"/>
        <w:rPr>
          <w:rStyle w:val="259"/>
          <w:rFonts w:ascii="宋体" w:hAnsi="宋体" w:cs="宋体"/>
          <w:b/>
          <w:color w:val="auto"/>
          <w:sz w:val="36"/>
          <w:szCs w:val="36"/>
          <w:highlight w:val="none"/>
        </w:rPr>
      </w:pPr>
    </w:p>
    <w:p w14:paraId="5DF79A42">
      <w:pPr>
        <w:spacing w:line="480" w:lineRule="exact"/>
        <w:jc w:val="center"/>
        <w:rPr>
          <w:rStyle w:val="259"/>
          <w:rFonts w:ascii="宋体" w:hAnsi="宋体" w:cs="宋体"/>
          <w:b/>
          <w:color w:val="auto"/>
          <w:sz w:val="36"/>
          <w:szCs w:val="36"/>
          <w:highlight w:val="none"/>
        </w:rPr>
      </w:pPr>
    </w:p>
    <w:p w14:paraId="40CFED50">
      <w:pPr>
        <w:spacing w:line="480" w:lineRule="exact"/>
        <w:jc w:val="center"/>
        <w:rPr>
          <w:rStyle w:val="259"/>
          <w:rFonts w:ascii="宋体" w:hAnsi="宋体" w:cs="宋体"/>
          <w:b/>
          <w:color w:val="auto"/>
          <w:sz w:val="36"/>
          <w:szCs w:val="36"/>
          <w:highlight w:val="none"/>
        </w:rPr>
      </w:pPr>
    </w:p>
    <w:p w14:paraId="4FC14A1F">
      <w:pPr>
        <w:jc w:val="center"/>
        <w:rPr>
          <w:b/>
          <w:bCs/>
          <w:color w:val="auto"/>
          <w:highlight w:val="none"/>
        </w:rPr>
      </w:pPr>
      <w:r>
        <w:rPr>
          <w:rFonts w:hint="eastAsia"/>
          <w:b/>
          <w:bCs/>
          <w:color w:val="auto"/>
          <w:highlight w:val="none"/>
        </w:rPr>
        <w:t>货物采购合同</w:t>
      </w:r>
    </w:p>
    <w:p w14:paraId="537605BE">
      <w:pPr>
        <w:tabs>
          <w:tab w:val="left" w:pos="8820"/>
        </w:tabs>
        <w:rPr>
          <w:rStyle w:val="259"/>
          <w:rFonts w:ascii="宋体" w:hAnsi="宋体" w:cs="宋体"/>
          <w:b/>
          <w:color w:val="auto"/>
          <w:szCs w:val="28"/>
          <w:highlight w:val="none"/>
        </w:rPr>
      </w:pPr>
      <w:r>
        <w:rPr>
          <w:rStyle w:val="259"/>
          <w:rFonts w:hint="eastAsia" w:ascii="宋体" w:hAnsi="宋体" w:cs="宋体"/>
          <w:b/>
          <w:color w:val="auto"/>
          <w:szCs w:val="28"/>
          <w:highlight w:val="none"/>
        </w:rPr>
        <w:t xml:space="preserve">                                                        </w:t>
      </w:r>
    </w:p>
    <w:p w14:paraId="6E4AC1CE">
      <w:pPr>
        <w:tabs>
          <w:tab w:val="left" w:pos="8820"/>
        </w:tabs>
        <w:rPr>
          <w:rStyle w:val="259"/>
          <w:rFonts w:ascii="宋体" w:hAnsi="宋体" w:cs="宋体"/>
          <w:b/>
          <w:color w:val="auto"/>
          <w:szCs w:val="28"/>
          <w:highlight w:val="none"/>
        </w:rPr>
      </w:pPr>
    </w:p>
    <w:p w14:paraId="7C1743A6">
      <w:pPr>
        <w:tabs>
          <w:tab w:val="left" w:pos="8820"/>
        </w:tabs>
        <w:ind w:firstLine="4819" w:firstLineChars="2000"/>
        <w:rPr>
          <w:rStyle w:val="259"/>
          <w:rFonts w:ascii="宋体" w:hAnsi="宋体" w:cs="宋体"/>
          <w:b/>
          <w:color w:val="auto"/>
          <w:sz w:val="24"/>
          <w:szCs w:val="24"/>
          <w:highlight w:val="none"/>
        </w:rPr>
      </w:pPr>
      <w:r>
        <w:rPr>
          <w:rStyle w:val="259"/>
          <w:rFonts w:hint="eastAsia" w:ascii="宋体" w:hAnsi="宋体" w:cs="宋体"/>
          <w:b/>
          <w:color w:val="auto"/>
          <w:sz w:val="24"/>
          <w:szCs w:val="24"/>
          <w:highlight w:val="none"/>
        </w:rPr>
        <w:t>合 同 编 号：</w:t>
      </w:r>
      <w:r>
        <w:rPr>
          <w:rStyle w:val="259"/>
          <w:rFonts w:hint="eastAsia" w:ascii="宋体" w:hAnsi="宋体" w:cs="宋体"/>
          <w:b/>
          <w:color w:val="auto"/>
          <w:sz w:val="24"/>
          <w:szCs w:val="24"/>
          <w:highlight w:val="none"/>
          <w:u w:val="single" w:color="000000"/>
        </w:rPr>
        <w:t xml:space="preserve">                   </w:t>
      </w:r>
      <w:r>
        <w:rPr>
          <w:rStyle w:val="259"/>
          <w:rFonts w:hint="eastAsia" w:ascii="宋体" w:hAnsi="宋体" w:cs="宋体"/>
          <w:b/>
          <w:color w:val="auto"/>
          <w:sz w:val="24"/>
          <w:szCs w:val="24"/>
          <w:highlight w:val="none"/>
        </w:rPr>
        <w:t xml:space="preserve">   </w:t>
      </w:r>
    </w:p>
    <w:p w14:paraId="1F9E71F4">
      <w:pPr>
        <w:spacing w:line="300" w:lineRule="auto"/>
        <w:jc w:val="center"/>
        <w:rPr>
          <w:rStyle w:val="259"/>
          <w:rFonts w:ascii="宋体" w:hAnsi="宋体" w:cs="宋体"/>
          <w:bCs/>
          <w:color w:val="auto"/>
          <w:sz w:val="24"/>
          <w:szCs w:val="24"/>
          <w:highlight w:val="none"/>
        </w:rPr>
      </w:pPr>
      <w:r>
        <w:rPr>
          <w:rStyle w:val="259"/>
          <w:rFonts w:hint="eastAsia" w:ascii="宋体" w:hAnsi="宋体" w:cs="宋体"/>
          <w:b/>
          <w:color w:val="auto"/>
          <w:sz w:val="24"/>
          <w:szCs w:val="24"/>
          <w:highlight w:val="none"/>
        </w:rPr>
        <w:t xml:space="preserve">               合同签订地点：</w:t>
      </w:r>
      <w:r>
        <w:rPr>
          <w:rStyle w:val="259"/>
          <w:rFonts w:hint="eastAsia" w:ascii="宋体" w:hAnsi="宋体" w:cs="宋体"/>
          <w:bCs/>
          <w:color w:val="auto"/>
          <w:sz w:val="24"/>
          <w:szCs w:val="24"/>
          <w:highlight w:val="none"/>
        </w:rPr>
        <w:t xml:space="preserve"> </w:t>
      </w:r>
      <w:r>
        <w:rPr>
          <w:rStyle w:val="259"/>
          <w:rFonts w:hint="eastAsia" w:ascii="宋体" w:hAnsi="宋体" w:cs="宋体"/>
          <w:bCs/>
          <w:color w:val="auto"/>
          <w:sz w:val="24"/>
          <w:szCs w:val="24"/>
          <w:highlight w:val="none"/>
          <w:u w:val="single"/>
        </w:rPr>
        <w:t xml:space="preserve">                  </w:t>
      </w:r>
      <w:r>
        <w:rPr>
          <w:rStyle w:val="259"/>
          <w:rFonts w:hint="eastAsia" w:ascii="宋体" w:hAnsi="宋体" w:cs="宋体"/>
          <w:bCs/>
          <w:color w:val="auto"/>
          <w:sz w:val="24"/>
          <w:szCs w:val="24"/>
          <w:highlight w:val="none"/>
        </w:rPr>
        <w:t xml:space="preserve">                 </w:t>
      </w:r>
      <w:r>
        <w:rPr>
          <w:rStyle w:val="259"/>
          <w:rFonts w:hint="eastAsia" w:ascii="宋体" w:hAnsi="宋体" w:cs="宋体"/>
          <w:bCs/>
          <w:color w:val="auto"/>
          <w:sz w:val="24"/>
          <w:szCs w:val="24"/>
          <w:highlight w:val="none"/>
          <w:u w:val="single"/>
        </w:rPr>
        <w:t xml:space="preserve">  </w:t>
      </w:r>
      <w:r>
        <w:rPr>
          <w:rStyle w:val="259"/>
          <w:rFonts w:hint="eastAsia" w:ascii="宋体" w:hAnsi="宋体" w:cs="宋体"/>
          <w:bCs/>
          <w:color w:val="auto"/>
          <w:sz w:val="24"/>
          <w:szCs w:val="24"/>
          <w:highlight w:val="none"/>
          <w:u w:val="single" w:color="000000"/>
        </w:rPr>
        <w:t xml:space="preserve">        </w:t>
      </w:r>
      <w:r>
        <w:rPr>
          <w:rStyle w:val="259"/>
          <w:rFonts w:hint="eastAsia" w:ascii="宋体" w:hAnsi="宋体" w:cs="宋体"/>
          <w:bCs/>
          <w:color w:val="auto"/>
          <w:sz w:val="24"/>
          <w:szCs w:val="24"/>
          <w:highlight w:val="none"/>
        </w:rPr>
        <w:t xml:space="preserve"> </w:t>
      </w:r>
    </w:p>
    <w:p w14:paraId="0C6CB72C">
      <w:pPr>
        <w:spacing w:line="300" w:lineRule="auto"/>
        <w:jc w:val="center"/>
        <w:rPr>
          <w:rStyle w:val="259"/>
          <w:rFonts w:ascii="宋体" w:hAnsi="宋体" w:cs="宋体"/>
          <w:bCs/>
          <w:color w:val="auto"/>
          <w:sz w:val="24"/>
          <w:szCs w:val="24"/>
          <w:highlight w:val="none"/>
        </w:rPr>
      </w:pPr>
    </w:p>
    <w:p w14:paraId="403CCF47">
      <w:pPr>
        <w:spacing w:line="300" w:lineRule="auto"/>
        <w:rPr>
          <w:rStyle w:val="259"/>
          <w:rFonts w:ascii="宋体" w:hAnsi="宋体" w:cs="宋体"/>
          <w:b w:val="0"/>
          <w:bCs/>
          <w:color w:val="auto"/>
          <w:sz w:val="24"/>
          <w:szCs w:val="24"/>
          <w:highlight w:val="none"/>
        </w:rPr>
      </w:pPr>
      <w:r>
        <w:rPr>
          <w:rStyle w:val="259"/>
          <w:rFonts w:hint="eastAsia" w:ascii="宋体" w:hAnsi="宋体" w:cs="宋体"/>
          <w:b w:val="0"/>
          <w:bCs/>
          <w:color w:val="auto"/>
          <w:sz w:val="24"/>
          <w:szCs w:val="24"/>
          <w:highlight w:val="none"/>
        </w:rPr>
        <w:t>购货方（甲方）                             供货方（乙方）</w:t>
      </w:r>
    </w:p>
    <w:tbl>
      <w:tblPr>
        <w:tblStyle w:val="59"/>
        <w:tblW w:w="9407" w:type="dxa"/>
        <w:tblInd w:w="-47" w:type="dxa"/>
        <w:tblLayout w:type="fixed"/>
        <w:tblCellMar>
          <w:top w:w="0" w:type="dxa"/>
          <w:left w:w="0" w:type="dxa"/>
          <w:bottom w:w="0" w:type="dxa"/>
          <w:right w:w="0" w:type="dxa"/>
        </w:tblCellMar>
      </w:tblPr>
      <w:tblGrid>
        <w:gridCol w:w="4547"/>
        <w:gridCol w:w="4860"/>
      </w:tblGrid>
      <w:tr w14:paraId="39591B26">
        <w:tblPrEx>
          <w:tblCellMar>
            <w:top w:w="0" w:type="dxa"/>
            <w:left w:w="0" w:type="dxa"/>
            <w:bottom w:w="0" w:type="dxa"/>
            <w:right w:w="0" w:type="dxa"/>
          </w:tblCellMar>
        </w:tblPrEx>
        <w:trPr>
          <w:trHeight w:val="567" w:hRule="atLeast"/>
        </w:trPr>
        <w:tc>
          <w:tcPr>
            <w:tcW w:w="4547" w:type="dxa"/>
            <w:tcBorders>
              <w:top w:val="nil"/>
              <w:left w:val="nil"/>
              <w:bottom w:val="nil"/>
              <w:right w:val="nil"/>
            </w:tcBorders>
            <w:vAlign w:val="center"/>
          </w:tcPr>
          <w:p w14:paraId="16ED0630">
            <w:pPr>
              <w:keepNext w:val="0"/>
              <w:keepLines w:val="0"/>
              <w:suppressLineNumbers w:val="0"/>
              <w:spacing w:before="0" w:beforeAutospacing="0" w:after="0" w:afterAutospacing="0" w:line="240" w:lineRule="exact"/>
              <w:ind w:left="0" w:right="0"/>
              <w:jc w:val="left"/>
              <w:textAlignment w:val="center"/>
              <w:rPr>
                <w:rStyle w:val="259"/>
                <w:rFonts w:hint="default" w:ascii="宋体" w:hAnsi="宋体" w:cs="宋体"/>
                <w:b w:val="0"/>
                <w:bCs/>
                <w:color w:val="auto"/>
                <w:sz w:val="24"/>
                <w:szCs w:val="24"/>
                <w:highlight w:val="none"/>
              </w:rPr>
            </w:pPr>
            <w:r>
              <w:rPr>
                <w:rStyle w:val="259"/>
                <w:rFonts w:hint="eastAsia" w:ascii="宋体" w:hAnsi="宋体" w:cs="宋体"/>
                <w:b w:val="0"/>
                <w:bCs/>
                <w:color w:val="auto"/>
                <w:sz w:val="24"/>
                <w:szCs w:val="24"/>
                <w:highlight w:val="none"/>
              </w:rPr>
              <w:t>单位名称：</w:t>
            </w:r>
            <w:r>
              <w:rPr>
                <w:rStyle w:val="259"/>
                <w:rFonts w:hint="eastAsia" w:ascii="宋体" w:hAnsi="宋体" w:cs="宋体"/>
                <w:b w:val="0"/>
                <w:bCs/>
                <w:color w:val="auto"/>
                <w:sz w:val="24"/>
                <w:szCs w:val="24"/>
                <w:highlight w:val="none"/>
                <w:lang w:eastAsia="zh-CN"/>
              </w:rPr>
              <w:t>北京市均豪物业管理股份有限公司重庆分公司</w:t>
            </w:r>
            <w:r>
              <w:rPr>
                <w:rStyle w:val="259"/>
                <w:rFonts w:hint="eastAsia" w:ascii="宋体" w:hAnsi="宋体" w:cs="宋体"/>
                <w:b w:val="0"/>
                <w:bCs/>
                <w:color w:val="auto"/>
                <w:sz w:val="24"/>
                <w:szCs w:val="24"/>
                <w:highlight w:val="none"/>
              </w:rPr>
              <w:t xml:space="preserve"> </w:t>
            </w:r>
          </w:p>
        </w:tc>
        <w:tc>
          <w:tcPr>
            <w:tcW w:w="4860" w:type="dxa"/>
            <w:tcBorders>
              <w:top w:val="nil"/>
              <w:left w:val="nil"/>
              <w:bottom w:val="nil"/>
              <w:right w:val="nil"/>
            </w:tcBorders>
            <w:vAlign w:val="center"/>
          </w:tcPr>
          <w:p w14:paraId="22BEB204">
            <w:pPr>
              <w:keepNext w:val="0"/>
              <w:keepLines w:val="0"/>
              <w:suppressLineNumbers w:val="0"/>
              <w:spacing w:before="0" w:beforeAutospacing="0" w:after="0" w:afterAutospacing="0" w:line="240" w:lineRule="exact"/>
              <w:ind w:left="0" w:right="0"/>
              <w:jc w:val="left"/>
              <w:textAlignment w:val="center"/>
              <w:rPr>
                <w:rStyle w:val="259"/>
                <w:rFonts w:hint="default" w:ascii="宋体" w:hAnsi="宋体" w:cs="宋体"/>
                <w:b w:val="0"/>
                <w:bCs/>
                <w:color w:val="auto"/>
                <w:sz w:val="24"/>
                <w:szCs w:val="24"/>
                <w:highlight w:val="none"/>
              </w:rPr>
            </w:pPr>
            <w:r>
              <w:rPr>
                <w:rStyle w:val="259"/>
                <w:rFonts w:hint="eastAsia" w:ascii="宋体" w:hAnsi="宋体" w:cs="宋体"/>
                <w:b w:val="0"/>
                <w:bCs/>
                <w:color w:val="auto"/>
                <w:sz w:val="24"/>
                <w:szCs w:val="24"/>
                <w:highlight w:val="none"/>
              </w:rPr>
              <w:t>单位名称:</w:t>
            </w:r>
          </w:p>
        </w:tc>
      </w:tr>
      <w:tr w14:paraId="2326E166">
        <w:tblPrEx>
          <w:tblCellMar>
            <w:top w:w="0" w:type="dxa"/>
            <w:left w:w="0" w:type="dxa"/>
            <w:bottom w:w="0" w:type="dxa"/>
            <w:right w:w="0" w:type="dxa"/>
          </w:tblCellMar>
        </w:tblPrEx>
        <w:trPr>
          <w:trHeight w:val="575" w:hRule="atLeast"/>
        </w:trPr>
        <w:tc>
          <w:tcPr>
            <w:tcW w:w="4547" w:type="dxa"/>
            <w:tcBorders>
              <w:top w:val="nil"/>
              <w:left w:val="nil"/>
              <w:bottom w:val="nil"/>
              <w:right w:val="nil"/>
            </w:tcBorders>
            <w:vAlign w:val="center"/>
          </w:tcPr>
          <w:p w14:paraId="33E090E5">
            <w:pPr>
              <w:keepNext w:val="0"/>
              <w:keepLines w:val="0"/>
              <w:suppressLineNumbers w:val="0"/>
              <w:spacing w:before="0" w:beforeAutospacing="0" w:after="0" w:afterAutospacing="0" w:line="240" w:lineRule="exact"/>
              <w:ind w:left="0" w:right="0"/>
              <w:jc w:val="left"/>
              <w:textAlignment w:val="center"/>
              <w:rPr>
                <w:rStyle w:val="259"/>
                <w:rFonts w:hint="default" w:ascii="宋体" w:hAnsi="宋体" w:cs="宋体"/>
                <w:b w:val="0"/>
                <w:bCs/>
                <w:color w:val="auto"/>
                <w:sz w:val="24"/>
                <w:szCs w:val="24"/>
                <w:highlight w:val="none"/>
              </w:rPr>
            </w:pPr>
            <w:r>
              <w:rPr>
                <w:rStyle w:val="259"/>
                <w:rFonts w:hint="eastAsia" w:ascii="宋体" w:hAnsi="宋体" w:cs="宋体"/>
                <w:b w:val="0"/>
                <w:bCs/>
                <w:color w:val="auto"/>
                <w:sz w:val="24"/>
                <w:szCs w:val="24"/>
                <w:highlight w:val="none"/>
              </w:rPr>
              <w:t>公司地址：</w:t>
            </w:r>
          </w:p>
        </w:tc>
        <w:tc>
          <w:tcPr>
            <w:tcW w:w="4860" w:type="dxa"/>
            <w:tcBorders>
              <w:top w:val="nil"/>
              <w:left w:val="nil"/>
              <w:bottom w:val="nil"/>
              <w:right w:val="nil"/>
            </w:tcBorders>
            <w:vAlign w:val="center"/>
          </w:tcPr>
          <w:p w14:paraId="0E7F715C">
            <w:pPr>
              <w:keepNext w:val="0"/>
              <w:keepLines w:val="0"/>
              <w:suppressLineNumbers w:val="0"/>
              <w:spacing w:before="0" w:beforeAutospacing="0" w:after="0" w:afterAutospacing="0" w:line="240" w:lineRule="exact"/>
              <w:ind w:left="0" w:right="0"/>
              <w:jc w:val="left"/>
              <w:textAlignment w:val="center"/>
              <w:rPr>
                <w:rStyle w:val="259"/>
                <w:rFonts w:hint="default" w:ascii="宋体" w:hAnsi="宋体" w:cs="宋体"/>
                <w:b w:val="0"/>
                <w:bCs/>
                <w:color w:val="auto"/>
                <w:sz w:val="24"/>
                <w:szCs w:val="24"/>
                <w:highlight w:val="none"/>
              </w:rPr>
            </w:pPr>
            <w:r>
              <w:rPr>
                <w:rStyle w:val="259"/>
                <w:rFonts w:hint="eastAsia" w:ascii="宋体" w:hAnsi="宋体" w:cs="宋体"/>
                <w:b w:val="0"/>
                <w:bCs/>
                <w:color w:val="auto"/>
                <w:sz w:val="24"/>
                <w:szCs w:val="24"/>
                <w:highlight w:val="none"/>
              </w:rPr>
              <w:t>公司地址：</w:t>
            </w:r>
          </w:p>
        </w:tc>
      </w:tr>
      <w:tr w14:paraId="6690E554">
        <w:tblPrEx>
          <w:tblCellMar>
            <w:top w:w="0" w:type="dxa"/>
            <w:left w:w="0" w:type="dxa"/>
            <w:bottom w:w="0" w:type="dxa"/>
            <w:right w:w="0" w:type="dxa"/>
          </w:tblCellMar>
        </w:tblPrEx>
        <w:trPr>
          <w:trHeight w:val="560" w:hRule="atLeast"/>
        </w:trPr>
        <w:tc>
          <w:tcPr>
            <w:tcW w:w="4547" w:type="dxa"/>
            <w:tcBorders>
              <w:top w:val="nil"/>
              <w:left w:val="nil"/>
              <w:bottom w:val="nil"/>
              <w:right w:val="nil"/>
            </w:tcBorders>
            <w:vAlign w:val="center"/>
          </w:tcPr>
          <w:p w14:paraId="4639858B">
            <w:pPr>
              <w:keepNext w:val="0"/>
              <w:keepLines w:val="0"/>
              <w:suppressLineNumbers w:val="0"/>
              <w:spacing w:before="0" w:beforeAutospacing="0" w:after="0" w:afterAutospacing="0" w:line="240" w:lineRule="exact"/>
              <w:ind w:left="0" w:right="0"/>
              <w:jc w:val="left"/>
              <w:textAlignment w:val="center"/>
              <w:rPr>
                <w:rStyle w:val="259"/>
                <w:rFonts w:hint="default" w:ascii="宋体" w:hAnsi="宋体" w:cs="宋体"/>
                <w:b w:val="0"/>
                <w:bCs/>
                <w:color w:val="auto"/>
                <w:sz w:val="24"/>
                <w:szCs w:val="24"/>
                <w:highlight w:val="none"/>
              </w:rPr>
            </w:pPr>
            <w:r>
              <w:rPr>
                <w:rStyle w:val="259"/>
                <w:rFonts w:hint="eastAsia" w:ascii="宋体" w:hAnsi="宋体" w:cs="宋体"/>
                <w:b w:val="0"/>
                <w:bCs/>
                <w:color w:val="auto"/>
                <w:sz w:val="24"/>
                <w:szCs w:val="24"/>
                <w:highlight w:val="none"/>
              </w:rPr>
              <w:t>电话：</w:t>
            </w:r>
          </w:p>
        </w:tc>
        <w:tc>
          <w:tcPr>
            <w:tcW w:w="4860" w:type="dxa"/>
            <w:tcBorders>
              <w:top w:val="nil"/>
              <w:left w:val="nil"/>
              <w:bottom w:val="nil"/>
              <w:right w:val="nil"/>
            </w:tcBorders>
            <w:vAlign w:val="center"/>
          </w:tcPr>
          <w:p w14:paraId="43937F87">
            <w:pPr>
              <w:keepNext w:val="0"/>
              <w:keepLines w:val="0"/>
              <w:suppressLineNumbers w:val="0"/>
              <w:spacing w:before="0" w:beforeAutospacing="0" w:after="0" w:afterAutospacing="0" w:line="240" w:lineRule="exact"/>
              <w:ind w:left="0" w:right="0"/>
              <w:jc w:val="left"/>
              <w:textAlignment w:val="center"/>
              <w:rPr>
                <w:rStyle w:val="259"/>
                <w:rFonts w:hint="default" w:ascii="宋体" w:hAnsi="宋体" w:cs="宋体"/>
                <w:b w:val="0"/>
                <w:bCs/>
                <w:color w:val="auto"/>
                <w:sz w:val="24"/>
                <w:szCs w:val="24"/>
                <w:highlight w:val="none"/>
              </w:rPr>
            </w:pPr>
            <w:r>
              <w:rPr>
                <w:rStyle w:val="259"/>
                <w:rFonts w:hint="eastAsia" w:ascii="宋体" w:hAnsi="宋体" w:cs="宋体"/>
                <w:b w:val="0"/>
                <w:bCs/>
                <w:color w:val="auto"/>
                <w:sz w:val="24"/>
                <w:szCs w:val="24"/>
                <w:highlight w:val="none"/>
              </w:rPr>
              <w:t xml:space="preserve">电话： </w:t>
            </w:r>
          </w:p>
        </w:tc>
      </w:tr>
      <w:tr w14:paraId="6ED8E579">
        <w:tblPrEx>
          <w:tblCellMar>
            <w:top w:w="0" w:type="dxa"/>
            <w:left w:w="0" w:type="dxa"/>
            <w:bottom w:w="0" w:type="dxa"/>
            <w:right w:w="0" w:type="dxa"/>
          </w:tblCellMar>
        </w:tblPrEx>
        <w:trPr>
          <w:trHeight w:val="560" w:hRule="atLeast"/>
        </w:trPr>
        <w:tc>
          <w:tcPr>
            <w:tcW w:w="4547" w:type="dxa"/>
            <w:tcBorders>
              <w:top w:val="nil"/>
              <w:left w:val="nil"/>
              <w:bottom w:val="nil"/>
              <w:right w:val="nil"/>
            </w:tcBorders>
            <w:vAlign w:val="center"/>
          </w:tcPr>
          <w:p w14:paraId="637F69E0">
            <w:pPr>
              <w:keepNext w:val="0"/>
              <w:keepLines w:val="0"/>
              <w:suppressLineNumbers w:val="0"/>
              <w:spacing w:before="0" w:beforeAutospacing="0" w:after="0" w:afterAutospacing="0" w:line="240" w:lineRule="exact"/>
              <w:ind w:left="0" w:right="0"/>
              <w:jc w:val="left"/>
              <w:textAlignment w:val="center"/>
              <w:rPr>
                <w:rStyle w:val="259"/>
                <w:rFonts w:hint="default" w:ascii="宋体" w:hAnsi="宋体" w:cs="宋体"/>
                <w:b w:val="0"/>
                <w:bCs/>
                <w:color w:val="auto"/>
                <w:sz w:val="24"/>
                <w:szCs w:val="24"/>
                <w:highlight w:val="none"/>
              </w:rPr>
            </w:pPr>
            <w:r>
              <w:rPr>
                <w:rStyle w:val="259"/>
                <w:rFonts w:hint="eastAsia" w:ascii="宋体" w:hAnsi="宋体" w:cs="宋体"/>
                <w:b w:val="0"/>
                <w:bCs/>
                <w:color w:val="auto"/>
                <w:sz w:val="24"/>
                <w:szCs w:val="24"/>
                <w:highlight w:val="none"/>
              </w:rPr>
              <w:t xml:space="preserve">邮编： </w:t>
            </w:r>
          </w:p>
        </w:tc>
        <w:tc>
          <w:tcPr>
            <w:tcW w:w="4860" w:type="dxa"/>
            <w:tcBorders>
              <w:top w:val="nil"/>
              <w:left w:val="nil"/>
              <w:bottom w:val="nil"/>
              <w:right w:val="nil"/>
            </w:tcBorders>
            <w:vAlign w:val="center"/>
          </w:tcPr>
          <w:p w14:paraId="123B4E71">
            <w:pPr>
              <w:keepNext w:val="0"/>
              <w:keepLines w:val="0"/>
              <w:suppressLineNumbers w:val="0"/>
              <w:spacing w:before="0" w:beforeAutospacing="0" w:after="0" w:afterAutospacing="0" w:line="240" w:lineRule="exact"/>
              <w:ind w:left="0" w:right="0"/>
              <w:jc w:val="left"/>
              <w:textAlignment w:val="center"/>
              <w:rPr>
                <w:rStyle w:val="259"/>
                <w:rFonts w:hint="default" w:ascii="宋体" w:hAnsi="宋体" w:cs="宋体"/>
                <w:b w:val="0"/>
                <w:bCs/>
                <w:color w:val="auto"/>
                <w:sz w:val="24"/>
                <w:szCs w:val="24"/>
                <w:highlight w:val="none"/>
              </w:rPr>
            </w:pPr>
            <w:r>
              <w:rPr>
                <w:rStyle w:val="259"/>
                <w:rFonts w:hint="eastAsia" w:ascii="宋体" w:hAnsi="宋体" w:cs="宋体"/>
                <w:b w:val="0"/>
                <w:bCs/>
                <w:color w:val="auto"/>
                <w:sz w:val="24"/>
                <w:szCs w:val="24"/>
                <w:highlight w:val="none"/>
              </w:rPr>
              <w:t>邮编：</w:t>
            </w:r>
          </w:p>
        </w:tc>
      </w:tr>
      <w:tr w14:paraId="4D8440D8">
        <w:tblPrEx>
          <w:tblCellMar>
            <w:top w:w="0" w:type="dxa"/>
            <w:left w:w="0" w:type="dxa"/>
            <w:bottom w:w="0" w:type="dxa"/>
            <w:right w:w="0" w:type="dxa"/>
          </w:tblCellMar>
        </w:tblPrEx>
        <w:trPr>
          <w:trHeight w:val="560" w:hRule="atLeast"/>
        </w:trPr>
        <w:tc>
          <w:tcPr>
            <w:tcW w:w="4547" w:type="dxa"/>
            <w:tcBorders>
              <w:top w:val="nil"/>
              <w:left w:val="nil"/>
              <w:bottom w:val="nil"/>
              <w:right w:val="nil"/>
            </w:tcBorders>
            <w:vAlign w:val="center"/>
          </w:tcPr>
          <w:p w14:paraId="61A4B472">
            <w:pPr>
              <w:keepNext w:val="0"/>
              <w:keepLines w:val="0"/>
              <w:suppressLineNumbers w:val="0"/>
              <w:spacing w:before="0" w:beforeAutospacing="0" w:after="0" w:afterAutospacing="0" w:line="240" w:lineRule="exact"/>
              <w:ind w:left="0" w:right="0"/>
              <w:jc w:val="left"/>
              <w:textAlignment w:val="center"/>
              <w:rPr>
                <w:rStyle w:val="259"/>
                <w:rFonts w:hint="default" w:ascii="宋体" w:hAnsi="宋体" w:cs="宋体"/>
                <w:b w:val="0"/>
                <w:bCs/>
                <w:color w:val="auto"/>
                <w:sz w:val="24"/>
                <w:szCs w:val="24"/>
                <w:highlight w:val="none"/>
              </w:rPr>
            </w:pPr>
            <w:r>
              <w:rPr>
                <w:rStyle w:val="259"/>
                <w:rFonts w:hint="eastAsia" w:ascii="宋体" w:hAnsi="宋体" w:cs="宋体"/>
                <w:b w:val="0"/>
                <w:bCs/>
                <w:color w:val="auto"/>
                <w:sz w:val="24"/>
                <w:szCs w:val="24"/>
                <w:highlight w:val="none"/>
              </w:rPr>
              <w:t>开户银行：</w:t>
            </w:r>
          </w:p>
        </w:tc>
        <w:tc>
          <w:tcPr>
            <w:tcW w:w="4860" w:type="dxa"/>
            <w:tcBorders>
              <w:top w:val="nil"/>
              <w:left w:val="nil"/>
              <w:bottom w:val="nil"/>
              <w:right w:val="nil"/>
            </w:tcBorders>
            <w:vAlign w:val="center"/>
          </w:tcPr>
          <w:p w14:paraId="078E5B8B">
            <w:pPr>
              <w:keepNext w:val="0"/>
              <w:keepLines w:val="0"/>
              <w:suppressLineNumbers w:val="0"/>
              <w:spacing w:before="0" w:beforeAutospacing="0" w:after="0" w:afterAutospacing="0" w:line="240" w:lineRule="exact"/>
              <w:ind w:left="0" w:right="0"/>
              <w:jc w:val="left"/>
              <w:textAlignment w:val="center"/>
              <w:rPr>
                <w:rStyle w:val="259"/>
                <w:rFonts w:hint="default" w:ascii="宋体" w:hAnsi="宋体" w:cs="宋体"/>
                <w:b w:val="0"/>
                <w:bCs/>
                <w:color w:val="auto"/>
                <w:sz w:val="24"/>
                <w:szCs w:val="24"/>
                <w:highlight w:val="none"/>
              </w:rPr>
            </w:pPr>
            <w:r>
              <w:rPr>
                <w:rStyle w:val="259"/>
                <w:rFonts w:hint="eastAsia" w:ascii="宋体" w:hAnsi="宋体" w:cs="宋体"/>
                <w:b w:val="0"/>
                <w:bCs/>
                <w:color w:val="auto"/>
                <w:sz w:val="24"/>
                <w:szCs w:val="24"/>
                <w:highlight w:val="none"/>
              </w:rPr>
              <w:t>开户银行：</w:t>
            </w:r>
          </w:p>
        </w:tc>
      </w:tr>
      <w:tr w14:paraId="628E8A1A">
        <w:tblPrEx>
          <w:tblCellMar>
            <w:top w:w="0" w:type="dxa"/>
            <w:left w:w="0" w:type="dxa"/>
            <w:bottom w:w="0" w:type="dxa"/>
            <w:right w:w="0" w:type="dxa"/>
          </w:tblCellMar>
        </w:tblPrEx>
        <w:trPr>
          <w:trHeight w:val="560" w:hRule="atLeast"/>
        </w:trPr>
        <w:tc>
          <w:tcPr>
            <w:tcW w:w="4547" w:type="dxa"/>
            <w:tcBorders>
              <w:top w:val="nil"/>
              <w:left w:val="nil"/>
              <w:bottom w:val="nil"/>
              <w:right w:val="nil"/>
            </w:tcBorders>
            <w:vAlign w:val="center"/>
          </w:tcPr>
          <w:p w14:paraId="32B9B19B">
            <w:pPr>
              <w:keepNext w:val="0"/>
              <w:keepLines w:val="0"/>
              <w:suppressLineNumbers w:val="0"/>
              <w:spacing w:before="0" w:beforeAutospacing="0" w:after="0" w:afterAutospacing="0" w:line="240" w:lineRule="exact"/>
              <w:ind w:left="0" w:right="0"/>
              <w:jc w:val="left"/>
              <w:textAlignment w:val="center"/>
              <w:rPr>
                <w:rStyle w:val="259"/>
                <w:rFonts w:hint="default" w:ascii="宋体" w:hAnsi="宋体" w:cs="宋体"/>
                <w:b w:val="0"/>
                <w:bCs/>
                <w:color w:val="auto"/>
                <w:sz w:val="24"/>
                <w:szCs w:val="24"/>
                <w:highlight w:val="none"/>
              </w:rPr>
            </w:pPr>
            <w:r>
              <w:rPr>
                <w:rStyle w:val="259"/>
                <w:rFonts w:hint="eastAsia" w:ascii="宋体" w:hAnsi="宋体" w:cs="宋体"/>
                <w:b w:val="0"/>
                <w:bCs/>
                <w:color w:val="auto"/>
                <w:sz w:val="24"/>
                <w:szCs w:val="24"/>
                <w:highlight w:val="none"/>
              </w:rPr>
              <w:t xml:space="preserve">银行帐号： </w:t>
            </w:r>
          </w:p>
        </w:tc>
        <w:tc>
          <w:tcPr>
            <w:tcW w:w="4860" w:type="dxa"/>
            <w:tcBorders>
              <w:top w:val="nil"/>
              <w:left w:val="nil"/>
              <w:bottom w:val="nil"/>
              <w:right w:val="nil"/>
            </w:tcBorders>
            <w:vAlign w:val="center"/>
          </w:tcPr>
          <w:p w14:paraId="1F3EC5EB">
            <w:pPr>
              <w:keepNext w:val="0"/>
              <w:keepLines w:val="0"/>
              <w:suppressLineNumbers w:val="0"/>
              <w:spacing w:before="0" w:beforeAutospacing="0" w:after="0" w:afterAutospacing="0" w:line="240" w:lineRule="exact"/>
              <w:ind w:left="0" w:right="0"/>
              <w:jc w:val="left"/>
              <w:textAlignment w:val="center"/>
              <w:rPr>
                <w:rStyle w:val="259"/>
                <w:rFonts w:hint="default" w:ascii="宋体" w:hAnsi="宋体" w:cs="宋体"/>
                <w:b w:val="0"/>
                <w:bCs/>
                <w:color w:val="auto"/>
                <w:sz w:val="24"/>
                <w:szCs w:val="24"/>
                <w:highlight w:val="none"/>
              </w:rPr>
            </w:pPr>
            <w:r>
              <w:rPr>
                <w:rStyle w:val="259"/>
                <w:rFonts w:hint="eastAsia" w:ascii="宋体" w:hAnsi="宋体" w:cs="宋体"/>
                <w:b w:val="0"/>
                <w:bCs/>
                <w:color w:val="auto"/>
                <w:sz w:val="24"/>
                <w:szCs w:val="24"/>
                <w:highlight w:val="none"/>
              </w:rPr>
              <w:t>银行帐号：</w:t>
            </w:r>
          </w:p>
        </w:tc>
      </w:tr>
      <w:tr w14:paraId="3A0F71CA">
        <w:tblPrEx>
          <w:tblCellMar>
            <w:top w:w="0" w:type="dxa"/>
            <w:left w:w="0" w:type="dxa"/>
            <w:bottom w:w="0" w:type="dxa"/>
            <w:right w:w="0" w:type="dxa"/>
          </w:tblCellMar>
        </w:tblPrEx>
        <w:trPr>
          <w:trHeight w:val="560" w:hRule="atLeast"/>
        </w:trPr>
        <w:tc>
          <w:tcPr>
            <w:tcW w:w="4547" w:type="dxa"/>
            <w:tcBorders>
              <w:top w:val="nil"/>
              <w:left w:val="nil"/>
              <w:bottom w:val="nil"/>
              <w:right w:val="nil"/>
            </w:tcBorders>
            <w:vAlign w:val="center"/>
          </w:tcPr>
          <w:p w14:paraId="7CC95F88">
            <w:pPr>
              <w:keepNext w:val="0"/>
              <w:keepLines w:val="0"/>
              <w:suppressLineNumbers w:val="0"/>
              <w:spacing w:before="0" w:beforeAutospacing="0" w:after="0" w:afterAutospacing="0" w:line="240" w:lineRule="exact"/>
              <w:ind w:left="0" w:right="0"/>
              <w:jc w:val="left"/>
              <w:textAlignment w:val="center"/>
              <w:rPr>
                <w:rStyle w:val="259"/>
                <w:rFonts w:hint="default" w:ascii="宋体" w:hAnsi="宋体" w:cs="宋体"/>
                <w:b w:val="0"/>
                <w:bCs/>
                <w:color w:val="auto"/>
                <w:sz w:val="24"/>
                <w:szCs w:val="24"/>
                <w:highlight w:val="none"/>
              </w:rPr>
            </w:pPr>
            <w:r>
              <w:rPr>
                <w:rStyle w:val="259"/>
                <w:rFonts w:hint="eastAsia" w:ascii="宋体" w:hAnsi="宋体" w:cs="宋体"/>
                <w:b w:val="0"/>
                <w:bCs/>
                <w:color w:val="auto"/>
                <w:sz w:val="24"/>
                <w:szCs w:val="24"/>
                <w:highlight w:val="none"/>
              </w:rPr>
              <w:t>统一社会信用代码：</w:t>
            </w:r>
          </w:p>
        </w:tc>
        <w:tc>
          <w:tcPr>
            <w:tcW w:w="4860" w:type="dxa"/>
            <w:tcBorders>
              <w:top w:val="nil"/>
              <w:left w:val="nil"/>
              <w:bottom w:val="nil"/>
              <w:right w:val="nil"/>
            </w:tcBorders>
            <w:vAlign w:val="center"/>
          </w:tcPr>
          <w:p w14:paraId="3A7EC799">
            <w:pPr>
              <w:keepNext w:val="0"/>
              <w:keepLines w:val="0"/>
              <w:suppressLineNumbers w:val="0"/>
              <w:spacing w:before="0" w:beforeAutospacing="0" w:after="0" w:afterAutospacing="0" w:line="240" w:lineRule="exact"/>
              <w:ind w:left="0" w:right="0"/>
              <w:jc w:val="left"/>
              <w:textAlignment w:val="center"/>
              <w:rPr>
                <w:rStyle w:val="259"/>
                <w:rFonts w:hint="default" w:ascii="宋体" w:hAnsi="宋体" w:cs="宋体"/>
                <w:b w:val="0"/>
                <w:bCs/>
                <w:color w:val="auto"/>
                <w:sz w:val="24"/>
                <w:szCs w:val="24"/>
                <w:highlight w:val="none"/>
              </w:rPr>
            </w:pPr>
            <w:r>
              <w:rPr>
                <w:rStyle w:val="259"/>
                <w:rFonts w:hint="eastAsia" w:ascii="宋体" w:hAnsi="宋体" w:cs="宋体"/>
                <w:b w:val="0"/>
                <w:bCs/>
                <w:color w:val="auto"/>
                <w:sz w:val="24"/>
                <w:szCs w:val="24"/>
                <w:highlight w:val="none"/>
              </w:rPr>
              <w:t>统一社会信用代码：</w:t>
            </w:r>
          </w:p>
        </w:tc>
      </w:tr>
      <w:tr w14:paraId="210A9CF7">
        <w:tblPrEx>
          <w:tblCellMar>
            <w:top w:w="0" w:type="dxa"/>
            <w:left w:w="0" w:type="dxa"/>
            <w:bottom w:w="0" w:type="dxa"/>
            <w:right w:w="0" w:type="dxa"/>
          </w:tblCellMar>
        </w:tblPrEx>
        <w:trPr>
          <w:trHeight w:val="478" w:hRule="atLeast"/>
        </w:trPr>
        <w:tc>
          <w:tcPr>
            <w:tcW w:w="4547" w:type="dxa"/>
            <w:tcBorders>
              <w:top w:val="nil"/>
              <w:left w:val="nil"/>
              <w:bottom w:val="nil"/>
              <w:right w:val="nil"/>
            </w:tcBorders>
            <w:vAlign w:val="center"/>
          </w:tcPr>
          <w:p w14:paraId="1EEF4A21">
            <w:pPr>
              <w:keepNext w:val="0"/>
              <w:keepLines w:val="0"/>
              <w:suppressLineNumbers w:val="0"/>
              <w:spacing w:before="0" w:beforeAutospacing="0" w:after="0" w:afterAutospacing="0" w:line="240" w:lineRule="exact"/>
              <w:ind w:left="0" w:right="0"/>
              <w:jc w:val="left"/>
              <w:textAlignment w:val="center"/>
              <w:rPr>
                <w:rStyle w:val="259"/>
                <w:rFonts w:hint="default" w:ascii="宋体" w:hAnsi="宋体" w:cs="宋体"/>
                <w:b w:val="0"/>
                <w:bCs/>
                <w:color w:val="auto"/>
                <w:sz w:val="24"/>
                <w:szCs w:val="24"/>
                <w:highlight w:val="none"/>
              </w:rPr>
            </w:pPr>
            <w:r>
              <w:rPr>
                <w:rStyle w:val="259"/>
                <w:rFonts w:hint="eastAsia" w:ascii="宋体" w:hAnsi="宋体" w:cs="宋体"/>
                <w:b w:val="0"/>
                <w:bCs/>
                <w:color w:val="auto"/>
                <w:sz w:val="24"/>
                <w:szCs w:val="24"/>
                <w:highlight w:val="none"/>
              </w:rPr>
              <w:t>项目联系人及电话：</w:t>
            </w:r>
          </w:p>
        </w:tc>
        <w:tc>
          <w:tcPr>
            <w:tcW w:w="4860" w:type="dxa"/>
            <w:tcBorders>
              <w:top w:val="nil"/>
              <w:left w:val="nil"/>
              <w:bottom w:val="nil"/>
              <w:right w:val="nil"/>
            </w:tcBorders>
            <w:vAlign w:val="center"/>
          </w:tcPr>
          <w:p w14:paraId="365777AF">
            <w:pPr>
              <w:keepNext w:val="0"/>
              <w:keepLines w:val="0"/>
              <w:suppressLineNumbers w:val="0"/>
              <w:spacing w:before="0" w:beforeAutospacing="0" w:after="0" w:afterAutospacing="0" w:line="240" w:lineRule="exact"/>
              <w:ind w:left="0" w:right="0"/>
              <w:jc w:val="left"/>
              <w:textAlignment w:val="center"/>
              <w:rPr>
                <w:rStyle w:val="259"/>
                <w:rFonts w:hint="default" w:ascii="宋体" w:hAnsi="宋体" w:cs="宋体"/>
                <w:b w:val="0"/>
                <w:bCs/>
                <w:color w:val="auto"/>
                <w:sz w:val="24"/>
                <w:szCs w:val="24"/>
                <w:highlight w:val="none"/>
              </w:rPr>
            </w:pPr>
            <w:r>
              <w:rPr>
                <w:rStyle w:val="259"/>
                <w:rFonts w:hint="eastAsia" w:ascii="宋体" w:hAnsi="宋体" w:cs="宋体"/>
                <w:b w:val="0"/>
                <w:bCs/>
                <w:color w:val="auto"/>
                <w:sz w:val="24"/>
                <w:szCs w:val="24"/>
                <w:highlight w:val="none"/>
              </w:rPr>
              <w:t xml:space="preserve">项目联系人及电话： </w:t>
            </w:r>
          </w:p>
        </w:tc>
      </w:tr>
    </w:tbl>
    <w:p w14:paraId="7B8F2FF2">
      <w:pPr>
        <w:spacing w:line="480" w:lineRule="exact"/>
        <w:rPr>
          <w:rStyle w:val="259"/>
          <w:rFonts w:ascii="宋体" w:hAnsi="宋体" w:cs="宋体"/>
          <w:b w:val="0"/>
          <w:bCs/>
          <w:color w:val="auto"/>
          <w:sz w:val="24"/>
          <w:szCs w:val="24"/>
          <w:highlight w:val="none"/>
        </w:rPr>
      </w:pPr>
      <w:r>
        <w:rPr>
          <w:rStyle w:val="259"/>
          <w:rFonts w:hint="eastAsia" w:ascii="宋体" w:hAnsi="宋体" w:cs="宋体"/>
          <w:b w:val="0"/>
          <w:bCs/>
          <w:color w:val="auto"/>
          <w:sz w:val="24"/>
          <w:szCs w:val="24"/>
          <w:highlight w:val="none"/>
        </w:rPr>
        <w:t xml:space="preserve">   </w:t>
      </w:r>
    </w:p>
    <w:p w14:paraId="3D4F1CF2">
      <w:pPr>
        <w:rPr>
          <w:rStyle w:val="259"/>
          <w:rFonts w:ascii="宋体" w:hAnsi="宋体" w:cs="宋体"/>
          <w:b w:val="0"/>
          <w:bCs/>
          <w:color w:val="auto"/>
          <w:sz w:val="24"/>
          <w:szCs w:val="24"/>
          <w:highlight w:val="none"/>
        </w:rPr>
      </w:pPr>
      <w:r>
        <w:rPr>
          <w:rStyle w:val="259"/>
          <w:rFonts w:hint="eastAsia" w:ascii="宋体" w:hAnsi="宋体" w:cs="宋体"/>
          <w:b w:val="0"/>
          <w:bCs/>
          <w:color w:val="auto"/>
          <w:sz w:val="24"/>
          <w:szCs w:val="24"/>
          <w:highlight w:val="none"/>
        </w:rPr>
        <w:t>甲方盖章：                          乙方盖章：</w:t>
      </w:r>
    </w:p>
    <w:p w14:paraId="65EBDCD3">
      <w:pPr>
        <w:rPr>
          <w:rStyle w:val="259"/>
          <w:rFonts w:ascii="宋体" w:hAnsi="宋体" w:cs="宋体"/>
          <w:b w:val="0"/>
          <w:bCs/>
          <w:color w:val="auto"/>
          <w:sz w:val="24"/>
          <w:szCs w:val="24"/>
          <w:highlight w:val="none"/>
        </w:rPr>
      </w:pPr>
    </w:p>
    <w:p w14:paraId="22F5B4FA">
      <w:pPr>
        <w:rPr>
          <w:rStyle w:val="259"/>
          <w:rFonts w:ascii="宋体" w:hAnsi="宋体" w:cs="宋体"/>
          <w:b w:val="0"/>
          <w:bCs/>
          <w:color w:val="auto"/>
          <w:sz w:val="24"/>
          <w:szCs w:val="24"/>
          <w:highlight w:val="none"/>
        </w:rPr>
      </w:pPr>
      <w:r>
        <w:rPr>
          <w:rStyle w:val="259"/>
          <w:rFonts w:hint="eastAsia" w:ascii="宋体" w:hAnsi="宋体" w:cs="宋体"/>
          <w:b w:val="0"/>
          <w:bCs/>
          <w:color w:val="auto"/>
          <w:sz w:val="24"/>
          <w:szCs w:val="24"/>
          <w:highlight w:val="none"/>
        </w:rPr>
        <w:t>甲方法定代表人或                    乙方法定代表人或</w:t>
      </w:r>
    </w:p>
    <w:p w14:paraId="69EAAA45">
      <w:pPr>
        <w:rPr>
          <w:rStyle w:val="259"/>
          <w:rFonts w:ascii="宋体" w:hAnsi="宋体" w:cs="宋体"/>
          <w:b w:val="0"/>
          <w:bCs/>
          <w:color w:val="auto"/>
          <w:sz w:val="24"/>
          <w:szCs w:val="24"/>
          <w:highlight w:val="none"/>
        </w:rPr>
      </w:pPr>
      <w:r>
        <w:rPr>
          <w:rStyle w:val="259"/>
          <w:rFonts w:hint="eastAsia" w:ascii="宋体" w:hAnsi="宋体" w:cs="宋体"/>
          <w:b w:val="0"/>
          <w:bCs/>
          <w:color w:val="auto"/>
          <w:sz w:val="24"/>
          <w:szCs w:val="24"/>
          <w:highlight w:val="none"/>
        </w:rPr>
        <w:t>委托代理人签字：                    委托代理人签字：</w:t>
      </w:r>
      <w:r>
        <w:rPr>
          <w:rStyle w:val="259"/>
          <w:rFonts w:hint="eastAsia" w:ascii="宋体" w:hAnsi="宋体" w:cs="宋体"/>
          <w:b w:val="0"/>
          <w:bCs/>
          <w:color w:val="auto"/>
          <w:sz w:val="24"/>
          <w:szCs w:val="24"/>
          <w:highlight w:val="none"/>
          <w:u w:val="single" w:color="000000"/>
        </w:rPr>
        <w:t xml:space="preserve">                     </w:t>
      </w:r>
    </w:p>
    <w:p w14:paraId="01060C0D">
      <w:pPr>
        <w:rPr>
          <w:rStyle w:val="259"/>
          <w:rFonts w:ascii="宋体" w:hAnsi="宋体" w:cs="宋体"/>
          <w:b w:val="0"/>
          <w:bCs/>
          <w:color w:val="auto"/>
          <w:sz w:val="24"/>
          <w:szCs w:val="24"/>
          <w:highlight w:val="none"/>
          <w:u w:val="single" w:color="000000"/>
        </w:rPr>
      </w:pPr>
    </w:p>
    <w:p w14:paraId="7619BC30">
      <w:pPr>
        <w:rPr>
          <w:rStyle w:val="259"/>
          <w:rFonts w:ascii="宋体" w:hAnsi="宋体" w:cs="宋体"/>
          <w:b w:val="0"/>
          <w:bCs/>
          <w:color w:val="auto"/>
          <w:sz w:val="24"/>
          <w:szCs w:val="24"/>
          <w:highlight w:val="none"/>
        </w:rPr>
      </w:pPr>
      <w:r>
        <w:rPr>
          <w:rStyle w:val="259"/>
          <w:rFonts w:hint="eastAsia" w:ascii="宋体" w:hAnsi="宋体" w:cs="宋体"/>
          <w:b w:val="0"/>
          <w:bCs/>
          <w:color w:val="auto"/>
          <w:sz w:val="24"/>
          <w:szCs w:val="24"/>
          <w:highlight w:val="none"/>
          <w:u w:val="single" w:color="000000"/>
        </w:rPr>
        <w:t xml:space="preserve">      </w:t>
      </w:r>
      <w:r>
        <w:rPr>
          <w:rStyle w:val="259"/>
          <w:rFonts w:hint="eastAsia" w:ascii="宋体" w:hAnsi="宋体" w:cs="宋体"/>
          <w:b w:val="0"/>
          <w:bCs/>
          <w:color w:val="auto"/>
          <w:sz w:val="24"/>
          <w:szCs w:val="24"/>
          <w:highlight w:val="none"/>
        </w:rPr>
        <w:t>年</w:t>
      </w:r>
      <w:r>
        <w:rPr>
          <w:rStyle w:val="259"/>
          <w:rFonts w:hint="eastAsia" w:ascii="宋体" w:hAnsi="宋体" w:cs="宋体"/>
          <w:b w:val="0"/>
          <w:bCs/>
          <w:color w:val="auto"/>
          <w:sz w:val="24"/>
          <w:szCs w:val="24"/>
          <w:highlight w:val="none"/>
          <w:u w:val="single" w:color="000000"/>
        </w:rPr>
        <w:t xml:space="preserve">     </w:t>
      </w:r>
      <w:r>
        <w:rPr>
          <w:rStyle w:val="259"/>
          <w:rFonts w:hint="eastAsia" w:ascii="宋体" w:hAnsi="宋体" w:cs="宋体"/>
          <w:b w:val="0"/>
          <w:bCs/>
          <w:color w:val="auto"/>
          <w:sz w:val="24"/>
          <w:szCs w:val="24"/>
          <w:highlight w:val="none"/>
        </w:rPr>
        <w:t>月</w:t>
      </w:r>
      <w:r>
        <w:rPr>
          <w:rStyle w:val="259"/>
          <w:rFonts w:hint="eastAsia" w:ascii="宋体" w:hAnsi="宋体" w:cs="宋体"/>
          <w:b w:val="0"/>
          <w:bCs/>
          <w:color w:val="auto"/>
          <w:sz w:val="24"/>
          <w:szCs w:val="24"/>
          <w:highlight w:val="none"/>
          <w:u w:val="single"/>
        </w:rPr>
        <w:t xml:space="preserve">      </w:t>
      </w:r>
      <w:r>
        <w:rPr>
          <w:rStyle w:val="259"/>
          <w:rFonts w:hint="eastAsia" w:ascii="宋体" w:hAnsi="宋体" w:cs="宋体"/>
          <w:b w:val="0"/>
          <w:bCs/>
          <w:color w:val="auto"/>
          <w:sz w:val="24"/>
          <w:szCs w:val="24"/>
          <w:highlight w:val="none"/>
        </w:rPr>
        <w:t xml:space="preserve">日              </w:t>
      </w:r>
      <w:r>
        <w:rPr>
          <w:rStyle w:val="259"/>
          <w:rFonts w:hint="eastAsia" w:ascii="宋体" w:hAnsi="宋体" w:cs="宋体"/>
          <w:b w:val="0"/>
          <w:bCs/>
          <w:color w:val="auto"/>
          <w:sz w:val="24"/>
          <w:szCs w:val="24"/>
          <w:highlight w:val="none"/>
          <w:u w:val="single" w:color="000000"/>
        </w:rPr>
        <w:t xml:space="preserve">      </w:t>
      </w:r>
      <w:r>
        <w:rPr>
          <w:rStyle w:val="259"/>
          <w:rFonts w:hint="eastAsia" w:ascii="宋体" w:hAnsi="宋体" w:cs="宋体"/>
          <w:b w:val="0"/>
          <w:bCs/>
          <w:color w:val="auto"/>
          <w:sz w:val="24"/>
          <w:szCs w:val="24"/>
          <w:highlight w:val="none"/>
        </w:rPr>
        <w:t>年</w:t>
      </w:r>
      <w:r>
        <w:rPr>
          <w:rStyle w:val="259"/>
          <w:rFonts w:hint="eastAsia" w:ascii="宋体" w:hAnsi="宋体" w:cs="宋体"/>
          <w:b w:val="0"/>
          <w:bCs/>
          <w:color w:val="auto"/>
          <w:sz w:val="24"/>
          <w:szCs w:val="24"/>
          <w:highlight w:val="none"/>
          <w:u w:val="single" w:color="000000"/>
        </w:rPr>
        <w:t xml:space="preserve">     </w:t>
      </w:r>
      <w:r>
        <w:rPr>
          <w:rStyle w:val="259"/>
          <w:rFonts w:hint="eastAsia" w:ascii="宋体" w:hAnsi="宋体" w:cs="宋体"/>
          <w:b w:val="0"/>
          <w:bCs/>
          <w:color w:val="auto"/>
          <w:sz w:val="24"/>
          <w:szCs w:val="24"/>
          <w:highlight w:val="none"/>
        </w:rPr>
        <w:t>月</w:t>
      </w:r>
      <w:r>
        <w:rPr>
          <w:rStyle w:val="259"/>
          <w:rFonts w:hint="eastAsia" w:ascii="宋体" w:hAnsi="宋体" w:cs="宋体"/>
          <w:b w:val="0"/>
          <w:bCs/>
          <w:color w:val="auto"/>
          <w:sz w:val="24"/>
          <w:szCs w:val="24"/>
          <w:highlight w:val="none"/>
          <w:u w:val="single" w:color="000000"/>
        </w:rPr>
        <w:t xml:space="preserve">     </w:t>
      </w:r>
      <w:r>
        <w:rPr>
          <w:rStyle w:val="259"/>
          <w:rFonts w:hint="eastAsia" w:ascii="宋体" w:hAnsi="宋体" w:cs="宋体"/>
          <w:b w:val="0"/>
          <w:bCs/>
          <w:color w:val="auto"/>
          <w:sz w:val="24"/>
          <w:szCs w:val="24"/>
          <w:highlight w:val="none"/>
        </w:rPr>
        <w:t>日</w:t>
      </w:r>
    </w:p>
    <w:p w14:paraId="2BD81E12">
      <w:pPr>
        <w:spacing w:line="360" w:lineRule="auto"/>
        <w:rPr>
          <w:rStyle w:val="259"/>
          <w:rFonts w:ascii="宋体" w:hAnsi="宋体" w:cs="宋体"/>
          <w:color w:val="auto"/>
          <w:szCs w:val="28"/>
          <w:highlight w:val="none"/>
        </w:rPr>
      </w:pPr>
      <w:r>
        <w:rPr>
          <w:rStyle w:val="259"/>
          <w:rFonts w:hint="eastAsia" w:ascii="宋体" w:hAnsi="宋体" w:cs="宋体"/>
          <w:color w:val="auto"/>
          <w:szCs w:val="28"/>
          <w:highlight w:val="none"/>
        </w:rPr>
        <w:t xml:space="preserve">      </w:t>
      </w:r>
    </w:p>
    <w:p w14:paraId="7EB89F3E">
      <w:pPr>
        <w:spacing w:line="360" w:lineRule="auto"/>
        <w:rPr>
          <w:rStyle w:val="259"/>
          <w:rFonts w:ascii="宋体" w:hAnsi="宋体" w:cs="宋体"/>
          <w:color w:val="auto"/>
          <w:szCs w:val="28"/>
          <w:highlight w:val="none"/>
        </w:rPr>
      </w:pPr>
    </w:p>
    <w:p w14:paraId="311B893F">
      <w:pPr>
        <w:rPr>
          <w:rStyle w:val="259"/>
          <w:rFonts w:ascii="宋体" w:hAnsi="宋体" w:cs="宋体"/>
          <w:color w:val="auto"/>
          <w:sz w:val="24"/>
          <w:szCs w:val="24"/>
          <w:highlight w:val="none"/>
        </w:rPr>
      </w:pPr>
      <w:r>
        <w:rPr>
          <w:rStyle w:val="259"/>
          <w:rFonts w:hint="eastAsia" w:ascii="宋体" w:hAnsi="宋体" w:cs="宋体"/>
          <w:color w:val="auto"/>
          <w:sz w:val="24"/>
          <w:szCs w:val="24"/>
          <w:highlight w:val="none"/>
        </w:rPr>
        <w:br w:type="page"/>
      </w:r>
    </w:p>
    <w:p w14:paraId="3A98D382">
      <w:pPr>
        <w:jc w:val="center"/>
        <w:rPr>
          <w:rFonts w:cs="Times New Roman"/>
          <w:b/>
          <w:bCs/>
          <w:color w:val="auto"/>
          <w:highlight w:val="none"/>
        </w:rPr>
      </w:pPr>
      <w:r>
        <w:rPr>
          <w:rFonts w:hint="eastAsia" w:cs="Times New Roman"/>
          <w:b/>
          <w:bCs/>
          <w:color w:val="auto"/>
          <w:highlight w:val="none"/>
        </w:rPr>
        <w:t>货物采购合同</w:t>
      </w:r>
    </w:p>
    <w:p w14:paraId="0EA471F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Style w:val="259"/>
          <w:rFonts w:ascii="宋体" w:hAnsi="宋体" w:cs="宋体"/>
          <w:b/>
          <w:color w:val="auto"/>
          <w:sz w:val="24"/>
          <w:szCs w:val="24"/>
          <w:highlight w:val="none"/>
          <w:u w:val="single" w:color="000000"/>
        </w:rPr>
      </w:pPr>
      <w:r>
        <w:rPr>
          <w:rStyle w:val="259"/>
          <w:rFonts w:hint="eastAsia" w:ascii="宋体" w:hAnsi="宋体" w:cs="宋体"/>
          <w:color w:val="auto"/>
          <w:sz w:val="24"/>
          <w:szCs w:val="24"/>
          <w:highlight w:val="none"/>
        </w:rPr>
        <w:t>甲乙双方本着自愿、友好、平等协商的原则，依据《中华人民共和国民法典》等相关法律规定，就甲方向乙方采购货物事宜达成如下条款，希双方共同遵守：</w:t>
      </w:r>
    </w:p>
    <w:p w14:paraId="42ECDF8D">
      <w:pPr>
        <w:keepNext w:val="0"/>
        <w:keepLines w:val="0"/>
        <w:pageBreakBefore w:val="0"/>
        <w:widowControl w:val="0"/>
        <w:tabs>
          <w:tab w:val="left" w:pos="0"/>
        </w:tabs>
        <w:kinsoku/>
        <w:wordWrap/>
        <w:overflowPunct/>
        <w:topLinePunct w:val="0"/>
        <w:autoSpaceDE/>
        <w:autoSpaceDN/>
        <w:bidi w:val="0"/>
        <w:adjustRightInd/>
        <w:snapToGrid/>
        <w:spacing w:line="360" w:lineRule="exact"/>
        <w:ind w:firstLine="482" w:firstLineChars="200"/>
        <w:textAlignment w:val="auto"/>
        <w:rPr>
          <w:rStyle w:val="259"/>
          <w:rFonts w:ascii="宋体" w:hAnsi="宋体" w:cs="宋体"/>
          <w:b/>
          <w:color w:val="auto"/>
          <w:sz w:val="24"/>
          <w:szCs w:val="24"/>
          <w:highlight w:val="none"/>
          <w:u w:val="single" w:color="000000"/>
        </w:rPr>
      </w:pPr>
      <w:r>
        <w:rPr>
          <w:rStyle w:val="259"/>
          <w:rFonts w:hint="eastAsia" w:ascii="宋体" w:hAnsi="宋体" w:cs="宋体"/>
          <w:b/>
          <w:color w:val="auto"/>
          <w:sz w:val="24"/>
          <w:szCs w:val="24"/>
          <w:highlight w:val="none"/>
        </w:rPr>
        <w:t>一、项目名称：</w:t>
      </w:r>
      <w:r>
        <w:rPr>
          <w:rStyle w:val="259"/>
          <w:rFonts w:hint="eastAsia" w:ascii="宋体" w:hAnsi="宋体" w:cs="宋体"/>
          <w:b/>
          <w:color w:val="auto"/>
          <w:sz w:val="24"/>
          <w:szCs w:val="24"/>
          <w:highlight w:val="none"/>
          <w:u w:val="single"/>
        </w:rPr>
        <w:t xml:space="preserve">                  </w:t>
      </w:r>
    </w:p>
    <w:p w14:paraId="4AC3AA61">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Style w:val="259"/>
          <w:rFonts w:ascii="宋体" w:hAnsi="宋体" w:cs="宋体"/>
          <w:b/>
          <w:color w:val="auto"/>
          <w:sz w:val="24"/>
          <w:szCs w:val="24"/>
          <w:highlight w:val="none"/>
        </w:rPr>
      </w:pPr>
      <w:r>
        <w:rPr>
          <w:rStyle w:val="259"/>
          <w:rFonts w:hint="eastAsia" w:ascii="宋体" w:hAnsi="宋体" w:cs="宋体"/>
          <w:b/>
          <w:color w:val="auto"/>
          <w:sz w:val="24"/>
          <w:szCs w:val="24"/>
          <w:highlight w:val="none"/>
        </w:rPr>
        <w:t>二、货物名称、技术参数、计量单位、单价：</w:t>
      </w:r>
    </w:p>
    <w:tbl>
      <w:tblPr>
        <w:tblStyle w:val="59"/>
        <w:tblW w:w="974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8"/>
        <w:gridCol w:w="1805"/>
        <w:gridCol w:w="1649"/>
        <w:gridCol w:w="1213"/>
        <w:gridCol w:w="1399"/>
        <w:gridCol w:w="1489"/>
        <w:gridCol w:w="1424"/>
      </w:tblGrid>
      <w:tr w14:paraId="483B4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768" w:type="dxa"/>
            <w:tcBorders>
              <w:top w:val="single" w:color="000000" w:sz="4" w:space="0"/>
              <w:left w:val="single" w:color="000000" w:sz="4" w:space="0"/>
              <w:bottom w:val="single" w:color="000000" w:sz="4" w:space="0"/>
              <w:right w:val="single" w:color="000000" w:sz="4" w:space="0"/>
            </w:tcBorders>
            <w:vAlign w:val="center"/>
          </w:tcPr>
          <w:p w14:paraId="72FDC244">
            <w:pPr>
              <w:keepNext w:val="0"/>
              <w:keepLines w:val="0"/>
              <w:suppressLineNumbers w:val="0"/>
              <w:spacing w:before="0" w:beforeAutospacing="0" w:after="0" w:afterAutospacing="0" w:line="500" w:lineRule="exact"/>
              <w:ind w:left="0" w:right="0"/>
              <w:jc w:val="center"/>
              <w:rPr>
                <w:rStyle w:val="259"/>
                <w:rFonts w:hint="default" w:ascii="宋体" w:hAnsi="宋体" w:cs="宋体"/>
                <w:b w:val="0"/>
                <w:bCs w:val="0"/>
                <w:color w:val="auto"/>
                <w:sz w:val="24"/>
                <w:szCs w:val="24"/>
                <w:highlight w:val="none"/>
              </w:rPr>
            </w:pPr>
            <w:r>
              <w:rPr>
                <w:rStyle w:val="259"/>
                <w:rFonts w:hint="eastAsia" w:ascii="宋体" w:hAnsi="宋体" w:cs="宋体"/>
                <w:b w:val="0"/>
                <w:bCs w:val="0"/>
                <w:color w:val="auto"/>
                <w:sz w:val="24"/>
                <w:szCs w:val="24"/>
                <w:highlight w:val="none"/>
              </w:rPr>
              <w:t>序号</w:t>
            </w:r>
          </w:p>
        </w:tc>
        <w:tc>
          <w:tcPr>
            <w:tcW w:w="1805" w:type="dxa"/>
            <w:tcBorders>
              <w:top w:val="single" w:color="000000" w:sz="4" w:space="0"/>
              <w:left w:val="single" w:color="000000" w:sz="4" w:space="0"/>
              <w:bottom w:val="single" w:color="000000" w:sz="4" w:space="0"/>
              <w:right w:val="single" w:color="000000" w:sz="4" w:space="0"/>
            </w:tcBorders>
            <w:vAlign w:val="center"/>
          </w:tcPr>
          <w:p w14:paraId="427DBF18">
            <w:pPr>
              <w:keepNext w:val="0"/>
              <w:keepLines w:val="0"/>
              <w:suppressLineNumbers w:val="0"/>
              <w:spacing w:before="0" w:beforeAutospacing="0" w:after="0" w:afterAutospacing="0" w:line="500" w:lineRule="exact"/>
              <w:ind w:left="0" w:right="0"/>
              <w:jc w:val="center"/>
              <w:rPr>
                <w:rStyle w:val="259"/>
                <w:rFonts w:hint="default" w:ascii="宋体" w:hAnsi="宋体" w:cs="宋体"/>
                <w:b w:val="0"/>
                <w:bCs w:val="0"/>
                <w:color w:val="auto"/>
                <w:sz w:val="24"/>
                <w:szCs w:val="24"/>
                <w:highlight w:val="none"/>
              </w:rPr>
            </w:pPr>
            <w:r>
              <w:rPr>
                <w:rStyle w:val="259"/>
                <w:rFonts w:hint="eastAsia" w:ascii="宋体" w:hAnsi="宋体" w:cs="宋体"/>
                <w:b w:val="0"/>
                <w:bCs w:val="0"/>
                <w:color w:val="auto"/>
                <w:sz w:val="24"/>
                <w:szCs w:val="24"/>
                <w:highlight w:val="none"/>
              </w:rPr>
              <w:t>货物名称</w:t>
            </w:r>
          </w:p>
        </w:tc>
        <w:tc>
          <w:tcPr>
            <w:tcW w:w="1649" w:type="dxa"/>
            <w:tcBorders>
              <w:top w:val="single" w:color="000000" w:sz="4" w:space="0"/>
              <w:left w:val="single" w:color="000000" w:sz="4" w:space="0"/>
              <w:bottom w:val="single" w:color="000000" w:sz="4" w:space="0"/>
              <w:right w:val="single" w:color="000000" w:sz="4" w:space="0"/>
            </w:tcBorders>
            <w:vAlign w:val="center"/>
          </w:tcPr>
          <w:p w14:paraId="23F53471">
            <w:pPr>
              <w:keepNext w:val="0"/>
              <w:keepLines w:val="0"/>
              <w:suppressLineNumbers w:val="0"/>
              <w:spacing w:before="0" w:beforeAutospacing="0" w:after="0" w:afterAutospacing="0" w:line="500" w:lineRule="exact"/>
              <w:ind w:left="0" w:right="0"/>
              <w:jc w:val="center"/>
              <w:rPr>
                <w:rStyle w:val="259"/>
                <w:rFonts w:hint="default" w:ascii="宋体" w:hAnsi="宋体" w:cs="宋体"/>
                <w:b w:val="0"/>
                <w:bCs w:val="0"/>
                <w:color w:val="auto"/>
                <w:sz w:val="24"/>
                <w:szCs w:val="24"/>
                <w:highlight w:val="none"/>
              </w:rPr>
            </w:pPr>
            <w:r>
              <w:rPr>
                <w:rStyle w:val="259"/>
                <w:rFonts w:hint="eastAsia" w:ascii="宋体" w:hAnsi="宋体" w:cs="宋体"/>
                <w:b w:val="0"/>
                <w:bCs w:val="0"/>
                <w:color w:val="auto"/>
                <w:sz w:val="24"/>
                <w:szCs w:val="24"/>
                <w:highlight w:val="none"/>
              </w:rPr>
              <w:t>技术参数</w:t>
            </w:r>
          </w:p>
        </w:tc>
        <w:tc>
          <w:tcPr>
            <w:tcW w:w="1213" w:type="dxa"/>
            <w:tcBorders>
              <w:top w:val="single" w:color="000000" w:sz="4" w:space="0"/>
              <w:left w:val="single" w:color="000000" w:sz="4" w:space="0"/>
              <w:bottom w:val="single" w:color="000000" w:sz="4" w:space="0"/>
              <w:right w:val="single" w:color="000000" w:sz="4" w:space="0"/>
            </w:tcBorders>
            <w:vAlign w:val="center"/>
          </w:tcPr>
          <w:p w14:paraId="3B871165">
            <w:pPr>
              <w:keepNext w:val="0"/>
              <w:keepLines w:val="0"/>
              <w:suppressLineNumbers w:val="0"/>
              <w:spacing w:before="0" w:beforeAutospacing="0" w:after="0" w:afterAutospacing="0" w:line="500" w:lineRule="exact"/>
              <w:ind w:left="0" w:right="0"/>
              <w:jc w:val="center"/>
              <w:rPr>
                <w:rStyle w:val="259"/>
                <w:rFonts w:hint="default" w:ascii="宋体" w:hAnsi="宋体" w:cs="宋体"/>
                <w:b w:val="0"/>
                <w:bCs w:val="0"/>
                <w:color w:val="auto"/>
                <w:sz w:val="24"/>
                <w:szCs w:val="24"/>
                <w:highlight w:val="none"/>
              </w:rPr>
            </w:pPr>
            <w:r>
              <w:rPr>
                <w:rStyle w:val="259"/>
                <w:rFonts w:hint="eastAsia" w:ascii="宋体" w:hAnsi="宋体" w:cs="宋体"/>
                <w:b w:val="0"/>
                <w:bCs w:val="0"/>
                <w:color w:val="auto"/>
                <w:sz w:val="24"/>
                <w:szCs w:val="24"/>
                <w:highlight w:val="none"/>
              </w:rPr>
              <w:t>单位</w:t>
            </w:r>
          </w:p>
        </w:tc>
        <w:tc>
          <w:tcPr>
            <w:tcW w:w="1399" w:type="dxa"/>
            <w:tcBorders>
              <w:top w:val="single" w:color="000000" w:sz="4" w:space="0"/>
              <w:left w:val="single" w:color="000000" w:sz="4" w:space="0"/>
              <w:bottom w:val="single" w:color="000000" w:sz="4" w:space="0"/>
              <w:right w:val="single" w:color="000000" w:sz="4" w:space="0"/>
            </w:tcBorders>
            <w:vAlign w:val="center"/>
          </w:tcPr>
          <w:p w14:paraId="359A76AC">
            <w:pPr>
              <w:keepNext w:val="0"/>
              <w:keepLines w:val="0"/>
              <w:suppressLineNumbers w:val="0"/>
              <w:spacing w:before="0" w:beforeAutospacing="0" w:after="0" w:afterAutospacing="0" w:line="500" w:lineRule="exact"/>
              <w:ind w:left="0" w:right="0"/>
              <w:jc w:val="center"/>
              <w:rPr>
                <w:rStyle w:val="259"/>
                <w:rFonts w:hint="default" w:ascii="宋体" w:hAnsi="宋体" w:cs="宋体"/>
                <w:b w:val="0"/>
                <w:bCs w:val="0"/>
                <w:color w:val="auto"/>
                <w:sz w:val="24"/>
                <w:szCs w:val="24"/>
                <w:highlight w:val="none"/>
              </w:rPr>
            </w:pPr>
            <w:r>
              <w:rPr>
                <w:rStyle w:val="259"/>
                <w:rFonts w:hint="eastAsia" w:ascii="宋体" w:hAnsi="宋体" w:cs="宋体"/>
                <w:b w:val="0"/>
                <w:bCs w:val="0"/>
                <w:color w:val="auto"/>
                <w:sz w:val="24"/>
                <w:szCs w:val="24"/>
                <w:highlight w:val="none"/>
              </w:rPr>
              <w:t>数量</w:t>
            </w:r>
          </w:p>
        </w:tc>
        <w:tc>
          <w:tcPr>
            <w:tcW w:w="1489" w:type="dxa"/>
            <w:tcBorders>
              <w:top w:val="single" w:color="000000" w:sz="4" w:space="0"/>
              <w:left w:val="single" w:color="000000" w:sz="4" w:space="0"/>
              <w:bottom w:val="single" w:color="000000" w:sz="4" w:space="0"/>
              <w:right w:val="single" w:color="000000" w:sz="4" w:space="0"/>
            </w:tcBorders>
            <w:vAlign w:val="center"/>
          </w:tcPr>
          <w:p w14:paraId="2EFE1887">
            <w:pPr>
              <w:keepNext w:val="0"/>
              <w:keepLines w:val="0"/>
              <w:suppressLineNumbers w:val="0"/>
              <w:spacing w:before="0" w:beforeAutospacing="0" w:after="0" w:afterAutospacing="0" w:line="500" w:lineRule="exact"/>
              <w:ind w:left="0" w:right="0"/>
              <w:jc w:val="center"/>
              <w:rPr>
                <w:rStyle w:val="259"/>
                <w:rFonts w:hint="default" w:ascii="宋体" w:hAnsi="宋体" w:cs="宋体"/>
                <w:b w:val="0"/>
                <w:bCs w:val="0"/>
                <w:color w:val="auto"/>
                <w:sz w:val="24"/>
                <w:szCs w:val="24"/>
                <w:highlight w:val="none"/>
              </w:rPr>
            </w:pPr>
            <w:r>
              <w:rPr>
                <w:rStyle w:val="259"/>
                <w:rFonts w:hint="eastAsia" w:ascii="宋体" w:hAnsi="宋体" w:cs="宋体"/>
                <w:b w:val="0"/>
                <w:bCs w:val="0"/>
                <w:color w:val="auto"/>
                <w:sz w:val="24"/>
                <w:szCs w:val="24"/>
                <w:highlight w:val="none"/>
              </w:rPr>
              <w:t>单价（元）</w:t>
            </w:r>
          </w:p>
        </w:tc>
        <w:tc>
          <w:tcPr>
            <w:tcW w:w="1424" w:type="dxa"/>
            <w:tcBorders>
              <w:top w:val="single" w:color="000000" w:sz="4" w:space="0"/>
              <w:left w:val="single" w:color="000000" w:sz="4" w:space="0"/>
              <w:bottom w:val="single" w:color="000000" w:sz="4" w:space="0"/>
              <w:right w:val="single" w:color="000000" w:sz="4" w:space="0"/>
            </w:tcBorders>
            <w:vAlign w:val="center"/>
          </w:tcPr>
          <w:p w14:paraId="41A82D23">
            <w:pPr>
              <w:keepNext w:val="0"/>
              <w:keepLines w:val="0"/>
              <w:suppressLineNumbers w:val="0"/>
              <w:spacing w:before="0" w:beforeAutospacing="0" w:after="0" w:afterAutospacing="0" w:line="500" w:lineRule="exact"/>
              <w:ind w:left="0" w:right="0"/>
              <w:jc w:val="center"/>
              <w:rPr>
                <w:rStyle w:val="259"/>
                <w:rFonts w:hint="default" w:ascii="宋体" w:hAnsi="宋体" w:cs="宋体"/>
                <w:b w:val="0"/>
                <w:bCs w:val="0"/>
                <w:color w:val="auto"/>
                <w:sz w:val="24"/>
                <w:szCs w:val="24"/>
                <w:highlight w:val="none"/>
              </w:rPr>
            </w:pPr>
            <w:r>
              <w:rPr>
                <w:rStyle w:val="259"/>
                <w:rFonts w:hint="eastAsia" w:ascii="宋体" w:hAnsi="宋体" w:cs="宋体"/>
                <w:b w:val="0"/>
                <w:bCs w:val="0"/>
                <w:color w:val="auto"/>
                <w:sz w:val="24"/>
                <w:szCs w:val="24"/>
                <w:highlight w:val="none"/>
              </w:rPr>
              <w:t>小计（元）</w:t>
            </w:r>
          </w:p>
        </w:tc>
      </w:tr>
      <w:tr w14:paraId="2830B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768" w:type="dxa"/>
            <w:tcBorders>
              <w:top w:val="single" w:color="000000" w:sz="4" w:space="0"/>
              <w:left w:val="single" w:color="000000" w:sz="4" w:space="0"/>
              <w:bottom w:val="single" w:color="000000" w:sz="4" w:space="0"/>
              <w:right w:val="single" w:color="000000" w:sz="4" w:space="0"/>
            </w:tcBorders>
            <w:vAlign w:val="center"/>
          </w:tcPr>
          <w:p w14:paraId="55F6F186">
            <w:pPr>
              <w:keepNext w:val="0"/>
              <w:keepLines w:val="0"/>
              <w:suppressLineNumbers w:val="0"/>
              <w:spacing w:before="0" w:beforeAutospacing="0" w:after="0" w:afterAutospacing="0" w:line="500" w:lineRule="exact"/>
              <w:ind w:left="0" w:right="0"/>
              <w:jc w:val="center"/>
              <w:rPr>
                <w:rStyle w:val="259"/>
                <w:rFonts w:hint="default" w:ascii="宋体" w:hAnsi="宋体" w:cs="宋体"/>
                <w:b w:val="0"/>
                <w:bCs w:val="0"/>
                <w:color w:val="auto"/>
                <w:sz w:val="24"/>
                <w:szCs w:val="24"/>
                <w:highlight w:val="none"/>
              </w:rPr>
            </w:pPr>
          </w:p>
        </w:tc>
        <w:tc>
          <w:tcPr>
            <w:tcW w:w="1805" w:type="dxa"/>
            <w:tcBorders>
              <w:top w:val="single" w:color="000000" w:sz="4" w:space="0"/>
              <w:left w:val="single" w:color="000000" w:sz="4" w:space="0"/>
              <w:bottom w:val="single" w:color="000000" w:sz="4" w:space="0"/>
              <w:right w:val="single" w:color="000000" w:sz="4" w:space="0"/>
            </w:tcBorders>
            <w:vAlign w:val="center"/>
          </w:tcPr>
          <w:p w14:paraId="34697576">
            <w:pPr>
              <w:keepNext w:val="0"/>
              <w:keepLines w:val="0"/>
              <w:suppressLineNumbers w:val="0"/>
              <w:spacing w:before="0" w:beforeAutospacing="0" w:after="0" w:afterAutospacing="0" w:line="500" w:lineRule="exact"/>
              <w:ind w:left="0" w:right="0"/>
              <w:jc w:val="center"/>
              <w:rPr>
                <w:rStyle w:val="259"/>
                <w:rFonts w:hint="default" w:ascii="宋体" w:hAnsi="宋体" w:cs="宋体"/>
                <w:b w:val="0"/>
                <w:bCs w:val="0"/>
                <w:color w:val="auto"/>
                <w:sz w:val="24"/>
                <w:szCs w:val="24"/>
                <w:highlight w:val="none"/>
              </w:rPr>
            </w:pPr>
          </w:p>
        </w:tc>
        <w:tc>
          <w:tcPr>
            <w:tcW w:w="1649" w:type="dxa"/>
            <w:tcBorders>
              <w:top w:val="single" w:color="000000" w:sz="4" w:space="0"/>
              <w:left w:val="single" w:color="000000" w:sz="4" w:space="0"/>
              <w:bottom w:val="single" w:color="000000" w:sz="4" w:space="0"/>
              <w:right w:val="single" w:color="000000" w:sz="4" w:space="0"/>
            </w:tcBorders>
            <w:vAlign w:val="center"/>
          </w:tcPr>
          <w:p w14:paraId="1DD50E08">
            <w:pPr>
              <w:keepNext w:val="0"/>
              <w:keepLines w:val="0"/>
              <w:suppressLineNumbers w:val="0"/>
              <w:spacing w:before="0" w:beforeAutospacing="0" w:after="0" w:afterAutospacing="0" w:line="500" w:lineRule="exact"/>
              <w:ind w:left="0" w:right="0"/>
              <w:jc w:val="center"/>
              <w:rPr>
                <w:rStyle w:val="259"/>
                <w:rFonts w:hint="default" w:ascii="宋体" w:hAnsi="宋体" w:cs="宋体"/>
                <w:b w:val="0"/>
                <w:bCs w:val="0"/>
                <w:color w:val="auto"/>
                <w:sz w:val="24"/>
                <w:szCs w:val="24"/>
                <w:highlight w:val="none"/>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6CE9A7FD">
            <w:pPr>
              <w:keepNext w:val="0"/>
              <w:keepLines w:val="0"/>
              <w:suppressLineNumbers w:val="0"/>
              <w:spacing w:before="0" w:beforeAutospacing="0" w:after="0" w:afterAutospacing="0" w:line="500" w:lineRule="exact"/>
              <w:ind w:left="0" w:right="0"/>
              <w:jc w:val="center"/>
              <w:rPr>
                <w:rStyle w:val="259"/>
                <w:rFonts w:hint="default" w:ascii="宋体" w:hAnsi="宋体" w:cs="宋体"/>
                <w:b w:val="0"/>
                <w:bCs w:val="0"/>
                <w:color w:val="auto"/>
                <w:sz w:val="24"/>
                <w:szCs w:val="24"/>
                <w:highlight w:val="none"/>
              </w:rPr>
            </w:pPr>
          </w:p>
        </w:tc>
        <w:tc>
          <w:tcPr>
            <w:tcW w:w="1399" w:type="dxa"/>
            <w:tcBorders>
              <w:top w:val="single" w:color="000000" w:sz="4" w:space="0"/>
              <w:left w:val="single" w:color="000000" w:sz="4" w:space="0"/>
              <w:bottom w:val="single" w:color="000000" w:sz="4" w:space="0"/>
              <w:right w:val="single" w:color="000000" w:sz="4" w:space="0"/>
            </w:tcBorders>
            <w:vAlign w:val="center"/>
          </w:tcPr>
          <w:p w14:paraId="627E75FB">
            <w:pPr>
              <w:keepNext w:val="0"/>
              <w:keepLines w:val="0"/>
              <w:suppressLineNumbers w:val="0"/>
              <w:spacing w:before="0" w:beforeAutospacing="0" w:after="0" w:afterAutospacing="0" w:line="500" w:lineRule="exact"/>
              <w:ind w:left="0" w:right="0"/>
              <w:jc w:val="center"/>
              <w:rPr>
                <w:rStyle w:val="259"/>
                <w:rFonts w:hint="default" w:ascii="宋体" w:hAnsi="宋体" w:cs="宋体"/>
                <w:b w:val="0"/>
                <w:bCs w:val="0"/>
                <w:color w:val="auto"/>
                <w:sz w:val="24"/>
                <w:szCs w:val="24"/>
                <w:highlight w:val="none"/>
              </w:rPr>
            </w:pPr>
          </w:p>
        </w:tc>
        <w:tc>
          <w:tcPr>
            <w:tcW w:w="1489" w:type="dxa"/>
            <w:tcBorders>
              <w:top w:val="single" w:color="000000" w:sz="4" w:space="0"/>
              <w:left w:val="single" w:color="000000" w:sz="4" w:space="0"/>
              <w:bottom w:val="single" w:color="000000" w:sz="4" w:space="0"/>
              <w:right w:val="single" w:color="000000" w:sz="4" w:space="0"/>
            </w:tcBorders>
            <w:vAlign w:val="center"/>
          </w:tcPr>
          <w:p w14:paraId="6E027168">
            <w:pPr>
              <w:keepNext w:val="0"/>
              <w:keepLines w:val="0"/>
              <w:suppressLineNumbers w:val="0"/>
              <w:spacing w:before="0" w:beforeAutospacing="0" w:after="0" w:afterAutospacing="0" w:line="500" w:lineRule="exact"/>
              <w:ind w:left="0" w:right="0"/>
              <w:jc w:val="center"/>
              <w:rPr>
                <w:rStyle w:val="259"/>
                <w:rFonts w:hint="default" w:ascii="宋体" w:hAnsi="宋体" w:cs="宋体"/>
                <w:b w:val="0"/>
                <w:bCs w:val="0"/>
                <w:color w:val="auto"/>
                <w:sz w:val="24"/>
                <w:szCs w:val="24"/>
                <w:highlight w:val="none"/>
              </w:rPr>
            </w:pPr>
          </w:p>
        </w:tc>
        <w:tc>
          <w:tcPr>
            <w:tcW w:w="1424" w:type="dxa"/>
            <w:tcBorders>
              <w:top w:val="single" w:color="000000" w:sz="4" w:space="0"/>
              <w:left w:val="single" w:color="000000" w:sz="4" w:space="0"/>
              <w:bottom w:val="single" w:color="000000" w:sz="4" w:space="0"/>
              <w:right w:val="single" w:color="000000" w:sz="4" w:space="0"/>
            </w:tcBorders>
            <w:vAlign w:val="center"/>
          </w:tcPr>
          <w:p w14:paraId="3E896190">
            <w:pPr>
              <w:keepNext w:val="0"/>
              <w:keepLines w:val="0"/>
              <w:suppressLineNumbers w:val="0"/>
              <w:spacing w:before="0" w:beforeAutospacing="0" w:after="0" w:afterAutospacing="0" w:line="500" w:lineRule="exact"/>
              <w:ind w:left="0" w:right="0"/>
              <w:jc w:val="center"/>
              <w:rPr>
                <w:rStyle w:val="259"/>
                <w:rFonts w:hint="default" w:ascii="宋体" w:hAnsi="宋体" w:cs="宋体"/>
                <w:b w:val="0"/>
                <w:bCs w:val="0"/>
                <w:color w:val="auto"/>
                <w:sz w:val="24"/>
                <w:szCs w:val="24"/>
                <w:highlight w:val="none"/>
              </w:rPr>
            </w:pPr>
          </w:p>
        </w:tc>
      </w:tr>
      <w:tr w14:paraId="447B5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2573" w:type="dxa"/>
            <w:gridSpan w:val="2"/>
            <w:tcBorders>
              <w:top w:val="single" w:color="000000" w:sz="4" w:space="0"/>
              <w:left w:val="single" w:color="000000" w:sz="4" w:space="0"/>
              <w:bottom w:val="single" w:color="000000" w:sz="4" w:space="0"/>
              <w:right w:val="single" w:color="000000" w:sz="4" w:space="0"/>
            </w:tcBorders>
            <w:vAlign w:val="center"/>
          </w:tcPr>
          <w:p w14:paraId="4B3B648B">
            <w:pPr>
              <w:keepNext w:val="0"/>
              <w:keepLines w:val="0"/>
              <w:suppressLineNumbers w:val="0"/>
              <w:spacing w:before="0" w:beforeAutospacing="0" w:after="0" w:afterAutospacing="0" w:line="500" w:lineRule="exact"/>
              <w:ind w:left="0" w:right="0"/>
              <w:jc w:val="center"/>
              <w:rPr>
                <w:rStyle w:val="259"/>
                <w:rFonts w:hint="default" w:ascii="宋体" w:hAnsi="宋体" w:cs="宋体"/>
                <w:b w:val="0"/>
                <w:bCs w:val="0"/>
                <w:color w:val="auto"/>
                <w:sz w:val="24"/>
                <w:szCs w:val="24"/>
                <w:highlight w:val="none"/>
              </w:rPr>
            </w:pPr>
            <w:r>
              <w:rPr>
                <w:rStyle w:val="259"/>
                <w:rFonts w:hint="eastAsia" w:ascii="宋体" w:hAnsi="宋体" w:cs="宋体"/>
                <w:b w:val="0"/>
                <w:bCs w:val="0"/>
                <w:color w:val="auto"/>
                <w:sz w:val="24"/>
                <w:szCs w:val="24"/>
                <w:highlight w:val="none"/>
              </w:rPr>
              <w:t xml:space="preserve">合同金额   </w:t>
            </w:r>
          </w:p>
        </w:tc>
        <w:tc>
          <w:tcPr>
            <w:tcW w:w="7174" w:type="dxa"/>
            <w:gridSpan w:val="5"/>
            <w:tcBorders>
              <w:top w:val="single" w:color="000000" w:sz="4" w:space="0"/>
              <w:left w:val="single" w:color="000000" w:sz="4" w:space="0"/>
              <w:bottom w:val="single" w:color="000000" w:sz="4" w:space="0"/>
              <w:right w:val="single" w:color="000000" w:sz="4" w:space="0"/>
            </w:tcBorders>
            <w:vAlign w:val="center"/>
          </w:tcPr>
          <w:p w14:paraId="78700A2B">
            <w:pPr>
              <w:keepNext w:val="0"/>
              <w:keepLines w:val="0"/>
              <w:suppressLineNumbers w:val="0"/>
              <w:spacing w:before="0" w:beforeAutospacing="0" w:after="0" w:afterAutospacing="0" w:line="500" w:lineRule="exact"/>
              <w:ind w:left="0" w:right="0"/>
              <w:rPr>
                <w:rStyle w:val="259"/>
                <w:rFonts w:hint="default" w:ascii="宋体" w:hAnsi="宋体" w:eastAsia="宋体" w:cs="宋体"/>
                <w:b w:val="0"/>
                <w:bCs w:val="0"/>
                <w:color w:val="auto"/>
                <w:sz w:val="24"/>
                <w:szCs w:val="24"/>
                <w:highlight w:val="none"/>
                <w:lang w:val="en-US" w:eastAsia="zh-CN"/>
              </w:rPr>
            </w:pPr>
            <w:r>
              <w:rPr>
                <w:rStyle w:val="259"/>
                <w:rFonts w:hint="eastAsia" w:ascii="宋体" w:hAnsi="宋体" w:cs="宋体"/>
                <w:b w:val="0"/>
                <w:bCs w:val="0"/>
                <w:color w:val="auto"/>
                <w:sz w:val="24"/>
                <w:szCs w:val="24"/>
                <w:highlight w:val="none"/>
              </w:rPr>
              <w:t>人民币小写：        大写：</w:t>
            </w:r>
            <w:r>
              <w:rPr>
                <w:rStyle w:val="259"/>
                <w:rFonts w:hint="eastAsia" w:ascii="宋体" w:hAnsi="宋体" w:cs="宋体"/>
                <w:b w:val="0"/>
                <w:bCs w:val="0"/>
                <w:color w:val="auto"/>
                <w:sz w:val="24"/>
                <w:szCs w:val="24"/>
                <w:highlight w:val="none"/>
                <w:lang w:val="en-US" w:eastAsia="zh-CN"/>
              </w:rPr>
              <w:t xml:space="preserve">   </w:t>
            </w:r>
          </w:p>
        </w:tc>
      </w:tr>
    </w:tbl>
    <w:p w14:paraId="1D4D34F1">
      <w:pPr>
        <w:keepNext w:val="0"/>
        <w:keepLines w:val="0"/>
        <w:pageBreakBefore w:val="0"/>
        <w:kinsoku/>
        <w:wordWrap/>
        <w:overflowPunct/>
        <w:topLinePunct w:val="0"/>
        <w:autoSpaceDE/>
        <w:autoSpaceDN/>
        <w:bidi w:val="0"/>
        <w:snapToGrid/>
        <w:spacing w:line="360" w:lineRule="exact"/>
        <w:ind w:firstLine="420"/>
        <w:rPr>
          <w:b/>
          <w:bCs/>
          <w:color w:val="auto"/>
          <w:sz w:val="24"/>
          <w:szCs w:val="24"/>
          <w:highlight w:val="none"/>
        </w:rPr>
      </w:pPr>
      <w:bookmarkStart w:id="183" w:name="_Toc10098"/>
      <w:bookmarkStart w:id="184" w:name="_Toc22065"/>
      <w:bookmarkStart w:id="185" w:name="_Toc16865"/>
      <w:r>
        <w:rPr>
          <w:rFonts w:hint="eastAsia"/>
          <w:b/>
          <w:bCs/>
          <w:color w:val="auto"/>
          <w:sz w:val="24"/>
          <w:szCs w:val="24"/>
          <w:highlight w:val="none"/>
        </w:rPr>
        <w:t>三、货物交付：</w:t>
      </w:r>
      <w:bookmarkEnd w:id="183"/>
      <w:bookmarkEnd w:id="184"/>
      <w:bookmarkEnd w:id="185"/>
      <w:r>
        <w:rPr>
          <w:rFonts w:hint="eastAsia"/>
          <w:b/>
          <w:bCs/>
          <w:color w:val="auto"/>
          <w:sz w:val="24"/>
          <w:szCs w:val="24"/>
          <w:highlight w:val="none"/>
        </w:rPr>
        <w:t xml:space="preserve"> </w:t>
      </w:r>
    </w:p>
    <w:p w14:paraId="68042BED">
      <w:pPr>
        <w:keepNext w:val="0"/>
        <w:keepLines w:val="0"/>
        <w:pageBreakBefore w:val="0"/>
        <w:widowControl/>
        <w:kinsoku/>
        <w:wordWrap/>
        <w:overflowPunct/>
        <w:topLinePunct w:val="0"/>
        <w:autoSpaceDE/>
        <w:autoSpaceDN/>
        <w:bidi w:val="0"/>
        <w:adjustRightInd w:val="0"/>
        <w:snapToGrid/>
        <w:spacing w:line="360" w:lineRule="exact"/>
        <w:ind w:firstLine="480" w:firstLineChars="200"/>
        <w:textAlignment w:val="baseline"/>
        <w:outlineLvl w:val="1"/>
        <w:rPr>
          <w:rStyle w:val="259"/>
          <w:rFonts w:ascii="宋体" w:hAnsi="宋体" w:cs="宋体"/>
          <w:color w:val="auto"/>
          <w:sz w:val="24"/>
          <w:szCs w:val="24"/>
          <w:highlight w:val="none"/>
        </w:rPr>
      </w:pPr>
      <w:bookmarkStart w:id="186" w:name="_Toc10029"/>
      <w:bookmarkStart w:id="187" w:name="_Toc13562"/>
      <w:bookmarkStart w:id="188" w:name="_Toc26907"/>
      <w:r>
        <w:rPr>
          <w:rStyle w:val="259"/>
          <w:rFonts w:hint="eastAsia" w:ascii="宋体" w:hAnsi="宋体" w:cs="宋体"/>
          <w:color w:val="auto"/>
          <w:sz w:val="24"/>
          <w:szCs w:val="24"/>
          <w:highlight w:val="none"/>
        </w:rPr>
        <w:t>1、交货时间：</w:t>
      </w:r>
      <w:bookmarkEnd w:id="186"/>
      <w:bookmarkEnd w:id="187"/>
      <w:bookmarkEnd w:id="188"/>
      <w:r>
        <w:rPr>
          <w:rStyle w:val="259"/>
          <w:rFonts w:hint="eastAsia" w:ascii="宋体" w:hAnsi="宋体" w:cs="宋体"/>
          <w:color w:val="auto"/>
          <w:sz w:val="24"/>
          <w:szCs w:val="24"/>
          <w:highlight w:val="none"/>
        </w:rPr>
        <w:t>施工工期</w:t>
      </w:r>
      <w:r>
        <w:rPr>
          <w:rStyle w:val="259"/>
          <w:rFonts w:hint="eastAsia" w:ascii="宋体" w:hAnsi="宋体" w:cs="宋体"/>
          <w:color w:val="auto"/>
          <w:sz w:val="24"/>
          <w:szCs w:val="24"/>
          <w:highlight w:val="none"/>
          <w:u w:val="single"/>
          <w:lang w:val="en-US" w:eastAsia="zh-CN"/>
        </w:rPr>
        <w:t xml:space="preserve">   </w:t>
      </w:r>
      <w:r>
        <w:rPr>
          <w:rStyle w:val="259"/>
          <w:rFonts w:hint="eastAsia" w:ascii="宋体" w:hAnsi="宋体" w:cs="宋体"/>
          <w:color w:val="auto"/>
          <w:sz w:val="24"/>
          <w:szCs w:val="24"/>
          <w:highlight w:val="none"/>
        </w:rPr>
        <w:t>日历天（根据项目总体施工进度由项目部具体约定，进场必须满足项目部的要求。）</w:t>
      </w:r>
    </w:p>
    <w:p w14:paraId="66A62D60">
      <w:pPr>
        <w:keepNext w:val="0"/>
        <w:keepLines w:val="0"/>
        <w:pageBreakBefore w:val="0"/>
        <w:widowControl/>
        <w:kinsoku/>
        <w:wordWrap/>
        <w:overflowPunct/>
        <w:topLinePunct w:val="0"/>
        <w:autoSpaceDE/>
        <w:autoSpaceDN/>
        <w:bidi w:val="0"/>
        <w:adjustRightInd w:val="0"/>
        <w:snapToGrid/>
        <w:spacing w:line="360" w:lineRule="exact"/>
        <w:ind w:firstLine="480" w:firstLineChars="200"/>
        <w:textAlignment w:val="baseline"/>
        <w:rPr>
          <w:rStyle w:val="259"/>
          <w:rFonts w:ascii="宋体" w:hAnsi="宋体" w:cs="宋体"/>
          <w:color w:val="auto"/>
          <w:sz w:val="24"/>
          <w:szCs w:val="24"/>
          <w:highlight w:val="none"/>
        </w:rPr>
      </w:pPr>
      <w:r>
        <w:rPr>
          <w:rStyle w:val="259"/>
          <w:rFonts w:hint="eastAsia" w:ascii="宋体" w:hAnsi="宋体" w:cs="宋体"/>
          <w:color w:val="auto"/>
          <w:sz w:val="24"/>
          <w:szCs w:val="24"/>
          <w:highlight w:val="none"/>
        </w:rPr>
        <w:t>2、包装标准：按乙方出厂标准执行，由乙方负责交货时的产品完好。</w:t>
      </w:r>
    </w:p>
    <w:p w14:paraId="7EC8DE80">
      <w:pPr>
        <w:keepNext w:val="0"/>
        <w:keepLines w:val="0"/>
        <w:pageBreakBefore w:val="0"/>
        <w:widowControl/>
        <w:kinsoku/>
        <w:wordWrap/>
        <w:overflowPunct/>
        <w:topLinePunct w:val="0"/>
        <w:autoSpaceDE/>
        <w:autoSpaceDN/>
        <w:bidi w:val="0"/>
        <w:adjustRightInd w:val="0"/>
        <w:snapToGrid/>
        <w:spacing w:line="360" w:lineRule="exact"/>
        <w:ind w:firstLine="480" w:firstLineChars="200"/>
        <w:textAlignment w:val="baseline"/>
        <w:outlineLvl w:val="1"/>
        <w:rPr>
          <w:rStyle w:val="259"/>
          <w:rFonts w:ascii="宋体" w:hAnsi="宋体" w:cs="宋体"/>
          <w:color w:val="auto"/>
          <w:sz w:val="24"/>
          <w:szCs w:val="24"/>
          <w:highlight w:val="none"/>
          <w:lang w:val="en-IE"/>
        </w:rPr>
      </w:pPr>
      <w:bookmarkStart w:id="189" w:name="_Toc21265"/>
      <w:bookmarkStart w:id="190" w:name="_Toc19335"/>
      <w:bookmarkStart w:id="191" w:name="_Toc20037"/>
      <w:r>
        <w:rPr>
          <w:rStyle w:val="259"/>
          <w:rFonts w:hint="eastAsia" w:ascii="宋体" w:hAnsi="宋体" w:cs="宋体"/>
          <w:color w:val="auto"/>
          <w:sz w:val="24"/>
          <w:szCs w:val="24"/>
          <w:highlight w:val="none"/>
        </w:rPr>
        <w:t>3、交（提）货方式及地点：</w:t>
      </w:r>
      <w:bookmarkEnd w:id="189"/>
      <w:bookmarkEnd w:id="190"/>
      <w:bookmarkEnd w:id="191"/>
    </w:p>
    <w:p w14:paraId="7E75E4DB">
      <w:pPr>
        <w:keepNext w:val="0"/>
        <w:keepLines w:val="0"/>
        <w:pageBreakBefore w:val="0"/>
        <w:widowControl/>
        <w:kinsoku/>
        <w:wordWrap/>
        <w:overflowPunct/>
        <w:topLinePunct w:val="0"/>
        <w:autoSpaceDE/>
        <w:autoSpaceDN/>
        <w:bidi w:val="0"/>
        <w:adjustRightInd w:val="0"/>
        <w:snapToGrid/>
        <w:spacing w:line="360" w:lineRule="exact"/>
        <w:ind w:firstLine="480" w:firstLineChars="200"/>
        <w:textAlignment w:val="baseline"/>
        <w:rPr>
          <w:rStyle w:val="259"/>
          <w:rFonts w:ascii="宋体" w:hAnsi="宋体" w:cs="宋体"/>
          <w:color w:val="auto"/>
          <w:sz w:val="24"/>
          <w:szCs w:val="24"/>
          <w:highlight w:val="none"/>
        </w:rPr>
      </w:pPr>
      <w:r>
        <w:rPr>
          <w:rStyle w:val="259"/>
          <w:rFonts w:hint="eastAsia" w:ascii="宋体" w:hAnsi="宋体" w:cs="宋体"/>
          <w:color w:val="auto"/>
          <w:sz w:val="24"/>
          <w:szCs w:val="24"/>
          <w:highlight w:val="none"/>
        </w:rPr>
        <w:t>（1）交货地点和收货人姓名：交货地点：</w:t>
      </w:r>
      <w:r>
        <w:rPr>
          <w:rStyle w:val="259"/>
          <w:rFonts w:hint="eastAsia" w:ascii="宋体" w:hAnsi="宋体" w:cs="宋体"/>
          <w:color w:val="auto"/>
          <w:sz w:val="24"/>
          <w:szCs w:val="24"/>
          <w:highlight w:val="none"/>
          <w:u w:val="single"/>
        </w:rPr>
        <w:t xml:space="preserve">           </w:t>
      </w:r>
      <w:r>
        <w:rPr>
          <w:rStyle w:val="259"/>
          <w:rFonts w:hint="eastAsia" w:ascii="宋体" w:hAnsi="宋体" w:cs="宋体"/>
          <w:color w:val="auto"/>
          <w:sz w:val="24"/>
          <w:szCs w:val="24"/>
          <w:highlight w:val="none"/>
          <w:u w:val="single" w:color="000000"/>
        </w:rPr>
        <w:t xml:space="preserve">        </w:t>
      </w:r>
      <w:r>
        <w:rPr>
          <w:rStyle w:val="259"/>
          <w:rFonts w:hint="eastAsia" w:ascii="宋体" w:hAnsi="宋体" w:cs="宋体"/>
          <w:color w:val="auto"/>
          <w:sz w:val="24"/>
          <w:szCs w:val="24"/>
          <w:highlight w:val="none"/>
        </w:rPr>
        <w:t xml:space="preserve"> ， </w:t>
      </w:r>
    </w:p>
    <w:p w14:paraId="5DA6A821">
      <w:pPr>
        <w:keepNext w:val="0"/>
        <w:keepLines w:val="0"/>
        <w:pageBreakBefore w:val="0"/>
        <w:widowControl/>
        <w:kinsoku/>
        <w:wordWrap/>
        <w:overflowPunct/>
        <w:topLinePunct w:val="0"/>
        <w:autoSpaceDE/>
        <w:autoSpaceDN/>
        <w:bidi w:val="0"/>
        <w:adjustRightInd w:val="0"/>
        <w:snapToGrid/>
        <w:spacing w:line="360" w:lineRule="exact"/>
        <w:ind w:firstLine="480" w:firstLineChars="200"/>
        <w:textAlignment w:val="baseline"/>
        <w:rPr>
          <w:rStyle w:val="259"/>
          <w:rFonts w:ascii="宋体" w:hAnsi="宋体" w:cs="宋体"/>
          <w:color w:val="auto"/>
          <w:sz w:val="24"/>
          <w:szCs w:val="24"/>
          <w:highlight w:val="none"/>
        </w:rPr>
      </w:pPr>
      <w:r>
        <w:rPr>
          <w:rStyle w:val="259"/>
          <w:rFonts w:hint="eastAsia" w:ascii="宋体" w:hAnsi="宋体" w:cs="宋体"/>
          <w:color w:val="auto"/>
          <w:sz w:val="24"/>
          <w:szCs w:val="24"/>
          <w:highlight w:val="none"/>
        </w:rPr>
        <w:t>收货人姓名：</w:t>
      </w:r>
      <w:r>
        <w:rPr>
          <w:rStyle w:val="259"/>
          <w:rFonts w:hint="eastAsia" w:ascii="宋体" w:hAnsi="宋体" w:cs="宋体"/>
          <w:color w:val="auto"/>
          <w:sz w:val="24"/>
          <w:szCs w:val="24"/>
          <w:highlight w:val="none"/>
          <w:u w:val="single" w:color="000000"/>
        </w:rPr>
        <w:t xml:space="preserve">          </w:t>
      </w:r>
      <w:r>
        <w:rPr>
          <w:rStyle w:val="259"/>
          <w:rFonts w:hint="eastAsia" w:ascii="宋体" w:hAnsi="宋体" w:cs="宋体"/>
          <w:color w:val="auto"/>
          <w:sz w:val="24"/>
          <w:szCs w:val="24"/>
          <w:highlight w:val="none"/>
        </w:rPr>
        <w:t>电话</w:t>
      </w:r>
      <w:r>
        <w:rPr>
          <w:rStyle w:val="259"/>
          <w:rFonts w:hint="eastAsia" w:ascii="宋体" w:hAnsi="宋体" w:cs="宋体"/>
          <w:color w:val="auto"/>
          <w:sz w:val="24"/>
          <w:szCs w:val="24"/>
          <w:highlight w:val="none"/>
          <w:u w:val="single"/>
        </w:rPr>
        <w:t xml:space="preserve">               </w:t>
      </w:r>
      <w:r>
        <w:rPr>
          <w:rStyle w:val="259"/>
          <w:rFonts w:hint="eastAsia" w:ascii="宋体" w:hAnsi="宋体" w:cs="宋体"/>
          <w:color w:val="auto"/>
          <w:sz w:val="24"/>
          <w:szCs w:val="24"/>
          <w:highlight w:val="none"/>
        </w:rPr>
        <w:t xml:space="preserve"> 。</w:t>
      </w:r>
    </w:p>
    <w:p w14:paraId="39FCAA74">
      <w:pPr>
        <w:keepNext w:val="0"/>
        <w:keepLines w:val="0"/>
        <w:pageBreakBefore w:val="0"/>
        <w:widowControl/>
        <w:kinsoku/>
        <w:wordWrap/>
        <w:overflowPunct/>
        <w:topLinePunct w:val="0"/>
        <w:autoSpaceDE/>
        <w:autoSpaceDN/>
        <w:bidi w:val="0"/>
        <w:adjustRightInd w:val="0"/>
        <w:snapToGrid/>
        <w:spacing w:line="360" w:lineRule="exact"/>
        <w:ind w:firstLine="480" w:firstLineChars="200"/>
        <w:textAlignment w:val="baseline"/>
        <w:rPr>
          <w:rStyle w:val="259"/>
          <w:rFonts w:ascii="宋体" w:hAnsi="宋体" w:cs="宋体"/>
          <w:color w:val="auto"/>
          <w:sz w:val="24"/>
          <w:szCs w:val="24"/>
          <w:highlight w:val="none"/>
        </w:rPr>
      </w:pPr>
      <w:r>
        <w:rPr>
          <w:rStyle w:val="259"/>
          <w:rFonts w:hint="eastAsia" w:ascii="宋体" w:hAnsi="宋体" w:cs="宋体"/>
          <w:color w:val="auto"/>
          <w:sz w:val="24"/>
          <w:szCs w:val="24"/>
          <w:highlight w:val="none"/>
        </w:rPr>
        <w:t>（2）运输：乙方将货物运输至项目现场。</w:t>
      </w:r>
    </w:p>
    <w:p w14:paraId="7065B76E">
      <w:pPr>
        <w:keepNext w:val="0"/>
        <w:keepLines w:val="0"/>
        <w:pageBreakBefore w:val="0"/>
        <w:widowControl/>
        <w:kinsoku/>
        <w:wordWrap/>
        <w:overflowPunct/>
        <w:topLinePunct w:val="0"/>
        <w:autoSpaceDE/>
        <w:autoSpaceDN/>
        <w:bidi w:val="0"/>
        <w:adjustRightInd w:val="0"/>
        <w:snapToGrid/>
        <w:spacing w:line="360" w:lineRule="exact"/>
        <w:ind w:firstLine="480" w:firstLineChars="200"/>
        <w:textAlignment w:val="baseline"/>
        <w:rPr>
          <w:rStyle w:val="259"/>
          <w:rFonts w:ascii="宋体" w:hAnsi="宋体" w:cs="宋体"/>
          <w:color w:val="auto"/>
          <w:sz w:val="24"/>
          <w:szCs w:val="24"/>
          <w:highlight w:val="none"/>
        </w:rPr>
      </w:pPr>
      <w:r>
        <w:rPr>
          <w:rStyle w:val="259"/>
          <w:rFonts w:hint="eastAsia" w:ascii="宋体" w:hAnsi="宋体" w:cs="宋体"/>
          <w:color w:val="auto"/>
          <w:sz w:val="24"/>
          <w:szCs w:val="24"/>
          <w:highlight w:val="none"/>
        </w:rPr>
        <w:t>（3）下列情形除外：</w:t>
      </w:r>
    </w:p>
    <w:p w14:paraId="7A332AF0">
      <w:pPr>
        <w:keepNext w:val="0"/>
        <w:keepLines w:val="0"/>
        <w:pageBreakBefore w:val="0"/>
        <w:widowControl/>
        <w:kinsoku/>
        <w:wordWrap/>
        <w:overflowPunct/>
        <w:topLinePunct w:val="0"/>
        <w:autoSpaceDE/>
        <w:autoSpaceDN/>
        <w:bidi w:val="0"/>
        <w:adjustRightInd w:val="0"/>
        <w:snapToGrid/>
        <w:spacing w:line="360" w:lineRule="exact"/>
        <w:ind w:firstLine="480" w:firstLineChars="200"/>
        <w:textAlignment w:val="baseline"/>
        <w:rPr>
          <w:rStyle w:val="259"/>
          <w:rFonts w:ascii="宋体" w:hAnsi="宋体" w:cs="宋体"/>
          <w:color w:val="auto"/>
          <w:sz w:val="24"/>
          <w:szCs w:val="24"/>
          <w:highlight w:val="none"/>
        </w:rPr>
      </w:pPr>
      <w:r>
        <w:rPr>
          <w:rStyle w:val="259"/>
          <w:rFonts w:hint="eastAsia" w:ascii="宋体" w:hAnsi="宋体" w:cs="宋体"/>
          <w:color w:val="auto"/>
          <w:sz w:val="24"/>
          <w:szCs w:val="24"/>
          <w:highlight w:val="none"/>
        </w:rPr>
        <w:t>A、甲方项目在本合同交货地点时，根据现场的需求提供货源，保质保量运送到甲方指定地点。</w:t>
      </w:r>
    </w:p>
    <w:p w14:paraId="62D0F1AF">
      <w:pPr>
        <w:keepNext w:val="0"/>
        <w:keepLines w:val="0"/>
        <w:pageBreakBefore w:val="0"/>
        <w:widowControl/>
        <w:kinsoku/>
        <w:wordWrap/>
        <w:overflowPunct/>
        <w:topLinePunct w:val="0"/>
        <w:autoSpaceDE/>
        <w:autoSpaceDN/>
        <w:bidi w:val="0"/>
        <w:adjustRightInd w:val="0"/>
        <w:snapToGrid/>
        <w:spacing w:line="360" w:lineRule="exact"/>
        <w:ind w:firstLine="456" w:firstLineChars="200"/>
        <w:textAlignment w:val="baseline"/>
        <w:rPr>
          <w:rStyle w:val="259"/>
          <w:rFonts w:ascii="宋体" w:hAnsi="宋体" w:cs="宋体"/>
          <w:color w:val="auto"/>
          <w:spacing w:val="-6"/>
          <w:sz w:val="24"/>
          <w:szCs w:val="24"/>
          <w:highlight w:val="none"/>
        </w:rPr>
      </w:pPr>
      <w:r>
        <w:rPr>
          <w:rStyle w:val="259"/>
          <w:rFonts w:hint="eastAsia" w:ascii="宋体" w:hAnsi="宋体" w:cs="宋体"/>
          <w:color w:val="auto"/>
          <w:spacing w:val="-6"/>
          <w:sz w:val="24"/>
          <w:szCs w:val="24"/>
          <w:highlight w:val="none"/>
        </w:rPr>
        <w:t>B、</w:t>
      </w:r>
      <w:r>
        <w:rPr>
          <w:rFonts w:hint="eastAsia" w:ascii="宋体" w:hAnsi="宋体" w:cs="宋体"/>
          <w:color w:val="auto"/>
          <w:sz w:val="24"/>
          <w:szCs w:val="24"/>
          <w:highlight w:val="none"/>
        </w:rPr>
        <w:t>甲方验收合格并接受货物之前，货物毁损、灭失等风险不发生转移。</w:t>
      </w:r>
    </w:p>
    <w:p w14:paraId="0BE092AD">
      <w:pPr>
        <w:keepNext w:val="0"/>
        <w:keepLines w:val="0"/>
        <w:pageBreakBefore w:val="0"/>
        <w:kinsoku/>
        <w:wordWrap/>
        <w:overflowPunct/>
        <w:topLinePunct w:val="0"/>
        <w:autoSpaceDE/>
        <w:autoSpaceDN/>
        <w:bidi w:val="0"/>
        <w:snapToGrid/>
        <w:spacing w:line="360" w:lineRule="exact"/>
        <w:ind w:firstLine="420"/>
        <w:rPr>
          <w:b/>
          <w:bCs/>
          <w:color w:val="auto"/>
          <w:sz w:val="24"/>
          <w:szCs w:val="24"/>
          <w:highlight w:val="none"/>
        </w:rPr>
      </w:pPr>
      <w:bookmarkStart w:id="192" w:name="_Toc32697"/>
      <w:bookmarkStart w:id="193" w:name="_Toc7375"/>
      <w:bookmarkStart w:id="194" w:name="_Toc462"/>
      <w:r>
        <w:rPr>
          <w:rFonts w:hint="eastAsia"/>
          <w:b/>
          <w:bCs/>
          <w:color w:val="auto"/>
          <w:sz w:val="24"/>
          <w:szCs w:val="24"/>
          <w:highlight w:val="none"/>
        </w:rPr>
        <w:t>四、货物的验收：</w:t>
      </w:r>
      <w:bookmarkEnd w:id="192"/>
      <w:bookmarkEnd w:id="193"/>
      <w:bookmarkEnd w:id="194"/>
    </w:p>
    <w:p w14:paraId="463DAC7C">
      <w:pPr>
        <w:keepNext w:val="0"/>
        <w:keepLines w:val="0"/>
        <w:pageBreakBefore w:val="0"/>
        <w:kinsoku/>
        <w:wordWrap/>
        <w:overflowPunct/>
        <w:topLinePunct w:val="0"/>
        <w:autoSpaceDE/>
        <w:autoSpaceDN/>
        <w:bidi w:val="0"/>
        <w:snapToGrid/>
        <w:spacing w:line="360" w:lineRule="exact"/>
        <w:ind w:firstLine="420"/>
        <w:rPr>
          <w:rStyle w:val="259"/>
          <w:rFonts w:hint="default" w:ascii="宋体" w:hAnsi="宋体" w:cs="宋体"/>
          <w:color w:val="auto"/>
          <w:sz w:val="24"/>
          <w:szCs w:val="24"/>
          <w:highlight w:val="none"/>
          <w:lang w:val="en-US" w:eastAsia="zh-CN"/>
        </w:rPr>
      </w:pPr>
      <w:bookmarkStart w:id="195" w:name="_Toc7090"/>
      <w:bookmarkStart w:id="196" w:name="_Toc29062"/>
      <w:bookmarkStart w:id="197" w:name="_Toc19293"/>
      <w:r>
        <w:rPr>
          <w:rStyle w:val="259"/>
          <w:rFonts w:hint="eastAsia" w:ascii="宋体" w:hAnsi="宋体" w:cs="宋体"/>
          <w:color w:val="auto"/>
          <w:sz w:val="24"/>
          <w:szCs w:val="24"/>
          <w:highlight w:val="none"/>
          <w:lang w:val="en-US" w:eastAsia="zh-CN"/>
        </w:rPr>
        <w:t>按照比选文件要求的验收标准和方法验收。</w:t>
      </w:r>
    </w:p>
    <w:p w14:paraId="0B3C930C">
      <w:pPr>
        <w:keepNext w:val="0"/>
        <w:keepLines w:val="0"/>
        <w:pageBreakBefore w:val="0"/>
        <w:kinsoku/>
        <w:wordWrap/>
        <w:overflowPunct/>
        <w:topLinePunct w:val="0"/>
        <w:autoSpaceDE/>
        <w:autoSpaceDN/>
        <w:bidi w:val="0"/>
        <w:snapToGrid/>
        <w:spacing w:line="360" w:lineRule="exact"/>
        <w:ind w:firstLine="420"/>
        <w:rPr>
          <w:b/>
          <w:bCs/>
          <w:color w:val="auto"/>
          <w:sz w:val="24"/>
          <w:szCs w:val="24"/>
          <w:highlight w:val="none"/>
        </w:rPr>
      </w:pPr>
      <w:r>
        <w:rPr>
          <w:rFonts w:hint="eastAsia"/>
          <w:b/>
          <w:bCs/>
          <w:color w:val="auto"/>
          <w:sz w:val="24"/>
          <w:szCs w:val="24"/>
          <w:highlight w:val="none"/>
        </w:rPr>
        <w:t>五、</w:t>
      </w:r>
      <w:r>
        <w:rPr>
          <w:rFonts w:hint="eastAsia"/>
          <w:b/>
          <w:bCs/>
          <w:color w:val="auto"/>
          <w:sz w:val="24"/>
          <w:szCs w:val="24"/>
          <w:highlight w:val="none"/>
          <w:lang w:val="en-US" w:eastAsia="zh-CN"/>
        </w:rPr>
        <w:t>付款方式和条件</w:t>
      </w:r>
      <w:r>
        <w:rPr>
          <w:rFonts w:hint="eastAsia"/>
          <w:b/>
          <w:bCs/>
          <w:color w:val="auto"/>
          <w:sz w:val="24"/>
          <w:szCs w:val="24"/>
          <w:highlight w:val="none"/>
        </w:rPr>
        <w:t>：</w:t>
      </w:r>
      <w:bookmarkEnd w:id="195"/>
      <w:bookmarkEnd w:id="196"/>
      <w:bookmarkEnd w:id="197"/>
    </w:p>
    <w:p w14:paraId="4BC29C91">
      <w:pPr>
        <w:keepNext w:val="0"/>
        <w:keepLines w:val="0"/>
        <w:pageBreakBefore w:val="0"/>
        <w:widowControl/>
        <w:kinsoku/>
        <w:wordWrap/>
        <w:overflowPunct/>
        <w:topLinePunct w:val="0"/>
        <w:autoSpaceDE/>
        <w:autoSpaceDN/>
        <w:bidi w:val="0"/>
        <w:adjustRightInd w:val="0"/>
        <w:snapToGrid/>
        <w:spacing w:line="360" w:lineRule="exact"/>
        <w:ind w:firstLine="480" w:firstLineChars="200"/>
        <w:textAlignment w:val="baseline"/>
        <w:outlineLvl w:val="1"/>
        <w:rPr>
          <w:rStyle w:val="259"/>
          <w:rFonts w:ascii="宋体" w:hAnsi="宋体" w:cs="宋体"/>
          <w:color w:val="auto"/>
          <w:sz w:val="24"/>
          <w:szCs w:val="24"/>
          <w:highlight w:val="none"/>
        </w:rPr>
      </w:pPr>
      <w:bookmarkStart w:id="198" w:name="_Toc29916"/>
      <w:bookmarkStart w:id="199" w:name="_Toc13571"/>
      <w:bookmarkStart w:id="200" w:name="_Toc32078"/>
      <w:r>
        <w:rPr>
          <w:rStyle w:val="259"/>
          <w:rFonts w:hint="eastAsia" w:ascii="宋体" w:hAnsi="宋体" w:cs="宋体"/>
          <w:color w:val="auto"/>
          <w:sz w:val="24"/>
          <w:szCs w:val="24"/>
          <w:highlight w:val="none"/>
        </w:rPr>
        <w:t>1、结算方式：</w:t>
      </w:r>
      <w:r>
        <w:rPr>
          <w:rStyle w:val="259"/>
          <w:rFonts w:hint="eastAsia" w:ascii="宋体" w:hAnsi="宋体" w:cs="宋体"/>
          <w:color w:val="auto"/>
          <w:sz w:val="24"/>
          <w:szCs w:val="24"/>
          <w:highlight w:val="none"/>
          <w:u w:val="single" w:color="000000"/>
        </w:rPr>
        <w:t xml:space="preserve"> 对公转账</w:t>
      </w:r>
      <w:r>
        <w:rPr>
          <w:rStyle w:val="259"/>
          <w:rFonts w:hint="eastAsia" w:ascii="宋体" w:hAnsi="宋体" w:cs="宋体"/>
          <w:color w:val="auto"/>
          <w:sz w:val="24"/>
          <w:szCs w:val="24"/>
          <w:highlight w:val="none"/>
        </w:rPr>
        <w:t>。</w:t>
      </w:r>
      <w:bookmarkEnd w:id="198"/>
      <w:bookmarkEnd w:id="199"/>
      <w:bookmarkEnd w:id="200"/>
    </w:p>
    <w:p w14:paraId="0C69D756">
      <w:pPr>
        <w:keepNext w:val="0"/>
        <w:keepLines w:val="0"/>
        <w:pageBreakBefore w:val="0"/>
        <w:widowControl/>
        <w:kinsoku/>
        <w:wordWrap/>
        <w:overflowPunct/>
        <w:topLinePunct w:val="0"/>
        <w:autoSpaceDE/>
        <w:autoSpaceDN/>
        <w:bidi w:val="0"/>
        <w:adjustRightInd w:val="0"/>
        <w:snapToGrid/>
        <w:spacing w:line="360" w:lineRule="exact"/>
        <w:ind w:firstLine="480" w:firstLineChars="200"/>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电梯设备进场后支付单台电梯合同金额</w:t>
      </w:r>
      <w:r>
        <w:rPr>
          <w:rFonts w:hint="eastAsia" w:ascii="宋体" w:hAnsi="宋体" w:cs="宋体"/>
          <w:color w:val="auto"/>
          <w:sz w:val="24"/>
          <w:szCs w:val="24"/>
          <w:highlight w:val="none"/>
        </w:rPr>
        <w:t>的30%，</w:t>
      </w:r>
      <w:r>
        <w:rPr>
          <w:rFonts w:hint="eastAsia" w:ascii="宋体" w:hAnsi="宋体" w:cs="宋体"/>
          <w:color w:val="auto"/>
          <w:sz w:val="24"/>
          <w:szCs w:val="24"/>
          <w:highlight w:val="none"/>
          <w:lang w:val="en-US" w:eastAsia="zh-CN"/>
        </w:rPr>
        <w:t>电梯安装调试完毕并</w:t>
      </w:r>
      <w:r>
        <w:rPr>
          <w:rFonts w:hint="eastAsia" w:ascii="宋体" w:hAnsi="宋体" w:cs="宋体"/>
          <w:color w:val="auto"/>
          <w:sz w:val="24"/>
          <w:szCs w:val="24"/>
          <w:highlight w:val="none"/>
        </w:rPr>
        <w:t>经</w:t>
      </w:r>
      <w:r>
        <w:rPr>
          <w:rFonts w:hint="eastAsia" w:ascii="宋体" w:hAnsi="宋体" w:cs="宋体"/>
          <w:color w:val="auto"/>
          <w:sz w:val="24"/>
          <w:szCs w:val="24"/>
          <w:highlight w:val="none"/>
          <w:lang w:val="en-US" w:eastAsia="zh-CN"/>
        </w:rPr>
        <w:t>验收合格</w:t>
      </w:r>
      <w:r>
        <w:rPr>
          <w:rFonts w:hint="eastAsia" w:ascii="宋体" w:hAnsi="宋体" w:cs="宋体"/>
          <w:color w:val="auto"/>
          <w:sz w:val="24"/>
          <w:szCs w:val="24"/>
          <w:highlight w:val="none"/>
        </w:rPr>
        <w:t>后，支付至</w:t>
      </w:r>
      <w:r>
        <w:rPr>
          <w:rFonts w:hint="eastAsia" w:ascii="宋体" w:hAnsi="宋体" w:cs="宋体"/>
          <w:color w:val="auto"/>
          <w:sz w:val="24"/>
          <w:szCs w:val="24"/>
          <w:highlight w:val="none"/>
          <w:lang w:val="en-US" w:eastAsia="zh-CN"/>
        </w:rPr>
        <w:t>电梯合同金额的</w:t>
      </w:r>
      <w:r>
        <w:rPr>
          <w:rFonts w:hint="eastAsia" w:ascii="宋体" w:hAnsi="宋体" w:cs="宋体"/>
          <w:color w:val="auto"/>
          <w:sz w:val="24"/>
          <w:szCs w:val="24"/>
          <w:highlight w:val="none"/>
        </w:rPr>
        <w:t>97%。余款3%作为质保金，</w:t>
      </w:r>
      <w:r>
        <w:rPr>
          <w:rFonts w:hint="eastAsia" w:ascii="宋体" w:hAnsi="宋体" w:cs="宋体"/>
          <w:color w:val="auto"/>
          <w:sz w:val="24"/>
          <w:szCs w:val="24"/>
          <w:highlight w:val="none"/>
          <w:lang w:val="en-US" w:eastAsia="zh-CN"/>
        </w:rPr>
        <w:t>整机</w:t>
      </w:r>
      <w:r>
        <w:rPr>
          <w:rFonts w:hint="eastAsia" w:ascii="宋体" w:hAnsi="宋体" w:cs="宋体"/>
          <w:color w:val="auto"/>
          <w:sz w:val="24"/>
          <w:szCs w:val="24"/>
          <w:highlight w:val="none"/>
        </w:rPr>
        <w:t>质保期满后无任何质量问题</w:t>
      </w:r>
      <w:r>
        <w:rPr>
          <w:rFonts w:hint="eastAsia" w:ascii="宋体" w:hAnsi="宋体" w:cs="宋体"/>
          <w:color w:val="auto"/>
          <w:sz w:val="24"/>
          <w:szCs w:val="24"/>
          <w:highlight w:val="none"/>
          <w:lang w:eastAsia="zh-CN"/>
        </w:rPr>
        <w:t>的</w:t>
      </w:r>
      <w:r>
        <w:rPr>
          <w:rFonts w:hint="eastAsia" w:ascii="宋体" w:hAnsi="宋体" w:cs="宋体"/>
          <w:color w:val="auto"/>
          <w:sz w:val="24"/>
          <w:szCs w:val="24"/>
          <w:highlight w:val="none"/>
        </w:rPr>
        <w:t>无息退还。</w:t>
      </w:r>
    </w:p>
    <w:p w14:paraId="6D505FF4">
      <w:pPr>
        <w:keepNext w:val="0"/>
        <w:keepLines w:val="0"/>
        <w:pageBreakBefore w:val="0"/>
        <w:widowControl/>
        <w:kinsoku/>
        <w:wordWrap/>
        <w:overflowPunct/>
        <w:topLinePunct w:val="0"/>
        <w:autoSpaceDE/>
        <w:autoSpaceDN/>
        <w:bidi w:val="0"/>
        <w:adjustRightInd w:val="0"/>
        <w:snapToGrid/>
        <w:spacing w:line="360" w:lineRule="exact"/>
        <w:ind w:firstLine="480" w:firstLineChars="200"/>
        <w:textAlignment w:val="baseline"/>
        <w:rPr>
          <w:rFonts w:hint="default" w:ascii="宋体" w:hAnsi="宋体" w:cs="宋体"/>
          <w:color w:val="auto"/>
          <w:sz w:val="24"/>
          <w:szCs w:val="24"/>
          <w:highlight w:val="none"/>
          <w:lang w:val="en-US"/>
        </w:rPr>
      </w:pPr>
      <w:r>
        <w:rPr>
          <w:rFonts w:hint="eastAsia" w:ascii="宋体" w:hAnsi="宋体" w:cs="宋体"/>
          <w:color w:val="auto"/>
          <w:sz w:val="24"/>
          <w:szCs w:val="24"/>
          <w:highlight w:val="none"/>
          <w:lang w:val="en-US" w:eastAsia="zh-CN"/>
        </w:rPr>
        <w:t>3、政府补贴资金则按政府补贴资金申请流程进行。</w:t>
      </w:r>
    </w:p>
    <w:p w14:paraId="7837775D">
      <w:pPr>
        <w:keepNext w:val="0"/>
        <w:keepLines w:val="0"/>
        <w:pageBreakBefore w:val="0"/>
        <w:widowControl/>
        <w:kinsoku/>
        <w:wordWrap/>
        <w:overflowPunct/>
        <w:topLinePunct w:val="0"/>
        <w:autoSpaceDE/>
        <w:autoSpaceDN/>
        <w:bidi w:val="0"/>
        <w:adjustRightInd w:val="0"/>
        <w:snapToGrid/>
        <w:spacing w:line="360" w:lineRule="exact"/>
        <w:ind w:firstLine="480" w:firstLineChars="200"/>
        <w:textAlignment w:val="baseline"/>
        <w:rPr>
          <w:rStyle w:val="259"/>
          <w:rFonts w:ascii="宋体" w:hAnsi="宋体" w:cs="宋体"/>
          <w:color w:val="auto"/>
          <w:sz w:val="24"/>
          <w:szCs w:val="24"/>
          <w:highlight w:val="none"/>
        </w:rPr>
      </w:pPr>
      <w:r>
        <w:rPr>
          <w:rStyle w:val="259"/>
          <w:rFonts w:hint="eastAsia" w:ascii="宋体" w:hAnsi="宋体" w:cs="宋体"/>
          <w:color w:val="auto"/>
          <w:sz w:val="24"/>
          <w:szCs w:val="24"/>
          <w:highlight w:val="none"/>
          <w:lang w:val="en-US" w:eastAsia="zh-CN"/>
        </w:rPr>
        <w:t>4</w:t>
      </w:r>
      <w:r>
        <w:rPr>
          <w:rStyle w:val="259"/>
          <w:rFonts w:hint="eastAsia" w:ascii="宋体" w:hAnsi="宋体" w:cs="宋体"/>
          <w:color w:val="auto"/>
          <w:sz w:val="24"/>
          <w:szCs w:val="24"/>
          <w:highlight w:val="none"/>
        </w:rPr>
        <w:t>、甲方授权甲方代表</w:t>
      </w:r>
      <w:r>
        <w:rPr>
          <w:rStyle w:val="259"/>
          <w:rFonts w:hint="eastAsia" w:ascii="宋体" w:hAnsi="宋体" w:cs="宋体"/>
          <w:color w:val="auto"/>
          <w:sz w:val="24"/>
          <w:szCs w:val="24"/>
          <w:highlight w:val="none"/>
          <w:u w:val="single" w:color="000000"/>
        </w:rPr>
        <w:t xml:space="preserve">           </w:t>
      </w:r>
      <w:r>
        <w:rPr>
          <w:rStyle w:val="259"/>
          <w:rFonts w:hint="eastAsia" w:ascii="宋体" w:hAnsi="宋体" w:cs="宋体"/>
          <w:color w:val="auto"/>
          <w:sz w:val="24"/>
          <w:szCs w:val="24"/>
          <w:highlight w:val="none"/>
        </w:rPr>
        <w:t xml:space="preserve"> 电话：</w:t>
      </w:r>
      <w:r>
        <w:rPr>
          <w:rStyle w:val="259"/>
          <w:rFonts w:hint="eastAsia" w:ascii="宋体" w:hAnsi="宋体" w:cs="宋体"/>
          <w:color w:val="auto"/>
          <w:sz w:val="24"/>
          <w:szCs w:val="24"/>
          <w:highlight w:val="none"/>
          <w:u w:val="single" w:color="000000"/>
        </w:rPr>
        <w:t xml:space="preserve">              </w:t>
      </w:r>
      <w:r>
        <w:rPr>
          <w:rStyle w:val="259"/>
          <w:rFonts w:hint="eastAsia" w:ascii="宋体" w:hAnsi="宋体" w:cs="宋体"/>
          <w:color w:val="auto"/>
          <w:sz w:val="24"/>
          <w:szCs w:val="24"/>
          <w:highlight w:val="none"/>
        </w:rPr>
        <w:t>与乙方核对账目，以上人员在对账单签字的行为视为甲方对对账单的认可，并加盖甲方公章。乙方将对账单书面送达甲方后，甲方应当在7日内对账目进行核对，有异议书面向乙方提出。</w:t>
      </w:r>
    </w:p>
    <w:p w14:paraId="6A1C9BF4">
      <w:pPr>
        <w:keepNext w:val="0"/>
        <w:keepLines w:val="0"/>
        <w:pageBreakBefore w:val="0"/>
        <w:widowControl/>
        <w:kinsoku/>
        <w:wordWrap/>
        <w:overflowPunct/>
        <w:topLinePunct w:val="0"/>
        <w:autoSpaceDE/>
        <w:autoSpaceDN/>
        <w:bidi w:val="0"/>
        <w:adjustRightInd w:val="0"/>
        <w:snapToGrid/>
        <w:spacing w:line="360" w:lineRule="exact"/>
        <w:ind w:firstLine="480" w:firstLineChars="200"/>
        <w:textAlignment w:val="baseline"/>
        <w:rPr>
          <w:rStyle w:val="259"/>
          <w:rFonts w:ascii="宋体" w:hAnsi="宋体" w:cs="宋体"/>
          <w:color w:val="auto"/>
          <w:sz w:val="24"/>
          <w:szCs w:val="24"/>
          <w:highlight w:val="none"/>
        </w:rPr>
      </w:pPr>
      <w:r>
        <w:rPr>
          <w:rStyle w:val="259"/>
          <w:rFonts w:hint="eastAsia" w:ascii="宋体" w:hAnsi="宋体" w:cs="宋体"/>
          <w:color w:val="auto"/>
          <w:sz w:val="24"/>
          <w:szCs w:val="24"/>
          <w:highlight w:val="none"/>
          <w:lang w:val="en-US" w:eastAsia="zh-CN"/>
        </w:rPr>
        <w:t>5</w:t>
      </w:r>
      <w:r>
        <w:rPr>
          <w:rStyle w:val="259"/>
          <w:rFonts w:hint="eastAsia" w:ascii="宋体" w:hAnsi="宋体" w:cs="宋体"/>
          <w:color w:val="auto"/>
          <w:sz w:val="24"/>
          <w:szCs w:val="24"/>
          <w:highlight w:val="none"/>
        </w:rPr>
        <w:t>、甲方应按照合同约定的付款方式及时履行付款义务。</w:t>
      </w:r>
      <w:r>
        <w:rPr>
          <w:rFonts w:hint="eastAsia" w:ascii="宋体" w:hAnsi="宋体" w:cs="宋体"/>
          <w:color w:val="auto"/>
          <w:sz w:val="24"/>
          <w:szCs w:val="24"/>
          <w:highlight w:val="none"/>
        </w:rPr>
        <w:t>付款前，乙方应提供真实有效的增值税发票，否则甲方有权暂不付款，并不承担逾期付款违约责任。</w:t>
      </w:r>
      <w:r>
        <w:rPr>
          <w:rStyle w:val="259"/>
          <w:rFonts w:hint="eastAsia" w:ascii="宋体" w:hAnsi="宋体" w:cs="宋体"/>
          <w:color w:val="auto"/>
          <w:sz w:val="24"/>
          <w:szCs w:val="24"/>
          <w:highlight w:val="none"/>
        </w:rPr>
        <w:t xml:space="preserve"> </w:t>
      </w:r>
    </w:p>
    <w:p w14:paraId="01C6596A">
      <w:pPr>
        <w:keepNext w:val="0"/>
        <w:keepLines w:val="0"/>
        <w:pageBreakBefore w:val="0"/>
        <w:kinsoku/>
        <w:wordWrap/>
        <w:overflowPunct/>
        <w:topLinePunct w:val="0"/>
        <w:autoSpaceDE/>
        <w:autoSpaceDN/>
        <w:bidi w:val="0"/>
        <w:snapToGrid/>
        <w:spacing w:line="360" w:lineRule="exact"/>
        <w:ind w:firstLine="420"/>
        <w:rPr>
          <w:b/>
          <w:bCs/>
          <w:color w:val="auto"/>
          <w:sz w:val="24"/>
          <w:szCs w:val="24"/>
          <w:highlight w:val="none"/>
        </w:rPr>
      </w:pPr>
      <w:bookmarkStart w:id="201" w:name="_Toc5711"/>
      <w:bookmarkStart w:id="202" w:name="_Toc15362"/>
      <w:bookmarkStart w:id="203" w:name="_Toc9141"/>
      <w:r>
        <w:rPr>
          <w:rFonts w:hint="eastAsia"/>
          <w:b/>
          <w:bCs/>
          <w:color w:val="auto"/>
          <w:sz w:val="24"/>
          <w:szCs w:val="24"/>
          <w:highlight w:val="none"/>
        </w:rPr>
        <w:t>六、安装验收</w:t>
      </w:r>
      <w:bookmarkEnd w:id="201"/>
      <w:bookmarkEnd w:id="202"/>
      <w:bookmarkEnd w:id="203"/>
    </w:p>
    <w:p w14:paraId="7DE2A706">
      <w:pPr>
        <w:keepNext w:val="0"/>
        <w:keepLines w:val="0"/>
        <w:pageBreakBefore w:val="0"/>
        <w:widowControl/>
        <w:kinsoku/>
        <w:wordWrap/>
        <w:overflowPunct/>
        <w:topLinePunct w:val="0"/>
        <w:autoSpaceDE/>
        <w:autoSpaceDN/>
        <w:bidi w:val="0"/>
        <w:adjustRightInd w:val="0"/>
        <w:snapToGrid/>
        <w:spacing w:line="360" w:lineRule="exact"/>
        <w:ind w:firstLine="480" w:firstLineChars="200"/>
        <w:textAlignment w:val="baseline"/>
        <w:rPr>
          <w:rStyle w:val="259"/>
          <w:rFonts w:ascii="宋体" w:hAnsi="宋体" w:cs="宋体"/>
          <w:color w:val="auto"/>
          <w:sz w:val="24"/>
          <w:szCs w:val="24"/>
          <w:highlight w:val="none"/>
        </w:rPr>
      </w:pPr>
      <w:r>
        <w:rPr>
          <w:rStyle w:val="259"/>
          <w:rFonts w:hint="eastAsia" w:ascii="宋体" w:hAnsi="宋体" w:cs="宋体"/>
          <w:color w:val="auto"/>
          <w:sz w:val="24"/>
          <w:szCs w:val="24"/>
          <w:highlight w:val="none"/>
        </w:rPr>
        <w:t>1、供货清单的确认；</w:t>
      </w:r>
    </w:p>
    <w:p w14:paraId="63732313">
      <w:pPr>
        <w:keepNext w:val="0"/>
        <w:keepLines w:val="0"/>
        <w:pageBreakBefore w:val="0"/>
        <w:widowControl/>
        <w:kinsoku/>
        <w:wordWrap/>
        <w:overflowPunct/>
        <w:topLinePunct w:val="0"/>
        <w:autoSpaceDE/>
        <w:autoSpaceDN/>
        <w:bidi w:val="0"/>
        <w:adjustRightInd w:val="0"/>
        <w:snapToGrid/>
        <w:spacing w:line="360" w:lineRule="exact"/>
        <w:ind w:firstLine="480" w:firstLineChars="200"/>
        <w:textAlignment w:val="baseline"/>
        <w:rPr>
          <w:rStyle w:val="259"/>
          <w:rFonts w:ascii="宋体" w:hAnsi="宋体" w:cs="宋体"/>
          <w:color w:val="auto"/>
          <w:sz w:val="24"/>
          <w:szCs w:val="24"/>
          <w:highlight w:val="none"/>
        </w:rPr>
      </w:pPr>
      <w:r>
        <w:rPr>
          <w:rStyle w:val="259"/>
          <w:rFonts w:hint="eastAsia" w:ascii="宋体" w:hAnsi="宋体" w:cs="宋体"/>
          <w:color w:val="auto"/>
          <w:sz w:val="24"/>
          <w:szCs w:val="24"/>
          <w:highlight w:val="none"/>
        </w:rPr>
        <w:t>2、电梯的综合性能检查；</w:t>
      </w:r>
    </w:p>
    <w:p w14:paraId="56E5D365">
      <w:pPr>
        <w:keepNext w:val="0"/>
        <w:keepLines w:val="0"/>
        <w:pageBreakBefore w:val="0"/>
        <w:widowControl/>
        <w:kinsoku/>
        <w:wordWrap/>
        <w:overflowPunct/>
        <w:topLinePunct w:val="0"/>
        <w:autoSpaceDE/>
        <w:autoSpaceDN/>
        <w:bidi w:val="0"/>
        <w:adjustRightInd w:val="0"/>
        <w:snapToGrid/>
        <w:spacing w:line="360" w:lineRule="exact"/>
        <w:ind w:firstLine="480" w:firstLineChars="200"/>
        <w:textAlignment w:val="baseline"/>
        <w:rPr>
          <w:rStyle w:val="259"/>
          <w:rFonts w:ascii="宋体" w:hAnsi="宋体" w:cs="宋体"/>
          <w:color w:val="auto"/>
          <w:sz w:val="24"/>
          <w:szCs w:val="24"/>
          <w:highlight w:val="none"/>
        </w:rPr>
      </w:pPr>
      <w:r>
        <w:rPr>
          <w:rStyle w:val="259"/>
          <w:rFonts w:hint="eastAsia" w:ascii="宋体" w:hAnsi="宋体" w:cs="宋体"/>
          <w:color w:val="auto"/>
          <w:sz w:val="24"/>
          <w:szCs w:val="24"/>
          <w:highlight w:val="none"/>
        </w:rPr>
        <w:t>3、竣工资料一套；</w:t>
      </w:r>
    </w:p>
    <w:p w14:paraId="4025E482">
      <w:pPr>
        <w:keepNext w:val="0"/>
        <w:keepLines w:val="0"/>
        <w:pageBreakBefore w:val="0"/>
        <w:widowControl/>
        <w:kinsoku/>
        <w:wordWrap/>
        <w:overflowPunct/>
        <w:topLinePunct w:val="0"/>
        <w:autoSpaceDE/>
        <w:autoSpaceDN/>
        <w:bidi w:val="0"/>
        <w:adjustRightInd w:val="0"/>
        <w:snapToGrid/>
        <w:spacing w:line="360" w:lineRule="exact"/>
        <w:ind w:firstLine="480" w:firstLineChars="200"/>
        <w:textAlignment w:val="baseline"/>
        <w:rPr>
          <w:rStyle w:val="259"/>
          <w:rFonts w:ascii="宋体" w:hAnsi="宋体" w:cs="宋体"/>
          <w:color w:val="auto"/>
          <w:sz w:val="24"/>
          <w:szCs w:val="24"/>
          <w:highlight w:val="none"/>
        </w:rPr>
      </w:pPr>
      <w:r>
        <w:rPr>
          <w:rStyle w:val="259"/>
          <w:rFonts w:hint="eastAsia" w:ascii="宋体" w:hAnsi="宋体" w:cs="宋体"/>
          <w:color w:val="auto"/>
          <w:sz w:val="24"/>
          <w:szCs w:val="24"/>
          <w:highlight w:val="none"/>
        </w:rPr>
        <w:t>4、重庆特种设备检测研究院的检验报告和检验结论。</w:t>
      </w:r>
    </w:p>
    <w:p w14:paraId="55D76615">
      <w:pPr>
        <w:keepNext w:val="0"/>
        <w:keepLines w:val="0"/>
        <w:pageBreakBefore w:val="0"/>
        <w:kinsoku/>
        <w:wordWrap/>
        <w:overflowPunct/>
        <w:topLinePunct w:val="0"/>
        <w:autoSpaceDE/>
        <w:autoSpaceDN/>
        <w:bidi w:val="0"/>
        <w:snapToGrid/>
        <w:spacing w:line="360" w:lineRule="exact"/>
        <w:ind w:firstLine="420"/>
        <w:rPr>
          <w:b/>
          <w:bCs/>
          <w:color w:val="auto"/>
          <w:sz w:val="24"/>
          <w:szCs w:val="24"/>
          <w:highlight w:val="none"/>
        </w:rPr>
      </w:pPr>
      <w:bookmarkStart w:id="204" w:name="_Toc9544"/>
      <w:bookmarkStart w:id="205" w:name="_Toc7963"/>
      <w:bookmarkStart w:id="206" w:name="_Toc7202"/>
      <w:r>
        <w:rPr>
          <w:rFonts w:hint="eastAsia"/>
          <w:b/>
          <w:bCs/>
          <w:color w:val="auto"/>
          <w:sz w:val="24"/>
          <w:szCs w:val="24"/>
          <w:highlight w:val="none"/>
        </w:rPr>
        <w:t>七、质保期限：</w:t>
      </w:r>
      <w:bookmarkEnd w:id="204"/>
      <w:bookmarkEnd w:id="205"/>
      <w:bookmarkEnd w:id="206"/>
    </w:p>
    <w:p w14:paraId="323393D8">
      <w:pPr>
        <w:keepNext w:val="0"/>
        <w:keepLines w:val="0"/>
        <w:pageBreakBefore w:val="0"/>
        <w:kinsoku/>
        <w:wordWrap/>
        <w:overflowPunct/>
        <w:topLinePunct w:val="0"/>
        <w:autoSpaceDE/>
        <w:autoSpaceDN/>
        <w:bidi w:val="0"/>
        <w:snapToGrid/>
        <w:spacing w:line="360" w:lineRule="exact"/>
        <w:ind w:firstLine="420"/>
        <w:rPr>
          <w:rStyle w:val="259"/>
          <w:rFonts w:hint="eastAsia" w:ascii="宋体" w:hAnsi="宋体" w:cs="宋体"/>
          <w:color w:val="auto"/>
          <w:sz w:val="24"/>
          <w:szCs w:val="24"/>
          <w:highlight w:val="none"/>
        </w:rPr>
      </w:pPr>
      <w:bookmarkStart w:id="207" w:name="_Toc29930"/>
      <w:bookmarkStart w:id="208" w:name="_Toc12138"/>
      <w:bookmarkStart w:id="209" w:name="_Toc27856"/>
      <w:r>
        <w:rPr>
          <w:rStyle w:val="259"/>
          <w:rFonts w:hint="eastAsia" w:ascii="宋体" w:hAnsi="宋体" w:cs="宋体"/>
          <w:color w:val="auto"/>
          <w:sz w:val="24"/>
          <w:szCs w:val="24"/>
          <w:highlight w:val="none"/>
          <w:lang w:val="en-US" w:eastAsia="zh-CN"/>
        </w:rPr>
        <w:t>通过特检院验收合格之日起</w:t>
      </w:r>
      <w:r>
        <w:rPr>
          <w:rStyle w:val="259"/>
          <w:rFonts w:hint="eastAsia" w:ascii="宋体" w:hAnsi="宋体" w:cs="宋体"/>
          <w:color w:val="auto"/>
          <w:sz w:val="24"/>
          <w:szCs w:val="24"/>
          <w:highlight w:val="none"/>
        </w:rPr>
        <w:t>进入质保期，核心部件（曳引机、门机、控制柜、安全钳、缓冲器、限速器）质保</w:t>
      </w:r>
      <w:r>
        <w:rPr>
          <w:rStyle w:val="259"/>
          <w:rFonts w:hint="eastAsia" w:ascii="宋体" w:hAnsi="宋体" w:cs="宋体"/>
          <w:color w:val="auto"/>
          <w:sz w:val="24"/>
          <w:szCs w:val="24"/>
          <w:highlight w:val="none"/>
          <w:u w:val="single"/>
          <w:lang w:val="en-US" w:eastAsia="zh-CN"/>
        </w:rPr>
        <w:t xml:space="preserve">   </w:t>
      </w:r>
      <w:r>
        <w:rPr>
          <w:rStyle w:val="259"/>
          <w:rFonts w:hint="eastAsia" w:ascii="宋体" w:hAnsi="宋体" w:cs="宋体"/>
          <w:color w:val="auto"/>
          <w:sz w:val="24"/>
          <w:szCs w:val="24"/>
          <w:highlight w:val="none"/>
        </w:rPr>
        <w:t>年，整机质保</w:t>
      </w:r>
      <w:r>
        <w:rPr>
          <w:rStyle w:val="259"/>
          <w:rFonts w:hint="eastAsia" w:ascii="宋体" w:hAnsi="宋体" w:cs="宋体"/>
          <w:color w:val="auto"/>
          <w:sz w:val="24"/>
          <w:szCs w:val="24"/>
          <w:highlight w:val="none"/>
          <w:u w:val="single"/>
          <w:lang w:val="en-US" w:eastAsia="zh-CN"/>
        </w:rPr>
        <w:t xml:space="preserve">   </w:t>
      </w:r>
      <w:r>
        <w:rPr>
          <w:rStyle w:val="259"/>
          <w:rFonts w:hint="eastAsia" w:ascii="宋体" w:hAnsi="宋体" w:cs="宋体"/>
          <w:color w:val="auto"/>
          <w:sz w:val="24"/>
          <w:szCs w:val="24"/>
          <w:highlight w:val="none"/>
        </w:rPr>
        <w:t>年（含电梯更新附属各类设备设施），</w:t>
      </w:r>
      <w:r>
        <w:rPr>
          <w:rStyle w:val="259"/>
          <w:rFonts w:hint="eastAsia" w:ascii="宋体" w:hAnsi="宋体" w:cs="宋体"/>
          <w:color w:val="auto"/>
          <w:sz w:val="24"/>
          <w:szCs w:val="24"/>
          <w:highlight w:val="none"/>
          <w:lang w:val="en-US" w:eastAsia="zh-CN"/>
        </w:rPr>
        <w:t>免费维保期</w:t>
      </w:r>
      <w:r>
        <w:rPr>
          <w:rStyle w:val="259"/>
          <w:rFonts w:hint="eastAsia" w:ascii="宋体" w:hAnsi="宋体" w:cs="宋体"/>
          <w:color w:val="auto"/>
          <w:sz w:val="24"/>
          <w:szCs w:val="24"/>
          <w:highlight w:val="none"/>
          <w:u w:val="single"/>
          <w:lang w:val="en-US" w:eastAsia="zh-CN"/>
        </w:rPr>
        <w:t xml:space="preserve">  </w:t>
      </w:r>
      <w:r>
        <w:rPr>
          <w:rStyle w:val="259"/>
          <w:rFonts w:hint="eastAsia" w:ascii="宋体" w:hAnsi="宋体" w:cs="宋体"/>
          <w:color w:val="auto"/>
          <w:sz w:val="24"/>
          <w:szCs w:val="24"/>
          <w:highlight w:val="none"/>
          <w:u w:val="none"/>
          <w:lang w:val="en-US" w:eastAsia="zh-CN"/>
        </w:rPr>
        <w:t>年，</w:t>
      </w:r>
      <w:r>
        <w:rPr>
          <w:rStyle w:val="259"/>
          <w:rFonts w:hint="eastAsia" w:ascii="宋体" w:hAnsi="宋体" w:cs="宋体"/>
          <w:color w:val="auto"/>
          <w:sz w:val="24"/>
          <w:szCs w:val="24"/>
          <w:highlight w:val="none"/>
        </w:rPr>
        <w:t>按照 TSG 08-2017 《电梯使用管理和维护保养规则》的规定，维保项目和计划，完成半月、季度、年度维保后的电梯应符合GB/T 7588.1-2020</w:t>
      </w:r>
      <w:r>
        <w:rPr>
          <w:rStyle w:val="259"/>
          <w:rFonts w:hint="eastAsia" w:ascii="宋体" w:hAnsi="宋体" w:cs="宋体"/>
          <w:color w:val="auto"/>
          <w:sz w:val="24"/>
          <w:szCs w:val="24"/>
          <w:highlight w:val="none"/>
          <w:lang w:val="en-US" w:eastAsia="zh-CN"/>
        </w:rPr>
        <w:t>/GB/T 7588.2-2020</w:t>
      </w:r>
      <w:r>
        <w:rPr>
          <w:rStyle w:val="259"/>
          <w:rFonts w:hint="eastAsia" w:ascii="宋体" w:hAnsi="宋体" w:cs="宋体"/>
          <w:color w:val="auto"/>
          <w:sz w:val="24"/>
          <w:szCs w:val="24"/>
          <w:highlight w:val="none"/>
        </w:rPr>
        <w:t>《电梯制造与安装安全规范》的相关规定。</w:t>
      </w:r>
    </w:p>
    <w:p w14:paraId="0D1AA9D3">
      <w:pPr>
        <w:keepNext w:val="0"/>
        <w:keepLines w:val="0"/>
        <w:pageBreakBefore w:val="0"/>
        <w:kinsoku/>
        <w:wordWrap/>
        <w:overflowPunct/>
        <w:topLinePunct w:val="0"/>
        <w:autoSpaceDE/>
        <w:autoSpaceDN/>
        <w:bidi w:val="0"/>
        <w:snapToGrid/>
        <w:spacing w:line="360" w:lineRule="exact"/>
        <w:ind w:firstLine="420"/>
        <w:rPr>
          <w:b/>
          <w:bCs/>
          <w:color w:val="auto"/>
          <w:sz w:val="24"/>
          <w:szCs w:val="24"/>
          <w:highlight w:val="none"/>
        </w:rPr>
      </w:pPr>
      <w:r>
        <w:rPr>
          <w:rFonts w:hint="eastAsia"/>
          <w:b/>
          <w:bCs/>
          <w:color w:val="auto"/>
          <w:sz w:val="24"/>
          <w:szCs w:val="24"/>
          <w:highlight w:val="none"/>
        </w:rPr>
        <w:t>八、合同解除：</w:t>
      </w:r>
      <w:bookmarkEnd w:id="207"/>
      <w:bookmarkEnd w:id="208"/>
      <w:bookmarkEnd w:id="209"/>
    </w:p>
    <w:p w14:paraId="68550981">
      <w:pPr>
        <w:keepNext w:val="0"/>
        <w:keepLines w:val="0"/>
        <w:pageBreakBefore w:val="0"/>
        <w:widowControl/>
        <w:kinsoku/>
        <w:wordWrap/>
        <w:overflowPunct/>
        <w:topLinePunct w:val="0"/>
        <w:autoSpaceDE/>
        <w:autoSpaceDN/>
        <w:bidi w:val="0"/>
        <w:adjustRightInd w:val="0"/>
        <w:snapToGrid/>
        <w:spacing w:line="360" w:lineRule="exact"/>
        <w:ind w:firstLine="482" w:firstLineChars="200"/>
        <w:textAlignment w:val="baseline"/>
        <w:rPr>
          <w:rStyle w:val="259"/>
          <w:rFonts w:ascii="宋体" w:hAnsi="宋体" w:cs="宋体"/>
          <w:color w:val="auto"/>
          <w:sz w:val="24"/>
          <w:szCs w:val="24"/>
          <w:highlight w:val="none"/>
        </w:rPr>
      </w:pPr>
      <w:r>
        <w:rPr>
          <w:rStyle w:val="259"/>
          <w:rFonts w:hint="eastAsia" w:ascii="宋体" w:hAnsi="宋体" w:cs="宋体"/>
          <w:b/>
          <w:color w:val="auto"/>
          <w:sz w:val="24"/>
          <w:szCs w:val="24"/>
          <w:highlight w:val="none"/>
        </w:rPr>
        <w:t>1、</w:t>
      </w:r>
      <w:r>
        <w:rPr>
          <w:rStyle w:val="259"/>
          <w:rFonts w:hint="eastAsia" w:ascii="宋体" w:hAnsi="宋体" w:cs="宋体"/>
          <w:bCs/>
          <w:color w:val="auto"/>
          <w:sz w:val="24"/>
          <w:szCs w:val="24"/>
          <w:highlight w:val="none"/>
        </w:rPr>
        <w:t>甲乙双方按合同要求履行完毕</w:t>
      </w:r>
      <w:r>
        <w:rPr>
          <w:rStyle w:val="259"/>
          <w:rFonts w:hint="eastAsia" w:ascii="宋体" w:hAnsi="宋体" w:cs="宋体"/>
          <w:color w:val="auto"/>
          <w:sz w:val="24"/>
          <w:szCs w:val="24"/>
          <w:highlight w:val="none"/>
        </w:rPr>
        <w:t>；</w:t>
      </w:r>
    </w:p>
    <w:p w14:paraId="07B48FFC">
      <w:pPr>
        <w:keepNext w:val="0"/>
        <w:keepLines w:val="0"/>
        <w:pageBreakBefore w:val="0"/>
        <w:widowControl/>
        <w:kinsoku/>
        <w:wordWrap/>
        <w:overflowPunct/>
        <w:topLinePunct w:val="0"/>
        <w:autoSpaceDE/>
        <w:autoSpaceDN/>
        <w:bidi w:val="0"/>
        <w:adjustRightInd w:val="0"/>
        <w:snapToGrid/>
        <w:spacing w:line="360" w:lineRule="exact"/>
        <w:ind w:firstLine="480" w:firstLineChars="200"/>
        <w:textAlignment w:val="baseline"/>
        <w:rPr>
          <w:rStyle w:val="259"/>
          <w:rFonts w:ascii="宋体" w:hAnsi="宋体" w:cs="宋体"/>
          <w:color w:val="auto"/>
          <w:sz w:val="24"/>
          <w:szCs w:val="24"/>
          <w:highlight w:val="none"/>
        </w:rPr>
      </w:pPr>
      <w:r>
        <w:rPr>
          <w:rStyle w:val="259"/>
          <w:rFonts w:hint="eastAsia" w:ascii="宋体" w:hAnsi="宋体" w:cs="宋体"/>
          <w:color w:val="auto"/>
          <w:sz w:val="24"/>
          <w:szCs w:val="24"/>
          <w:highlight w:val="none"/>
        </w:rPr>
        <w:t>2、乙方提供的材料存在质量原因的；</w:t>
      </w:r>
    </w:p>
    <w:p w14:paraId="58730DAC">
      <w:pPr>
        <w:keepNext w:val="0"/>
        <w:keepLines w:val="0"/>
        <w:pageBreakBefore w:val="0"/>
        <w:widowControl/>
        <w:kinsoku/>
        <w:wordWrap/>
        <w:overflowPunct/>
        <w:topLinePunct w:val="0"/>
        <w:autoSpaceDE/>
        <w:autoSpaceDN/>
        <w:bidi w:val="0"/>
        <w:adjustRightInd w:val="0"/>
        <w:snapToGrid/>
        <w:spacing w:line="360" w:lineRule="exact"/>
        <w:ind w:firstLine="480" w:firstLineChars="200"/>
        <w:textAlignment w:val="baseline"/>
        <w:rPr>
          <w:rStyle w:val="259"/>
          <w:rFonts w:ascii="宋体" w:hAnsi="宋体" w:cs="宋体"/>
          <w:color w:val="auto"/>
          <w:sz w:val="24"/>
          <w:szCs w:val="24"/>
          <w:highlight w:val="none"/>
        </w:rPr>
      </w:pPr>
      <w:r>
        <w:rPr>
          <w:rStyle w:val="259"/>
          <w:rFonts w:hint="eastAsia" w:ascii="宋体" w:hAnsi="宋体" w:cs="宋体"/>
          <w:color w:val="auto"/>
          <w:sz w:val="24"/>
          <w:szCs w:val="24"/>
          <w:highlight w:val="none"/>
        </w:rPr>
        <w:t>3、未按甲方的相关要求供货并经双方协商未达成一致意见的；</w:t>
      </w:r>
    </w:p>
    <w:p w14:paraId="0460D1CA">
      <w:pPr>
        <w:keepNext w:val="0"/>
        <w:keepLines w:val="0"/>
        <w:pageBreakBefore w:val="0"/>
        <w:widowControl/>
        <w:kinsoku/>
        <w:wordWrap/>
        <w:overflowPunct/>
        <w:topLinePunct w:val="0"/>
        <w:autoSpaceDE/>
        <w:autoSpaceDN/>
        <w:bidi w:val="0"/>
        <w:adjustRightInd w:val="0"/>
        <w:snapToGrid/>
        <w:spacing w:line="360" w:lineRule="exact"/>
        <w:ind w:firstLine="480" w:firstLineChars="200"/>
        <w:textAlignment w:val="baseline"/>
        <w:rPr>
          <w:rStyle w:val="259"/>
          <w:rFonts w:ascii="宋体" w:hAnsi="宋体" w:cs="宋体"/>
          <w:b/>
          <w:color w:val="auto"/>
          <w:sz w:val="24"/>
          <w:szCs w:val="24"/>
          <w:highlight w:val="none"/>
        </w:rPr>
      </w:pPr>
      <w:r>
        <w:rPr>
          <w:rStyle w:val="259"/>
          <w:rFonts w:hint="eastAsia" w:ascii="宋体" w:hAnsi="宋体" w:cs="宋体"/>
          <w:color w:val="auto"/>
          <w:sz w:val="24"/>
          <w:szCs w:val="24"/>
          <w:highlight w:val="none"/>
        </w:rPr>
        <w:t>4、遇到不可抗力因素的。</w:t>
      </w:r>
    </w:p>
    <w:p w14:paraId="3F3E67B1">
      <w:pPr>
        <w:keepNext w:val="0"/>
        <w:keepLines w:val="0"/>
        <w:pageBreakBefore w:val="0"/>
        <w:kinsoku/>
        <w:wordWrap/>
        <w:overflowPunct/>
        <w:topLinePunct w:val="0"/>
        <w:autoSpaceDE/>
        <w:autoSpaceDN/>
        <w:bidi w:val="0"/>
        <w:snapToGrid/>
        <w:spacing w:line="360" w:lineRule="exact"/>
        <w:ind w:firstLine="420"/>
        <w:rPr>
          <w:b/>
          <w:bCs/>
          <w:color w:val="auto"/>
          <w:sz w:val="24"/>
          <w:szCs w:val="24"/>
          <w:highlight w:val="none"/>
        </w:rPr>
      </w:pPr>
      <w:bookmarkStart w:id="210" w:name="_Toc12498"/>
      <w:bookmarkStart w:id="211" w:name="_Toc16340"/>
      <w:bookmarkStart w:id="212" w:name="_Toc1875"/>
      <w:r>
        <w:rPr>
          <w:rFonts w:hint="eastAsia"/>
          <w:b/>
          <w:bCs/>
          <w:color w:val="auto"/>
          <w:sz w:val="24"/>
          <w:szCs w:val="24"/>
          <w:highlight w:val="none"/>
        </w:rPr>
        <w:t>九、违约责任：</w:t>
      </w:r>
      <w:bookmarkEnd w:id="210"/>
      <w:bookmarkEnd w:id="211"/>
      <w:bookmarkEnd w:id="212"/>
    </w:p>
    <w:p w14:paraId="581375EE">
      <w:pPr>
        <w:keepNext w:val="0"/>
        <w:keepLines w:val="0"/>
        <w:pageBreakBefore w:val="0"/>
        <w:widowControl/>
        <w:kinsoku/>
        <w:wordWrap/>
        <w:overflowPunct/>
        <w:topLinePunct w:val="0"/>
        <w:autoSpaceDE/>
        <w:autoSpaceDN/>
        <w:bidi w:val="0"/>
        <w:adjustRightInd w:val="0"/>
        <w:snapToGrid/>
        <w:spacing w:line="360" w:lineRule="exact"/>
        <w:ind w:firstLine="480" w:firstLineChars="200"/>
        <w:textAlignment w:val="baseline"/>
        <w:rPr>
          <w:rStyle w:val="259"/>
          <w:rFonts w:ascii="宋体" w:hAnsi="宋体" w:cs="宋体"/>
          <w:b/>
          <w:color w:val="auto"/>
          <w:sz w:val="24"/>
          <w:szCs w:val="24"/>
          <w:highlight w:val="none"/>
        </w:rPr>
      </w:pPr>
      <w:r>
        <w:rPr>
          <w:rStyle w:val="259"/>
          <w:rFonts w:hint="eastAsia" w:ascii="宋体" w:hAnsi="宋体" w:cs="宋体"/>
          <w:color w:val="auto"/>
          <w:sz w:val="24"/>
          <w:szCs w:val="24"/>
          <w:highlight w:val="none"/>
        </w:rPr>
        <w:t>1、付款前，乙方应提供真实有效的</w:t>
      </w:r>
      <w:r>
        <w:rPr>
          <w:rFonts w:hint="eastAsia" w:ascii="宋体" w:hAnsi="宋体" w:cs="宋体"/>
          <w:color w:val="auto"/>
          <w:sz w:val="24"/>
          <w:szCs w:val="24"/>
          <w:highlight w:val="none"/>
        </w:rPr>
        <w:t>增值税</w:t>
      </w:r>
      <w:r>
        <w:rPr>
          <w:rFonts w:hint="eastAsia" w:ascii="宋体" w:hAnsi="宋体" w:cs="宋体"/>
          <w:color w:val="auto"/>
          <w:sz w:val="24"/>
          <w:szCs w:val="24"/>
          <w:highlight w:val="none"/>
          <w:lang w:val="en-US" w:eastAsia="zh-CN"/>
        </w:rPr>
        <w:t>普通</w:t>
      </w:r>
      <w:r>
        <w:rPr>
          <w:rFonts w:hint="eastAsia" w:ascii="宋体" w:hAnsi="宋体" w:cs="宋体"/>
          <w:color w:val="auto"/>
          <w:sz w:val="24"/>
          <w:szCs w:val="24"/>
          <w:highlight w:val="none"/>
        </w:rPr>
        <w:t>发票</w:t>
      </w:r>
      <w:r>
        <w:rPr>
          <w:rStyle w:val="259"/>
          <w:rFonts w:hint="eastAsia" w:ascii="宋体" w:hAnsi="宋体" w:cs="宋体"/>
          <w:color w:val="auto"/>
          <w:sz w:val="24"/>
          <w:szCs w:val="24"/>
          <w:highlight w:val="none"/>
        </w:rPr>
        <w:t>，否则甲方有权暂不付款，并不承担逾期付款违约责任。</w:t>
      </w:r>
    </w:p>
    <w:p w14:paraId="47C944D0">
      <w:pPr>
        <w:keepNext w:val="0"/>
        <w:keepLines w:val="0"/>
        <w:pageBreakBefore w:val="0"/>
        <w:widowControl/>
        <w:kinsoku/>
        <w:wordWrap/>
        <w:overflowPunct/>
        <w:topLinePunct w:val="0"/>
        <w:autoSpaceDE/>
        <w:autoSpaceDN/>
        <w:bidi w:val="0"/>
        <w:adjustRightInd w:val="0"/>
        <w:snapToGrid/>
        <w:spacing w:line="360" w:lineRule="exact"/>
        <w:ind w:firstLine="480" w:firstLineChars="200"/>
        <w:textAlignment w:val="baseline"/>
        <w:rPr>
          <w:rStyle w:val="259"/>
          <w:rFonts w:ascii="宋体" w:hAnsi="宋体" w:cs="宋体"/>
          <w:color w:val="auto"/>
          <w:sz w:val="24"/>
          <w:szCs w:val="24"/>
          <w:highlight w:val="none"/>
        </w:rPr>
      </w:pPr>
      <w:r>
        <w:rPr>
          <w:rStyle w:val="259"/>
          <w:rFonts w:hint="eastAsia" w:ascii="宋体" w:hAnsi="宋体" w:cs="宋体"/>
          <w:color w:val="auto"/>
          <w:sz w:val="24"/>
          <w:szCs w:val="24"/>
          <w:highlight w:val="none"/>
        </w:rPr>
        <w:t>3、甲方应提前三到五个工作日通知乙方，明确乙方交货的时间、货物，乙方应在订购单货物交货期内将货运达约定地点。乙方若逾期交货，每延迟交货一天，按所涉货款的</w:t>
      </w:r>
      <w:r>
        <w:rPr>
          <w:rStyle w:val="259"/>
          <w:rFonts w:hint="eastAsia" w:ascii="宋体" w:hAnsi="宋体" w:cs="宋体"/>
          <w:color w:val="auto"/>
          <w:sz w:val="24"/>
          <w:szCs w:val="24"/>
          <w:highlight w:val="none"/>
          <w:u w:val="single" w:color="000000"/>
        </w:rPr>
        <w:t>万分之3</w:t>
      </w:r>
      <w:r>
        <w:rPr>
          <w:rStyle w:val="259"/>
          <w:rFonts w:hint="eastAsia" w:ascii="宋体" w:hAnsi="宋体" w:cs="宋体"/>
          <w:color w:val="auto"/>
          <w:sz w:val="24"/>
          <w:szCs w:val="24"/>
          <w:highlight w:val="none"/>
          <w:u w:val="single"/>
        </w:rPr>
        <w:t>/天</w:t>
      </w:r>
      <w:r>
        <w:rPr>
          <w:rStyle w:val="259"/>
          <w:rFonts w:hint="eastAsia" w:ascii="宋体" w:hAnsi="宋体" w:cs="宋体"/>
          <w:color w:val="auto"/>
          <w:sz w:val="24"/>
          <w:szCs w:val="24"/>
          <w:highlight w:val="none"/>
        </w:rPr>
        <w:t>向甲方支付违约金（甲方原因导致延期和不可抗力因素除外）。</w:t>
      </w:r>
    </w:p>
    <w:p w14:paraId="29D0FF51">
      <w:pPr>
        <w:keepNext w:val="0"/>
        <w:keepLines w:val="0"/>
        <w:pageBreakBefore w:val="0"/>
        <w:kinsoku/>
        <w:wordWrap/>
        <w:overflowPunct/>
        <w:topLinePunct w:val="0"/>
        <w:autoSpaceDE/>
        <w:autoSpaceDN/>
        <w:bidi w:val="0"/>
        <w:snapToGrid/>
        <w:spacing w:line="360" w:lineRule="exact"/>
        <w:ind w:firstLine="420"/>
        <w:rPr>
          <w:b/>
          <w:bCs/>
          <w:color w:val="auto"/>
          <w:sz w:val="24"/>
          <w:szCs w:val="24"/>
          <w:highlight w:val="none"/>
        </w:rPr>
      </w:pPr>
      <w:bookmarkStart w:id="213" w:name="_Toc12288"/>
      <w:bookmarkStart w:id="214" w:name="_Toc27930"/>
      <w:bookmarkStart w:id="215" w:name="_Toc8473"/>
      <w:r>
        <w:rPr>
          <w:rFonts w:hint="eastAsia"/>
          <w:b/>
          <w:bCs/>
          <w:color w:val="auto"/>
          <w:sz w:val="24"/>
          <w:szCs w:val="24"/>
          <w:highlight w:val="none"/>
        </w:rPr>
        <w:t>十</w:t>
      </w:r>
      <w:bookmarkEnd w:id="213"/>
      <w:bookmarkEnd w:id="214"/>
      <w:bookmarkEnd w:id="215"/>
      <w:bookmarkStart w:id="216" w:name="_Toc12356"/>
      <w:bookmarkStart w:id="217" w:name="_Toc15025"/>
      <w:bookmarkStart w:id="218" w:name="_Toc8699"/>
      <w:r>
        <w:rPr>
          <w:rFonts w:hint="eastAsia"/>
          <w:b/>
          <w:bCs/>
          <w:color w:val="auto"/>
          <w:sz w:val="24"/>
          <w:szCs w:val="24"/>
          <w:highlight w:val="none"/>
        </w:rPr>
        <w:t>、解决合同纠纷的方式：</w:t>
      </w:r>
      <w:bookmarkEnd w:id="216"/>
      <w:bookmarkEnd w:id="217"/>
      <w:bookmarkEnd w:id="218"/>
    </w:p>
    <w:p w14:paraId="777499F9">
      <w:pPr>
        <w:keepNext w:val="0"/>
        <w:keepLines w:val="0"/>
        <w:pageBreakBefore w:val="0"/>
        <w:widowControl/>
        <w:kinsoku/>
        <w:wordWrap/>
        <w:overflowPunct/>
        <w:topLinePunct w:val="0"/>
        <w:autoSpaceDE/>
        <w:autoSpaceDN/>
        <w:bidi w:val="0"/>
        <w:adjustRightInd w:val="0"/>
        <w:snapToGrid/>
        <w:spacing w:line="360" w:lineRule="exact"/>
        <w:ind w:firstLine="480" w:firstLineChars="200"/>
        <w:textAlignment w:val="baseline"/>
        <w:rPr>
          <w:rStyle w:val="259"/>
          <w:rFonts w:ascii="宋体" w:hAnsi="宋体" w:cs="宋体"/>
          <w:color w:val="auto"/>
          <w:sz w:val="24"/>
          <w:szCs w:val="24"/>
          <w:highlight w:val="none"/>
        </w:rPr>
      </w:pPr>
      <w:r>
        <w:rPr>
          <w:rStyle w:val="259"/>
          <w:rFonts w:hint="eastAsia" w:ascii="宋体" w:hAnsi="宋体" w:cs="宋体"/>
          <w:color w:val="auto"/>
          <w:sz w:val="24"/>
          <w:szCs w:val="24"/>
          <w:highlight w:val="none"/>
        </w:rPr>
        <w:t>本合同在履行中发生的争议，由双方当事人协商解决。协商或解决不成的，依法向</w:t>
      </w:r>
      <w:r>
        <w:rPr>
          <w:rStyle w:val="259"/>
          <w:rFonts w:hint="eastAsia" w:ascii="宋体" w:hAnsi="宋体" w:cs="宋体"/>
          <w:color w:val="auto"/>
          <w:sz w:val="24"/>
          <w:szCs w:val="24"/>
          <w:highlight w:val="none"/>
          <w:u w:val="single" w:color="000000"/>
        </w:rPr>
        <w:t>甲方所在地</w:t>
      </w:r>
      <w:r>
        <w:rPr>
          <w:rStyle w:val="259"/>
          <w:rFonts w:hint="eastAsia" w:ascii="宋体" w:hAnsi="宋体" w:cs="宋体"/>
          <w:color w:val="auto"/>
          <w:sz w:val="24"/>
          <w:szCs w:val="24"/>
          <w:highlight w:val="none"/>
        </w:rPr>
        <w:t>人民法院起诉。</w:t>
      </w:r>
    </w:p>
    <w:p w14:paraId="506C6508">
      <w:pPr>
        <w:keepNext w:val="0"/>
        <w:keepLines w:val="0"/>
        <w:pageBreakBefore w:val="0"/>
        <w:kinsoku/>
        <w:wordWrap/>
        <w:overflowPunct/>
        <w:topLinePunct w:val="0"/>
        <w:autoSpaceDE/>
        <w:autoSpaceDN/>
        <w:bidi w:val="0"/>
        <w:snapToGrid/>
        <w:spacing w:line="360" w:lineRule="exact"/>
        <w:ind w:firstLine="420"/>
        <w:rPr>
          <w:b/>
          <w:bCs/>
          <w:color w:val="auto"/>
          <w:sz w:val="24"/>
          <w:szCs w:val="24"/>
          <w:highlight w:val="none"/>
        </w:rPr>
      </w:pPr>
      <w:bookmarkStart w:id="219" w:name="_Toc2737"/>
      <w:bookmarkStart w:id="220" w:name="_Toc12582"/>
      <w:bookmarkStart w:id="221" w:name="_Toc3059"/>
      <w:r>
        <w:rPr>
          <w:rFonts w:hint="eastAsia"/>
          <w:b/>
          <w:bCs/>
          <w:color w:val="auto"/>
          <w:sz w:val="24"/>
          <w:szCs w:val="24"/>
          <w:highlight w:val="none"/>
        </w:rPr>
        <w:t>十二、安全责任：</w:t>
      </w:r>
      <w:bookmarkEnd w:id="219"/>
      <w:bookmarkEnd w:id="220"/>
      <w:bookmarkEnd w:id="221"/>
    </w:p>
    <w:p w14:paraId="0778022C">
      <w:pPr>
        <w:keepNext w:val="0"/>
        <w:keepLines w:val="0"/>
        <w:pageBreakBefore w:val="0"/>
        <w:widowControl/>
        <w:kinsoku/>
        <w:wordWrap/>
        <w:overflowPunct/>
        <w:topLinePunct w:val="0"/>
        <w:autoSpaceDE/>
        <w:autoSpaceDN/>
        <w:bidi w:val="0"/>
        <w:adjustRightInd w:val="0"/>
        <w:snapToGrid/>
        <w:spacing w:line="360" w:lineRule="exact"/>
        <w:ind w:firstLine="480" w:firstLineChars="200"/>
        <w:textAlignment w:val="baseline"/>
        <w:rPr>
          <w:rStyle w:val="259"/>
          <w:rFonts w:ascii="宋体" w:hAnsi="宋体" w:cs="宋体"/>
          <w:color w:val="auto"/>
          <w:sz w:val="24"/>
          <w:szCs w:val="24"/>
          <w:highlight w:val="none"/>
        </w:rPr>
      </w:pPr>
      <w:r>
        <w:rPr>
          <w:rStyle w:val="259"/>
          <w:rFonts w:hint="eastAsia" w:ascii="宋体" w:hAnsi="宋体" w:cs="宋体"/>
          <w:color w:val="auto"/>
          <w:sz w:val="24"/>
          <w:szCs w:val="24"/>
          <w:highlight w:val="none"/>
        </w:rPr>
        <w:t>1、乙方应遵守工程建设安全生产有关管理规定，严格按安全标准组织施工并随时接受行业安全检查人员依法实施的监督检查，采取必要的安全防护措施，及时消除事故隐患。</w:t>
      </w:r>
    </w:p>
    <w:p w14:paraId="7A9D4B49">
      <w:pPr>
        <w:keepNext w:val="0"/>
        <w:keepLines w:val="0"/>
        <w:pageBreakBefore w:val="0"/>
        <w:widowControl/>
        <w:kinsoku/>
        <w:wordWrap/>
        <w:overflowPunct/>
        <w:topLinePunct w:val="0"/>
        <w:autoSpaceDE/>
        <w:autoSpaceDN/>
        <w:bidi w:val="0"/>
        <w:adjustRightInd w:val="0"/>
        <w:snapToGrid/>
        <w:spacing w:line="360" w:lineRule="exact"/>
        <w:ind w:firstLine="480" w:firstLineChars="200"/>
        <w:textAlignment w:val="baseline"/>
        <w:rPr>
          <w:rStyle w:val="259"/>
          <w:rFonts w:ascii="宋体" w:hAnsi="宋体" w:cs="宋体"/>
          <w:color w:val="auto"/>
          <w:sz w:val="24"/>
          <w:szCs w:val="24"/>
          <w:highlight w:val="none"/>
        </w:rPr>
      </w:pPr>
      <w:r>
        <w:rPr>
          <w:rStyle w:val="259"/>
          <w:rFonts w:hint="eastAsia" w:ascii="宋体" w:hAnsi="宋体" w:cs="宋体"/>
          <w:color w:val="auto"/>
          <w:sz w:val="24"/>
          <w:szCs w:val="24"/>
          <w:highlight w:val="none"/>
        </w:rPr>
        <w:t>2、在施工过程中发生安全事故，给甲、乙双方及其他第三方造成人身、财产损害的，由乙方承担民事赔偿责任和其他行政、刑事责任，甲方不承担任何责任。</w:t>
      </w:r>
    </w:p>
    <w:p w14:paraId="730C0D79">
      <w:pPr>
        <w:keepNext w:val="0"/>
        <w:keepLines w:val="0"/>
        <w:pageBreakBefore w:val="0"/>
        <w:widowControl/>
        <w:kinsoku/>
        <w:wordWrap/>
        <w:overflowPunct/>
        <w:topLinePunct w:val="0"/>
        <w:autoSpaceDE/>
        <w:autoSpaceDN/>
        <w:bidi w:val="0"/>
        <w:adjustRightInd w:val="0"/>
        <w:snapToGrid/>
        <w:spacing w:line="360" w:lineRule="exact"/>
        <w:ind w:firstLine="480" w:firstLineChars="200"/>
        <w:textAlignment w:val="baseline"/>
        <w:rPr>
          <w:rStyle w:val="259"/>
          <w:rFonts w:ascii="宋体" w:hAnsi="宋体" w:cs="宋体"/>
          <w:color w:val="auto"/>
          <w:sz w:val="24"/>
          <w:szCs w:val="24"/>
          <w:highlight w:val="none"/>
        </w:rPr>
      </w:pPr>
      <w:r>
        <w:rPr>
          <w:rStyle w:val="259"/>
          <w:rFonts w:hint="eastAsia" w:ascii="宋体" w:hAnsi="宋体" w:cs="宋体"/>
          <w:color w:val="auto"/>
          <w:sz w:val="24"/>
          <w:szCs w:val="24"/>
          <w:highlight w:val="none"/>
        </w:rPr>
        <w:t>3、发生重大伤亡及其他安全事故，乙方应按有关规定立即通知甲方并上报有关部门，同时按政府有关部门要求处理。</w:t>
      </w:r>
    </w:p>
    <w:p w14:paraId="0C7DE878">
      <w:pPr>
        <w:keepNext w:val="0"/>
        <w:keepLines w:val="0"/>
        <w:pageBreakBefore w:val="0"/>
        <w:kinsoku/>
        <w:wordWrap/>
        <w:overflowPunct/>
        <w:topLinePunct w:val="0"/>
        <w:autoSpaceDE/>
        <w:autoSpaceDN/>
        <w:bidi w:val="0"/>
        <w:snapToGrid/>
        <w:spacing w:line="360" w:lineRule="exact"/>
        <w:ind w:firstLine="420"/>
        <w:rPr>
          <w:b/>
          <w:bCs/>
          <w:color w:val="auto"/>
          <w:sz w:val="24"/>
          <w:szCs w:val="24"/>
          <w:highlight w:val="none"/>
        </w:rPr>
      </w:pPr>
      <w:bookmarkStart w:id="222" w:name="_Toc8658"/>
      <w:bookmarkStart w:id="223" w:name="_Toc6364"/>
      <w:r>
        <w:rPr>
          <w:rFonts w:hint="eastAsia"/>
          <w:b/>
          <w:bCs/>
          <w:color w:val="auto"/>
          <w:sz w:val="24"/>
          <w:szCs w:val="24"/>
          <w:highlight w:val="none"/>
        </w:rPr>
        <w:t>十三、其他约定事项：</w:t>
      </w:r>
      <w:bookmarkEnd w:id="222"/>
      <w:bookmarkEnd w:id="223"/>
    </w:p>
    <w:p w14:paraId="28F1DC10">
      <w:pPr>
        <w:keepNext w:val="0"/>
        <w:keepLines w:val="0"/>
        <w:pageBreakBefore w:val="0"/>
        <w:widowControl/>
        <w:kinsoku/>
        <w:wordWrap/>
        <w:overflowPunct/>
        <w:topLinePunct w:val="0"/>
        <w:autoSpaceDE/>
        <w:autoSpaceDN/>
        <w:bidi w:val="0"/>
        <w:adjustRightInd w:val="0"/>
        <w:snapToGrid/>
        <w:spacing w:line="360" w:lineRule="exact"/>
        <w:ind w:firstLine="480" w:firstLineChars="200"/>
        <w:textAlignment w:val="baseline"/>
        <w:rPr>
          <w:rStyle w:val="259"/>
          <w:rFonts w:ascii="宋体" w:hAnsi="宋体" w:cs="宋体"/>
          <w:color w:val="auto"/>
          <w:sz w:val="24"/>
          <w:szCs w:val="24"/>
          <w:highlight w:val="none"/>
        </w:rPr>
      </w:pPr>
      <w:r>
        <w:rPr>
          <w:rStyle w:val="259"/>
          <w:rFonts w:hint="eastAsia" w:ascii="宋体" w:hAnsi="宋体" w:cs="宋体"/>
          <w:color w:val="auto"/>
          <w:sz w:val="24"/>
          <w:szCs w:val="24"/>
          <w:highlight w:val="none"/>
        </w:rPr>
        <w:t>1、业主如需申报政府相关补贴，乙方应全力配合。</w:t>
      </w:r>
    </w:p>
    <w:p w14:paraId="38356E3F">
      <w:pPr>
        <w:keepNext w:val="0"/>
        <w:keepLines w:val="0"/>
        <w:pageBreakBefore w:val="0"/>
        <w:widowControl/>
        <w:kinsoku/>
        <w:wordWrap/>
        <w:overflowPunct/>
        <w:topLinePunct w:val="0"/>
        <w:autoSpaceDE/>
        <w:autoSpaceDN/>
        <w:bidi w:val="0"/>
        <w:adjustRightInd w:val="0"/>
        <w:snapToGrid/>
        <w:spacing w:line="360" w:lineRule="exact"/>
        <w:ind w:firstLine="480" w:firstLineChars="200"/>
        <w:textAlignment w:val="baseline"/>
        <w:rPr>
          <w:rStyle w:val="259"/>
          <w:rFonts w:ascii="宋体" w:hAnsi="宋体" w:cs="宋体"/>
          <w:color w:val="auto"/>
          <w:sz w:val="24"/>
          <w:szCs w:val="24"/>
          <w:highlight w:val="none"/>
        </w:rPr>
      </w:pPr>
      <w:r>
        <w:rPr>
          <w:rStyle w:val="259"/>
          <w:rFonts w:hint="eastAsia" w:ascii="宋体" w:hAnsi="宋体" w:cs="宋体"/>
          <w:color w:val="auto"/>
          <w:sz w:val="24"/>
          <w:szCs w:val="24"/>
          <w:highlight w:val="none"/>
        </w:rPr>
        <w:t>2、乙方货物进场至电梯监督检验之前，货物保管、成品保护由乙方自行负责。</w:t>
      </w:r>
    </w:p>
    <w:p w14:paraId="3A9F2318">
      <w:pPr>
        <w:keepNext w:val="0"/>
        <w:keepLines w:val="0"/>
        <w:pageBreakBefore w:val="0"/>
        <w:widowControl/>
        <w:kinsoku/>
        <w:wordWrap/>
        <w:overflowPunct/>
        <w:topLinePunct w:val="0"/>
        <w:autoSpaceDE/>
        <w:autoSpaceDN/>
        <w:bidi w:val="0"/>
        <w:adjustRightInd w:val="0"/>
        <w:snapToGrid/>
        <w:spacing w:line="360" w:lineRule="exact"/>
        <w:ind w:firstLine="480" w:firstLineChars="200"/>
        <w:textAlignment w:val="baseline"/>
        <w:rPr>
          <w:rStyle w:val="259"/>
          <w:rFonts w:ascii="宋体" w:hAnsi="宋体" w:cs="宋体"/>
          <w:color w:val="auto"/>
          <w:sz w:val="24"/>
          <w:szCs w:val="24"/>
          <w:highlight w:val="none"/>
        </w:rPr>
      </w:pPr>
      <w:r>
        <w:rPr>
          <w:rStyle w:val="259"/>
          <w:rFonts w:hint="eastAsia" w:ascii="宋体" w:hAnsi="宋体" w:cs="宋体"/>
          <w:color w:val="auto"/>
          <w:sz w:val="24"/>
          <w:szCs w:val="24"/>
          <w:highlight w:val="none"/>
        </w:rPr>
        <w:t>3、在本合同签定后，合同如需加以补充或变更，需要双方签署书面补充合同或变更合同。</w:t>
      </w:r>
    </w:p>
    <w:p w14:paraId="5B9FDF54">
      <w:pPr>
        <w:keepNext w:val="0"/>
        <w:keepLines w:val="0"/>
        <w:pageBreakBefore w:val="0"/>
        <w:widowControl/>
        <w:kinsoku/>
        <w:wordWrap/>
        <w:overflowPunct/>
        <w:topLinePunct w:val="0"/>
        <w:autoSpaceDE/>
        <w:autoSpaceDN/>
        <w:bidi w:val="0"/>
        <w:adjustRightInd w:val="0"/>
        <w:snapToGrid/>
        <w:spacing w:line="360" w:lineRule="exact"/>
        <w:ind w:firstLine="480" w:firstLineChars="200"/>
        <w:textAlignment w:val="baseline"/>
        <w:outlineLvl w:val="1"/>
        <w:rPr>
          <w:rStyle w:val="259"/>
          <w:rFonts w:ascii="宋体" w:hAnsi="宋体" w:cs="宋体"/>
          <w:color w:val="auto"/>
          <w:sz w:val="24"/>
          <w:szCs w:val="24"/>
          <w:highlight w:val="none"/>
        </w:rPr>
      </w:pPr>
      <w:bookmarkStart w:id="224" w:name="_Toc516"/>
      <w:bookmarkStart w:id="225" w:name="_Toc23580"/>
      <w:bookmarkStart w:id="226" w:name="_Toc27941"/>
      <w:r>
        <w:rPr>
          <w:rStyle w:val="259"/>
          <w:rFonts w:hint="eastAsia" w:ascii="宋体" w:hAnsi="宋体" w:cs="宋体"/>
          <w:color w:val="auto"/>
          <w:sz w:val="24"/>
          <w:szCs w:val="24"/>
          <w:highlight w:val="none"/>
        </w:rPr>
        <w:t>4、合同未列入之条款，应按照《中华人民共和国</w:t>
      </w:r>
      <w:r>
        <w:rPr>
          <w:rFonts w:hint="eastAsia" w:ascii="宋体" w:hAnsi="宋体" w:cs="宋体"/>
          <w:color w:val="auto"/>
          <w:sz w:val="24"/>
          <w:szCs w:val="24"/>
          <w:highlight w:val="none"/>
        </w:rPr>
        <w:t>民法典</w:t>
      </w:r>
      <w:r>
        <w:rPr>
          <w:rStyle w:val="259"/>
          <w:rFonts w:hint="eastAsia" w:ascii="宋体" w:hAnsi="宋体" w:cs="宋体"/>
          <w:color w:val="auto"/>
          <w:sz w:val="24"/>
          <w:szCs w:val="24"/>
          <w:highlight w:val="none"/>
        </w:rPr>
        <w:t>》处理。</w:t>
      </w:r>
      <w:bookmarkEnd w:id="224"/>
      <w:bookmarkEnd w:id="225"/>
      <w:bookmarkEnd w:id="226"/>
    </w:p>
    <w:p w14:paraId="63C352B8">
      <w:pPr>
        <w:keepNext w:val="0"/>
        <w:keepLines w:val="0"/>
        <w:pageBreakBefore w:val="0"/>
        <w:widowControl/>
        <w:kinsoku/>
        <w:wordWrap/>
        <w:overflowPunct/>
        <w:topLinePunct w:val="0"/>
        <w:autoSpaceDE/>
        <w:autoSpaceDN/>
        <w:bidi w:val="0"/>
        <w:adjustRightInd w:val="0"/>
        <w:snapToGrid/>
        <w:spacing w:line="360" w:lineRule="exact"/>
        <w:ind w:firstLine="480" w:firstLineChars="200"/>
        <w:textAlignment w:val="baseline"/>
        <w:outlineLvl w:val="1"/>
        <w:rPr>
          <w:rStyle w:val="259"/>
          <w:rFonts w:ascii="宋体" w:hAnsi="宋体" w:cs="宋体"/>
          <w:color w:val="auto"/>
          <w:sz w:val="24"/>
          <w:szCs w:val="24"/>
          <w:highlight w:val="none"/>
        </w:rPr>
      </w:pPr>
      <w:r>
        <w:rPr>
          <w:rStyle w:val="259"/>
          <w:rFonts w:hint="eastAsia" w:ascii="宋体" w:hAnsi="宋体" w:cs="宋体"/>
          <w:color w:val="auto"/>
          <w:sz w:val="24"/>
          <w:szCs w:val="24"/>
          <w:highlight w:val="none"/>
        </w:rPr>
        <w:t>5、本项目的比选文件作为本合同的附件，具有同等法律效力。</w:t>
      </w:r>
    </w:p>
    <w:p w14:paraId="2181A15B">
      <w:pPr>
        <w:keepNext w:val="0"/>
        <w:keepLines w:val="0"/>
        <w:pageBreakBefore w:val="0"/>
        <w:widowControl/>
        <w:kinsoku/>
        <w:wordWrap/>
        <w:overflowPunct/>
        <w:topLinePunct w:val="0"/>
        <w:autoSpaceDE/>
        <w:autoSpaceDN/>
        <w:bidi w:val="0"/>
        <w:adjustRightInd w:val="0"/>
        <w:snapToGrid/>
        <w:spacing w:line="360" w:lineRule="exact"/>
        <w:ind w:firstLine="480" w:firstLineChars="200"/>
        <w:textAlignment w:val="baseline"/>
        <w:rPr>
          <w:rFonts w:ascii="宋体" w:hAnsi="宋体" w:cs="宋体"/>
          <w:color w:val="auto"/>
          <w:szCs w:val="28"/>
          <w:highlight w:val="none"/>
        </w:rPr>
      </w:pPr>
      <w:r>
        <w:rPr>
          <w:rStyle w:val="259"/>
          <w:rFonts w:hint="eastAsia" w:ascii="宋体" w:hAnsi="宋体" w:cs="宋体"/>
          <w:color w:val="auto"/>
          <w:sz w:val="24"/>
          <w:szCs w:val="24"/>
          <w:highlight w:val="none"/>
        </w:rPr>
        <w:t>6、本合同一式肆份，甲方执两份，乙方执两份，具有同等法律效力。经双方签字（盖章）后生效。</w:t>
      </w:r>
    </w:p>
    <w:p w14:paraId="0B7BBC05">
      <w:pPr>
        <w:keepNext w:val="0"/>
        <w:keepLines w:val="0"/>
        <w:pageBreakBefore w:val="0"/>
        <w:kinsoku/>
        <w:wordWrap/>
        <w:overflowPunct/>
        <w:topLinePunct w:val="0"/>
        <w:autoSpaceDE/>
        <w:autoSpaceDN/>
        <w:bidi w:val="0"/>
        <w:snapToGrid/>
        <w:spacing w:line="380" w:lineRule="exact"/>
        <w:ind w:right="12" w:firstLine="480"/>
        <w:rPr>
          <w:rFonts w:ascii="宋体" w:hAnsi="宋体" w:cs="宋体"/>
          <w:color w:val="auto"/>
          <w:sz w:val="24"/>
          <w:highlight w:val="none"/>
        </w:rPr>
        <w:sectPr>
          <w:footerReference r:id="rId7" w:type="default"/>
          <w:footerReference r:id="rId8" w:type="even"/>
          <w:pgSz w:w="11907" w:h="16840"/>
          <w:pgMar w:top="1134" w:right="1191" w:bottom="1134" w:left="1304" w:header="964" w:footer="992" w:gutter="0"/>
          <w:pgNumType w:fmt="numberInDash"/>
          <w:cols w:space="720" w:num="1"/>
          <w:docGrid w:linePitch="312" w:charSpace="0"/>
        </w:sectPr>
      </w:pPr>
    </w:p>
    <w:p w14:paraId="605727B1">
      <w:pPr>
        <w:pStyle w:val="2"/>
        <w:jc w:val="center"/>
        <w:rPr>
          <w:rFonts w:hAnsi="宋体" w:cs="宋体"/>
          <w:b/>
          <w:bCs/>
          <w:color w:val="auto"/>
          <w:sz w:val="30"/>
          <w:szCs w:val="30"/>
          <w:highlight w:val="none"/>
        </w:rPr>
      </w:pPr>
      <w:bookmarkStart w:id="227" w:name="_Hlt41879464"/>
      <w:bookmarkEnd w:id="227"/>
      <w:bookmarkStart w:id="228" w:name="_Toc23317"/>
      <w:bookmarkStart w:id="229" w:name="_Toc6968"/>
      <w:bookmarkStart w:id="230" w:name="_Toc20499"/>
      <w:bookmarkStart w:id="231" w:name="_Toc65660378"/>
      <w:bookmarkStart w:id="232" w:name="_Toc12789072"/>
      <w:bookmarkStart w:id="233" w:name="_Toc9538"/>
      <w:bookmarkStart w:id="234" w:name="_Toc18521"/>
      <w:r>
        <w:rPr>
          <w:rFonts w:hint="eastAsia" w:hAnsi="宋体" w:cs="宋体"/>
          <w:b/>
          <w:bCs/>
          <w:color w:val="auto"/>
          <w:sz w:val="30"/>
          <w:szCs w:val="30"/>
          <w:highlight w:val="none"/>
        </w:rPr>
        <w:t>第七篇  响应文件格式要求</w:t>
      </w:r>
      <w:bookmarkEnd w:id="228"/>
      <w:bookmarkEnd w:id="229"/>
      <w:bookmarkEnd w:id="230"/>
      <w:bookmarkEnd w:id="231"/>
      <w:bookmarkEnd w:id="232"/>
      <w:bookmarkEnd w:id="233"/>
      <w:bookmarkEnd w:id="234"/>
    </w:p>
    <w:p w14:paraId="0C22B098">
      <w:pPr>
        <w:spacing w:line="40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一、经济部分</w:t>
      </w:r>
    </w:p>
    <w:p w14:paraId="54782EDA">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（一）比选报价函</w:t>
      </w:r>
    </w:p>
    <w:p w14:paraId="41144CCF">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（二）报价明细表</w:t>
      </w:r>
    </w:p>
    <w:p w14:paraId="694BF897">
      <w:pPr>
        <w:spacing w:line="40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二、技术（质量）部分</w:t>
      </w:r>
    </w:p>
    <w:p w14:paraId="4D638144">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（一）技术（质量）响应偏离表</w:t>
      </w:r>
    </w:p>
    <w:p w14:paraId="157519EF">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（二）其他资料（格式自定）</w:t>
      </w:r>
    </w:p>
    <w:p w14:paraId="60D0E375">
      <w:pPr>
        <w:spacing w:line="40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三、商务部分</w:t>
      </w:r>
    </w:p>
    <w:p w14:paraId="144880DA">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（一）商务响应偏离表</w:t>
      </w:r>
    </w:p>
    <w:p w14:paraId="47152DA7">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（二）其它优惠服务承诺（格式自定）</w:t>
      </w:r>
    </w:p>
    <w:p w14:paraId="69B154B1">
      <w:pPr>
        <w:spacing w:line="40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四、资格条件及其他</w:t>
      </w:r>
    </w:p>
    <w:p w14:paraId="128E803E">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w:t>
      </w:r>
    </w:p>
    <w:p w14:paraId="669349F2">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（二）法定代表人身份证明书（格式）</w:t>
      </w:r>
    </w:p>
    <w:p w14:paraId="137B0838">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（三）法定代表人授权委托书（格式）</w:t>
      </w:r>
    </w:p>
    <w:p w14:paraId="1133C2D9">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（四）基本资格条件承诺函（格式）</w:t>
      </w:r>
    </w:p>
    <w:p w14:paraId="6099A714">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（五）特定资格条件证书或证明文件</w:t>
      </w:r>
    </w:p>
    <w:p w14:paraId="3F0DE9BC">
      <w:pPr>
        <w:spacing w:line="40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五、其他资料</w:t>
      </w:r>
    </w:p>
    <w:p w14:paraId="5F192FE9">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（一）其他与项目有关的资料（自附）</w:t>
      </w:r>
    </w:p>
    <w:p w14:paraId="4436C94A">
      <w:pPr>
        <w:snapToGrid w:val="0"/>
        <w:spacing w:line="360" w:lineRule="auto"/>
        <w:rPr>
          <w:rFonts w:ascii="宋体" w:hAnsi="宋体" w:cs="宋体"/>
          <w:color w:val="auto"/>
          <w:sz w:val="24"/>
          <w:szCs w:val="24"/>
          <w:highlight w:val="none"/>
          <w:bdr w:val="single" w:color="auto" w:sz="4" w:space="0"/>
        </w:rPr>
        <w:sectPr>
          <w:pgSz w:w="11907" w:h="16840"/>
          <w:pgMar w:top="1134" w:right="1191" w:bottom="1134" w:left="1304" w:header="851" w:footer="992" w:gutter="0"/>
          <w:pgNumType w:fmt="numberInDash"/>
          <w:cols w:space="720" w:num="1"/>
          <w:docGrid w:linePitch="380" w:charSpace="-5735"/>
        </w:sectPr>
      </w:pPr>
    </w:p>
    <w:p w14:paraId="2FF36D5C">
      <w:pPr>
        <w:keepNext/>
        <w:keepLines/>
        <w:adjustRightInd w:val="0"/>
        <w:snapToGrid w:val="0"/>
        <w:spacing w:line="400" w:lineRule="exact"/>
        <w:ind w:firstLine="482" w:firstLineChars="200"/>
        <w:outlineLvl w:val="1"/>
        <w:rPr>
          <w:rFonts w:ascii="宋体" w:hAnsi="宋体" w:cs="宋体"/>
          <w:b/>
          <w:color w:val="auto"/>
          <w:sz w:val="24"/>
          <w:highlight w:val="none"/>
        </w:rPr>
      </w:pPr>
      <w:bookmarkStart w:id="235" w:name="_Toc342913419"/>
      <w:bookmarkStart w:id="236" w:name="_Toc30982"/>
      <w:bookmarkStart w:id="237" w:name="_Toc65660379"/>
      <w:bookmarkStart w:id="238" w:name="_Toc26343"/>
      <w:bookmarkStart w:id="239" w:name="_Toc313888360"/>
      <w:bookmarkStart w:id="240" w:name="_Toc313008356"/>
      <w:bookmarkStart w:id="241" w:name="_Toc737"/>
      <w:bookmarkStart w:id="242" w:name="_Toc14244"/>
      <w:bookmarkStart w:id="243" w:name="_Toc12789073"/>
      <w:bookmarkStart w:id="244" w:name="_Toc283382454"/>
      <w:r>
        <w:rPr>
          <w:rFonts w:hint="eastAsia" w:ascii="宋体" w:hAnsi="宋体" w:cs="宋体"/>
          <w:b/>
          <w:color w:val="auto"/>
          <w:sz w:val="24"/>
          <w:highlight w:val="none"/>
        </w:rPr>
        <w:t>一、经济部分</w:t>
      </w:r>
      <w:bookmarkEnd w:id="235"/>
      <w:bookmarkEnd w:id="236"/>
      <w:bookmarkEnd w:id="237"/>
      <w:bookmarkEnd w:id="238"/>
      <w:bookmarkEnd w:id="239"/>
      <w:bookmarkEnd w:id="240"/>
      <w:bookmarkEnd w:id="241"/>
      <w:bookmarkEnd w:id="242"/>
    </w:p>
    <w:bookmarkEnd w:id="243"/>
    <w:bookmarkEnd w:id="244"/>
    <w:p w14:paraId="6FEB2C84">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（一）报价函</w:t>
      </w:r>
    </w:p>
    <w:p w14:paraId="0EABA627">
      <w:pPr>
        <w:tabs>
          <w:tab w:val="left" w:pos="6300"/>
        </w:tabs>
        <w:snapToGrid w:val="0"/>
        <w:spacing w:line="312" w:lineRule="auto"/>
        <w:ind w:firstLine="562" w:firstLineChars="200"/>
        <w:jc w:val="center"/>
        <w:rPr>
          <w:rFonts w:ascii="宋体" w:hAnsi="宋体" w:cs="宋体"/>
          <w:b/>
          <w:color w:val="auto"/>
          <w:szCs w:val="28"/>
          <w:highlight w:val="none"/>
        </w:rPr>
      </w:pPr>
      <w:r>
        <w:rPr>
          <w:rFonts w:hint="eastAsia" w:ascii="宋体" w:hAnsi="宋体" w:cs="宋体"/>
          <w:b/>
          <w:color w:val="auto"/>
          <w:szCs w:val="28"/>
          <w:highlight w:val="none"/>
        </w:rPr>
        <w:t>比选报价函</w:t>
      </w:r>
    </w:p>
    <w:p w14:paraId="44A38000">
      <w:pPr>
        <w:tabs>
          <w:tab w:val="left" w:pos="6300"/>
        </w:tabs>
        <w:snapToGrid w:val="0"/>
        <w:spacing w:line="312" w:lineRule="auto"/>
        <w:rPr>
          <w:rFonts w:ascii="宋体" w:hAnsi="宋体" w:cs="宋体"/>
          <w:color w:val="auto"/>
          <w:sz w:val="24"/>
          <w:szCs w:val="24"/>
          <w:highlight w:val="none"/>
        </w:rPr>
      </w:pPr>
      <w:r>
        <w:rPr>
          <w:rFonts w:hint="eastAsia" w:ascii="宋体" w:hAnsi="宋体" w:cs="宋体"/>
          <w:color w:val="auto"/>
          <w:sz w:val="24"/>
          <w:szCs w:val="24"/>
          <w:highlight w:val="none"/>
          <w:u w:val="single"/>
        </w:rPr>
        <w:t>重庆靖正恒悦项目管理有限公司（采购代理机构名称）</w:t>
      </w:r>
      <w:r>
        <w:rPr>
          <w:rFonts w:hint="eastAsia" w:ascii="宋体" w:hAnsi="宋体" w:cs="宋体"/>
          <w:color w:val="auto"/>
          <w:sz w:val="24"/>
          <w:szCs w:val="24"/>
          <w:highlight w:val="none"/>
        </w:rPr>
        <w:t>：</w:t>
      </w:r>
    </w:p>
    <w:p w14:paraId="037849D4">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我方收到</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（比选项目名称）</w:t>
      </w:r>
      <w:r>
        <w:rPr>
          <w:rFonts w:hint="eastAsia" w:ascii="宋体" w:hAnsi="宋体" w:cs="宋体"/>
          <w:color w:val="auto"/>
          <w:sz w:val="24"/>
          <w:szCs w:val="24"/>
          <w:highlight w:val="none"/>
        </w:rPr>
        <w:t>的竞争性比选文件，经详细研究，决定参加该比选项目的报价。</w:t>
      </w:r>
    </w:p>
    <w:p w14:paraId="1DFA274D">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1.愿意按照竞争性比选文件中的一切要求，提供本项目的交货及技术服务，</w:t>
      </w:r>
      <w:r>
        <w:rPr>
          <w:rFonts w:hint="eastAsia" w:ascii="宋体" w:hAnsi="宋体" w:cs="宋体"/>
          <w:b/>
          <w:bCs/>
          <w:color w:val="auto"/>
          <w:sz w:val="24"/>
          <w:szCs w:val="24"/>
          <w:highlight w:val="none"/>
        </w:rPr>
        <w:t>我方所投电梯品牌</w:t>
      </w:r>
      <w:r>
        <w:rPr>
          <w:rFonts w:hint="eastAsia" w:ascii="宋体" w:hAnsi="宋体" w:cs="宋体"/>
          <w:b/>
          <w:bCs/>
          <w:color w:val="auto"/>
          <w:sz w:val="24"/>
          <w:szCs w:val="24"/>
          <w:highlight w:val="none"/>
          <w:lang w:val="en-US" w:eastAsia="zh-CN"/>
        </w:rPr>
        <w:t>及型号</w:t>
      </w:r>
      <w:r>
        <w:rPr>
          <w:rFonts w:hint="eastAsia" w:ascii="宋体" w:hAnsi="宋体" w:cs="宋体"/>
          <w:b/>
          <w:bCs/>
          <w:color w:val="auto"/>
          <w:sz w:val="24"/>
          <w:szCs w:val="24"/>
          <w:highlight w:val="none"/>
        </w:rPr>
        <w:t>为：</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；投标总报价（含税）为人民币大写：</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；人民币小写：</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元。</w:t>
      </w:r>
    </w:p>
    <w:p w14:paraId="039BA7F4">
      <w:pPr>
        <w:tabs>
          <w:tab w:val="left" w:pos="6300"/>
        </w:tabs>
        <w:snapToGrid w:val="0"/>
        <w:spacing w:line="312"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2.我方现提交的响应文件为：响应文件正本</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份，副本</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份，行采家网站上传响应文件电子文档</w:t>
      </w:r>
      <w:r>
        <w:rPr>
          <w:rFonts w:hint="eastAsia" w:ascii="宋体" w:hAnsi="宋体" w:cs="宋体"/>
          <w:b/>
          <w:bCs/>
          <w:color w:val="auto"/>
          <w:sz w:val="24"/>
          <w:szCs w:val="24"/>
          <w:highlight w:val="none"/>
          <w:u w:val="single"/>
        </w:rPr>
        <w:t xml:space="preserve"> 1 </w:t>
      </w:r>
      <w:r>
        <w:rPr>
          <w:rFonts w:hint="eastAsia" w:ascii="宋体" w:hAnsi="宋体" w:cs="宋体"/>
          <w:b/>
          <w:bCs/>
          <w:color w:val="auto"/>
          <w:sz w:val="24"/>
          <w:szCs w:val="24"/>
          <w:highlight w:val="none"/>
        </w:rPr>
        <w:t>份。</w:t>
      </w:r>
    </w:p>
    <w:p w14:paraId="1B0E4153">
      <w:pPr>
        <w:tabs>
          <w:tab w:val="left" w:pos="6300"/>
        </w:tabs>
        <w:snapToGrid w:val="0"/>
        <w:spacing w:line="312" w:lineRule="auto"/>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3.我方承诺：</w:t>
      </w:r>
      <w:r>
        <w:rPr>
          <w:rFonts w:hint="eastAsia" w:ascii="宋体" w:hAnsi="宋体" w:cs="宋体"/>
          <w:b/>
          <w:bCs/>
          <w:color w:val="auto"/>
          <w:sz w:val="24"/>
          <w:szCs w:val="24"/>
          <w:highlight w:val="none"/>
          <w:lang w:val="en-US" w:eastAsia="zh-CN"/>
        </w:rPr>
        <w:t>通过特检院验收合格之日起</w:t>
      </w:r>
      <w:r>
        <w:rPr>
          <w:rFonts w:hint="eastAsia" w:ascii="宋体" w:hAnsi="宋体" w:cs="宋体"/>
          <w:b/>
          <w:bCs/>
          <w:color w:val="auto"/>
          <w:sz w:val="24"/>
          <w:szCs w:val="24"/>
          <w:highlight w:val="none"/>
        </w:rPr>
        <w:t>进入质保期</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核心部件（曳引机、门机、控制柜、安全钳、缓冲器、限速器）质保</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rPr>
        <w:t>年，整机质保</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rPr>
        <w:t>年（含电梯更新附属各类设备设施）</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免费维保期</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none"/>
          <w:lang w:val="en-US" w:eastAsia="zh-CN"/>
        </w:rPr>
        <w:t>年，</w:t>
      </w:r>
      <w:r>
        <w:rPr>
          <w:rFonts w:hint="eastAsia" w:ascii="宋体" w:hAnsi="宋体" w:cs="宋体"/>
          <w:b/>
          <w:bCs/>
          <w:color w:val="auto"/>
          <w:sz w:val="24"/>
          <w:szCs w:val="24"/>
          <w:highlight w:val="none"/>
        </w:rPr>
        <w:t>按照 TSG 08-2017 《电梯使用管理和维护保养规则》的规定，维保项目和计划，完成半月、季度、年度维保后的电梯应符合GB/T 7588.1-2020</w:t>
      </w:r>
      <w:r>
        <w:rPr>
          <w:rFonts w:hint="eastAsia" w:ascii="宋体" w:hAnsi="宋体" w:cs="宋体"/>
          <w:b/>
          <w:bCs/>
          <w:color w:val="auto"/>
          <w:sz w:val="24"/>
          <w:szCs w:val="24"/>
          <w:highlight w:val="none"/>
          <w:lang w:val="en-US" w:eastAsia="zh-CN"/>
        </w:rPr>
        <w:t>/GB/T 7588.2-2020</w:t>
      </w:r>
      <w:r>
        <w:rPr>
          <w:rFonts w:hint="eastAsia" w:ascii="宋体" w:hAnsi="宋体" w:cs="宋体"/>
          <w:b/>
          <w:bCs/>
          <w:color w:val="auto"/>
          <w:sz w:val="24"/>
          <w:szCs w:val="24"/>
          <w:highlight w:val="none"/>
        </w:rPr>
        <w:t>《电梯制造与安装安全规范》的相关规定。</w:t>
      </w:r>
    </w:p>
    <w:p w14:paraId="451A3B05">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4.我方承诺：本次报价的有效期为提交响应文件截止时间起90天。</w:t>
      </w:r>
    </w:p>
    <w:p w14:paraId="7827DCDD">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5.我方完全理解和接受贵方竞争性比选文件的一切规定和要求及评审办法。</w:t>
      </w:r>
    </w:p>
    <w:p w14:paraId="1517F261">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6.在整个比选过程中，我方若有违规行为，接受按照《中华人民共和国政府采购法》和本项目《竞争性比选文件》之规定给予惩罚。</w:t>
      </w:r>
    </w:p>
    <w:p w14:paraId="2F072677">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7.我方若成为成交供应商，将按照最终报价结果签订合同，并且严格履行合同义务。本承诺函将成为合同不可分割的一部分，与合同具有同等的法律效力。</w:t>
      </w:r>
    </w:p>
    <w:p w14:paraId="159EEC45">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8.我方同意按竞争性比选文件规定，交纳竞争性比选文件要求的保证金。如果我方成为成交供应商，保证在接到成交通知书后，向采</w:t>
      </w:r>
      <w:bookmarkStart w:id="274" w:name="_GoBack"/>
      <w:bookmarkEnd w:id="274"/>
      <w:r>
        <w:rPr>
          <w:rFonts w:hint="eastAsia" w:ascii="宋体" w:hAnsi="宋体" w:cs="宋体"/>
          <w:color w:val="auto"/>
          <w:sz w:val="24"/>
          <w:szCs w:val="24"/>
          <w:highlight w:val="none"/>
        </w:rPr>
        <w:t>购代理机构缴纳竞争性比选文件规定的采购代理服务费。</w:t>
      </w:r>
    </w:p>
    <w:p w14:paraId="6288B247">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w:t>
      </w:r>
      <w:r>
        <w:rPr>
          <w:rFonts w:hint="eastAsia" w:ascii="宋体" w:hAnsi="宋体" w:cs="宋体"/>
          <w:color w:val="auto"/>
          <w:sz w:val="24"/>
          <w:szCs w:val="28"/>
          <w:highlight w:val="none"/>
        </w:rPr>
        <w:t>我方未</w:t>
      </w:r>
      <w:r>
        <w:rPr>
          <w:rFonts w:hint="eastAsia" w:ascii="宋体" w:hAnsi="宋体" w:cs="宋体"/>
          <w:color w:val="auto"/>
          <w:sz w:val="24"/>
          <w:szCs w:val="24"/>
          <w:highlight w:val="none"/>
        </w:rPr>
        <w:t>为采购项目提供整体设计、规范编制或者项目管理、监理、检测等服务。</w:t>
      </w:r>
    </w:p>
    <w:p w14:paraId="2B6F0AEE">
      <w:pPr>
        <w:tabs>
          <w:tab w:val="left" w:pos="6300"/>
        </w:tabs>
        <w:snapToGrid w:val="0"/>
        <w:spacing w:line="312" w:lineRule="auto"/>
        <w:ind w:firstLine="570"/>
        <w:rPr>
          <w:rFonts w:ascii="宋体" w:hAnsi="宋体" w:cs="宋体"/>
          <w:color w:val="auto"/>
          <w:sz w:val="24"/>
          <w:szCs w:val="24"/>
          <w:highlight w:val="none"/>
        </w:rPr>
      </w:pPr>
    </w:p>
    <w:p w14:paraId="4B3165A5">
      <w:pPr>
        <w:tabs>
          <w:tab w:val="left" w:pos="6300"/>
        </w:tabs>
        <w:snapToGrid w:val="0"/>
        <w:spacing w:line="312" w:lineRule="auto"/>
        <w:ind w:firstLine="570"/>
        <w:rPr>
          <w:rFonts w:ascii="宋体" w:hAnsi="宋体" w:cs="宋体"/>
          <w:color w:val="auto"/>
          <w:sz w:val="24"/>
          <w:szCs w:val="24"/>
          <w:highlight w:val="none"/>
        </w:rPr>
      </w:pPr>
    </w:p>
    <w:p w14:paraId="4025ED1B">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供应商（公章）：</w:t>
      </w:r>
    </w:p>
    <w:p w14:paraId="7F883875">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地址：  </w:t>
      </w:r>
    </w:p>
    <w:p w14:paraId="71C5AC28">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电话：                         </w:t>
      </w:r>
    </w:p>
    <w:p w14:paraId="52E724F0">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联系人：</w:t>
      </w:r>
    </w:p>
    <w:p w14:paraId="42512B57">
      <w:pPr>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180F4768">
      <w:pPr>
        <w:snapToGrid w:val="0"/>
        <w:spacing w:line="312" w:lineRule="auto"/>
        <w:ind w:firstLine="480" w:firstLineChars="200"/>
        <w:rPr>
          <w:rFonts w:ascii="宋体" w:hAnsi="宋体" w:cs="宋体"/>
          <w:color w:val="auto"/>
          <w:sz w:val="24"/>
          <w:szCs w:val="24"/>
          <w:highlight w:val="none"/>
        </w:rPr>
      </w:pPr>
    </w:p>
    <w:p w14:paraId="0FCAD4A5">
      <w:pPr>
        <w:snapToGrid w:val="0"/>
        <w:spacing w:line="312" w:lineRule="auto"/>
        <w:ind w:firstLine="1680" w:firstLineChars="700"/>
        <w:jc w:val="right"/>
        <w:rPr>
          <w:rFonts w:ascii="宋体" w:hAnsi="宋体" w:cs="宋体"/>
          <w:color w:val="auto"/>
          <w:sz w:val="24"/>
          <w:szCs w:val="24"/>
          <w:highlight w:val="none"/>
        </w:rPr>
        <w:sectPr>
          <w:pgSz w:w="11907" w:h="16840"/>
          <w:pgMar w:top="1134" w:right="1191" w:bottom="1134" w:left="1304" w:header="851" w:footer="992" w:gutter="0"/>
          <w:pgNumType w:fmt="numberInDash"/>
          <w:cols w:space="720" w:num="1"/>
          <w:docGrid w:linePitch="380" w:charSpace="-5735"/>
        </w:sectPr>
      </w:pPr>
      <w:r>
        <w:rPr>
          <w:rFonts w:hint="eastAsia" w:ascii="宋体" w:hAnsi="宋体" w:cs="宋体"/>
          <w:color w:val="auto"/>
          <w:sz w:val="24"/>
          <w:szCs w:val="24"/>
          <w:highlight w:val="none"/>
        </w:rPr>
        <w:t>年   月   日</w:t>
      </w:r>
    </w:p>
    <w:p w14:paraId="07CD59C5">
      <w:pPr>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（二）报价明细表</w:t>
      </w:r>
    </w:p>
    <w:p w14:paraId="1E561E13">
      <w:pPr>
        <w:pStyle w:val="49"/>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报价明细表</w:t>
      </w:r>
    </w:p>
    <w:p w14:paraId="74816AD4">
      <w:pPr>
        <w:snapToGrid w:val="0"/>
        <w:spacing w:line="300" w:lineRule="exac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 xml:space="preserve">采购执行编号： </w:t>
      </w:r>
      <w:r>
        <w:rPr>
          <w:rFonts w:hint="eastAsia" w:ascii="宋体" w:hAnsi="宋体" w:cs="宋体"/>
          <w:b/>
          <w:bCs/>
          <w:color w:val="auto"/>
          <w:sz w:val="24"/>
          <w:szCs w:val="24"/>
          <w:highlight w:val="none"/>
          <w:lang w:eastAsia="zh-CN"/>
        </w:rPr>
        <w:t>JZHYZB-2025102001</w:t>
      </w:r>
      <w:r>
        <w:rPr>
          <w:rFonts w:hint="eastAsia" w:ascii="宋体" w:hAnsi="宋体" w:cs="宋体"/>
          <w:b/>
          <w:bCs/>
          <w:color w:val="auto"/>
          <w:sz w:val="24"/>
          <w:szCs w:val="24"/>
          <w:highlight w:val="none"/>
        </w:rPr>
        <w:t xml:space="preserve"> </w:t>
      </w:r>
    </w:p>
    <w:p w14:paraId="44F6E7B0">
      <w:pPr>
        <w:snapToGrid w:val="0"/>
        <w:spacing w:line="300" w:lineRule="exact"/>
        <w:rPr>
          <w:rFonts w:ascii="宋体" w:hAnsi="宋体" w:cs="宋体"/>
          <w:b/>
          <w:bCs/>
          <w:color w:val="auto"/>
          <w:sz w:val="24"/>
          <w:szCs w:val="24"/>
          <w:highlight w:val="none"/>
        </w:rPr>
      </w:pPr>
      <w:r>
        <w:rPr>
          <w:rFonts w:hint="eastAsia" w:ascii="宋体" w:hAnsi="宋体" w:cs="宋体"/>
          <w:b/>
          <w:bCs/>
          <w:color w:val="auto"/>
          <w:sz w:val="24"/>
          <w:szCs w:val="24"/>
          <w:highlight w:val="none"/>
        </w:rPr>
        <w:t>比选项目名称：</w:t>
      </w:r>
      <w:r>
        <w:rPr>
          <w:rFonts w:hint="eastAsia" w:ascii="宋体" w:hAnsi="宋体" w:cs="宋体"/>
          <w:b/>
          <w:bCs/>
          <w:color w:val="auto"/>
          <w:sz w:val="24"/>
          <w:szCs w:val="24"/>
          <w:highlight w:val="none"/>
          <w:lang w:eastAsia="zh-CN"/>
        </w:rPr>
        <w:t>双子星座A栋1-4#电梯更新工程</w:t>
      </w:r>
      <w:r>
        <w:rPr>
          <w:rFonts w:hint="eastAsia" w:ascii="宋体" w:hAnsi="宋体" w:cs="宋体"/>
          <w:b/>
          <w:bCs/>
          <w:color w:val="auto"/>
          <w:sz w:val="24"/>
          <w:szCs w:val="24"/>
          <w:highlight w:val="none"/>
        </w:rPr>
        <w:t xml:space="preserve">  </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5195"/>
        <w:gridCol w:w="2160"/>
        <w:gridCol w:w="1373"/>
      </w:tblGrid>
      <w:tr w14:paraId="7C955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vAlign w:val="center"/>
          </w:tcPr>
          <w:p w14:paraId="3B247DA2">
            <w:pPr>
              <w:keepNext w:val="0"/>
              <w:keepLines w:val="0"/>
              <w:suppressLineNumbers w:val="0"/>
              <w:spacing w:before="0" w:beforeAutospacing="0" w:after="0" w:afterAutospacing="0"/>
              <w:ind w:left="0" w:right="0"/>
              <w:jc w:val="center"/>
              <w:rPr>
                <w:rFonts w:hint="default" w:ascii="宋体" w:hAnsi="宋体" w:cs="宋体"/>
                <w:b/>
                <w:bCs/>
                <w:color w:val="auto"/>
                <w:sz w:val="24"/>
                <w:szCs w:val="24"/>
                <w:highlight w:val="none"/>
              </w:rPr>
            </w:pPr>
            <w:r>
              <w:rPr>
                <w:rFonts w:hint="eastAsia" w:ascii="宋体" w:hAnsi="宋体" w:cs="宋体"/>
                <w:b/>
                <w:bCs/>
                <w:color w:val="auto"/>
                <w:sz w:val="24"/>
                <w:szCs w:val="24"/>
                <w:highlight w:val="none"/>
              </w:rPr>
              <w:t>序号</w:t>
            </w:r>
          </w:p>
        </w:tc>
        <w:tc>
          <w:tcPr>
            <w:tcW w:w="5195" w:type="dxa"/>
            <w:vAlign w:val="center"/>
          </w:tcPr>
          <w:p w14:paraId="4E71B68A">
            <w:pPr>
              <w:keepNext w:val="0"/>
              <w:keepLines w:val="0"/>
              <w:suppressLineNumbers w:val="0"/>
              <w:spacing w:before="0" w:beforeAutospacing="0" w:after="0" w:afterAutospacing="0"/>
              <w:ind w:left="0" w:right="0"/>
              <w:jc w:val="center"/>
              <w:rPr>
                <w:rFonts w:hint="default" w:ascii="宋体" w:hAnsi="宋体" w:cs="宋体"/>
                <w:b/>
                <w:bCs/>
                <w:color w:val="auto"/>
                <w:sz w:val="24"/>
                <w:szCs w:val="24"/>
                <w:highlight w:val="none"/>
              </w:rPr>
            </w:pPr>
            <w:r>
              <w:rPr>
                <w:rFonts w:hint="eastAsia" w:ascii="宋体" w:hAnsi="宋体" w:cs="宋体"/>
                <w:b/>
                <w:bCs/>
                <w:color w:val="auto"/>
                <w:kern w:val="0"/>
                <w:sz w:val="24"/>
                <w:szCs w:val="24"/>
                <w:highlight w:val="none"/>
                <w:lang w:bidi="ar"/>
              </w:rPr>
              <w:t>分部分项工程项目清单计价表</w:t>
            </w:r>
          </w:p>
        </w:tc>
        <w:tc>
          <w:tcPr>
            <w:tcW w:w="2160" w:type="dxa"/>
            <w:vAlign w:val="center"/>
          </w:tcPr>
          <w:p w14:paraId="17AC5928">
            <w:pPr>
              <w:keepNext w:val="0"/>
              <w:keepLines w:val="0"/>
              <w:suppressLineNumbers w:val="0"/>
              <w:spacing w:before="0" w:beforeAutospacing="0" w:after="0" w:afterAutospacing="0"/>
              <w:ind w:left="0" w:right="0"/>
              <w:jc w:val="center"/>
              <w:rPr>
                <w:rFonts w:hint="default" w:ascii="宋体" w:hAnsi="宋体" w:cs="宋体"/>
                <w:b/>
                <w:bCs/>
                <w:color w:val="auto"/>
                <w:sz w:val="24"/>
                <w:szCs w:val="24"/>
                <w:highlight w:val="none"/>
              </w:rPr>
            </w:pPr>
            <w:r>
              <w:rPr>
                <w:rFonts w:hint="eastAsia" w:ascii="宋体" w:hAnsi="宋体" w:cs="宋体"/>
                <w:b/>
                <w:bCs/>
                <w:color w:val="auto"/>
                <w:sz w:val="24"/>
                <w:szCs w:val="24"/>
                <w:highlight w:val="none"/>
              </w:rPr>
              <w:t>含税金额（元）</w:t>
            </w:r>
          </w:p>
        </w:tc>
        <w:tc>
          <w:tcPr>
            <w:tcW w:w="1373" w:type="dxa"/>
            <w:vAlign w:val="center"/>
          </w:tcPr>
          <w:p w14:paraId="52152D5E">
            <w:pPr>
              <w:keepNext w:val="0"/>
              <w:keepLines w:val="0"/>
              <w:suppressLineNumbers w:val="0"/>
              <w:spacing w:before="0" w:beforeAutospacing="0" w:after="0" w:afterAutospacing="0"/>
              <w:ind w:left="0" w:right="0"/>
              <w:jc w:val="center"/>
              <w:rPr>
                <w:rFonts w:hint="default" w:ascii="宋体" w:hAnsi="宋体" w:cs="宋体"/>
                <w:b/>
                <w:bCs/>
                <w:color w:val="auto"/>
                <w:sz w:val="24"/>
                <w:szCs w:val="24"/>
                <w:highlight w:val="none"/>
              </w:rPr>
            </w:pPr>
            <w:r>
              <w:rPr>
                <w:rFonts w:hint="eastAsia" w:ascii="宋体" w:hAnsi="宋体" w:cs="宋体"/>
                <w:b/>
                <w:bCs/>
                <w:color w:val="auto"/>
                <w:sz w:val="24"/>
                <w:szCs w:val="24"/>
                <w:highlight w:val="none"/>
              </w:rPr>
              <w:t>备注</w:t>
            </w:r>
          </w:p>
        </w:tc>
      </w:tr>
      <w:tr w14:paraId="45A01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shd w:val="clear" w:color="auto" w:fill="auto"/>
            <w:vAlign w:val="center"/>
          </w:tcPr>
          <w:p w14:paraId="1B43E3EA">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c>
          <w:tcPr>
            <w:tcW w:w="5195" w:type="dxa"/>
            <w:shd w:val="clear" w:color="auto" w:fill="auto"/>
            <w:vAlign w:val="center"/>
          </w:tcPr>
          <w:p w14:paraId="68AA238C">
            <w:pPr>
              <w:keepNext w:val="0"/>
              <w:keepLines w:val="0"/>
              <w:widowControl/>
              <w:suppressLineNumbers w:val="0"/>
              <w:spacing w:before="0" w:beforeAutospacing="0" w:after="0" w:afterAutospacing="0"/>
              <w:ind w:left="0" w:right="0"/>
              <w:jc w:val="left"/>
              <w:textAlignment w:val="center"/>
              <w:rPr>
                <w:rFonts w:hint="default" w:ascii="宋体" w:hAnsi="宋体" w:cs="宋体"/>
                <w:color w:val="auto"/>
                <w:sz w:val="24"/>
                <w:szCs w:val="24"/>
                <w:highlight w:val="none"/>
              </w:rPr>
            </w:pPr>
            <w:r>
              <w:rPr>
                <w:rFonts w:hint="eastAsia" w:ascii="宋体" w:hAnsi="宋体" w:cs="宋体"/>
                <w:color w:val="auto"/>
                <w:kern w:val="0"/>
                <w:sz w:val="24"/>
                <w:szCs w:val="24"/>
                <w:highlight w:val="none"/>
                <w:lang w:bidi="ar"/>
              </w:rPr>
              <w:t>电梯整机</w:t>
            </w:r>
          </w:p>
        </w:tc>
        <w:tc>
          <w:tcPr>
            <w:tcW w:w="2160" w:type="dxa"/>
            <w:vAlign w:val="center"/>
          </w:tcPr>
          <w:p w14:paraId="1A91EF93">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c>
          <w:tcPr>
            <w:tcW w:w="1373" w:type="dxa"/>
            <w:vAlign w:val="center"/>
          </w:tcPr>
          <w:p w14:paraId="6BAED12F">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r>
      <w:tr w14:paraId="0CB16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shd w:val="clear" w:color="auto" w:fill="auto"/>
            <w:vAlign w:val="center"/>
          </w:tcPr>
          <w:p w14:paraId="4ABB99AA">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szCs w:val="24"/>
                <w:highlight w:val="none"/>
              </w:rPr>
            </w:pPr>
            <w:r>
              <w:rPr>
                <w:rFonts w:hint="eastAsia" w:ascii="宋体" w:hAnsi="宋体" w:cs="宋体"/>
                <w:color w:val="auto"/>
                <w:kern w:val="0"/>
                <w:sz w:val="24"/>
                <w:szCs w:val="24"/>
                <w:highlight w:val="none"/>
                <w:lang w:bidi="ar"/>
              </w:rPr>
              <w:t>2</w:t>
            </w:r>
          </w:p>
        </w:tc>
        <w:tc>
          <w:tcPr>
            <w:tcW w:w="5195" w:type="dxa"/>
            <w:shd w:val="clear" w:color="auto" w:fill="auto"/>
            <w:vAlign w:val="center"/>
          </w:tcPr>
          <w:p w14:paraId="1F8F9028">
            <w:pPr>
              <w:keepNext w:val="0"/>
              <w:keepLines w:val="0"/>
              <w:widowControl/>
              <w:suppressLineNumbers w:val="0"/>
              <w:spacing w:before="0" w:beforeAutospacing="0" w:after="0" w:afterAutospacing="0"/>
              <w:ind w:left="0" w:right="0"/>
              <w:jc w:val="left"/>
              <w:textAlignment w:val="center"/>
              <w:rPr>
                <w:rFonts w:hint="default" w:ascii="宋体" w:hAnsi="宋体" w:cs="宋体"/>
                <w:color w:val="auto"/>
                <w:sz w:val="24"/>
                <w:szCs w:val="24"/>
                <w:highlight w:val="none"/>
              </w:rPr>
            </w:pPr>
            <w:r>
              <w:rPr>
                <w:rFonts w:hint="eastAsia" w:ascii="宋体" w:hAnsi="宋体" w:cs="宋体"/>
                <w:color w:val="auto"/>
                <w:kern w:val="0"/>
                <w:sz w:val="24"/>
                <w:szCs w:val="24"/>
                <w:highlight w:val="none"/>
                <w:lang w:bidi="ar"/>
              </w:rPr>
              <w:t>电梯运输</w:t>
            </w:r>
          </w:p>
        </w:tc>
        <w:tc>
          <w:tcPr>
            <w:tcW w:w="2160" w:type="dxa"/>
            <w:vAlign w:val="center"/>
          </w:tcPr>
          <w:p w14:paraId="624659C9">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c>
          <w:tcPr>
            <w:tcW w:w="1373" w:type="dxa"/>
            <w:vAlign w:val="center"/>
          </w:tcPr>
          <w:p w14:paraId="1E1E15B7">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r>
      <w:tr w14:paraId="3C9ED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shd w:val="clear" w:color="auto" w:fill="auto"/>
            <w:vAlign w:val="center"/>
          </w:tcPr>
          <w:p w14:paraId="7A3A8F6D">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szCs w:val="24"/>
                <w:highlight w:val="none"/>
              </w:rPr>
            </w:pPr>
            <w:r>
              <w:rPr>
                <w:rFonts w:hint="eastAsia" w:ascii="宋体" w:hAnsi="宋体" w:cs="宋体"/>
                <w:color w:val="auto"/>
                <w:kern w:val="0"/>
                <w:sz w:val="24"/>
                <w:szCs w:val="24"/>
                <w:highlight w:val="none"/>
                <w:lang w:bidi="ar"/>
              </w:rPr>
              <w:t>3</w:t>
            </w:r>
          </w:p>
        </w:tc>
        <w:tc>
          <w:tcPr>
            <w:tcW w:w="5195" w:type="dxa"/>
            <w:shd w:val="clear" w:color="auto" w:fill="auto"/>
            <w:vAlign w:val="center"/>
          </w:tcPr>
          <w:p w14:paraId="618460AD">
            <w:pPr>
              <w:keepNext w:val="0"/>
              <w:keepLines w:val="0"/>
              <w:widowControl/>
              <w:suppressLineNumbers w:val="0"/>
              <w:spacing w:before="0" w:beforeAutospacing="0" w:after="0" w:afterAutospacing="0"/>
              <w:ind w:left="0" w:right="0"/>
              <w:jc w:val="left"/>
              <w:textAlignment w:val="center"/>
              <w:rPr>
                <w:rFonts w:hint="default" w:ascii="宋体" w:hAnsi="宋体" w:cs="宋体"/>
                <w:color w:val="auto"/>
                <w:sz w:val="24"/>
                <w:szCs w:val="24"/>
                <w:highlight w:val="none"/>
              </w:rPr>
            </w:pPr>
            <w:r>
              <w:rPr>
                <w:rFonts w:hint="eastAsia" w:ascii="宋体" w:hAnsi="宋体" w:cs="宋体"/>
                <w:color w:val="auto"/>
                <w:kern w:val="0"/>
                <w:sz w:val="24"/>
                <w:szCs w:val="24"/>
                <w:highlight w:val="none"/>
                <w:lang w:bidi="ar"/>
              </w:rPr>
              <w:t>电梯安装、调试</w:t>
            </w:r>
          </w:p>
        </w:tc>
        <w:tc>
          <w:tcPr>
            <w:tcW w:w="2160" w:type="dxa"/>
            <w:vAlign w:val="center"/>
          </w:tcPr>
          <w:p w14:paraId="5A82CB6F">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c>
          <w:tcPr>
            <w:tcW w:w="1373" w:type="dxa"/>
            <w:vAlign w:val="center"/>
          </w:tcPr>
          <w:p w14:paraId="523CFD1A">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r>
      <w:tr w14:paraId="0AF92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shd w:val="clear" w:color="auto" w:fill="auto"/>
            <w:vAlign w:val="center"/>
          </w:tcPr>
          <w:p w14:paraId="64D05CE9">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szCs w:val="24"/>
                <w:highlight w:val="none"/>
              </w:rPr>
            </w:pPr>
            <w:r>
              <w:rPr>
                <w:rFonts w:hint="eastAsia" w:ascii="宋体" w:hAnsi="宋体" w:cs="宋体"/>
                <w:color w:val="auto"/>
                <w:kern w:val="0"/>
                <w:sz w:val="24"/>
                <w:szCs w:val="24"/>
                <w:highlight w:val="none"/>
                <w:lang w:bidi="ar"/>
              </w:rPr>
              <w:t>4</w:t>
            </w:r>
          </w:p>
        </w:tc>
        <w:tc>
          <w:tcPr>
            <w:tcW w:w="5195" w:type="dxa"/>
            <w:shd w:val="clear" w:color="auto" w:fill="auto"/>
            <w:vAlign w:val="center"/>
          </w:tcPr>
          <w:p w14:paraId="2B8AB6BC">
            <w:pPr>
              <w:pStyle w:val="49"/>
              <w:keepNext w:val="0"/>
              <w:keepLines w:val="0"/>
              <w:suppressLineNumbers w:val="0"/>
              <w:spacing w:before="0" w:beforeAutospacing="0" w:after="0" w:afterAutospacing="0" w:line="240" w:lineRule="auto"/>
              <w:ind w:left="0" w:right="0"/>
              <w:jc w:val="left"/>
              <w:rPr>
                <w:rFonts w:hint="default" w:ascii="宋体" w:hAnsi="宋体" w:cs="宋体"/>
                <w:color w:val="auto"/>
                <w:kern w:val="0"/>
                <w:szCs w:val="24"/>
                <w:highlight w:val="none"/>
                <w:lang w:bidi="ar"/>
              </w:rPr>
            </w:pPr>
            <w:r>
              <w:rPr>
                <w:rFonts w:hint="eastAsia" w:ascii="宋体" w:hAnsi="宋体" w:cs="宋体"/>
                <w:color w:val="auto"/>
                <w:kern w:val="0"/>
                <w:szCs w:val="24"/>
                <w:highlight w:val="none"/>
                <w:lang w:bidi="ar"/>
              </w:rPr>
              <w:t>电梯机房部分装修装饰</w:t>
            </w:r>
          </w:p>
        </w:tc>
        <w:tc>
          <w:tcPr>
            <w:tcW w:w="2160" w:type="dxa"/>
            <w:vAlign w:val="center"/>
          </w:tcPr>
          <w:p w14:paraId="6801F8EE">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c>
          <w:tcPr>
            <w:tcW w:w="1373" w:type="dxa"/>
            <w:vAlign w:val="center"/>
          </w:tcPr>
          <w:p w14:paraId="766B2D4A">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r>
      <w:tr w14:paraId="255D8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shd w:val="clear" w:color="auto" w:fill="auto"/>
            <w:vAlign w:val="center"/>
          </w:tcPr>
          <w:p w14:paraId="114471F0">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szCs w:val="24"/>
                <w:highlight w:val="none"/>
              </w:rPr>
            </w:pPr>
            <w:r>
              <w:rPr>
                <w:rFonts w:hint="eastAsia" w:ascii="宋体" w:hAnsi="宋体" w:cs="宋体"/>
                <w:color w:val="auto"/>
                <w:kern w:val="0"/>
                <w:sz w:val="24"/>
                <w:szCs w:val="24"/>
                <w:highlight w:val="none"/>
                <w:lang w:bidi="ar"/>
              </w:rPr>
              <w:t>5</w:t>
            </w:r>
          </w:p>
        </w:tc>
        <w:tc>
          <w:tcPr>
            <w:tcW w:w="5195" w:type="dxa"/>
            <w:shd w:val="clear" w:color="auto" w:fill="auto"/>
            <w:vAlign w:val="center"/>
          </w:tcPr>
          <w:p w14:paraId="647807E4">
            <w:pPr>
              <w:pStyle w:val="49"/>
              <w:keepNext w:val="0"/>
              <w:keepLines w:val="0"/>
              <w:suppressLineNumbers w:val="0"/>
              <w:spacing w:before="0" w:beforeAutospacing="0" w:after="0" w:afterAutospacing="0" w:line="240" w:lineRule="auto"/>
              <w:ind w:left="0" w:right="0"/>
              <w:jc w:val="left"/>
              <w:rPr>
                <w:rFonts w:hint="default" w:ascii="宋体" w:hAnsi="宋体" w:cs="宋体"/>
                <w:color w:val="auto"/>
                <w:szCs w:val="24"/>
                <w:highlight w:val="none"/>
              </w:rPr>
            </w:pPr>
            <w:r>
              <w:rPr>
                <w:rFonts w:hint="eastAsia" w:ascii="宋体" w:hAnsi="宋体" w:cs="宋体"/>
                <w:color w:val="auto"/>
                <w:kern w:val="0"/>
                <w:szCs w:val="24"/>
                <w:highlight w:val="none"/>
                <w:lang w:bidi="ar"/>
              </w:rPr>
              <w:t>措施项目费</w:t>
            </w:r>
          </w:p>
        </w:tc>
        <w:tc>
          <w:tcPr>
            <w:tcW w:w="2160" w:type="dxa"/>
            <w:vAlign w:val="center"/>
          </w:tcPr>
          <w:p w14:paraId="46565F7A">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c>
          <w:tcPr>
            <w:tcW w:w="1373" w:type="dxa"/>
            <w:vAlign w:val="center"/>
          </w:tcPr>
          <w:p w14:paraId="4DDDBA31">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r>
      <w:tr w14:paraId="0DC48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shd w:val="clear" w:color="auto" w:fill="auto"/>
            <w:vAlign w:val="center"/>
          </w:tcPr>
          <w:p w14:paraId="05251076">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szCs w:val="24"/>
                <w:highlight w:val="none"/>
              </w:rPr>
            </w:pPr>
            <w:r>
              <w:rPr>
                <w:rFonts w:hint="eastAsia" w:ascii="宋体" w:hAnsi="宋体" w:cs="宋体"/>
                <w:color w:val="auto"/>
                <w:kern w:val="0"/>
                <w:sz w:val="24"/>
                <w:szCs w:val="24"/>
                <w:highlight w:val="none"/>
                <w:lang w:bidi="ar"/>
              </w:rPr>
              <w:t>6</w:t>
            </w:r>
          </w:p>
        </w:tc>
        <w:tc>
          <w:tcPr>
            <w:tcW w:w="5195" w:type="dxa"/>
            <w:shd w:val="clear" w:color="auto" w:fill="auto"/>
            <w:vAlign w:val="center"/>
          </w:tcPr>
          <w:p w14:paraId="16738CE6">
            <w:pPr>
              <w:keepNext w:val="0"/>
              <w:keepLines w:val="0"/>
              <w:widowControl/>
              <w:suppressLineNumbers w:val="0"/>
              <w:spacing w:before="0" w:beforeAutospacing="0" w:after="0" w:afterAutospacing="0"/>
              <w:ind w:left="0" w:right="0"/>
              <w:jc w:val="left"/>
              <w:textAlignment w:val="center"/>
              <w:rPr>
                <w:rFonts w:hint="default"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其他费用</w:t>
            </w:r>
          </w:p>
        </w:tc>
        <w:tc>
          <w:tcPr>
            <w:tcW w:w="2160" w:type="dxa"/>
            <w:vAlign w:val="center"/>
          </w:tcPr>
          <w:p w14:paraId="3BB92EB8">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c>
          <w:tcPr>
            <w:tcW w:w="1373" w:type="dxa"/>
            <w:vAlign w:val="center"/>
          </w:tcPr>
          <w:p w14:paraId="7A904D19">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r>
      <w:tr w14:paraId="61633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shd w:val="clear" w:color="auto" w:fill="auto"/>
            <w:vAlign w:val="center"/>
          </w:tcPr>
          <w:p w14:paraId="44F2211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7</w:t>
            </w:r>
          </w:p>
        </w:tc>
        <w:tc>
          <w:tcPr>
            <w:tcW w:w="5195" w:type="dxa"/>
            <w:shd w:val="clear" w:color="auto" w:fill="auto"/>
            <w:vAlign w:val="center"/>
          </w:tcPr>
          <w:p w14:paraId="5ACC6FDC">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按市监特设发〔2025〕52 号的老旧电梯中的可以保留的配件</w:t>
            </w:r>
          </w:p>
        </w:tc>
        <w:tc>
          <w:tcPr>
            <w:tcW w:w="2160" w:type="dxa"/>
            <w:vAlign w:val="center"/>
          </w:tcPr>
          <w:p w14:paraId="648F0778">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c>
          <w:tcPr>
            <w:tcW w:w="1373" w:type="dxa"/>
            <w:vAlign w:val="center"/>
          </w:tcPr>
          <w:p w14:paraId="5ACC3B48">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r>
      <w:tr w14:paraId="35290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shd w:val="clear" w:color="auto" w:fill="auto"/>
            <w:vAlign w:val="center"/>
          </w:tcPr>
          <w:p w14:paraId="2A7A8C96">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8</w:t>
            </w:r>
          </w:p>
        </w:tc>
        <w:tc>
          <w:tcPr>
            <w:tcW w:w="5195" w:type="dxa"/>
            <w:shd w:val="clear" w:color="auto" w:fill="auto"/>
            <w:vAlign w:val="center"/>
          </w:tcPr>
          <w:p w14:paraId="72DBBE2B">
            <w:pPr>
              <w:keepNext w:val="0"/>
              <w:keepLines w:val="0"/>
              <w:widowControl/>
              <w:suppressLineNumbers w:val="0"/>
              <w:spacing w:before="0" w:beforeAutospacing="0" w:after="0" w:afterAutospacing="0"/>
              <w:ind w:left="0" w:right="0"/>
              <w:jc w:val="left"/>
              <w:textAlignment w:val="center"/>
              <w:rPr>
                <w:rFonts w:hint="default"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旧梯残值</w:t>
            </w:r>
          </w:p>
        </w:tc>
        <w:tc>
          <w:tcPr>
            <w:tcW w:w="2160" w:type="dxa"/>
            <w:vAlign w:val="center"/>
          </w:tcPr>
          <w:p w14:paraId="71666478">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c>
          <w:tcPr>
            <w:tcW w:w="1373" w:type="dxa"/>
            <w:vAlign w:val="center"/>
          </w:tcPr>
          <w:p w14:paraId="2B9AD5C3">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r>
      <w:tr w14:paraId="4813D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shd w:val="clear" w:color="auto" w:fill="auto"/>
            <w:vAlign w:val="center"/>
          </w:tcPr>
          <w:p w14:paraId="6AA0127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color w:val="auto"/>
                <w:sz w:val="24"/>
                <w:szCs w:val="24"/>
                <w:highlight w:val="none"/>
                <w:lang w:eastAsia="zh-CN"/>
              </w:rPr>
            </w:pPr>
            <w:r>
              <w:rPr>
                <w:rFonts w:hint="eastAsia" w:ascii="宋体" w:hAnsi="宋体" w:cs="宋体"/>
                <w:color w:val="auto"/>
                <w:kern w:val="0"/>
                <w:sz w:val="24"/>
                <w:szCs w:val="24"/>
                <w:highlight w:val="none"/>
                <w:lang w:val="en-US" w:eastAsia="zh-CN" w:bidi="ar"/>
              </w:rPr>
              <w:t>9</w:t>
            </w:r>
          </w:p>
        </w:tc>
        <w:tc>
          <w:tcPr>
            <w:tcW w:w="5195" w:type="dxa"/>
            <w:shd w:val="clear" w:color="auto" w:fill="auto"/>
            <w:vAlign w:val="center"/>
          </w:tcPr>
          <w:p w14:paraId="012927E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b/>
                <w:bCs/>
                <w:color w:val="auto"/>
                <w:kern w:val="0"/>
                <w:sz w:val="24"/>
                <w:szCs w:val="24"/>
                <w:highlight w:val="none"/>
                <w:lang w:val="en-US" w:eastAsia="zh-CN" w:bidi="ar"/>
              </w:rPr>
            </w:pPr>
            <w:r>
              <w:rPr>
                <w:rFonts w:hint="eastAsia" w:ascii="宋体" w:hAnsi="宋体" w:cs="宋体"/>
                <w:b/>
                <w:bCs/>
                <w:color w:val="auto"/>
                <w:kern w:val="0"/>
                <w:sz w:val="24"/>
                <w:szCs w:val="24"/>
                <w:highlight w:val="none"/>
                <w:lang w:bidi="ar"/>
              </w:rPr>
              <w:t>含税报价总计金额=（1+2+3+4+5+6）-7</w:t>
            </w:r>
            <w:r>
              <w:rPr>
                <w:rFonts w:hint="eastAsia" w:ascii="宋体" w:hAnsi="宋体" w:cs="宋体"/>
                <w:b/>
                <w:bCs/>
                <w:color w:val="auto"/>
                <w:kern w:val="0"/>
                <w:sz w:val="24"/>
                <w:szCs w:val="24"/>
                <w:highlight w:val="none"/>
                <w:lang w:val="en-US" w:eastAsia="zh-CN" w:bidi="ar"/>
              </w:rPr>
              <w:t>-8</w:t>
            </w:r>
          </w:p>
        </w:tc>
        <w:tc>
          <w:tcPr>
            <w:tcW w:w="2160" w:type="dxa"/>
            <w:vAlign w:val="center"/>
          </w:tcPr>
          <w:p w14:paraId="0D324B86">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c>
          <w:tcPr>
            <w:tcW w:w="1373" w:type="dxa"/>
            <w:vAlign w:val="center"/>
          </w:tcPr>
          <w:p w14:paraId="7D7B2D4A">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r>
    </w:tbl>
    <w:p w14:paraId="0FC960E1">
      <w:pPr>
        <w:pStyle w:val="269"/>
        <w:ind w:left="0" w:leftChars="0" w:firstLine="0" w:firstLineChars="0"/>
        <w:rPr>
          <w:rFonts w:ascii="宋体" w:hAnsi="宋体" w:cs="宋体"/>
          <w:color w:val="auto"/>
          <w:sz w:val="24"/>
          <w:highlight w:val="none"/>
        </w:rPr>
      </w:pPr>
    </w:p>
    <w:p w14:paraId="7F41D4F0">
      <w:pPr>
        <w:adjustRightInd w:val="0"/>
        <w:snapToGrid w:val="0"/>
        <w:spacing w:line="480" w:lineRule="auto"/>
        <w:jc w:val="left"/>
        <w:rPr>
          <w:rFonts w:ascii="宋体" w:hAnsi="宋体" w:cs="宋体"/>
          <w:b/>
          <w:bCs/>
          <w:color w:val="auto"/>
          <w:szCs w:val="28"/>
          <w:highlight w:val="none"/>
        </w:rPr>
      </w:pPr>
      <w:r>
        <w:rPr>
          <w:rFonts w:hint="eastAsia" w:ascii="宋体" w:hAnsi="宋体" w:cs="宋体"/>
          <w:b/>
          <w:bCs/>
          <w:color w:val="auto"/>
          <w:szCs w:val="28"/>
          <w:highlight w:val="none"/>
        </w:rPr>
        <w:t xml:space="preserve">              </w:t>
      </w:r>
    </w:p>
    <w:p w14:paraId="24A14F59">
      <w:pPr>
        <w:snapToGrid w:val="0"/>
        <w:spacing w:line="380" w:lineRule="exact"/>
        <w:ind w:firstLine="420"/>
        <w:jc w:val="right"/>
        <w:rPr>
          <w:rFonts w:ascii="宋体" w:hAnsi="宋体" w:cs="宋体"/>
          <w:b/>
          <w:bCs/>
          <w:color w:val="auto"/>
          <w:sz w:val="24"/>
          <w:szCs w:val="24"/>
          <w:highlight w:val="none"/>
        </w:rPr>
      </w:pPr>
      <w:r>
        <w:rPr>
          <w:rFonts w:hint="eastAsia" w:ascii="宋体" w:hAnsi="宋体" w:cs="宋体"/>
          <w:b/>
          <w:bCs/>
          <w:color w:val="auto"/>
          <w:szCs w:val="28"/>
          <w:highlight w:val="none"/>
        </w:rPr>
        <w:t xml:space="preserve">                              </w:t>
      </w:r>
      <w:r>
        <w:rPr>
          <w:rFonts w:hint="eastAsia" w:ascii="宋体" w:hAnsi="宋体" w:cs="宋体"/>
          <w:b/>
          <w:bCs/>
          <w:color w:val="auto"/>
          <w:sz w:val="24"/>
          <w:szCs w:val="24"/>
          <w:highlight w:val="none"/>
        </w:rPr>
        <w:t>供应商名称（公章）：</w:t>
      </w:r>
    </w:p>
    <w:p w14:paraId="078C0A50">
      <w:pPr>
        <w:snapToGrid w:val="0"/>
        <w:spacing w:line="380" w:lineRule="exact"/>
        <w:ind w:firstLine="420"/>
        <w:jc w:val="righ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 xml:space="preserve">                                             </w:t>
      </w:r>
    </w:p>
    <w:p w14:paraId="7BFD215A">
      <w:pPr>
        <w:snapToGrid w:val="0"/>
        <w:spacing w:line="380" w:lineRule="exact"/>
        <w:ind w:firstLine="420"/>
        <w:jc w:val="right"/>
        <w:rPr>
          <w:rFonts w:ascii="宋体" w:hAnsi="宋体" w:cs="宋体"/>
          <w:b/>
          <w:bCs/>
          <w:color w:val="auto"/>
          <w:sz w:val="24"/>
          <w:szCs w:val="24"/>
          <w:highlight w:val="none"/>
        </w:rPr>
      </w:pPr>
      <w:r>
        <w:rPr>
          <w:rFonts w:hint="eastAsia" w:ascii="宋体" w:hAnsi="宋体" w:cs="宋体"/>
          <w:b/>
          <w:bCs/>
          <w:color w:val="auto"/>
          <w:sz w:val="24"/>
          <w:szCs w:val="24"/>
          <w:highlight w:val="none"/>
        </w:rPr>
        <w:t>年   月   日</w:t>
      </w:r>
    </w:p>
    <w:p w14:paraId="5890C42C">
      <w:pPr>
        <w:adjustRightInd w:val="0"/>
        <w:snapToGrid w:val="0"/>
        <w:spacing w:line="480" w:lineRule="auto"/>
        <w:jc w:val="center"/>
        <w:rPr>
          <w:rFonts w:ascii="宋体" w:hAnsi="宋体" w:cs="宋体"/>
          <w:b/>
          <w:bCs/>
          <w:color w:val="auto"/>
          <w:szCs w:val="28"/>
          <w:highlight w:val="none"/>
        </w:rPr>
      </w:pPr>
    </w:p>
    <w:p w14:paraId="7B49DFA1">
      <w:pPr>
        <w:adjustRightInd w:val="0"/>
        <w:snapToGrid w:val="0"/>
        <w:spacing w:line="480" w:lineRule="auto"/>
        <w:jc w:val="center"/>
        <w:rPr>
          <w:rFonts w:ascii="宋体" w:hAnsi="宋体" w:cs="宋体"/>
          <w:b/>
          <w:bCs/>
          <w:color w:val="auto"/>
          <w:szCs w:val="28"/>
          <w:highlight w:val="none"/>
        </w:rPr>
      </w:pPr>
    </w:p>
    <w:p w14:paraId="009800F0">
      <w:pPr>
        <w:adjustRightInd w:val="0"/>
        <w:snapToGrid w:val="0"/>
        <w:spacing w:line="480" w:lineRule="auto"/>
        <w:jc w:val="center"/>
        <w:rPr>
          <w:rFonts w:ascii="宋体" w:hAnsi="宋体" w:cs="宋体"/>
          <w:b/>
          <w:bCs/>
          <w:color w:val="auto"/>
          <w:szCs w:val="28"/>
          <w:highlight w:val="none"/>
        </w:rPr>
      </w:pPr>
    </w:p>
    <w:p w14:paraId="0047A03E">
      <w:pPr>
        <w:adjustRightInd w:val="0"/>
        <w:snapToGrid w:val="0"/>
        <w:spacing w:line="480" w:lineRule="auto"/>
        <w:jc w:val="center"/>
        <w:rPr>
          <w:rFonts w:ascii="宋体" w:hAnsi="宋体" w:cs="宋体"/>
          <w:b/>
          <w:bCs/>
          <w:color w:val="auto"/>
          <w:szCs w:val="28"/>
          <w:highlight w:val="none"/>
        </w:rPr>
      </w:pPr>
    </w:p>
    <w:p w14:paraId="78816BFC">
      <w:pPr>
        <w:adjustRightInd w:val="0"/>
        <w:snapToGrid w:val="0"/>
        <w:spacing w:line="480" w:lineRule="auto"/>
        <w:jc w:val="center"/>
        <w:rPr>
          <w:rFonts w:ascii="宋体" w:hAnsi="宋体" w:cs="宋体"/>
          <w:b/>
          <w:bCs/>
          <w:color w:val="auto"/>
          <w:szCs w:val="28"/>
          <w:highlight w:val="none"/>
        </w:rPr>
      </w:pPr>
    </w:p>
    <w:p w14:paraId="152E70F3">
      <w:pPr>
        <w:rPr>
          <w:rFonts w:hint="eastAsia" w:ascii="宋体" w:hAnsi="宋体" w:cs="宋体"/>
          <w:b/>
          <w:color w:val="auto"/>
          <w:sz w:val="24"/>
          <w:highlight w:val="none"/>
        </w:rPr>
      </w:pPr>
      <w:bookmarkStart w:id="245" w:name="_Toc22655"/>
      <w:bookmarkStart w:id="246" w:name="_Toc342913420"/>
      <w:bookmarkStart w:id="247" w:name="_Toc65660380"/>
      <w:bookmarkStart w:id="248" w:name="_Toc32307"/>
      <w:bookmarkStart w:id="249" w:name="_Toc313008357"/>
      <w:bookmarkStart w:id="250" w:name="_Toc313888361"/>
      <w:bookmarkStart w:id="251" w:name="_Toc14073"/>
      <w:bookmarkStart w:id="252" w:name="_Toc26085"/>
      <w:r>
        <w:rPr>
          <w:rFonts w:hint="eastAsia" w:ascii="宋体" w:hAnsi="宋体" w:cs="宋体"/>
          <w:b/>
          <w:color w:val="auto"/>
          <w:sz w:val="24"/>
          <w:highlight w:val="none"/>
        </w:rPr>
        <w:br w:type="page"/>
      </w:r>
    </w:p>
    <w:p w14:paraId="15047426">
      <w:pPr>
        <w:keepNext/>
        <w:keepLines/>
        <w:adjustRightInd w:val="0"/>
        <w:snapToGrid w:val="0"/>
        <w:spacing w:line="400" w:lineRule="exact"/>
        <w:ind w:firstLine="482" w:firstLineChars="200"/>
        <w:jc w:val="center"/>
        <w:outlineLvl w:val="1"/>
        <w:rPr>
          <w:rFonts w:ascii="宋体" w:hAnsi="宋体" w:cs="宋体"/>
          <w:b/>
          <w:color w:val="auto"/>
          <w:sz w:val="24"/>
          <w:highlight w:val="none"/>
        </w:rPr>
      </w:pPr>
      <w:r>
        <w:rPr>
          <w:rFonts w:hint="eastAsia" w:ascii="宋体" w:hAnsi="宋体" w:cs="宋体"/>
          <w:b/>
          <w:color w:val="auto"/>
          <w:sz w:val="24"/>
          <w:highlight w:val="none"/>
        </w:rPr>
        <w:t>二、技术（质量）部分</w:t>
      </w:r>
      <w:bookmarkEnd w:id="245"/>
      <w:bookmarkEnd w:id="246"/>
      <w:bookmarkEnd w:id="247"/>
      <w:bookmarkEnd w:id="248"/>
      <w:bookmarkEnd w:id="249"/>
      <w:bookmarkEnd w:id="250"/>
      <w:bookmarkEnd w:id="251"/>
      <w:bookmarkEnd w:id="252"/>
    </w:p>
    <w:p w14:paraId="2F6A027F">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（一）技术（质量）响应偏离表</w:t>
      </w:r>
    </w:p>
    <w:p w14:paraId="6E24985A">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采购执行编号： </w:t>
      </w:r>
      <w:r>
        <w:rPr>
          <w:rFonts w:hint="eastAsia" w:ascii="宋体" w:hAnsi="宋体" w:cs="宋体"/>
          <w:color w:val="auto"/>
          <w:sz w:val="24"/>
          <w:szCs w:val="24"/>
          <w:highlight w:val="none"/>
          <w:lang w:eastAsia="zh-CN"/>
        </w:rPr>
        <w:t>JZHYZB-2025102001</w:t>
      </w:r>
      <w:r>
        <w:rPr>
          <w:rFonts w:hint="eastAsia" w:ascii="宋体" w:hAnsi="宋体" w:cs="宋体"/>
          <w:color w:val="auto"/>
          <w:sz w:val="24"/>
          <w:szCs w:val="24"/>
          <w:highlight w:val="none"/>
        </w:rPr>
        <w:t xml:space="preserve"> </w:t>
      </w:r>
    </w:p>
    <w:p w14:paraId="7B0A2B6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比选项目名称：</w:t>
      </w:r>
      <w:r>
        <w:rPr>
          <w:rFonts w:hint="eastAsia" w:ascii="宋体" w:hAnsi="宋体" w:cs="宋体"/>
          <w:color w:val="auto"/>
          <w:sz w:val="24"/>
          <w:szCs w:val="24"/>
          <w:highlight w:val="none"/>
          <w:lang w:eastAsia="zh-CN"/>
        </w:rPr>
        <w:t>双子星座A栋1-4#电梯更新工程</w:t>
      </w:r>
      <w:r>
        <w:rPr>
          <w:rFonts w:hint="eastAsia" w:ascii="宋体" w:hAnsi="宋体" w:cs="宋体"/>
          <w:color w:val="auto"/>
          <w:sz w:val="24"/>
          <w:szCs w:val="24"/>
          <w:highlight w:val="none"/>
        </w:rPr>
        <w:t xml:space="preserve">                             </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74F3E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14:paraId="5F02E27F">
            <w:pPr>
              <w:keepNext w:val="0"/>
              <w:keepLines w:val="0"/>
              <w:suppressLineNumbers w:val="0"/>
              <w:spacing w:before="0" w:beforeAutospacing="0" w:after="0" w:afterAutospacing="0"/>
              <w:ind w:left="0" w:right="0"/>
              <w:jc w:val="center"/>
              <w:rPr>
                <w:rFonts w:hint="default" w:ascii="宋体" w:hAnsi="宋体" w:cs="宋体"/>
                <w:b/>
                <w:color w:val="auto"/>
                <w:szCs w:val="21"/>
                <w:highlight w:val="none"/>
              </w:rPr>
            </w:pPr>
            <w:r>
              <w:rPr>
                <w:rFonts w:hint="eastAsia" w:ascii="宋体" w:hAnsi="宋体" w:cs="宋体"/>
                <w:b/>
                <w:bCs/>
                <w:color w:val="auto"/>
                <w:sz w:val="21"/>
                <w:szCs w:val="21"/>
                <w:highlight w:val="none"/>
              </w:rPr>
              <w:t>序号</w:t>
            </w:r>
          </w:p>
        </w:tc>
        <w:tc>
          <w:tcPr>
            <w:tcW w:w="2844" w:type="dxa"/>
            <w:vAlign w:val="center"/>
          </w:tcPr>
          <w:p w14:paraId="3FDBC5BC">
            <w:pPr>
              <w:keepNext w:val="0"/>
              <w:keepLines w:val="0"/>
              <w:suppressLineNumbers w:val="0"/>
              <w:spacing w:before="0" w:beforeAutospacing="0" w:after="0" w:afterAutospacing="0"/>
              <w:ind w:left="0" w:right="0"/>
              <w:jc w:val="center"/>
              <w:rPr>
                <w:rFonts w:hint="default" w:ascii="宋体" w:hAnsi="宋体" w:cs="宋体"/>
                <w:b/>
                <w:bCs/>
                <w:color w:val="auto"/>
                <w:sz w:val="21"/>
                <w:szCs w:val="21"/>
                <w:highlight w:val="none"/>
              </w:rPr>
            </w:pPr>
            <w:r>
              <w:rPr>
                <w:rFonts w:hint="eastAsia" w:ascii="宋体" w:hAnsi="宋体" w:cs="宋体"/>
                <w:b/>
                <w:bCs/>
                <w:color w:val="auto"/>
                <w:sz w:val="21"/>
                <w:szCs w:val="21"/>
                <w:highlight w:val="none"/>
              </w:rPr>
              <w:t>采购需求</w:t>
            </w:r>
          </w:p>
        </w:tc>
        <w:tc>
          <w:tcPr>
            <w:tcW w:w="2952" w:type="dxa"/>
            <w:vAlign w:val="center"/>
          </w:tcPr>
          <w:p w14:paraId="64D3B108">
            <w:pPr>
              <w:keepNext w:val="0"/>
              <w:keepLines w:val="0"/>
              <w:suppressLineNumbers w:val="0"/>
              <w:spacing w:before="0" w:beforeAutospacing="0" w:after="0" w:afterAutospacing="0"/>
              <w:ind w:left="0" w:right="0"/>
              <w:jc w:val="center"/>
              <w:rPr>
                <w:rFonts w:hint="default" w:ascii="宋体" w:hAnsi="宋体" w:cs="宋体"/>
                <w:b/>
                <w:bCs/>
                <w:color w:val="auto"/>
                <w:sz w:val="21"/>
                <w:szCs w:val="21"/>
                <w:highlight w:val="none"/>
              </w:rPr>
            </w:pPr>
            <w:r>
              <w:rPr>
                <w:rFonts w:hint="eastAsia" w:ascii="宋体" w:hAnsi="宋体" w:cs="宋体"/>
                <w:b/>
                <w:bCs/>
                <w:color w:val="auto"/>
                <w:sz w:val="21"/>
                <w:szCs w:val="21"/>
                <w:highlight w:val="none"/>
              </w:rPr>
              <w:t>响应情况</w:t>
            </w:r>
          </w:p>
        </w:tc>
        <w:tc>
          <w:tcPr>
            <w:tcW w:w="2212" w:type="dxa"/>
            <w:vAlign w:val="center"/>
          </w:tcPr>
          <w:p w14:paraId="5AB1060F">
            <w:pPr>
              <w:keepNext w:val="0"/>
              <w:keepLines w:val="0"/>
              <w:suppressLineNumbers w:val="0"/>
              <w:spacing w:before="0" w:beforeAutospacing="0" w:after="0" w:afterAutospacing="0"/>
              <w:ind w:left="0" w:right="0"/>
              <w:jc w:val="center"/>
              <w:rPr>
                <w:rFonts w:hint="default" w:ascii="宋体" w:hAnsi="宋体" w:cs="宋体"/>
                <w:b/>
                <w:bCs/>
                <w:color w:val="auto"/>
                <w:sz w:val="21"/>
                <w:szCs w:val="21"/>
                <w:highlight w:val="none"/>
              </w:rPr>
            </w:pPr>
            <w:r>
              <w:rPr>
                <w:rFonts w:hint="eastAsia" w:ascii="宋体" w:hAnsi="宋体" w:cs="宋体"/>
                <w:b/>
                <w:bCs/>
                <w:color w:val="auto"/>
                <w:sz w:val="21"/>
                <w:szCs w:val="21"/>
                <w:highlight w:val="none"/>
              </w:rPr>
              <w:t>差异说明</w:t>
            </w:r>
          </w:p>
        </w:tc>
      </w:tr>
      <w:tr w14:paraId="048C9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7DEE9F6">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844" w:type="dxa"/>
            <w:vAlign w:val="center"/>
          </w:tcPr>
          <w:p w14:paraId="5DEC2871">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952" w:type="dxa"/>
            <w:vAlign w:val="center"/>
          </w:tcPr>
          <w:p w14:paraId="61AD1D2F">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212" w:type="dxa"/>
            <w:vAlign w:val="center"/>
          </w:tcPr>
          <w:p w14:paraId="023F8B91">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r>
      <w:tr w14:paraId="2B874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EA85CD1">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844" w:type="dxa"/>
            <w:vAlign w:val="center"/>
          </w:tcPr>
          <w:p w14:paraId="6460DE12">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952" w:type="dxa"/>
            <w:vAlign w:val="center"/>
          </w:tcPr>
          <w:p w14:paraId="76216BA1">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212" w:type="dxa"/>
            <w:vAlign w:val="center"/>
          </w:tcPr>
          <w:p w14:paraId="1EA01729">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r>
      <w:tr w14:paraId="61EDC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CAAABCA">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844" w:type="dxa"/>
            <w:vAlign w:val="center"/>
          </w:tcPr>
          <w:p w14:paraId="55A35AD2">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952" w:type="dxa"/>
            <w:vAlign w:val="center"/>
          </w:tcPr>
          <w:p w14:paraId="67DA3861">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212" w:type="dxa"/>
            <w:vAlign w:val="center"/>
          </w:tcPr>
          <w:p w14:paraId="218556E0">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r>
      <w:tr w14:paraId="0CE32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1BED677">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844" w:type="dxa"/>
            <w:vAlign w:val="center"/>
          </w:tcPr>
          <w:p w14:paraId="4E1DC545">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952" w:type="dxa"/>
            <w:vAlign w:val="center"/>
          </w:tcPr>
          <w:p w14:paraId="3D5DE6E3">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212" w:type="dxa"/>
            <w:vAlign w:val="center"/>
          </w:tcPr>
          <w:p w14:paraId="6839C123">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r>
      <w:tr w14:paraId="249EE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15A15C6">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844" w:type="dxa"/>
            <w:vAlign w:val="center"/>
          </w:tcPr>
          <w:p w14:paraId="044DDFD1">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952" w:type="dxa"/>
            <w:vAlign w:val="center"/>
          </w:tcPr>
          <w:p w14:paraId="19831B6A">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212" w:type="dxa"/>
            <w:vAlign w:val="center"/>
          </w:tcPr>
          <w:p w14:paraId="137F514F">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r>
      <w:tr w14:paraId="66664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E74069D">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844" w:type="dxa"/>
            <w:vAlign w:val="center"/>
          </w:tcPr>
          <w:p w14:paraId="1C4FBB1D">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952" w:type="dxa"/>
            <w:vAlign w:val="center"/>
          </w:tcPr>
          <w:p w14:paraId="7FC2F51B">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212" w:type="dxa"/>
            <w:vAlign w:val="center"/>
          </w:tcPr>
          <w:p w14:paraId="06826E43">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r>
      <w:tr w14:paraId="07A49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300B07D">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844" w:type="dxa"/>
            <w:vAlign w:val="center"/>
          </w:tcPr>
          <w:p w14:paraId="14EE665C">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952" w:type="dxa"/>
            <w:vAlign w:val="center"/>
          </w:tcPr>
          <w:p w14:paraId="06F80875">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212" w:type="dxa"/>
            <w:vAlign w:val="center"/>
          </w:tcPr>
          <w:p w14:paraId="2A3332A0">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r>
      <w:tr w14:paraId="598CD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9B8CA10">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844" w:type="dxa"/>
            <w:vAlign w:val="center"/>
          </w:tcPr>
          <w:p w14:paraId="30E1C93E">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952" w:type="dxa"/>
            <w:vAlign w:val="center"/>
          </w:tcPr>
          <w:p w14:paraId="110DFE36">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212" w:type="dxa"/>
            <w:vAlign w:val="center"/>
          </w:tcPr>
          <w:p w14:paraId="6BC839DB">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r>
      <w:tr w14:paraId="336D2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22F1A28">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844" w:type="dxa"/>
            <w:vAlign w:val="center"/>
          </w:tcPr>
          <w:p w14:paraId="1E74F8F1">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952" w:type="dxa"/>
            <w:vAlign w:val="center"/>
          </w:tcPr>
          <w:p w14:paraId="390CBE75">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212" w:type="dxa"/>
            <w:vAlign w:val="center"/>
          </w:tcPr>
          <w:p w14:paraId="4385DFBC">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r>
      <w:tr w14:paraId="15ABC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B722322">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844" w:type="dxa"/>
            <w:vAlign w:val="center"/>
          </w:tcPr>
          <w:p w14:paraId="67EF61E3">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952" w:type="dxa"/>
            <w:vAlign w:val="center"/>
          </w:tcPr>
          <w:p w14:paraId="62BF1237">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c>
          <w:tcPr>
            <w:tcW w:w="2212" w:type="dxa"/>
            <w:vAlign w:val="center"/>
          </w:tcPr>
          <w:p w14:paraId="00DB7888">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1"/>
                <w:highlight w:val="none"/>
              </w:rPr>
            </w:pPr>
          </w:p>
        </w:tc>
      </w:tr>
    </w:tbl>
    <w:p w14:paraId="368D4B26">
      <w:pPr>
        <w:spacing w:line="500" w:lineRule="exact"/>
        <w:ind w:firstLine="600" w:firstLineChars="250"/>
        <w:rPr>
          <w:rFonts w:ascii="宋体" w:hAnsi="宋体" w:cs="宋体"/>
          <w:color w:val="auto"/>
          <w:sz w:val="24"/>
          <w:szCs w:val="28"/>
          <w:highlight w:val="none"/>
        </w:rPr>
      </w:pPr>
      <w:r>
        <w:rPr>
          <w:rFonts w:hint="eastAsia" w:ascii="宋体" w:hAnsi="宋体" w:cs="宋体"/>
          <w:color w:val="auto"/>
          <w:sz w:val="24"/>
          <w:szCs w:val="28"/>
          <w:highlight w:val="none"/>
        </w:rPr>
        <w:t xml:space="preserve">供应商：                         </w:t>
      </w:r>
      <w:r>
        <w:rPr>
          <w:rFonts w:hint="eastAsia" w:ascii="宋体" w:hAnsi="宋体" w:cs="宋体"/>
          <w:color w:val="auto"/>
          <w:sz w:val="24"/>
          <w:szCs w:val="24"/>
          <w:highlight w:val="none"/>
        </w:rPr>
        <w:t>法定代表人（或其授权代表）</w:t>
      </w:r>
      <w:r>
        <w:rPr>
          <w:rFonts w:hint="eastAsia" w:ascii="宋体" w:hAnsi="宋体" w:cs="宋体"/>
          <w:color w:val="auto"/>
          <w:sz w:val="24"/>
          <w:szCs w:val="28"/>
          <w:highlight w:val="none"/>
        </w:rPr>
        <w:t>：</w:t>
      </w:r>
    </w:p>
    <w:p w14:paraId="270F5500">
      <w:pPr>
        <w:spacing w:line="500" w:lineRule="exact"/>
        <w:rPr>
          <w:rFonts w:ascii="宋体" w:hAnsi="宋体" w:cs="宋体"/>
          <w:color w:val="auto"/>
          <w:sz w:val="24"/>
          <w:szCs w:val="28"/>
          <w:highlight w:val="none"/>
        </w:rPr>
      </w:pPr>
      <w:r>
        <w:rPr>
          <w:rFonts w:hint="eastAsia" w:ascii="宋体" w:hAnsi="宋体" w:cs="宋体"/>
          <w:color w:val="auto"/>
          <w:sz w:val="24"/>
          <w:szCs w:val="28"/>
          <w:highlight w:val="none"/>
        </w:rPr>
        <w:t xml:space="preserve">    </w:t>
      </w:r>
    </w:p>
    <w:p w14:paraId="7D14B3EA">
      <w:pPr>
        <w:spacing w:line="500" w:lineRule="exact"/>
        <w:ind w:firstLine="720" w:firstLineChars="300"/>
        <w:rPr>
          <w:rFonts w:ascii="宋体" w:hAnsi="宋体" w:cs="宋体"/>
          <w:color w:val="auto"/>
          <w:sz w:val="24"/>
          <w:szCs w:val="28"/>
          <w:highlight w:val="none"/>
        </w:rPr>
      </w:pPr>
      <w:r>
        <w:rPr>
          <w:rFonts w:hint="eastAsia" w:ascii="宋体" w:hAnsi="宋体" w:cs="宋体"/>
          <w:color w:val="auto"/>
          <w:sz w:val="24"/>
          <w:szCs w:val="28"/>
          <w:highlight w:val="none"/>
        </w:rPr>
        <w:t>（供应商公章）                               （</w:t>
      </w:r>
      <w:r>
        <w:rPr>
          <w:rFonts w:hint="eastAsia" w:ascii="宋体" w:hAnsi="宋体" w:cs="宋体"/>
          <w:color w:val="auto"/>
          <w:sz w:val="24"/>
          <w:szCs w:val="24"/>
          <w:highlight w:val="none"/>
        </w:rPr>
        <w:t>签署</w:t>
      </w:r>
      <w:r>
        <w:rPr>
          <w:rFonts w:hint="eastAsia" w:ascii="宋体" w:hAnsi="宋体" w:cs="宋体"/>
          <w:color w:val="auto"/>
          <w:sz w:val="24"/>
          <w:szCs w:val="28"/>
          <w:highlight w:val="none"/>
        </w:rPr>
        <w:t>或盖章）</w:t>
      </w:r>
    </w:p>
    <w:p w14:paraId="59B2BCD8">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szCs w:val="28"/>
          <w:highlight w:val="none"/>
        </w:rPr>
        <w:t xml:space="preserve">                                            年     月     日</w:t>
      </w:r>
    </w:p>
    <w:p w14:paraId="49CFE937">
      <w:pPr>
        <w:tabs>
          <w:tab w:val="left" w:pos="6300"/>
        </w:tabs>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50A398E3">
      <w:pPr>
        <w:tabs>
          <w:tab w:val="left" w:pos="6300"/>
        </w:tabs>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szCs w:val="24"/>
          <w:highlight w:val="none"/>
        </w:rPr>
        <w:t>1</w:t>
      </w:r>
      <w:r>
        <w:rPr>
          <w:rFonts w:hint="eastAsia" w:ascii="宋体" w:hAnsi="宋体" w:cs="宋体"/>
          <w:color w:val="auto"/>
          <w:sz w:val="24"/>
          <w:highlight w:val="none"/>
        </w:rPr>
        <w:t>.</w:t>
      </w:r>
      <w:r>
        <w:rPr>
          <w:rFonts w:hint="eastAsia" w:ascii="宋体" w:hAnsi="宋体" w:cs="宋体"/>
          <w:color w:val="auto"/>
          <w:sz w:val="24"/>
          <w:szCs w:val="24"/>
          <w:highlight w:val="none"/>
        </w:rPr>
        <w:t>本表即为对本项目“第二篇  比选项目技术（质量）需求”中所列条款进行比较和响应；</w:t>
      </w:r>
    </w:p>
    <w:p w14:paraId="0E62F6B7">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2.本表可扩展。</w:t>
      </w:r>
    </w:p>
    <w:p w14:paraId="56CB7C64">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szCs w:val="24"/>
          <w:highlight w:val="none"/>
        </w:rPr>
        <w:t>（二）其他资料（格式自定）</w:t>
      </w:r>
    </w:p>
    <w:p w14:paraId="69A0A0F0">
      <w:pPr>
        <w:tabs>
          <w:tab w:val="left" w:pos="6300"/>
        </w:tabs>
        <w:snapToGrid w:val="0"/>
        <w:spacing w:line="500" w:lineRule="exact"/>
        <w:ind w:firstLine="480" w:firstLineChars="200"/>
        <w:rPr>
          <w:rFonts w:ascii="宋体" w:hAnsi="宋体" w:cs="宋体"/>
          <w:color w:val="auto"/>
          <w:sz w:val="24"/>
          <w:szCs w:val="24"/>
          <w:highlight w:val="none"/>
        </w:rPr>
      </w:pPr>
    </w:p>
    <w:p w14:paraId="416B229B">
      <w:pPr>
        <w:keepNext/>
        <w:keepLines/>
        <w:adjustRightInd w:val="0"/>
        <w:snapToGrid w:val="0"/>
        <w:spacing w:line="400" w:lineRule="exact"/>
        <w:ind w:firstLine="640" w:firstLineChars="200"/>
        <w:outlineLvl w:val="1"/>
        <w:rPr>
          <w:rFonts w:ascii="宋体" w:hAnsi="宋体" w:cs="宋体"/>
          <w:b/>
          <w:color w:val="auto"/>
          <w:sz w:val="24"/>
          <w:highlight w:val="none"/>
        </w:rPr>
      </w:pPr>
      <w:r>
        <w:rPr>
          <w:rFonts w:hint="eastAsia" w:ascii="宋体" w:hAnsi="宋体" w:cs="宋体"/>
          <w:color w:val="auto"/>
          <w:sz w:val="32"/>
          <w:highlight w:val="none"/>
        </w:rPr>
        <w:br w:type="page"/>
      </w:r>
      <w:bookmarkStart w:id="253" w:name="_Toc32158"/>
      <w:bookmarkStart w:id="254" w:name="_Toc27717"/>
      <w:bookmarkStart w:id="255" w:name="_Toc32339"/>
      <w:bookmarkStart w:id="256" w:name="_Toc65660381"/>
      <w:bookmarkStart w:id="257" w:name="_Toc19848"/>
      <w:bookmarkStart w:id="258" w:name="_Toc342913421"/>
      <w:bookmarkStart w:id="259" w:name="_Toc313008358"/>
      <w:bookmarkStart w:id="260" w:name="_Toc313888362"/>
      <w:r>
        <w:rPr>
          <w:rFonts w:hint="eastAsia" w:ascii="宋体" w:hAnsi="宋体" w:cs="宋体"/>
          <w:b/>
          <w:color w:val="auto"/>
          <w:sz w:val="24"/>
          <w:highlight w:val="none"/>
        </w:rPr>
        <w:t>三、</w:t>
      </w:r>
      <w:bookmarkEnd w:id="253"/>
      <w:bookmarkEnd w:id="254"/>
      <w:bookmarkEnd w:id="255"/>
      <w:bookmarkEnd w:id="256"/>
      <w:bookmarkEnd w:id="257"/>
      <w:r>
        <w:rPr>
          <w:rFonts w:hint="eastAsia" w:ascii="宋体" w:hAnsi="宋体" w:cs="宋体"/>
          <w:b/>
          <w:color w:val="auto"/>
          <w:sz w:val="24"/>
          <w:highlight w:val="none"/>
        </w:rPr>
        <w:t>商务部分</w:t>
      </w:r>
    </w:p>
    <w:p w14:paraId="17D94C83">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（一）商务响应偏离表</w:t>
      </w:r>
    </w:p>
    <w:p w14:paraId="4728FBF9">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采购执行编号： </w:t>
      </w:r>
      <w:r>
        <w:rPr>
          <w:rFonts w:hint="eastAsia" w:ascii="宋体" w:hAnsi="宋体" w:cs="宋体"/>
          <w:color w:val="auto"/>
          <w:sz w:val="24"/>
          <w:szCs w:val="24"/>
          <w:highlight w:val="none"/>
          <w:lang w:eastAsia="zh-CN"/>
        </w:rPr>
        <w:t>JZHYZB-2025102001</w:t>
      </w:r>
      <w:r>
        <w:rPr>
          <w:rFonts w:hint="eastAsia" w:ascii="宋体" w:hAnsi="宋体" w:cs="宋体"/>
          <w:color w:val="auto"/>
          <w:sz w:val="24"/>
          <w:szCs w:val="24"/>
          <w:highlight w:val="none"/>
        </w:rPr>
        <w:t xml:space="preserve">                            </w:t>
      </w:r>
    </w:p>
    <w:p w14:paraId="19549517">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比选项目名称：</w:t>
      </w:r>
      <w:r>
        <w:rPr>
          <w:rFonts w:hint="eastAsia" w:ascii="宋体" w:hAnsi="宋体" w:cs="宋体"/>
          <w:color w:val="auto"/>
          <w:sz w:val="24"/>
          <w:szCs w:val="24"/>
          <w:highlight w:val="none"/>
          <w:lang w:eastAsia="zh-CN"/>
        </w:rPr>
        <w:t>双子星座A栋1-4#电梯更新工程</w:t>
      </w:r>
      <w:r>
        <w:rPr>
          <w:rFonts w:hint="eastAsia" w:ascii="宋体" w:hAnsi="宋体" w:cs="宋体"/>
          <w:color w:val="auto"/>
          <w:sz w:val="24"/>
          <w:szCs w:val="24"/>
          <w:highlight w:val="none"/>
        </w:rPr>
        <w:t xml:space="preserve">                        </w:t>
      </w:r>
    </w:p>
    <w:p w14:paraId="13D0AE0F">
      <w:pPr>
        <w:spacing w:line="400" w:lineRule="exact"/>
        <w:ind w:firstLine="480" w:firstLineChars="200"/>
        <w:rPr>
          <w:rFonts w:ascii="宋体" w:hAnsi="宋体" w:cs="宋体"/>
          <w:color w:val="auto"/>
          <w:sz w:val="24"/>
          <w:szCs w:val="24"/>
          <w:highlight w:val="none"/>
        </w:rPr>
      </w:pPr>
    </w:p>
    <w:tbl>
      <w:tblPr>
        <w:tblStyle w:val="5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747B5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vAlign w:val="center"/>
          </w:tcPr>
          <w:p w14:paraId="47A1D0F7">
            <w:pPr>
              <w:keepNext w:val="0"/>
              <w:keepLines w:val="0"/>
              <w:suppressLineNumbers w:val="0"/>
              <w:spacing w:before="0" w:beforeAutospacing="0" w:after="0" w:afterAutospacing="0"/>
              <w:ind w:left="0" w:right="0"/>
              <w:jc w:val="center"/>
              <w:rPr>
                <w:rFonts w:hint="default" w:ascii="宋体" w:hAnsi="宋体" w:cs="宋体"/>
                <w:b/>
                <w:color w:val="auto"/>
                <w:szCs w:val="24"/>
                <w:highlight w:val="none"/>
              </w:rPr>
            </w:pPr>
            <w:r>
              <w:rPr>
                <w:rFonts w:hint="eastAsia" w:ascii="宋体" w:hAnsi="宋体" w:cs="宋体"/>
                <w:b/>
                <w:bCs/>
                <w:color w:val="auto"/>
                <w:sz w:val="21"/>
                <w:szCs w:val="21"/>
                <w:highlight w:val="none"/>
              </w:rPr>
              <w:t>序号</w:t>
            </w:r>
          </w:p>
        </w:tc>
        <w:tc>
          <w:tcPr>
            <w:tcW w:w="3184" w:type="dxa"/>
            <w:vAlign w:val="center"/>
          </w:tcPr>
          <w:p w14:paraId="679D673A">
            <w:pPr>
              <w:keepNext w:val="0"/>
              <w:keepLines w:val="0"/>
              <w:suppressLineNumbers w:val="0"/>
              <w:spacing w:before="0" w:beforeAutospacing="0" w:after="0" w:afterAutospacing="0"/>
              <w:ind w:left="0" w:right="0"/>
              <w:jc w:val="center"/>
              <w:rPr>
                <w:rFonts w:hint="default" w:ascii="宋体" w:hAnsi="宋体" w:cs="宋体"/>
                <w:b/>
                <w:bCs/>
                <w:color w:val="auto"/>
                <w:sz w:val="21"/>
                <w:szCs w:val="21"/>
                <w:highlight w:val="none"/>
              </w:rPr>
            </w:pPr>
            <w:r>
              <w:rPr>
                <w:rFonts w:hint="eastAsia" w:ascii="宋体" w:hAnsi="宋体" w:cs="宋体"/>
                <w:b/>
                <w:bCs/>
                <w:color w:val="auto"/>
                <w:sz w:val="21"/>
                <w:szCs w:val="21"/>
                <w:highlight w:val="none"/>
              </w:rPr>
              <w:t>采购需求</w:t>
            </w:r>
          </w:p>
        </w:tc>
        <w:tc>
          <w:tcPr>
            <w:tcW w:w="2438" w:type="dxa"/>
            <w:vAlign w:val="center"/>
          </w:tcPr>
          <w:p w14:paraId="55A9CE3C">
            <w:pPr>
              <w:keepNext w:val="0"/>
              <w:keepLines w:val="0"/>
              <w:suppressLineNumbers w:val="0"/>
              <w:spacing w:before="0" w:beforeAutospacing="0" w:after="0" w:afterAutospacing="0"/>
              <w:ind w:left="0" w:right="0"/>
              <w:jc w:val="center"/>
              <w:rPr>
                <w:rFonts w:hint="default" w:ascii="宋体" w:hAnsi="宋体" w:cs="宋体"/>
                <w:b/>
                <w:bCs/>
                <w:color w:val="auto"/>
                <w:sz w:val="21"/>
                <w:szCs w:val="21"/>
                <w:highlight w:val="none"/>
              </w:rPr>
            </w:pPr>
            <w:r>
              <w:rPr>
                <w:rFonts w:hint="eastAsia" w:ascii="宋体" w:hAnsi="宋体" w:cs="宋体"/>
                <w:b/>
                <w:bCs/>
                <w:color w:val="auto"/>
                <w:sz w:val="21"/>
                <w:szCs w:val="21"/>
                <w:highlight w:val="none"/>
              </w:rPr>
              <w:t>响应情况</w:t>
            </w:r>
          </w:p>
        </w:tc>
        <w:tc>
          <w:tcPr>
            <w:tcW w:w="2359" w:type="dxa"/>
            <w:vAlign w:val="center"/>
          </w:tcPr>
          <w:p w14:paraId="7E3195B9">
            <w:pPr>
              <w:keepNext w:val="0"/>
              <w:keepLines w:val="0"/>
              <w:suppressLineNumbers w:val="0"/>
              <w:spacing w:before="0" w:beforeAutospacing="0" w:after="0" w:afterAutospacing="0"/>
              <w:ind w:left="0" w:right="0"/>
              <w:jc w:val="center"/>
              <w:rPr>
                <w:rFonts w:hint="default" w:ascii="宋体" w:hAnsi="宋体" w:cs="宋体"/>
                <w:b/>
                <w:bCs/>
                <w:color w:val="auto"/>
                <w:sz w:val="21"/>
                <w:szCs w:val="21"/>
                <w:highlight w:val="none"/>
              </w:rPr>
            </w:pPr>
            <w:r>
              <w:rPr>
                <w:rFonts w:hint="eastAsia" w:ascii="宋体" w:hAnsi="宋体" w:cs="宋体"/>
                <w:b/>
                <w:bCs/>
                <w:color w:val="auto"/>
                <w:sz w:val="21"/>
                <w:szCs w:val="21"/>
                <w:highlight w:val="none"/>
              </w:rPr>
              <w:t>差异说明</w:t>
            </w:r>
          </w:p>
        </w:tc>
      </w:tr>
      <w:tr w14:paraId="15750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412255E4">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4"/>
                <w:highlight w:val="none"/>
              </w:rPr>
            </w:pPr>
          </w:p>
        </w:tc>
        <w:tc>
          <w:tcPr>
            <w:tcW w:w="3184" w:type="dxa"/>
            <w:vAlign w:val="center"/>
          </w:tcPr>
          <w:p w14:paraId="39ED21E7">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4"/>
                <w:highlight w:val="none"/>
              </w:rPr>
            </w:pPr>
          </w:p>
        </w:tc>
        <w:tc>
          <w:tcPr>
            <w:tcW w:w="2438" w:type="dxa"/>
            <w:vAlign w:val="center"/>
          </w:tcPr>
          <w:p w14:paraId="5F097726">
            <w:pPr>
              <w:keepNext w:val="0"/>
              <w:keepLines w:val="0"/>
              <w:suppressLineNumbers w:val="0"/>
              <w:tabs>
                <w:tab w:val="left" w:pos="6300"/>
              </w:tabs>
              <w:snapToGrid w:val="0"/>
              <w:spacing w:before="0" w:beforeAutospacing="0" w:after="0" w:afterAutospacing="0"/>
              <w:ind w:left="0" w:right="0"/>
              <w:outlineLvl w:val="0"/>
              <w:rPr>
                <w:rFonts w:hint="default" w:ascii="宋体" w:hAnsi="宋体" w:cs="宋体"/>
                <w:color w:val="auto"/>
                <w:sz w:val="21"/>
                <w:szCs w:val="24"/>
                <w:highlight w:val="none"/>
              </w:rPr>
            </w:pPr>
          </w:p>
        </w:tc>
        <w:tc>
          <w:tcPr>
            <w:tcW w:w="2359" w:type="dxa"/>
            <w:vAlign w:val="center"/>
          </w:tcPr>
          <w:p w14:paraId="276D37DD">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4"/>
                <w:highlight w:val="none"/>
              </w:rPr>
            </w:pPr>
          </w:p>
        </w:tc>
      </w:tr>
      <w:tr w14:paraId="72C0A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53EC230E">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4"/>
                <w:highlight w:val="none"/>
              </w:rPr>
            </w:pPr>
          </w:p>
        </w:tc>
        <w:tc>
          <w:tcPr>
            <w:tcW w:w="3184" w:type="dxa"/>
            <w:vAlign w:val="center"/>
          </w:tcPr>
          <w:p w14:paraId="023DB5EC">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4"/>
                <w:highlight w:val="none"/>
              </w:rPr>
            </w:pPr>
          </w:p>
        </w:tc>
        <w:tc>
          <w:tcPr>
            <w:tcW w:w="2438" w:type="dxa"/>
            <w:vAlign w:val="center"/>
          </w:tcPr>
          <w:p w14:paraId="0AB63DCF">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4"/>
                <w:highlight w:val="none"/>
              </w:rPr>
            </w:pPr>
          </w:p>
        </w:tc>
        <w:tc>
          <w:tcPr>
            <w:tcW w:w="2359" w:type="dxa"/>
            <w:vAlign w:val="center"/>
          </w:tcPr>
          <w:p w14:paraId="6190D934">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4"/>
                <w:highlight w:val="none"/>
              </w:rPr>
            </w:pPr>
          </w:p>
        </w:tc>
      </w:tr>
      <w:tr w14:paraId="2013B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32CE6324">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4"/>
                <w:highlight w:val="none"/>
              </w:rPr>
            </w:pPr>
          </w:p>
        </w:tc>
        <w:tc>
          <w:tcPr>
            <w:tcW w:w="3184" w:type="dxa"/>
            <w:vAlign w:val="center"/>
          </w:tcPr>
          <w:p w14:paraId="37C19A08">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4"/>
                <w:highlight w:val="none"/>
              </w:rPr>
            </w:pPr>
          </w:p>
        </w:tc>
        <w:tc>
          <w:tcPr>
            <w:tcW w:w="2438" w:type="dxa"/>
            <w:vAlign w:val="center"/>
          </w:tcPr>
          <w:p w14:paraId="1617E9AE">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4"/>
                <w:highlight w:val="none"/>
              </w:rPr>
            </w:pPr>
          </w:p>
        </w:tc>
        <w:tc>
          <w:tcPr>
            <w:tcW w:w="2359" w:type="dxa"/>
            <w:vAlign w:val="center"/>
          </w:tcPr>
          <w:p w14:paraId="2FE3FF35">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4"/>
                <w:highlight w:val="none"/>
              </w:rPr>
            </w:pPr>
          </w:p>
        </w:tc>
      </w:tr>
      <w:tr w14:paraId="5808F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265705C1">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4"/>
                <w:highlight w:val="none"/>
              </w:rPr>
            </w:pPr>
          </w:p>
        </w:tc>
        <w:tc>
          <w:tcPr>
            <w:tcW w:w="3184" w:type="dxa"/>
            <w:vAlign w:val="center"/>
          </w:tcPr>
          <w:p w14:paraId="1613CF4F">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4"/>
                <w:highlight w:val="none"/>
              </w:rPr>
            </w:pPr>
          </w:p>
        </w:tc>
        <w:tc>
          <w:tcPr>
            <w:tcW w:w="2438" w:type="dxa"/>
            <w:vAlign w:val="center"/>
          </w:tcPr>
          <w:p w14:paraId="0D17A08D">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4"/>
                <w:highlight w:val="none"/>
              </w:rPr>
            </w:pPr>
          </w:p>
        </w:tc>
        <w:tc>
          <w:tcPr>
            <w:tcW w:w="2359" w:type="dxa"/>
            <w:vAlign w:val="center"/>
          </w:tcPr>
          <w:p w14:paraId="5B9E01F0">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4"/>
                <w:highlight w:val="none"/>
              </w:rPr>
            </w:pPr>
          </w:p>
        </w:tc>
      </w:tr>
      <w:tr w14:paraId="39E7C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70971596">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4"/>
                <w:highlight w:val="none"/>
              </w:rPr>
            </w:pPr>
          </w:p>
        </w:tc>
        <w:tc>
          <w:tcPr>
            <w:tcW w:w="3184" w:type="dxa"/>
            <w:vAlign w:val="center"/>
          </w:tcPr>
          <w:p w14:paraId="71ACD42D">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4"/>
                <w:highlight w:val="none"/>
              </w:rPr>
            </w:pPr>
          </w:p>
        </w:tc>
        <w:tc>
          <w:tcPr>
            <w:tcW w:w="2438" w:type="dxa"/>
            <w:vAlign w:val="center"/>
          </w:tcPr>
          <w:p w14:paraId="7A4FFD48">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4"/>
                <w:highlight w:val="none"/>
              </w:rPr>
            </w:pPr>
          </w:p>
        </w:tc>
        <w:tc>
          <w:tcPr>
            <w:tcW w:w="2359" w:type="dxa"/>
            <w:vAlign w:val="center"/>
          </w:tcPr>
          <w:p w14:paraId="585EC238">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4"/>
                <w:highlight w:val="none"/>
              </w:rPr>
            </w:pPr>
          </w:p>
        </w:tc>
      </w:tr>
      <w:tr w14:paraId="043F5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0C832861">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4"/>
                <w:highlight w:val="none"/>
              </w:rPr>
            </w:pPr>
          </w:p>
        </w:tc>
        <w:tc>
          <w:tcPr>
            <w:tcW w:w="3184" w:type="dxa"/>
            <w:vAlign w:val="center"/>
          </w:tcPr>
          <w:p w14:paraId="23DB7205">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4"/>
                <w:highlight w:val="none"/>
              </w:rPr>
            </w:pPr>
          </w:p>
        </w:tc>
        <w:tc>
          <w:tcPr>
            <w:tcW w:w="2438" w:type="dxa"/>
            <w:vAlign w:val="center"/>
          </w:tcPr>
          <w:p w14:paraId="5129D2C8">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4"/>
                <w:highlight w:val="none"/>
              </w:rPr>
            </w:pPr>
          </w:p>
        </w:tc>
        <w:tc>
          <w:tcPr>
            <w:tcW w:w="2359" w:type="dxa"/>
            <w:vAlign w:val="center"/>
          </w:tcPr>
          <w:p w14:paraId="72428ED7">
            <w:pPr>
              <w:keepNext w:val="0"/>
              <w:keepLines w:val="0"/>
              <w:suppressLineNumbers w:val="0"/>
              <w:tabs>
                <w:tab w:val="left" w:pos="6300"/>
              </w:tabs>
              <w:snapToGrid w:val="0"/>
              <w:spacing w:before="0" w:beforeAutospacing="0" w:after="0" w:afterAutospacing="0"/>
              <w:ind w:left="0" w:right="0"/>
              <w:jc w:val="center"/>
              <w:outlineLvl w:val="0"/>
              <w:rPr>
                <w:rFonts w:hint="default" w:ascii="宋体" w:hAnsi="宋体" w:cs="宋体"/>
                <w:color w:val="auto"/>
                <w:sz w:val="21"/>
                <w:szCs w:val="24"/>
                <w:highlight w:val="none"/>
              </w:rPr>
            </w:pPr>
          </w:p>
        </w:tc>
      </w:tr>
    </w:tbl>
    <w:p w14:paraId="6A93F983">
      <w:pPr>
        <w:spacing w:line="500" w:lineRule="exact"/>
        <w:ind w:firstLine="600" w:firstLineChars="250"/>
        <w:rPr>
          <w:rFonts w:ascii="宋体" w:hAnsi="宋体" w:cs="宋体"/>
          <w:color w:val="auto"/>
          <w:sz w:val="24"/>
          <w:szCs w:val="28"/>
          <w:highlight w:val="none"/>
        </w:rPr>
      </w:pPr>
      <w:r>
        <w:rPr>
          <w:rFonts w:hint="eastAsia" w:ascii="宋体" w:hAnsi="宋体" w:cs="宋体"/>
          <w:color w:val="auto"/>
          <w:sz w:val="24"/>
          <w:szCs w:val="28"/>
          <w:highlight w:val="none"/>
        </w:rPr>
        <w:t xml:space="preserve">供应商：                          </w:t>
      </w:r>
      <w:r>
        <w:rPr>
          <w:rFonts w:hint="eastAsia" w:ascii="宋体" w:hAnsi="宋体" w:cs="宋体"/>
          <w:color w:val="auto"/>
          <w:sz w:val="24"/>
          <w:szCs w:val="24"/>
          <w:highlight w:val="none"/>
        </w:rPr>
        <w:t>法定代表人（或其授权代表）</w:t>
      </w:r>
      <w:r>
        <w:rPr>
          <w:rFonts w:hint="eastAsia" w:ascii="宋体" w:hAnsi="宋体" w:cs="宋体"/>
          <w:color w:val="auto"/>
          <w:sz w:val="24"/>
          <w:szCs w:val="28"/>
          <w:highlight w:val="none"/>
        </w:rPr>
        <w:t>：</w:t>
      </w:r>
    </w:p>
    <w:p w14:paraId="0A624A4F">
      <w:pPr>
        <w:spacing w:line="500" w:lineRule="exact"/>
        <w:rPr>
          <w:rFonts w:ascii="宋体" w:hAnsi="宋体" w:cs="宋体"/>
          <w:color w:val="auto"/>
          <w:sz w:val="24"/>
          <w:szCs w:val="28"/>
          <w:highlight w:val="none"/>
        </w:rPr>
      </w:pPr>
      <w:r>
        <w:rPr>
          <w:rFonts w:hint="eastAsia" w:ascii="宋体" w:hAnsi="宋体" w:cs="宋体"/>
          <w:color w:val="auto"/>
          <w:sz w:val="24"/>
          <w:szCs w:val="28"/>
          <w:highlight w:val="none"/>
        </w:rPr>
        <w:t xml:space="preserve">    </w:t>
      </w:r>
    </w:p>
    <w:p w14:paraId="6856EB0E">
      <w:pPr>
        <w:spacing w:line="500" w:lineRule="exact"/>
        <w:ind w:firstLine="360" w:firstLineChars="150"/>
        <w:rPr>
          <w:rFonts w:ascii="宋体" w:hAnsi="宋体" w:cs="宋体"/>
          <w:color w:val="auto"/>
          <w:sz w:val="24"/>
          <w:szCs w:val="28"/>
          <w:highlight w:val="none"/>
        </w:rPr>
      </w:pPr>
      <w:r>
        <w:rPr>
          <w:rFonts w:hint="eastAsia" w:ascii="宋体" w:hAnsi="宋体" w:cs="宋体"/>
          <w:color w:val="auto"/>
          <w:sz w:val="24"/>
          <w:szCs w:val="28"/>
          <w:highlight w:val="none"/>
        </w:rPr>
        <w:t>（供应商公章）                                     （签署或盖章）</w:t>
      </w:r>
    </w:p>
    <w:p w14:paraId="65EFEE17">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szCs w:val="28"/>
          <w:highlight w:val="none"/>
        </w:rPr>
        <w:t xml:space="preserve">                                                  年     月     日</w:t>
      </w:r>
    </w:p>
    <w:p w14:paraId="596A26A8">
      <w:pPr>
        <w:tabs>
          <w:tab w:val="left" w:pos="6300"/>
        </w:tabs>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6B5CD5B2">
      <w:pPr>
        <w:tabs>
          <w:tab w:val="left" w:pos="6300"/>
        </w:tabs>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szCs w:val="24"/>
          <w:highlight w:val="none"/>
        </w:rPr>
        <w:t>1</w:t>
      </w:r>
      <w:r>
        <w:rPr>
          <w:rFonts w:hint="eastAsia" w:ascii="宋体" w:hAnsi="宋体" w:cs="宋体"/>
          <w:color w:val="auto"/>
          <w:sz w:val="24"/>
          <w:highlight w:val="none"/>
        </w:rPr>
        <w:t>.</w:t>
      </w:r>
      <w:r>
        <w:rPr>
          <w:rFonts w:hint="eastAsia" w:ascii="宋体" w:hAnsi="宋体" w:cs="宋体"/>
          <w:color w:val="auto"/>
          <w:sz w:val="24"/>
          <w:szCs w:val="24"/>
          <w:highlight w:val="none"/>
        </w:rPr>
        <w:t>本表即为对本项目“第三篇  比选项目商务需求”中所列条款进行比较和响应；</w:t>
      </w:r>
    </w:p>
    <w:p w14:paraId="783290ED">
      <w:pPr>
        <w:tabs>
          <w:tab w:val="left" w:pos="6300"/>
        </w:tabs>
        <w:snapToGrid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rPr>
        <w:t>2.本表可扩展</w:t>
      </w:r>
      <w:r>
        <w:rPr>
          <w:rFonts w:hint="eastAsia" w:ascii="宋体" w:hAnsi="宋体" w:cs="宋体"/>
          <w:color w:val="auto"/>
          <w:sz w:val="24"/>
          <w:szCs w:val="24"/>
          <w:highlight w:val="none"/>
        </w:rPr>
        <w:t>。</w:t>
      </w:r>
    </w:p>
    <w:p w14:paraId="774F7DAA">
      <w:pPr>
        <w:tabs>
          <w:tab w:val="left" w:pos="6300"/>
        </w:tabs>
        <w:snapToGrid w:val="0"/>
        <w:spacing w:line="480" w:lineRule="exact"/>
        <w:ind w:firstLine="480" w:firstLineChars="200"/>
        <w:rPr>
          <w:rFonts w:ascii="宋体" w:hAnsi="宋体" w:cs="宋体"/>
          <w:color w:val="auto"/>
          <w:sz w:val="24"/>
          <w:szCs w:val="24"/>
          <w:highlight w:val="none"/>
        </w:rPr>
      </w:pPr>
    </w:p>
    <w:p w14:paraId="2C83F684">
      <w:pPr>
        <w:tabs>
          <w:tab w:val="left" w:pos="6300"/>
        </w:tabs>
        <w:snapToGrid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br w:type="page"/>
      </w:r>
      <w:r>
        <w:rPr>
          <w:rFonts w:hint="eastAsia" w:ascii="宋体" w:hAnsi="宋体" w:cs="宋体"/>
          <w:color w:val="auto"/>
          <w:sz w:val="24"/>
          <w:szCs w:val="24"/>
          <w:highlight w:val="none"/>
        </w:rPr>
        <w:t>（二）其它优惠服务承诺（格式自定）</w:t>
      </w:r>
    </w:p>
    <w:p w14:paraId="7ECEFDD1">
      <w:pPr>
        <w:tabs>
          <w:tab w:val="left" w:pos="6300"/>
        </w:tabs>
        <w:snapToGrid w:val="0"/>
        <w:spacing w:line="480" w:lineRule="exact"/>
        <w:ind w:firstLine="480" w:firstLineChars="200"/>
        <w:rPr>
          <w:rFonts w:ascii="宋体" w:hAnsi="宋体" w:cs="宋体"/>
          <w:color w:val="auto"/>
          <w:sz w:val="24"/>
          <w:szCs w:val="24"/>
          <w:highlight w:val="none"/>
        </w:rPr>
      </w:pPr>
    </w:p>
    <w:p w14:paraId="7B60F459">
      <w:pPr>
        <w:keepNext/>
        <w:keepLines/>
        <w:adjustRightInd w:val="0"/>
        <w:snapToGrid w:val="0"/>
        <w:spacing w:line="400" w:lineRule="exact"/>
        <w:ind w:firstLine="482" w:firstLineChars="200"/>
        <w:outlineLvl w:val="1"/>
        <w:rPr>
          <w:rFonts w:ascii="宋体" w:hAnsi="宋体" w:cs="宋体"/>
          <w:b/>
          <w:color w:val="auto"/>
          <w:sz w:val="24"/>
          <w:highlight w:val="none"/>
        </w:rPr>
      </w:pPr>
      <w:r>
        <w:rPr>
          <w:rFonts w:hint="eastAsia" w:ascii="宋体" w:hAnsi="宋体" w:cs="宋体"/>
          <w:b/>
          <w:color w:val="auto"/>
          <w:sz w:val="24"/>
          <w:szCs w:val="24"/>
          <w:highlight w:val="none"/>
        </w:rPr>
        <w:br w:type="page"/>
      </w:r>
      <w:bookmarkStart w:id="261" w:name="_Toc20162"/>
      <w:bookmarkStart w:id="262" w:name="_Toc2082"/>
      <w:bookmarkStart w:id="263" w:name="_Toc3934"/>
      <w:bookmarkStart w:id="264" w:name="_Toc65660382"/>
      <w:bookmarkStart w:id="265" w:name="_Toc21793"/>
      <w:r>
        <w:rPr>
          <w:rFonts w:hint="eastAsia" w:ascii="宋体" w:hAnsi="宋体" w:cs="宋体"/>
          <w:b/>
          <w:color w:val="auto"/>
          <w:sz w:val="24"/>
          <w:highlight w:val="none"/>
        </w:rPr>
        <w:t>四、</w:t>
      </w:r>
      <w:bookmarkEnd w:id="258"/>
      <w:bookmarkEnd w:id="259"/>
      <w:bookmarkEnd w:id="260"/>
      <w:r>
        <w:rPr>
          <w:rFonts w:hint="eastAsia" w:ascii="宋体" w:hAnsi="宋体" w:cs="宋体"/>
          <w:b/>
          <w:color w:val="auto"/>
          <w:sz w:val="24"/>
          <w:highlight w:val="none"/>
        </w:rPr>
        <w:t>资格条件及其他</w:t>
      </w:r>
      <w:bookmarkEnd w:id="261"/>
      <w:bookmarkEnd w:id="262"/>
      <w:bookmarkEnd w:id="263"/>
      <w:bookmarkEnd w:id="264"/>
      <w:bookmarkEnd w:id="265"/>
      <w:bookmarkStart w:id="266" w:name="_Toc342913422"/>
      <w:bookmarkStart w:id="267" w:name="_Toc313888363"/>
      <w:bookmarkStart w:id="268" w:name="_Toc313008359"/>
    </w:p>
    <w:p w14:paraId="0B337E70">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14:paraId="40B9C84D">
      <w:pPr>
        <w:tabs>
          <w:tab w:val="left" w:pos="6300"/>
        </w:tabs>
        <w:snapToGrid w:val="0"/>
        <w:spacing w:line="500" w:lineRule="exact"/>
        <w:ind w:firstLine="570"/>
        <w:rPr>
          <w:rFonts w:ascii="宋体" w:hAnsi="宋体" w:cs="宋体"/>
          <w:color w:val="auto"/>
          <w:sz w:val="24"/>
          <w:szCs w:val="24"/>
          <w:highlight w:val="none"/>
        </w:rPr>
      </w:pPr>
    </w:p>
    <w:p w14:paraId="58274474">
      <w:pPr>
        <w:tabs>
          <w:tab w:val="left" w:pos="6300"/>
        </w:tabs>
        <w:snapToGrid w:val="0"/>
        <w:spacing w:line="500" w:lineRule="exact"/>
        <w:ind w:firstLine="570"/>
        <w:rPr>
          <w:rFonts w:ascii="宋体" w:hAnsi="宋体" w:cs="宋体"/>
          <w:color w:val="auto"/>
          <w:highlight w:val="none"/>
        </w:rPr>
      </w:pPr>
    </w:p>
    <w:p w14:paraId="3072F5C9">
      <w:pPr>
        <w:tabs>
          <w:tab w:val="left" w:pos="6300"/>
        </w:tabs>
        <w:snapToGrid w:val="0"/>
        <w:spacing w:line="500" w:lineRule="exact"/>
        <w:ind w:firstLine="570"/>
        <w:rPr>
          <w:rFonts w:ascii="宋体" w:hAnsi="宋体" w:cs="宋体"/>
          <w:color w:val="auto"/>
          <w:highlight w:val="none"/>
        </w:rPr>
      </w:pPr>
    </w:p>
    <w:p w14:paraId="7EAC194D">
      <w:pPr>
        <w:tabs>
          <w:tab w:val="left" w:pos="6300"/>
        </w:tabs>
        <w:snapToGrid w:val="0"/>
        <w:spacing w:line="500" w:lineRule="exact"/>
        <w:ind w:firstLine="570"/>
        <w:rPr>
          <w:rFonts w:ascii="宋体" w:hAnsi="宋体" w:cs="宋体"/>
          <w:color w:val="auto"/>
          <w:highlight w:val="none"/>
        </w:rPr>
      </w:pPr>
    </w:p>
    <w:p w14:paraId="18F02C4F">
      <w:pPr>
        <w:tabs>
          <w:tab w:val="left" w:pos="6300"/>
        </w:tabs>
        <w:snapToGrid w:val="0"/>
        <w:spacing w:line="500" w:lineRule="exact"/>
        <w:ind w:firstLine="570"/>
        <w:rPr>
          <w:rFonts w:ascii="宋体" w:hAnsi="宋体" w:cs="宋体"/>
          <w:color w:val="auto"/>
          <w:highlight w:val="none"/>
        </w:rPr>
      </w:pPr>
    </w:p>
    <w:p w14:paraId="03556BCD">
      <w:pPr>
        <w:widowControl/>
        <w:spacing w:line="400" w:lineRule="exact"/>
        <w:ind w:firstLine="560" w:firstLineChars="200"/>
        <w:jc w:val="left"/>
        <w:rPr>
          <w:rFonts w:ascii="宋体" w:hAnsi="宋体" w:cs="宋体"/>
          <w:color w:val="auto"/>
          <w:sz w:val="24"/>
          <w:szCs w:val="24"/>
          <w:highlight w:val="none"/>
        </w:rPr>
      </w:pPr>
      <w:r>
        <w:rPr>
          <w:rFonts w:hint="eastAsia" w:ascii="宋体" w:hAnsi="宋体" w:cs="宋体"/>
          <w:color w:val="auto"/>
          <w:highlight w:val="none"/>
        </w:rPr>
        <w:br w:type="page"/>
      </w:r>
      <w:r>
        <w:rPr>
          <w:rFonts w:hint="eastAsia" w:ascii="宋体" w:hAnsi="宋体" w:cs="宋体"/>
          <w:color w:val="auto"/>
          <w:sz w:val="24"/>
          <w:szCs w:val="24"/>
          <w:highlight w:val="none"/>
        </w:rPr>
        <w:t>（二）法定代表人身份证明书（格式）</w:t>
      </w:r>
    </w:p>
    <w:p w14:paraId="76ECE42D">
      <w:pPr>
        <w:tabs>
          <w:tab w:val="left" w:pos="6300"/>
        </w:tabs>
        <w:snapToGrid w:val="0"/>
        <w:spacing w:line="500" w:lineRule="exact"/>
        <w:ind w:firstLine="570"/>
        <w:rPr>
          <w:rFonts w:ascii="宋体" w:hAnsi="宋体" w:cs="宋体"/>
          <w:color w:val="auto"/>
          <w:sz w:val="24"/>
          <w:highlight w:val="none"/>
        </w:rPr>
      </w:pPr>
    </w:p>
    <w:p w14:paraId="456546F5">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比选项目名称：</w:t>
      </w:r>
      <w:r>
        <w:rPr>
          <w:rFonts w:hint="eastAsia" w:ascii="宋体" w:hAnsi="宋体" w:cs="宋体"/>
          <w:color w:val="auto"/>
          <w:sz w:val="24"/>
          <w:highlight w:val="none"/>
          <w:u w:val="single"/>
          <w:lang w:eastAsia="zh-CN"/>
        </w:rPr>
        <w:t>双子星座A栋1-4#电梯更新工程</w:t>
      </w:r>
    </w:p>
    <w:p w14:paraId="1C680E3D">
      <w:pPr>
        <w:tabs>
          <w:tab w:val="left" w:pos="6300"/>
        </w:tabs>
        <w:snapToGrid w:val="0"/>
        <w:spacing w:line="50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重庆靖正恒悦项目管理有限公司</w:t>
      </w:r>
      <w:r>
        <w:rPr>
          <w:rFonts w:hint="eastAsia" w:ascii="宋体" w:hAnsi="宋体" w:cs="宋体"/>
          <w:color w:val="auto"/>
          <w:sz w:val="24"/>
          <w:highlight w:val="none"/>
        </w:rPr>
        <w:t>（采购代理机构名称）：</w:t>
      </w:r>
    </w:p>
    <w:p w14:paraId="12123AC2">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（法定代表人姓名）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（性别）在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（职务名称）职务，是（供应商名称）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的法定代表人。</w:t>
      </w:r>
    </w:p>
    <w:p w14:paraId="1B3F94A8">
      <w:pPr>
        <w:tabs>
          <w:tab w:val="left" w:pos="6300"/>
        </w:tabs>
        <w:snapToGrid w:val="0"/>
        <w:spacing w:line="500" w:lineRule="exact"/>
        <w:ind w:firstLine="570"/>
        <w:rPr>
          <w:rFonts w:ascii="宋体" w:hAnsi="宋体" w:cs="宋体"/>
          <w:color w:val="auto"/>
          <w:sz w:val="24"/>
          <w:highlight w:val="none"/>
        </w:rPr>
      </w:pPr>
    </w:p>
    <w:p w14:paraId="2E869500">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特此证明。</w:t>
      </w:r>
    </w:p>
    <w:p w14:paraId="2E8EAFCA">
      <w:pPr>
        <w:tabs>
          <w:tab w:val="left" w:pos="6300"/>
        </w:tabs>
        <w:snapToGrid w:val="0"/>
        <w:spacing w:line="500" w:lineRule="exact"/>
        <w:ind w:firstLine="570"/>
        <w:rPr>
          <w:rFonts w:ascii="宋体" w:hAnsi="宋体" w:cs="宋体"/>
          <w:color w:val="auto"/>
          <w:sz w:val="24"/>
          <w:highlight w:val="none"/>
        </w:rPr>
      </w:pPr>
    </w:p>
    <w:p w14:paraId="29E42CF9">
      <w:pPr>
        <w:tabs>
          <w:tab w:val="left" w:pos="6300"/>
        </w:tabs>
        <w:snapToGrid w:val="0"/>
        <w:spacing w:line="500" w:lineRule="exact"/>
        <w:ind w:firstLine="570"/>
        <w:rPr>
          <w:rFonts w:ascii="宋体" w:hAnsi="宋体" w:cs="宋体"/>
          <w:color w:val="auto"/>
          <w:sz w:val="24"/>
          <w:highlight w:val="none"/>
        </w:rPr>
      </w:pPr>
    </w:p>
    <w:p w14:paraId="6FCC3B4C">
      <w:pPr>
        <w:tabs>
          <w:tab w:val="left" w:pos="6300"/>
        </w:tabs>
        <w:snapToGrid w:val="0"/>
        <w:spacing w:line="500" w:lineRule="exact"/>
        <w:ind w:firstLine="570"/>
        <w:rPr>
          <w:rFonts w:ascii="宋体" w:hAnsi="宋体" w:cs="宋体"/>
          <w:color w:val="auto"/>
          <w:sz w:val="24"/>
          <w:highlight w:val="none"/>
        </w:rPr>
      </w:pPr>
    </w:p>
    <w:p w14:paraId="20380C85">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（供应商公章）</w:t>
      </w:r>
    </w:p>
    <w:p w14:paraId="47D1CC19">
      <w:pPr>
        <w:tabs>
          <w:tab w:val="left" w:pos="6300"/>
        </w:tabs>
        <w:snapToGrid w:val="0"/>
        <w:spacing w:line="500" w:lineRule="exact"/>
        <w:ind w:firstLine="570"/>
        <w:rPr>
          <w:rFonts w:ascii="宋体" w:hAnsi="宋体" w:cs="宋体"/>
          <w:color w:val="auto"/>
          <w:sz w:val="24"/>
          <w:highlight w:val="none"/>
        </w:rPr>
      </w:pPr>
    </w:p>
    <w:p w14:paraId="290967F7">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年   月   日</w:t>
      </w:r>
    </w:p>
    <w:p w14:paraId="60AC7144">
      <w:pPr>
        <w:tabs>
          <w:tab w:val="left" w:pos="6300"/>
        </w:tabs>
        <w:snapToGrid w:val="0"/>
        <w:spacing w:line="500" w:lineRule="exact"/>
        <w:ind w:firstLine="570"/>
        <w:rPr>
          <w:rFonts w:ascii="宋体" w:hAnsi="宋体" w:cs="宋体"/>
          <w:color w:val="auto"/>
          <w:sz w:val="24"/>
          <w:highlight w:val="none"/>
        </w:rPr>
      </w:pPr>
    </w:p>
    <w:p w14:paraId="3BEC0085">
      <w:pPr>
        <w:tabs>
          <w:tab w:val="left" w:pos="6300"/>
        </w:tabs>
        <w:snapToGrid w:val="0"/>
        <w:spacing w:line="500" w:lineRule="exact"/>
        <w:ind w:firstLine="570"/>
        <w:rPr>
          <w:rFonts w:ascii="宋体" w:hAnsi="宋体" w:cs="宋体"/>
          <w:color w:val="auto"/>
          <w:sz w:val="24"/>
          <w:highlight w:val="none"/>
        </w:rPr>
      </w:pPr>
    </w:p>
    <w:p w14:paraId="503BE879">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法定代表人电话：XXXXXXX      电子邮箱：XXXXXX@XXXXX（若授权他人办理并签署响应文件的可不填写）</w:t>
      </w:r>
    </w:p>
    <w:p w14:paraId="040A5952">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（附：法定代表人身份证正反面复印件）</w:t>
      </w:r>
    </w:p>
    <w:p w14:paraId="4349C6CA">
      <w:pPr>
        <w:tabs>
          <w:tab w:val="left" w:pos="6300"/>
        </w:tabs>
        <w:snapToGrid w:val="0"/>
        <w:spacing w:line="500" w:lineRule="exact"/>
        <w:ind w:firstLine="570"/>
        <w:rPr>
          <w:rFonts w:ascii="宋体" w:hAnsi="宋体" w:cs="宋体"/>
          <w:color w:val="auto"/>
          <w:sz w:val="24"/>
          <w:highlight w:val="none"/>
        </w:rPr>
      </w:pPr>
    </w:p>
    <w:p w14:paraId="6D8BE204">
      <w:pPr>
        <w:tabs>
          <w:tab w:val="left" w:pos="6300"/>
        </w:tabs>
        <w:snapToGrid w:val="0"/>
        <w:spacing w:line="500" w:lineRule="exact"/>
        <w:ind w:firstLine="570"/>
        <w:rPr>
          <w:rFonts w:ascii="宋体" w:hAnsi="宋体" w:cs="宋体"/>
          <w:color w:val="auto"/>
          <w:sz w:val="24"/>
          <w:highlight w:val="none"/>
        </w:rPr>
      </w:pPr>
    </w:p>
    <w:p w14:paraId="2D67ECD9">
      <w:pPr>
        <w:tabs>
          <w:tab w:val="left" w:pos="6300"/>
        </w:tabs>
        <w:snapToGrid w:val="0"/>
        <w:spacing w:line="500" w:lineRule="exact"/>
        <w:ind w:firstLine="570"/>
        <w:rPr>
          <w:rFonts w:ascii="宋体" w:hAnsi="宋体" w:cs="宋体"/>
          <w:color w:val="auto"/>
          <w:sz w:val="24"/>
          <w:highlight w:val="none"/>
        </w:rPr>
      </w:pPr>
    </w:p>
    <w:p w14:paraId="4EB3A505">
      <w:pPr>
        <w:tabs>
          <w:tab w:val="left" w:pos="6300"/>
        </w:tabs>
        <w:snapToGrid w:val="0"/>
        <w:spacing w:line="500" w:lineRule="exact"/>
        <w:ind w:firstLine="570"/>
        <w:rPr>
          <w:rFonts w:ascii="宋体" w:hAnsi="宋体" w:cs="宋体"/>
          <w:color w:val="auto"/>
          <w:sz w:val="24"/>
          <w:highlight w:val="none"/>
        </w:rPr>
      </w:pPr>
    </w:p>
    <w:p w14:paraId="6DC614B2">
      <w:pPr>
        <w:tabs>
          <w:tab w:val="left" w:pos="6300"/>
        </w:tabs>
        <w:snapToGrid w:val="0"/>
        <w:spacing w:line="500" w:lineRule="exact"/>
        <w:ind w:firstLine="570"/>
        <w:rPr>
          <w:rFonts w:ascii="宋体" w:hAnsi="宋体" w:cs="宋体"/>
          <w:color w:val="auto"/>
          <w:sz w:val="24"/>
          <w:highlight w:val="none"/>
        </w:rPr>
      </w:pPr>
    </w:p>
    <w:p w14:paraId="7C1C0684">
      <w:pPr>
        <w:tabs>
          <w:tab w:val="left" w:pos="6300"/>
        </w:tabs>
        <w:snapToGrid w:val="0"/>
        <w:spacing w:line="500" w:lineRule="exact"/>
        <w:ind w:firstLine="570"/>
        <w:rPr>
          <w:rFonts w:ascii="宋体" w:hAnsi="宋体" w:cs="宋体"/>
          <w:color w:val="auto"/>
          <w:sz w:val="24"/>
          <w:highlight w:val="none"/>
        </w:rPr>
      </w:pPr>
    </w:p>
    <w:p w14:paraId="76F4EF93">
      <w:pPr>
        <w:tabs>
          <w:tab w:val="left" w:pos="6300"/>
        </w:tabs>
        <w:snapToGrid w:val="0"/>
        <w:spacing w:line="500" w:lineRule="exact"/>
        <w:ind w:firstLine="570"/>
        <w:rPr>
          <w:rFonts w:ascii="宋体" w:hAnsi="宋体" w:cs="宋体"/>
          <w:color w:val="auto"/>
          <w:sz w:val="24"/>
          <w:highlight w:val="none"/>
        </w:rPr>
      </w:pPr>
    </w:p>
    <w:p w14:paraId="03510AA0">
      <w:pPr>
        <w:widowControl/>
        <w:spacing w:line="400" w:lineRule="exact"/>
        <w:ind w:firstLine="560" w:firstLineChars="200"/>
        <w:jc w:val="left"/>
        <w:rPr>
          <w:rFonts w:ascii="宋体" w:hAnsi="宋体" w:cs="宋体"/>
          <w:color w:val="auto"/>
          <w:sz w:val="24"/>
          <w:szCs w:val="24"/>
          <w:highlight w:val="none"/>
        </w:rPr>
      </w:pPr>
      <w:r>
        <w:rPr>
          <w:rFonts w:hint="eastAsia" w:ascii="宋体" w:hAnsi="宋体" w:cs="宋体"/>
          <w:color w:val="auto"/>
          <w:highlight w:val="none"/>
        </w:rPr>
        <w:br w:type="column"/>
      </w:r>
      <w:r>
        <w:rPr>
          <w:rFonts w:hint="eastAsia" w:ascii="宋体" w:hAnsi="宋体" w:cs="宋体"/>
          <w:color w:val="auto"/>
          <w:sz w:val="24"/>
          <w:szCs w:val="24"/>
          <w:highlight w:val="none"/>
        </w:rPr>
        <w:t>（三）法定代表人授权委托书（格式）</w:t>
      </w:r>
    </w:p>
    <w:p w14:paraId="3022AE3E">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w:t>
      </w:r>
    </w:p>
    <w:p w14:paraId="39255254">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szCs w:val="28"/>
          <w:highlight w:val="none"/>
        </w:rPr>
        <w:t>比选项目名称</w:t>
      </w:r>
      <w:r>
        <w:rPr>
          <w:rFonts w:hint="eastAsia" w:ascii="宋体" w:hAnsi="宋体" w:cs="宋体"/>
          <w:color w:val="auto"/>
          <w:sz w:val="24"/>
          <w:highlight w:val="none"/>
        </w:rPr>
        <w:t>：</w:t>
      </w:r>
      <w:r>
        <w:rPr>
          <w:rFonts w:hint="eastAsia" w:ascii="宋体" w:hAnsi="宋体" w:cs="宋体"/>
          <w:color w:val="auto"/>
          <w:sz w:val="24"/>
          <w:highlight w:val="none"/>
          <w:u w:val="single"/>
          <w:lang w:eastAsia="zh-CN"/>
        </w:rPr>
        <w:t>双子星座A栋1-4#电梯更新工程</w:t>
      </w:r>
      <w:r>
        <w:rPr>
          <w:rFonts w:hint="eastAsia" w:ascii="宋体" w:hAnsi="宋体" w:cs="宋体"/>
          <w:color w:val="auto"/>
          <w:sz w:val="24"/>
          <w:highlight w:val="none"/>
          <w:u w:val="single"/>
        </w:rPr>
        <w:t xml:space="preserve"> </w:t>
      </w:r>
    </w:p>
    <w:p w14:paraId="5B06DCB7">
      <w:pPr>
        <w:tabs>
          <w:tab w:val="left" w:pos="6300"/>
        </w:tabs>
        <w:snapToGrid w:val="0"/>
        <w:spacing w:line="500" w:lineRule="exact"/>
        <w:ind w:firstLine="570"/>
        <w:rPr>
          <w:rFonts w:ascii="宋体" w:hAnsi="宋体" w:cs="宋体"/>
          <w:color w:val="auto"/>
          <w:sz w:val="24"/>
          <w:highlight w:val="none"/>
        </w:rPr>
      </w:pPr>
    </w:p>
    <w:p w14:paraId="523D3E45">
      <w:pPr>
        <w:tabs>
          <w:tab w:val="left" w:pos="6300"/>
        </w:tabs>
        <w:snapToGrid w:val="0"/>
        <w:spacing w:line="50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重庆靖正恒悦项目管理有限公司</w:t>
      </w:r>
      <w:r>
        <w:rPr>
          <w:rFonts w:hint="eastAsia" w:ascii="宋体" w:hAnsi="宋体" w:cs="宋体"/>
          <w:color w:val="auto"/>
          <w:sz w:val="24"/>
          <w:highlight w:val="none"/>
        </w:rPr>
        <w:t>（采购代理机构名称）：</w:t>
      </w:r>
    </w:p>
    <w:p w14:paraId="6EF0CB86">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（供应商法定代表人名称）是</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（供应商名称）的法定代表人，特授权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（被授权人姓名及身份证代码）代表我单位全权办理上述项目的报价、签约等具体工作，并签署全部有关文件、协议及合同。</w:t>
      </w:r>
    </w:p>
    <w:p w14:paraId="184129DE">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我单位对被授权人的</w:t>
      </w:r>
      <w:r>
        <w:rPr>
          <w:rFonts w:hint="eastAsia" w:ascii="宋体" w:hAnsi="宋体" w:cs="宋体"/>
          <w:color w:val="auto"/>
          <w:sz w:val="24"/>
          <w:szCs w:val="28"/>
          <w:highlight w:val="none"/>
        </w:rPr>
        <w:t>签署</w:t>
      </w:r>
      <w:r>
        <w:rPr>
          <w:rFonts w:hint="eastAsia" w:ascii="宋体" w:hAnsi="宋体" w:cs="宋体"/>
          <w:color w:val="auto"/>
          <w:sz w:val="24"/>
          <w:highlight w:val="none"/>
        </w:rPr>
        <w:t>负全部责任。</w:t>
      </w:r>
    </w:p>
    <w:p w14:paraId="2AF7ABFB">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在撤销授权的书面通知以前，本授权书一直有效。被授权人在授权书有效期内签署的所有文件不因授权的撤销而失效。</w:t>
      </w:r>
    </w:p>
    <w:p w14:paraId="7EF4E77B">
      <w:pPr>
        <w:tabs>
          <w:tab w:val="left" w:pos="6300"/>
        </w:tabs>
        <w:snapToGrid w:val="0"/>
        <w:spacing w:line="500" w:lineRule="exact"/>
        <w:ind w:firstLine="570"/>
        <w:rPr>
          <w:rFonts w:ascii="宋体" w:hAnsi="宋体" w:cs="宋体"/>
          <w:color w:val="auto"/>
          <w:sz w:val="24"/>
          <w:highlight w:val="none"/>
        </w:rPr>
      </w:pPr>
    </w:p>
    <w:p w14:paraId="050D9710">
      <w:pPr>
        <w:tabs>
          <w:tab w:val="left" w:pos="6300"/>
        </w:tabs>
        <w:snapToGrid w:val="0"/>
        <w:spacing w:line="500" w:lineRule="exact"/>
        <w:ind w:firstLine="570"/>
        <w:rPr>
          <w:rFonts w:ascii="宋体" w:hAnsi="宋体" w:cs="宋体"/>
          <w:color w:val="auto"/>
          <w:sz w:val="24"/>
          <w:highlight w:val="none"/>
        </w:rPr>
      </w:pPr>
    </w:p>
    <w:p w14:paraId="4E4DC030">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被授权人：                                 供应商法定代表人：</w:t>
      </w:r>
    </w:p>
    <w:p w14:paraId="566691A9">
      <w:pPr>
        <w:tabs>
          <w:tab w:val="left" w:pos="6300"/>
        </w:tabs>
        <w:snapToGrid w:val="0"/>
        <w:spacing w:line="500" w:lineRule="exact"/>
        <w:ind w:firstLine="570"/>
        <w:rPr>
          <w:rFonts w:ascii="宋体" w:hAnsi="宋体" w:cs="宋体"/>
          <w:color w:val="auto"/>
          <w:sz w:val="24"/>
          <w:szCs w:val="28"/>
          <w:highlight w:val="none"/>
        </w:rPr>
      </w:pPr>
      <w:r>
        <w:rPr>
          <w:rFonts w:hint="eastAsia" w:ascii="宋体" w:hAnsi="宋体" w:cs="宋体"/>
          <w:color w:val="auto"/>
          <w:sz w:val="24"/>
          <w:szCs w:val="28"/>
          <w:highlight w:val="none"/>
        </w:rPr>
        <w:t>（签署或盖章）                                （签署或盖章）</w:t>
      </w:r>
    </w:p>
    <w:p w14:paraId="24F4DA46">
      <w:pPr>
        <w:tabs>
          <w:tab w:val="left" w:pos="6300"/>
        </w:tabs>
        <w:snapToGrid w:val="0"/>
        <w:spacing w:line="500" w:lineRule="exact"/>
        <w:ind w:firstLine="570"/>
        <w:rPr>
          <w:rFonts w:ascii="宋体" w:hAnsi="宋体" w:cs="宋体"/>
          <w:color w:val="auto"/>
          <w:sz w:val="24"/>
          <w:szCs w:val="28"/>
          <w:highlight w:val="none"/>
        </w:rPr>
      </w:pPr>
    </w:p>
    <w:p w14:paraId="256D0457">
      <w:pPr>
        <w:tabs>
          <w:tab w:val="left" w:pos="6300"/>
        </w:tabs>
        <w:snapToGrid w:val="0"/>
        <w:spacing w:line="500" w:lineRule="exact"/>
        <w:ind w:firstLine="570"/>
        <w:rPr>
          <w:rFonts w:ascii="宋体" w:hAnsi="宋体" w:cs="宋体"/>
          <w:color w:val="auto"/>
          <w:sz w:val="24"/>
          <w:highlight w:val="none"/>
        </w:rPr>
      </w:pPr>
    </w:p>
    <w:p w14:paraId="71679AA6">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（附：被授权人身份证正反面复印件）</w:t>
      </w:r>
    </w:p>
    <w:p w14:paraId="210C1B0B">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w:t>
      </w:r>
    </w:p>
    <w:p w14:paraId="105B49C4">
      <w:pPr>
        <w:tabs>
          <w:tab w:val="left" w:pos="6300"/>
        </w:tabs>
        <w:snapToGrid w:val="0"/>
        <w:spacing w:line="500" w:lineRule="exact"/>
        <w:ind w:firstLine="570"/>
        <w:rPr>
          <w:rFonts w:ascii="宋体" w:hAnsi="宋体" w:cs="宋体"/>
          <w:color w:val="auto"/>
          <w:sz w:val="24"/>
          <w:highlight w:val="none"/>
        </w:rPr>
      </w:pPr>
    </w:p>
    <w:p w14:paraId="0D8F6D88">
      <w:pPr>
        <w:tabs>
          <w:tab w:val="left" w:pos="6300"/>
        </w:tabs>
        <w:snapToGrid w:val="0"/>
        <w:spacing w:line="500" w:lineRule="exact"/>
        <w:ind w:firstLine="570"/>
        <w:rPr>
          <w:rFonts w:ascii="宋体" w:hAnsi="宋体" w:cs="宋体"/>
          <w:color w:val="auto"/>
          <w:sz w:val="24"/>
          <w:highlight w:val="none"/>
        </w:rPr>
      </w:pPr>
    </w:p>
    <w:p w14:paraId="5F7A0026">
      <w:pP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（供应商公章）</w:t>
      </w:r>
    </w:p>
    <w:p w14:paraId="360F06A5">
      <w:pP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年   月   日</w:t>
      </w:r>
    </w:p>
    <w:p w14:paraId="65437BA9">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被授权人电话：XXXXXXX     电子邮箱：XXXXXX@XXXXX（若法定代表人办理并签署响应文件的可不填写）</w:t>
      </w:r>
    </w:p>
    <w:p w14:paraId="54F2CA90">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注：若为法定代表人办理并签署响应文件的，不提供此文件。</w:t>
      </w:r>
    </w:p>
    <w:p w14:paraId="0189C4D1">
      <w:pPr>
        <w:widowControl/>
        <w:spacing w:line="400" w:lineRule="exact"/>
        <w:ind w:firstLine="560" w:firstLineChars="200"/>
        <w:jc w:val="left"/>
        <w:rPr>
          <w:rFonts w:ascii="宋体" w:hAnsi="宋体" w:cs="宋体"/>
          <w:color w:val="auto"/>
          <w:sz w:val="24"/>
          <w:szCs w:val="24"/>
          <w:highlight w:val="none"/>
        </w:rPr>
      </w:pPr>
      <w:r>
        <w:rPr>
          <w:rFonts w:hint="eastAsia" w:ascii="宋体" w:hAnsi="宋体" w:cs="宋体"/>
          <w:color w:val="auto"/>
          <w:highlight w:val="none"/>
        </w:rPr>
        <w:br w:type="column"/>
      </w:r>
      <w:r>
        <w:rPr>
          <w:rFonts w:hint="eastAsia" w:ascii="宋体" w:hAnsi="宋体" w:cs="宋体"/>
          <w:color w:val="auto"/>
          <w:sz w:val="24"/>
          <w:szCs w:val="24"/>
          <w:highlight w:val="none"/>
        </w:rPr>
        <w:t>（四）基本资格条件承诺函（格式）</w:t>
      </w:r>
    </w:p>
    <w:p w14:paraId="29316A14">
      <w:pPr>
        <w:tabs>
          <w:tab w:val="left" w:pos="6300"/>
        </w:tabs>
        <w:snapToGrid w:val="0"/>
        <w:spacing w:line="500" w:lineRule="exact"/>
        <w:ind w:firstLine="643" w:firstLineChars="20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基本资格条件承诺函</w:t>
      </w:r>
    </w:p>
    <w:p w14:paraId="4F33BA7F">
      <w:pPr>
        <w:tabs>
          <w:tab w:val="left" w:pos="6300"/>
        </w:tabs>
        <w:snapToGrid w:val="0"/>
        <w:spacing w:line="530" w:lineRule="exact"/>
        <w:rPr>
          <w:rFonts w:ascii="宋体" w:hAnsi="宋体" w:cs="宋体"/>
          <w:color w:val="auto"/>
          <w:sz w:val="24"/>
          <w:highlight w:val="none"/>
        </w:rPr>
      </w:pPr>
    </w:p>
    <w:p w14:paraId="16593CF2">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重庆靖正恒悦项目管理有限公司</w:t>
      </w:r>
      <w:r>
        <w:rPr>
          <w:rFonts w:hint="eastAsia" w:ascii="宋体" w:hAnsi="宋体" w:cs="宋体"/>
          <w:color w:val="auto"/>
          <w:sz w:val="24"/>
          <w:highlight w:val="none"/>
        </w:rPr>
        <w:t>（采购代理机构名称）：</w:t>
      </w:r>
    </w:p>
    <w:p w14:paraId="1B3A6931">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（供应商名称）郑重承诺：</w:t>
      </w:r>
    </w:p>
    <w:p w14:paraId="6AF1D9E2">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1.我方具有良好的商业信誉和健全的财务会计制度，具有履行合同所必需的设备和专业技术能力，具</w:t>
      </w:r>
      <w:r>
        <w:rPr>
          <w:rFonts w:hint="eastAsia" w:ascii="宋体" w:hAnsi="宋体" w:cs="宋体"/>
          <w:color w:val="auto"/>
          <w:sz w:val="24"/>
          <w:highlight w:val="none"/>
          <w:lang w:val="zh-CN"/>
        </w:rPr>
        <w:t>有依法缴纳税收和社会保障金的良好记录</w:t>
      </w:r>
      <w:r>
        <w:rPr>
          <w:rFonts w:hint="eastAsia" w:ascii="宋体" w:hAnsi="宋体" w:cs="宋体"/>
          <w:color w:val="auto"/>
          <w:sz w:val="24"/>
          <w:highlight w:val="none"/>
        </w:rPr>
        <w:t>，参加本项目采购活动前三年内无重大违法活动记录。</w:t>
      </w:r>
    </w:p>
    <w:p w14:paraId="77DD384D">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46258BA7">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6A698151">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我方对以上承诺负全部法律责任。</w:t>
      </w:r>
    </w:p>
    <w:p w14:paraId="62744F03">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特此承诺。</w:t>
      </w:r>
    </w:p>
    <w:p w14:paraId="058E6E98">
      <w:pPr>
        <w:tabs>
          <w:tab w:val="left" w:pos="6300"/>
        </w:tabs>
        <w:snapToGrid w:val="0"/>
        <w:spacing w:line="500" w:lineRule="exact"/>
        <w:ind w:firstLine="480" w:firstLineChars="200"/>
        <w:rPr>
          <w:rFonts w:ascii="宋体" w:hAnsi="宋体" w:cs="宋体"/>
          <w:color w:val="auto"/>
          <w:sz w:val="24"/>
          <w:highlight w:val="none"/>
        </w:rPr>
      </w:pPr>
    </w:p>
    <w:p w14:paraId="6E4D3869">
      <w:pPr>
        <w:tabs>
          <w:tab w:val="left" w:pos="6300"/>
        </w:tabs>
        <w:snapToGrid w:val="0"/>
        <w:spacing w:line="500" w:lineRule="exact"/>
        <w:ind w:firstLine="480" w:firstLineChars="200"/>
        <w:jc w:val="right"/>
        <w:rPr>
          <w:rFonts w:ascii="宋体" w:hAnsi="宋体" w:cs="宋体"/>
          <w:color w:val="auto"/>
          <w:sz w:val="24"/>
          <w:highlight w:val="none"/>
        </w:rPr>
      </w:pPr>
      <w:r>
        <w:rPr>
          <w:rFonts w:hint="eastAsia" w:ascii="宋体" w:hAnsi="宋体" w:cs="宋体"/>
          <w:color w:val="auto"/>
          <w:sz w:val="24"/>
          <w:highlight w:val="none"/>
        </w:rPr>
        <w:t>（供应商公章）</w:t>
      </w:r>
    </w:p>
    <w:p w14:paraId="4A9B6C29">
      <w:pPr>
        <w:widowControl/>
        <w:spacing w:line="400" w:lineRule="exact"/>
        <w:ind w:firstLine="7920" w:firstLineChars="3300"/>
        <w:jc w:val="left"/>
        <w:rPr>
          <w:rFonts w:ascii="宋体" w:hAnsi="宋体" w:cs="宋体"/>
          <w:color w:val="auto"/>
          <w:sz w:val="24"/>
          <w:szCs w:val="24"/>
          <w:highlight w:val="none"/>
        </w:rPr>
      </w:pPr>
      <w:r>
        <w:rPr>
          <w:rFonts w:hint="eastAsia" w:ascii="宋体" w:hAnsi="宋体" w:cs="宋体"/>
          <w:color w:val="auto"/>
          <w:sz w:val="24"/>
          <w:highlight w:val="none"/>
        </w:rPr>
        <w:t>年   月   日</w:t>
      </w:r>
    </w:p>
    <w:p w14:paraId="0F23FA48">
      <w:pPr>
        <w:widowControl/>
        <w:spacing w:line="400" w:lineRule="exact"/>
        <w:ind w:firstLine="560" w:firstLineChars="200"/>
        <w:jc w:val="left"/>
        <w:rPr>
          <w:rFonts w:ascii="宋体" w:hAnsi="宋体" w:cs="宋体"/>
          <w:color w:val="auto"/>
          <w:sz w:val="24"/>
          <w:szCs w:val="24"/>
          <w:highlight w:val="none"/>
        </w:rPr>
      </w:pPr>
      <w:r>
        <w:rPr>
          <w:rFonts w:hint="eastAsia" w:ascii="宋体" w:hAnsi="宋体" w:cs="宋体"/>
          <w:color w:val="auto"/>
          <w:highlight w:val="none"/>
        </w:rPr>
        <w:br w:type="page"/>
      </w:r>
      <w:r>
        <w:rPr>
          <w:rFonts w:hint="eastAsia" w:ascii="宋体" w:hAnsi="宋体" w:cs="宋体"/>
          <w:color w:val="auto"/>
          <w:sz w:val="24"/>
          <w:szCs w:val="24"/>
          <w:highlight w:val="none"/>
        </w:rPr>
        <w:t>（五）特定资格条件证书或证明文件</w:t>
      </w:r>
    </w:p>
    <w:p w14:paraId="183D00CD">
      <w:pPr>
        <w:widowControl/>
        <w:spacing w:line="400" w:lineRule="exact"/>
        <w:ind w:firstLine="480" w:firstLineChars="200"/>
        <w:jc w:val="left"/>
        <w:rPr>
          <w:rFonts w:ascii="宋体" w:hAnsi="宋体" w:cs="宋体"/>
          <w:color w:val="auto"/>
          <w:sz w:val="24"/>
          <w:szCs w:val="24"/>
          <w:highlight w:val="none"/>
        </w:rPr>
      </w:pPr>
    </w:p>
    <w:p w14:paraId="10D4E5C2">
      <w:pPr>
        <w:keepNext/>
        <w:keepLines/>
        <w:adjustRightInd w:val="0"/>
        <w:snapToGrid w:val="0"/>
        <w:spacing w:line="400" w:lineRule="exact"/>
        <w:ind w:firstLine="482" w:firstLineChars="200"/>
        <w:outlineLvl w:val="1"/>
        <w:rPr>
          <w:rFonts w:ascii="宋体" w:hAnsi="宋体" w:cs="宋体"/>
          <w:b/>
          <w:color w:val="auto"/>
          <w:sz w:val="24"/>
          <w:highlight w:val="none"/>
        </w:rPr>
      </w:pPr>
      <w:r>
        <w:rPr>
          <w:rFonts w:hint="eastAsia" w:ascii="宋体" w:hAnsi="宋体" w:cs="宋体"/>
          <w:b/>
          <w:color w:val="auto"/>
          <w:sz w:val="24"/>
          <w:szCs w:val="24"/>
          <w:highlight w:val="none"/>
        </w:rPr>
        <w:br w:type="page"/>
      </w:r>
      <w:bookmarkStart w:id="269" w:name="_Toc2080"/>
      <w:bookmarkStart w:id="270" w:name="_Toc8013"/>
      <w:bookmarkStart w:id="271" w:name="_Toc15815"/>
      <w:bookmarkStart w:id="272" w:name="_Toc65660383"/>
      <w:bookmarkStart w:id="273" w:name="_Toc17010"/>
      <w:r>
        <w:rPr>
          <w:rFonts w:hint="eastAsia" w:ascii="宋体" w:hAnsi="宋体" w:cs="宋体"/>
          <w:b/>
          <w:color w:val="auto"/>
          <w:sz w:val="24"/>
          <w:highlight w:val="none"/>
        </w:rPr>
        <w:t>五、</w:t>
      </w:r>
      <w:bookmarkEnd w:id="266"/>
      <w:bookmarkEnd w:id="267"/>
      <w:bookmarkEnd w:id="268"/>
      <w:r>
        <w:rPr>
          <w:rFonts w:hint="eastAsia" w:ascii="宋体" w:hAnsi="宋体" w:cs="宋体"/>
          <w:b/>
          <w:color w:val="auto"/>
          <w:sz w:val="24"/>
          <w:highlight w:val="none"/>
        </w:rPr>
        <w:t>其他资料</w:t>
      </w:r>
      <w:bookmarkEnd w:id="269"/>
      <w:bookmarkEnd w:id="270"/>
      <w:bookmarkEnd w:id="271"/>
      <w:bookmarkEnd w:id="272"/>
      <w:bookmarkEnd w:id="273"/>
    </w:p>
    <w:p w14:paraId="620A44F5">
      <w:pPr>
        <w:widowControl/>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其他与项目有关的资料（自附）</w:t>
      </w:r>
    </w:p>
    <w:p w14:paraId="55771304">
      <w:pPr>
        <w:spacing w:line="360" w:lineRule="auto"/>
        <w:ind w:firstLine="480" w:firstLineChars="200"/>
        <w:rPr>
          <w:rFonts w:ascii="宋体" w:hAnsi="宋体" w:cs="宋体"/>
          <w:color w:val="auto"/>
          <w:sz w:val="24"/>
          <w:szCs w:val="24"/>
          <w:highlight w:val="none"/>
        </w:rPr>
      </w:pPr>
    </w:p>
    <w:p w14:paraId="212BCC68">
      <w:pPr>
        <w:spacing w:line="360" w:lineRule="auto"/>
        <w:ind w:firstLine="480" w:firstLineChars="200"/>
        <w:jc w:val="center"/>
        <w:rPr>
          <w:rFonts w:ascii="宋体" w:hAnsi="宋体" w:cs="宋体"/>
          <w:color w:val="auto"/>
          <w:sz w:val="24"/>
          <w:szCs w:val="24"/>
          <w:highlight w:val="none"/>
        </w:rPr>
      </w:pPr>
    </w:p>
    <w:p w14:paraId="48A318E7">
      <w:pPr>
        <w:spacing w:line="360" w:lineRule="auto"/>
        <w:ind w:firstLine="480" w:firstLineChars="200"/>
        <w:jc w:val="center"/>
        <w:rPr>
          <w:rFonts w:ascii="宋体" w:hAnsi="宋体" w:cs="宋体"/>
          <w:color w:val="auto"/>
          <w:sz w:val="24"/>
          <w:szCs w:val="24"/>
          <w:highlight w:val="none"/>
        </w:rPr>
      </w:pPr>
    </w:p>
    <w:p w14:paraId="1D7F399E">
      <w:pPr>
        <w:spacing w:line="360" w:lineRule="auto"/>
        <w:ind w:firstLine="480" w:firstLineChars="200"/>
        <w:jc w:val="center"/>
        <w:rPr>
          <w:rFonts w:ascii="宋体" w:hAnsi="宋体" w:cs="宋体"/>
          <w:color w:val="auto"/>
          <w:sz w:val="24"/>
          <w:szCs w:val="24"/>
          <w:highlight w:val="none"/>
        </w:rPr>
      </w:pPr>
    </w:p>
    <w:p w14:paraId="5CBB4B7B">
      <w:pPr>
        <w:spacing w:line="360" w:lineRule="auto"/>
        <w:ind w:firstLine="480" w:firstLineChars="200"/>
        <w:jc w:val="center"/>
        <w:rPr>
          <w:rFonts w:ascii="宋体" w:hAnsi="宋体" w:cs="宋体"/>
          <w:color w:val="auto"/>
          <w:sz w:val="24"/>
          <w:szCs w:val="24"/>
          <w:highlight w:val="none"/>
        </w:rPr>
      </w:pPr>
    </w:p>
    <w:p w14:paraId="7B61D758">
      <w:pPr>
        <w:spacing w:line="360" w:lineRule="auto"/>
        <w:ind w:firstLine="480" w:firstLineChars="200"/>
        <w:jc w:val="center"/>
        <w:rPr>
          <w:rFonts w:ascii="宋体" w:hAnsi="宋体" w:cs="宋体"/>
          <w:color w:val="auto"/>
          <w:sz w:val="24"/>
          <w:szCs w:val="24"/>
          <w:highlight w:val="none"/>
        </w:rPr>
      </w:pPr>
    </w:p>
    <w:p w14:paraId="2D6EE315">
      <w:pPr>
        <w:spacing w:line="360" w:lineRule="auto"/>
        <w:ind w:firstLine="480" w:firstLineChars="200"/>
        <w:jc w:val="center"/>
        <w:rPr>
          <w:rFonts w:ascii="宋体" w:hAnsi="宋体" w:cs="宋体"/>
          <w:color w:val="auto"/>
          <w:sz w:val="24"/>
          <w:szCs w:val="24"/>
          <w:highlight w:val="none"/>
        </w:rPr>
      </w:pPr>
    </w:p>
    <w:p w14:paraId="16234DBA">
      <w:pPr>
        <w:spacing w:line="360" w:lineRule="auto"/>
        <w:ind w:firstLine="480" w:firstLineChars="200"/>
        <w:jc w:val="center"/>
        <w:rPr>
          <w:rFonts w:ascii="宋体" w:hAnsi="宋体" w:cs="宋体"/>
          <w:color w:val="auto"/>
          <w:sz w:val="24"/>
          <w:szCs w:val="24"/>
          <w:highlight w:val="none"/>
        </w:rPr>
      </w:pPr>
    </w:p>
    <w:p w14:paraId="6735E1FD">
      <w:pPr>
        <w:spacing w:line="360" w:lineRule="auto"/>
        <w:ind w:firstLine="480" w:firstLineChars="200"/>
        <w:jc w:val="center"/>
        <w:rPr>
          <w:rFonts w:ascii="宋体" w:hAnsi="宋体" w:cs="宋体"/>
          <w:color w:val="auto"/>
          <w:sz w:val="24"/>
          <w:szCs w:val="24"/>
          <w:highlight w:val="none"/>
        </w:rPr>
      </w:pPr>
    </w:p>
    <w:p w14:paraId="4B7B8C93">
      <w:pPr>
        <w:spacing w:line="360" w:lineRule="auto"/>
        <w:ind w:firstLine="480" w:firstLineChars="200"/>
        <w:jc w:val="center"/>
        <w:rPr>
          <w:rFonts w:ascii="宋体" w:hAnsi="宋体" w:cs="宋体"/>
          <w:color w:val="auto"/>
          <w:sz w:val="24"/>
          <w:szCs w:val="24"/>
          <w:highlight w:val="none"/>
        </w:rPr>
      </w:pPr>
    </w:p>
    <w:p w14:paraId="3231368F">
      <w:pPr>
        <w:spacing w:line="360" w:lineRule="auto"/>
        <w:ind w:firstLine="480" w:firstLineChars="200"/>
        <w:jc w:val="center"/>
        <w:rPr>
          <w:rFonts w:ascii="宋体" w:hAnsi="宋体" w:cs="宋体"/>
          <w:color w:val="auto"/>
          <w:sz w:val="24"/>
          <w:szCs w:val="24"/>
          <w:highlight w:val="none"/>
        </w:rPr>
      </w:pPr>
    </w:p>
    <w:p w14:paraId="71DA4A17">
      <w:pPr>
        <w:spacing w:line="360" w:lineRule="auto"/>
        <w:ind w:firstLine="480" w:firstLineChars="200"/>
        <w:jc w:val="center"/>
        <w:rPr>
          <w:rFonts w:ascii="宋体" w:hAnsi="宋体" w:cs="宋体"/>
          <w:color w:val="auto"/>
          <w:sz w:val="24"/>
          <w:szCs w:val="24"/>
          <w:highlight w:val="none"/>
        </w:rPr>
      </w:pPr>
    </w:p>
    <w:p w14:paraId="58E5E133">
      <w:pPr>
        <w:spacing w:line="360" w:lineRule="auto"/>
        <w:ind w:firstLine="480" w:firstLineChars="200"/>
        <w:jc w:val="center"/>
        <w:rPr>
          <w:rFonts w:ascii="宋体" w:hAnsi="宋体" w:cs="宋体"/>
          <w:color w:val="auto"/>
          <w:sz w:val="24"/>
          <w:szCs w:val="24"/>
          <w:highlight w:val="none"/>
        </w:rPr>
      </w:pPr>
    </w:p>
    <w:p w14:paraId="0170981D">
      <w:pPr>
        <w:spacing w:line="360" w:lineRule="auto"/>
        <w:ind w:firstLine="480" w:firstLineChars="200"/>
        <w:jc w:val="center"/>
        <w:rPr>
          <w:rFonts w:ascii="宋体" w:hAnsi="宋体" w:cs="宋体"/>
          <w:color w:val="auto"/>
          <w:sz w:val="24"/>
          <w:szCs w:val="24"/>
          <w:highlight w:val="none"/>
        </w:rPr>
      </w:pPr>
    </w:p>
    <w:p w14:paraId="66C8864E">
      <w:pPr>
        <w:spacing w:line="360" w:lineRule="auto"/>
        <w:ind w:firstLine="480" w:firstLineChars="200"/>
        <w:jc w:val="center"/>
        <w:rPr>
          <w:rFonts w:ascii="宋体" w:hAnsi="宋体" w:cs="宋体"/>
          <w:color w:val="auto"/>
          <w:sz w:val="24"/>
          <w:szCs w:val="24"/>
          <w:highlight w:val="none"/>
        </w:rPr>
      </w:pPr>
    </w:p>
    <w:p w14:paraId="11A88199">
      <w:pPr>
        <w:spacing w:line="360" w:lineRule="auto"/>
        <w:ind w:firstLine="480" w:firstLineChars="200"/>
        <w:jc w:val="center"/>
        <w:rPr>
          <w:rFonts w:ascii="宋体" w:hAnsi="宋体" w:cs="宋体"/>
          <w:color w:val="auto"/>
          <w:sz w:val="24"/>
          <w:szCs w:val="24"/>
          <w:highlight w:val="none"/>
        </w:rPr>
      </w:pPr>
    </w:p>
    <w:p w14:paraId="1A8164A8">
      <w:pPr>
        <w:spacing w:line="360" w:lineRule="auto"/>
        <w:ind w:firstLine="480" w:firstLineChars="200"/>
        <w:jc w:val="center"/>
        <w:rPr>
          <w:rFonts w:ascii="宋体" w:hAnsi="宋体" w:cs="宋体"/>
          <w:color w:val="auto"/>
          <w:sz w:val="24"/>
          <w:szCs w:val="24"/>
          <w:highlight w:val="none"/>
        </w:rPr>
      </w:pPr>
    </w:p>
    <w:p w14:paraId="4DCB8592">
      <w:pPr>
        <w:spacing w:line="360" w:lineRule="auto"/>
        <w:ind w:firstLine="480" w:firstLineChars="200"/>
        <w:jc w:val="center"/>
        <w:rPr>
          <w:rFonts w:ascii="宋体" w:hAnsi="宋体" w:cs="宋体"/>
          <w:color w:val="auto"/>
          <w:sz w:val="24"/>
          <w:szCs w:val="24"/>
          <w:highlight w:val="none"/>
        </w:rPr>
      </w:pPr>
    </w:p>
    <w:p w14:paraId="6851D7C9">
      <w:pPr>
        <w:spacing w:line="360" w:lineRule="auto"/>
        <w:ind w:firstLine="480" w:firstLineChars="200"/>
        <w:jc w:val="center"/>
        <w:rPr>
          <w:rFonts w:ascii="宋体" w:hAnsi="宋体" w:cs="宋体"/>
          <w:color w:val="auto"/>
          <w:sz w:val="24"/>
          <w:szCs w:val="24"/>
          <w:highlight w:val="none"/>
        </w:rPr>
      </w:pPr>
    </w:p>
    <w:p w14:paraId="142AD07C">
      <w:pPr>
        <w:spacing w:line="360" w:lineRule="auto"/>
        <w:ind w:firstLine="480" w:firstLineChars="200"/>
        <w:jc w:val="center"/>
        <w:rPr>
          <w:rFonts w:ascii="宋体" w:hAnsi="宋体" w:cs="宋体"/>
          <w:color w:val="auto"/>
          <w:sz w:val="24"/>
          <w:szCs w:val="24"/>
          <w:highlight w:val="none"/>
        </w:rPr>
      </w:pPr>
    </w:p>
    <w:p w14:paraId="14C0C8BB">
      <w:pPr>
        <w:spacing w:line="360" w:lineRule="auto"/>
        <w:ind w:firstLine="480" w:firstLineChars="200"/>
        <w:jc w:val="center"/>
        <w:rPr>
          <w:rFonts w:ascii="宋体" w:hAnsi="宋体" w:cs="宋体"/>
          <w:color w:val="auto"/>
          <w:sz w:val="24"/>
          <w:szCs w:val="24"/>
          <w:highlight w:val="none"/>
        </w:rPr>
      </w:pPr>
    </w:p>
    <w:p w14:paraId="6BCE3D24">
      <w:pPr>
        <w:spacing w:line="360" w:lineRule="auto"/>
        <w:ind w:firstLine="480" w:firstLineChars="200"/>
        <w:jc w:val="center"/>
        <w:rPr>
          <w:rFonts w:ascii="宋体" w:hAnsi="宋体" w:cs="宋体"/>
          <w:color w:val="auto"/>
          <w:sz w:val="24"/>
          <w:szCs w:val="24"/>
          <w:highlight w:val="none"/>
        </w:rPr>
      </w:pPr>
    </w:p>
    <w:p w14:paraId="7C585DF7">
      <w:pPr>
        <w:spacing w:line="360" w:lineRule="auto"/>
        <w:ind w:firstLine="560" w:firstLineChars="200"/>
        <w:jc w:val="center"/>
        <w:rPr>
          <w:rFonts w:ascii="宋体" w:hAnsi="宋体" w:cs="宋体"/>
          <w:color w:val="auto"/>
          <w:highlight w:val="none"/>
        </w:rPr>
      </w:pPr>
      <w:r>
        <w:rPr>
          <w:rFonts w:hint="eastAsia" w:ascii="宋体" w:hAnsi="宋体" w:cs="宋体"/>
          <w:color w:val="auto"/>
          <w:highlight w:val="none"/>
        </w:rPr>
        <w:t>（结束）</w:t>
      </w:r>
    </w:p>
    <w:p w14:paraId="3B233489">
      <w:pPr>
        <w:rPr>
          <w:rFonts w:ascii="宋体" w:hAnsi="宋体" w:cs="宋体"/>
          <w:color w:val="auto"/>
          <w:highlight w:val="none"/>
        </w:rPr>
      </w:pPr>
    </w:p>
    <w:sectPr>
      <w:headerReference r:id="rId9" w:type="default"/>
      <w:footerReference r:id="rId10" w:type="default"/>
      <w:pgSz w:w="11907" w:h="16840"/>
      <w:pgMar w:top="1134" w:right="1191" w:bottom="1134" w:left="113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文鼎粗黑">
    <w:altName w:val="黑体"/>
    <w:panose1 w:val="00000000000000000000"/>
    <w:charset w:val="86"/>
    <w:family w:val="modern"/>
    <w:pitch w:val="default"/>
    <w:sig w:usb0="00000000" w:usb1="00000000" w:usb2="00000010" w:usb3="00000000" w:csb0="00040000" w:csb1="00000000"/>
  </w:font>
  <w:font w:name="_x000B__x000C_">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方正黑体简体">
    <w:altName w:val="微软雅黑"/>
    <w:panose1 w:val="00000000000000000000"/>
    <w:charset w:val="86"/>
    <w:family w:val="auto"/>
    <w:pitch w:val="default"/>
    <w:sig w:usb0="00000000" w:usb1="00000000" w:usb2="00000012" w:usb3="00000000" w:csb0="00040001" w:csb1="00000000"/>
  </w:font>
  <w:font w:name="方正仿宋_GBK">
    <w:altName w:val="微软雅黑"/>
    <w:panose1 w:val="02000000000000000000"/>
    <w:charset w:val="86"/>
    <w:family w:val="auto"/>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10EEE">
    <w:pPr>
      <w:framePr w:wrap="around" w:vAnchor="text" w:hAnchor="margin" w:xAlign="center" w:y="1"/>
      <w:snapToGrid w:val="0"/>
      <w:jc w:val="center"/>
      <w:rPr>
        <w:rStyle w:val="63"/>
        <w:rFonts w:ascii="宋体" w:hAnsi="Times New Roman"/>
        <w:sz w:val="21"/>
        <w:szCs w:val="21"/>
      </w:rPr>
    </w:pPr>
    <w:r>
      <w:rPr>
        <w:rFonts w:ascii="宋体" w:hAnsi="Times New Roman"/>
        <w:sz w:val="21"/>
        <w:szCs w:val="21"/>
      </w:rPr>
      <w:fldChar w:fldCharType="begin"/>
    </w:r>
    <w:r>
      <w:rPr>
        <w:rStyle w:val="63"/>
        <w:rFonts w:ascii="宋体" w:hAnsi="Times New Roman"/>
        <w:sz w:val="21"/>
        <w:szCs w:val="21"/>
      </w:rPr>
      <w:instrText xml:space="preserve">PAGE  </w:instrText>
    </w:r>
    <w:r>
      <w:rPr>
        <w:rFonts w:ascii="宋体" w:hAnsi="Times New Roman"/>
        <w:sz w:val="21"/>
        <w:szCs w:val="21"/>
      </w:rPr>
      <w:fldChar w:fldCharType="separate"/>
    </w:r>
    <w:r>
      <w:rPr>
        <w:rStyle w:val="63"/>
        <w:rFonts w:ascii="宋体" w:hAnsi="Times New Roman"/>
        <w:sz w:val="21"/>
        <w:szCs w:val="21"/>
      </w:rPr>
      <w:t>- 6 -</w:t>
    </w:r>
    <w:r>
      <w:rPr>
        <w:rFonts w:ascii="宋体" w:hAnsi="Times New Roman"/>
        <w:sz w:val="21"/>
        <w:szCs w:val="21"/>
      </w:rPr>
      <w:fldChar w:fldCharType="end"/>
    </w:r>
  </w:p>
  <w:p w14:paraId="66C0C84D">
    <w:pPr>
      <w:snapToGrid w:val="0"/>
      <w:jc w:val="left"/>
      <w:rPr>
        <w:rFonts w:ascii="Times New Roman" w:hAnsi="Times New Roman"/>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A899A">
    <w:pPr>
      <w:framePr w:wrap="around" w:vAnchor="text" w:hAnchor="margin" w:xAlign="center" w:y="1"/>
      <w:snapToGrid w:val="0"/>
      <w:jc w:val="left"/>
      <w:rPr>
        <w:rStyle w:val="63"/>
        <w:rFonts w:ascii="Times New Roman" w:hAnsi="Times New Roman"/>
        <w:sz w:val="18"/>
      </w:rPr>
    </w:pPr>
    <w:r>
      <w:rPr>
        <w:rFonts w:ascii="Times New Roman" w:hAnsi="Times New Roman"/>
        <w:sz w:val="18"/>
      </w:rPr>
      <w:fldChar w:fldCharType="begin"/>
    </w:r>
    <w:r>
      <w:rPr>
        <w:rStyle w:val="63"/>
        <w:rFonts w:ascii="Times New Roman" w:hAnsi="Times New Roman"/>
      </w:rPr>
      <w:instrText xml:space="preserve">PAGE  </w:instrText>
    </w:r>
    <w:r>
      <w:rPr>
        <w:rFonts w:ascii="Times New Roman" w:hAnsi="Times New Roman"/>
        <w:sz w:val="18"/>
      </w:rPr>
      <w:fldChar w:fldCharType="end"/>
    </w:r>
  </w:p>
  <w:p w14:paraId="3D193193">
    <w:pPr>
      <w:snapToGrid w:val="0"/>
      <w:jc w:val="left"/>
      <w:rPr>
        <w:rFonts w:ascii="Times New Roman" w:hAnsi="Times New Roman"/>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B093C">
    <w:pPr>
      <w:framePr w:wrap="around" w:vAnchor="text" w:hAnchor="margin" w:xAlign="center" w:y="1"/>
      <w:snapToGrid w:val="0"/>
      <w:jc w:val="left"/>
      <w:rPr>
        <w:rStyle w:val="63"/>
        <w:rFonts w:ascii="Times New Roman" w:hAnsi="Times New Roman"/>
        <w:sz w:val="18"/>
      </w:rPr>
    </w:pPr>
  </w:p>
  <w:p w14:paraId="5A3A7507">
    <w:pPr>
      <w:snapToGrid w:val="0"/>
      <w:jc w:val="center"/>
      <w:rPr>
        <w:rFonts w:ascii="宋体" w:hAnsi="宋体"/>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DA4E1">
    <w:pPr>
      <w:snapToGrid w:val="0"/>
      <w:jc w:val="center"/>
      <w:rPr>
        <w:rFonts w:ascii="宋体" w:hAnsi="宋体"/>
        <w:sz w:val="21"/>
        <w:szCs w:val="21"/>
      </w:rPr>
    </w:pPr>
    <w:r>
      <w:rPr>
        <w:rFonts w:ascii="宋体" w:hAnsi="宋体"/>
        <w:sz w:val="21"/>
        <w:szCs w:val="21"/>
      </w:rPr>
      <w:fldChar w:fldCharType="begin"/>
    </w:r>
    <w:r>
      <w:rPr>
        <w:rStyle w:val="63"/>
        <w:rFonts w:ascii="宋体" w:hAnsi="宋体"/>
        <w:sz w:val="21"/>
        <w:szCs w:val="21"/>
      </w:rPr>
      <w:instrText xml:space="preserve"> PAGE </w:instrText>
    </w:r>
    <w:r>
      <w:rPr>
        <w:rFonts w:ascii="宋体" w:hAnsi="宋体"/>
        <w:sz w:val="21"/>
        <w:szCs w:val="21"/>
      </w:rPr>
      <w:fldChar w:fldCharType="separate"/>
    </w:r>
    <w:r>
      <w:rPr>
        <w:rStyle w:val="63"/>
        <w:rFonts w:ascii="宋体" w:hAnsi="宋体"/>
        <w:sz w:val="21"/>
        <w:szCs w:val="21"/>
      </w:rPr>
      <w:t>- 9 -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86E76">
    <w:pPr>
      <w:framePr w:wrap="around" w:vAnchor="text" w:hAnchor="margin" w:xAlign="center" w:y="1"/>
      <w:snapToGrid w:val="0"/>
      <w:jc w:val="left"/>
      <w:rPr>
        <w:rStyle w:val="63"/>
        <w:rFonts w:ascii="Times New Roman" w:hAnsi="Times New Roman"/>
        <w:sz w:val="18"/>
      </w:rPr>
    </w:pPr>
    <w:r>
      <w:rPr>
        <w:rFonts w:ascii="Times New Roman" w:hAnsi="Times New Roman"/>
        <w:sz w:val="18"/>
      </w:rPr>
      <w:fldChar w:fldCharType="begin"/>
    </w:r>
    <w:r>
      <w:rPr>
        <w:rStyle w:val="63"/>
        <w:rFonts w:ascii="Times New Roman" w:hAnsi="Times New Roman"/>
      </w:rPr>
      <w:instrText xml:space="preserve">PAGE  </w:instrText>
    </w:r>
    <w:r>
      <w:rPr>
        <w:rFonts w:ascii="Times New Roman" w:hAnsi="Times New Roman"/>
        <w:sz w:val="18"/>
      </w:rPr>
      <w:fldChar w:fldCharType="end"/>
    </w:r>
  </w:p>
  <w:p w14:paraId="4B163DB9">
    <w:pPr>
      <w:snapToGrid w:val="0"/>
      <w:ind w:right="360"/>
      <w:jc w:val="left"/>
      <w:rPr>
        <w:rFonts w:ascii="Times New Roman" w:hAnsi="Times New Roman"/>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BB9CE">
    <w:pPr>
      <w:pStyle w:val="36"/>
      <w:ind w:firstLine="42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DBF817">
                          <w:pPr>
                            <w:pStyle w:val="36"/>
                          </w:pPr>
                          <w:r>
                            <w:fldChar w:fldCharType="begin"/>
                          </w:r>
                          <w:r>
                            <w:instrText xml:space="preserve"> PAGE  \* MERGEFORMAT </w:instrText>
                          </w:r>
                          <w:r>
                            <w:fldChar w:fldCharType="separate"/>
                          </w:r>
                          <w:r>
                            <w:t>- 44 -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5DBF817">
                    <w:pPr>
                      <w:pStyle w:val="36"/>
                    </w:pPr>
                    <w:r>
                      <w:fldChar w:fldCharType="begin"/>
                    </w:r>
                    <w:r>
                      <w:instrText xml:space="preserve"> PAGE  \* MERGEFORMAT </w:instrText>
                    </w:r>
                    <w:r>
                      <w:fldChar w:fldCharType="separate"/>
                    </w:r>
                    <w:r>
                      <w:t>- 44 -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B5EC2">
    <w:pPr>
      <w:pBdr>
        <w:bottom w:val="single" w:color="auto" w:sz="6" w:space="1"/>
      </w:pBdr>
      <w:snapToGrid w:val="0"/>
      <w:rPr>
        <w:rFonts w:ascii="方正仿宋_GBK" w:hAnsi="Times New Roman" w:eastAsia="方正仿宋_GBK"/>
        <w:sz w:val="21"/>
        <w:szCs w:val="21"/>
      </w:rPr>
    </w:pPr>
    <w:r>
      <w:rPr>
        <w:rFonts w:hint="eastAsia" w:ascii="方正仿宋_GBK" w:hAnsi="Times New Roman" w:eastAsia="方正仿宋_GBK"/>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2D616">
    <w:pPr>
      <w:pStyle w:val="37"/>
      <w:tabs>
        <w:tab w:val="right" w:pos="9540"/>
        <w:tab w:val="clear" w:pos="8306"/>
      </w:tabs>
      <w:ind w:right="-126" w:rightChars="-45"/>
      <w:jc w:val="left"/>
      <w:rPr>
        <w:rFonts w:ascii="方正仿宋_GBK" w:eastAsia="方正仿宋_GBK"/>
        <w:sz w:val="21"/>
        <w:szCs w:val="21"/>
      </w:rPr>
    </w:pPr>
    <w:r>
      <w:rPr>
        <w:rFonts w:hint="eastAsia" w:ascii="微软雅黑" w:hAnsi="微软雅黑" w:eastAsia="微软雅黑" w:cs="微软雅黑"/>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44593E"/>
    <w:multiLevelType w:val="singleLevel"/>
    <w:tmpl w:val="DF44593E"/>
    <w:lvl w:ilvl="0" w:tentative="0">
      <w:start w:val="6"/>
      <w:numFmt w:val="chineseCounting"/>
      <w:suff w:val="nothing"/>
      <w:lvlText w:val="%1、"/>
      <w:lvlJc w:val="left"/>
      <w:rPr>
        <w:rFonts w:hint="eastAsia"/>
      </w:rPr>
    </w:lvl>
  </w:abstractNum>
  <w:abstractNum w:abstractNumId="1">
    <w:nsid w:val="F975B39D"/>
    <w:multiLevelType w:val="singleLevel"/>
    <w:tmpl w:val="F975B39D"/>
    <w:lvl w:ilvl="0" w:tentative="0">
      <w:start w:val="1"/>
      <w:numFmt w:val="decimal"/>
      <w:suff w:val="nothing"/>
      <w:lvlText w:val="%1、"/>
      <w:lvlJc w:val="left"/>
    </w:lvl>
  </w:abstractNum>
  <w:abstractNum w:abstractNumId="2">
    <w:nsid w:val="00000009"/>
    <w:multiLevelType w:val="multilevel"/>
    <w:tmpl w:val="00000009"/>
    <w:lvl w:ilvl="0" w:tentative="0">
      <w:start w:val="1"/>
      <w:numFmt w:val="upperLetter"/>
      <w:pStyle w:val="102"/>
      <w:suff w:val="nothing"/>
      <w:lvlText w:val="附　录　%1"/>
      <w:lvlJc w:val="left"/>
      <w:pPr>
        <w:ind w:left="0" w:firstLine="0"/>
      </w:pPr>
      <w:rPr>
        <w:rFonts w:hint="eastAsia" w:ascii="黑体" w:hAnsi="Times New Roman" w:eastAsia="黑体"/>
        <w:b w:val="0"/>
        <w:i w:val="0"/>
        <w:sz w:val="21"/>
      </w:rPr>
    </w:lvl>
    <w:lvl w:ilvl="1" w:tentative="0">
      <w:start w:val="1"/>
      <w:numFmt w:val="decimal"/>
      <w:pStyle w:val="154"/>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A"/>
    <w:multiLevelType w:val="multilevel"/>
    <w:tmpl w:val="0000000A"/>
    <w:lvl w:ilvl="0" w:tentative="0">
      <w:start w:val="1"/>
      <w:numFmt w:val="bullet"/>
      <w:pStyle w:val="132"/>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B"/>
    <w:multiLevelType w:val="singleLevel"/>
    <w:tmpl w:val="0000000B"/>
    <w:lvl w:ilvl="0" w:tentative="0">
      <w:start w:val="1"/>
      <w:numFmt w:val="bullet"/>
      <w:pStyle w:val="174"/>
      <w:lvlText w:val=""/>
      <w:lvlJc w:val="left"/>
      <w:pPr>
        <w:tabs>
          <w:tab w:val="left" w:pos="360"/>
        </w:tabs>
        <w:ind w:left="360" w:hanging="360"/>
      </w:pPr>
      <w:rPr>
        <w:rFonts w:hint="default" w:ascii="Wingdings" w:hAnsi="Wingdings"/>
      </w:rPr>
    </w:lvl>
  </w:abstractNum>
  <w:abstractNum w:abstractNumId="5">
    <w:nsid w:val="0000000D"/>
    <w:multiLevelType w:val="singleLevel"/>
    <w:tmpl w:val="0000000D"/>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6">
    <w:nsid w:val="0000000E"/>
    <w:multiLevelType w:val="multilevel"/>
    <w:tmpl w:val="0000000E"/>
    <w:lvl w:ilvl="0" w:tentative="0">
      <w:start w:val="1"/>
      <w:numFmt w:val="bullet"/>
      <w:pStyle w:val="77"/>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7">
    <w:nsid w:val="00000011"/>
    <w:multiLevelType w:val="multilevel"/>
    <w:tmpl w:val="00000011"/>
    <w:lvl w:ilvl="0" w:tentative="0">
      <w:start w:val="1"/>
      <w:numFmt w:val="decimal"/>
      <w:pStyle w:val="189"/>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bullet"/>
      <w:pStyle w:val="199"/>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0">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1">
    <w:nsid w:val="00000016"/>
    <w:multiLevelType w:val="singleLevel"/>
    <w:tmpl w:val="00000016"/>
    <w:lvl w:ilvl="0" w:tentative="0">
      <w:start w:val="1"/>
      <w:numFmt w:val="decimal"/>
      <w:pStyle w:val="116"/>
      <w:lvlText w:val="%1)"/>
      <w:lvlJc w:val="left"/>
      <w:pPr>
        <w:tabs>
          <w:tab w:val="left" w:pos="425"/>
        </w:tabs>
        <w:ind w:left="425" w:hanging="425"/>
      </w:pPr>
      <w:rPr>
        <w:rFonts w:hint="eastAsia"/>
      </w:rPr>
    </w:lvl>
  </w:abstractNum>
  <w:abstractNum w:abstractNumId="12">
    <w:nsid w:val="00000017"/>
    <w:multiLevelType w:val="multilevel"/>
    <w:tmpl w:val="00000017"/>
    <w:lvl w:ilvl="0" w:tentative="0">
      <w:start w:val="1"/>
      <w:numFmt w:val="chineseCountingThousand"/>
      <w:pStyle w:val="124"/>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5F9F03B8"/>
    <w:multiLevelType w:val="singleLevel"/>
    <w:tmpl w:val="5F9F03B8"/>
    <w:lvl w:ilvl="0" w:tentative="0">
      <w:start w:val="3"/>
      <w:numFmt w:val="chineseCounting"/>
      <w:suff w:val="nothing"/>
      <w:lvlText w:val="%1、"/>
      <w:lvlJc w:val="left"/>
      <w:rPr>
        <w:rFonts w:hint="eastAsia"/>
      </w:rPr>
    </w:lvl>
  </w:abstractNum>
  <w:num w:numId="1">
    <w:abstractNumId w:val="9"/>
  </w:num>
  <w:num w:numId="2">
    <w:abstractNumId w:val="5"/>
  </w:num>
  <w:num w:numId="3">
    <w:abstractNumId w:val="10"/>
  </w:num>
  <w:num w:numId="4">
    <w:abstractNumId w:val="6"/>
  </w:num>
  <w:num w:numId="5">
    <w:abstractNumId w:val="2"/>
  </w:num>
  <w:num w:numId="6">
    <w:abstractNumId w:val="11"/>
  </w:num>
  <w:num w:numId="7">
    <w:abstractNumId w:val="12"/>
  </w:num>
  <w:num w:numId="8">
    <w:abstractNumId w:val="3"/>
  </w:num>
  <w:num w:numId="9">
    <w:abstractNumId w:val="4"/>
  </w:num>
  <w:num w:numId="10">
    <w:abstractNumId w:val="7"/>
  </w:num>
  <w:num w:numId="11">
    <w:abstractNumId w:val="8"/>
  </w:num>
  <w:num w:numId="12">
    <w:abstractNumId w:val="13"/>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xYzkxMTQxMTZiMWEzNzVkNjQ3NTU5Y2U1Zjc1YzEifQ=="/>
  </w:docVars>
  <w:rsids>
    <w:rsidRoot w:val="00172A27"/>
    <w:rsid w:val="0000112E"/>
    <w:rsid w:val="000028EB"/>
    <w:rsid w:val="000040DE"/>
    <w:rsid w:val="000075E8"/>
    <w:rsid w:val="00007C4C"/>
    <w:rsid w:val="00011B4B"/>
    <w:rsid w:val="00015708"/>
    <w:rsid w:val="00016B79"/>
    <w:rsid w:val="00017816"/>
    <w:rsid w:val="000212DA"/>
    <w:rsid w:val="00027457"/>
    <w:rsid w:val="000353BF"/>
    <w:rsid w:val="0003632F"/>
    <w:rsid w:val="000371B5"/>
    <w:rsid w:val="000477BA"/>
    <w:rsid w:val="000477D8"/>
    <w:rsid w:val="0004789B"/>
    <w:rsid w:val="0005019B"/>
    <w:rsid w:val="00050303"/>
    <w:rsid w:val="000509B8"/>
    <w:rsid w:val="0005298B"/>
    <w:rsid w:val="00052D6F"/>
    <w:rsid w:val="00053032"/>
    <w:rsid w:val="0005417C"/>
    <w:rsid w:val="000547DB"/>
    <w:rsid w:val="00055A9D"/>
    <w:rsid w:val="00055C35"/>
    <w:rsid w:val="000576E1"/>
    <w:rsid w:val="00063981"/>
    <w:rsid w:val="00072809"/>
    <w:rsid w:val="0007633E"/>
    <w:rsid w:val="000811E5"/>
    <w:rsid w:val="0008420D"/>
    <w:rsid w:val="0008429E"/>
    <w:rsid w:val="000854BB"/>
    <w:rsid w:val="00090C5A"/>
    <w:rsid w:val="00091B1C"/>
    <w:rsid w:val="000A08A4"/>
    <w:rsid w:val="000A164E"/>
    <w:rsid w:val="000A54DD"/>
    <w:rsid w:val="000A731B"/>
    <w:rsid w:val="000A7A1B"/>
    <w:rsid w:val="000B11BD"/>
    <w:rsid w:val="000B30C0"/>
    <w:rsid w:val="000B3E62"/>
    <w:rsid w:val="000B42F4"/>
    <w:rsid w:val="000B5F7D"/>
    <w:rsid w:val="000B6281"/>
    <w:rsid w:val="000B7377"/>
    <w:rsid w:val="000B7ED3"/>
    <w:rsid w:val="000B7F54"/>
    <w:rsid w:val="000C02C6"/>
    <w:rsid w:val="000C2203"/>
    <w:rsid w:val="000C2E08"/>
    <w:rsid w:val="000C30D6"/>
    <w:rsid w:val="000C621B"/>
    <w:rsid w:val="000C6A03"/>
    <w:rsid w:val="000C6B3C"/>
    <w:rsid w:val="000C6D2E"/>
    <w:rsid w:val="000D4EE8"/>
    <w:rsid w:val="000E01C9"/>
    <w:rsid w:val="000E1200"/>
    <w:rsid w:val="000E1345"/>
    <w:rsid w:val="000E3259"/>
    <w:rsid w:val="000E34D5"/>
    <w:rsid w:val="000E7FE1"/>
    <w:rsid w:val="000F3379"/>
    <w:rsid w:val="000F445F"/>
    <w:rsid w:val="000F4B23"/>
    <w:rsid w:val="000F7DBF"/>
    <w:rsid w:val="0010014A"/>
    <w:rsid w:val="00100639"/>
    <w:rsid w:val="0010540A"/>
    <w:rsid w:val="00105873"/>
    <w:rsid w:val="0010750E"/>
    <w:rsid w:val="001116A4"/>
    <w:rsid w:val="00111E71"/>
    <w:rsid w:val="00111FFE"/>
    <w:rsid w:val="00113E83"/>
    <w:rsid w:val="00115BC0"/>
    <w:rsid w:val="00116856"/>
    <w:rsid w:val="00120259"/>
    <w:rsid w:val="00125D0C"/>
    <w:rsid w:val="001266BF"/>
    <w:rsid w:val="00132BF6"/>
    <w:rsid w:val="00133D16"/>
    <w:rsid w:val="00134D29"/>
    <w:rsid w:val="00143114"/>
    <w:rsid w:val="00144004"/>
    <w:rsid w:val="0014507D"/>
    <w:rsid w:val="00147FB4"/>
    <w:rsid w:val="00150028"/>
    <w:rsid w:val="0015011C"/>
    <w:rsid w:val="00150429"/>
    <w:rsid w:val="001506E4"/>
    <w:rsid w:val="00154037"/>
    <w:rsid w:val="00155015"/>
    <w:rsid w:val="001572BD"/>
    <w:rsid w:val="00160EF6"/>
    <w:rsid w:val="001632C4"/>
    <w:rsid w:val="00163424"/>
    <w:rsid w:val="00170B84"/>
    <w:rsid w:val="00172A27"/>
    <w:rsid w:val="001778CA"/>
    <w:rsid w:val="00177975"/>
    <w:rsid w:val="00180ACB"/>
    <w:rsid w:val="0018271F"/>
    <w:rsid w:val="001833EE"/>
    <w:rsid w:val="00183A17"/>
    <w:rsid w:val="00186623"/>
    <w:rsid w:val="001879FD"/>
    <w:rsid w:val="0019218F"/>
    <w:rsid w:val="00193595"/>
    <w:rsid w:val="001A0E0B"/>
    <w:rsid w:val="001A268D"/>
    <w:rsid w:val="001A6DCC"/>
    <w:rsid w:val="001B303E"/>
    <w:rsid w:val="001B3DBD"/>
    <w:rsid w:val="001B4377"/>
    <w:rsid w:val="001B473F"/>
    <w:rsid w:val="001B77D9"/>
    <w:rsid w:val="001B7C1A"/>
    <w:rsid w:val="001C12AF"/>
    <w:rsid w:val="001C2C8D"/>
    <w:rsid w:val="001C4D23"/>
    <w:rsid w:val="001D2321"/>
    <w:rsid w:val="001D2DCD"/>
    <w:rsid w:val="001D3045"/>
    <w:rsid w:val="001D5055"/>
    <w:rsid w:val="001D5741"/>
    <w:rsid w:val="001D630C"/>
    <w:rsid w:val="001D7AFF"/>
    <w:rsid w:val="001E201B"/>
    <w:rsid w:val="001E3A2E"/>
    <w:rsid w:val="001E453B"/>
    <w:rsid w:val="001E5CAC"/>
    <w:rsid w:val="001E725F"/>
    <w:rsid w:val="001F1AF7"/>
    <w:rsid w:val="001F1E63"/>
    <w:rsid w:val="001F1F41"/>
    <w:rsid w:val="001F4052"/>
    <w:rsid w:val="001F4964"/>
    <w:rsid w:val="001F7063"/>
    <w:rsid w:val="00202B04"/>
    <w:rsid w:val="00204936"/>
    <w:rsid w:val="0020592C"/>
    <w:rsid w:val="002100EE"/>
    <w:rsid w:val="00212515"/>
    <w:rsid w:val="00214638"/>
    <w:rsid w:val="0021704D"/>
    <w:rsid w:val="00222097"/>
    <w:rsid w:val="00222FEC"/>
    <w:rsid w:val="00226EBC"/>
    <w:rsid w:val="00227938"/>
    <w:rsid w:val="0023117C"/>
    <w:rsid w:val="002337EC"/>
    <w:rsid w:val="002348E0"/>
    <w:rsid w:val="002357D1"/>
    <w:rsid w:val="002357E0"/>
    <w:rsid w:val="00241FCE"/>
    <w:rsid w:val="00242121"/>
    <w:rsid w:val="00244928"/>
    <w:rsid w:val="00250B00"/>
    <w:rsid w:val="00250E69"/>
    <w:rsid w:val="00251FAB"/>
    <w:rsid w:val="00252C06"/>
    <w:rsid w:val="00255AD9"/>
    <w:rsid w:val="00261A69"/>
    <w:rsid w:val="002643C1"/>
    <w:rsid w:val="00265203"/>
    <w:rsid w:val="00271D47"/>
    <w:rsid w:val="002721EA"/>
    <w:rsid w:val="00280E8A"/>
    <w:rsid w:val="0028290D"/>
    <w:rsid w:val="00282C54"/>
    <w:rsid w:val="00283623"/>
    <w:rsid w:val="00285164"/>
    <w:rsid w:val="00287092"/>
    <w:rsid w:val="00290243"/>
    <w:rsid w:val="00291F10"/>
    <w:rsid w:val="002942EC"/>
    <w:rsid w:val="002A1EAB"/>
    <w:rsid w:val="002A411F"/>
    <w:rsid w:val="002A4956"/>
    <w:rsid w:val="002A6710"/>
    <w:rsid w:val="002B5057"/>
    <w:rsid w:val="002B7904"/>
    <w:rsid w:val="002C1593"/>
    <w:rsid w:val="002C2507"/>
    <w:rsid w:val="002C2E6E"/>
    <w:rsid w:val="002C45CE"/>
    <w:rsid w:val="002C61E9"/>
    <w:rsid w:val="002D04B0"/>
    <w:rsid w:val="002D269B"/>
    <w:rsid w:val="002D3FED"/>
    <w:rsid w:val="002D7725"/>
    <w:rsid w:val="002E1839"/>
    <w:rsid w:val="002E2A4B"/>
    <w:rsid w:val="002E38BB"/>
    <w:rsid w:val="002E4758"/>
    <w:rsid w:val="002E6F8D"/>
    <w:rsid w:val="002F0E91"/>
    <w:rsid w:val="002F16E9"/>
    <w:rsid w:val="002F1E35"/>
    <w:rsid w:val="002F3DE3"/>
    <w:rsid w:val="002F50B6"/>
    <w:rsid w:val="002F632E"/>
    <w:rsid w:val="00302C6D"/>
    <w:rsid w:val="003032BF"/>
    <w:rsid w:val="00310AF9"/>
    <w:rsid w:val="00312C54"/>
    <w:rsid w:val="0031465E"/>
    <w:rsid w:val="00315742"/>
    <w:rsid w:val="003163B3"/>
    <w:rsid w:val="00316CE1"/>
    <w:rsid w:val="00320BC7"/>
    <w:rsid w:val="00322A7A"/>
    <w:rsid w:val="00323A21"/>
    <w:rsid w:val="00327002"/>
    <w:rsid w:val="00327C17"/>
    <w:rsid w:val="0033402F"/>
    <w:rsid w:val="00341DEB"/>
    <w:rsid w:val="0034349D"/>
    <w:rsid w:val="003434CB"/>
    <w:rsid w:val="003448FB"/>
    <w:rsid w:val="0034606B"/>
    <w:rsid w:val="00346A3D"/>
    <w:rsid w:val="00346E97"/>
    <w:rsid w:val="00350843"/>
    <w:rsid w:val="00350C20"/>
    <w:rsid w:val="003518E6"/>
    <w:rsid w:val="00354669"/>
    <w:rsid w:val="003548FA"/>
    <w:rsid w:val="00355A74"/>
    <w:rsid w:val="003577BC"/>
    <w:rsid w:val="00361427"/>
    <w:rsid w:val="00362D5A"/>
    <w:rsid w:val="003632FB"/>
    <w:rsid w:val="0036458B"/>
    <w:rsid w:val="0036522F"/>
    <w:rsid w:val="00371D2F"/>
    <w:rsid w:val="00372141"/>
    <w:rsid w:val="0037557C"/>
    <w:rsid w:val="0038033A"/>
    <w:rsid w:val="0038238A"/>
    <w:rsid w:val="00384161"/>
    <w:rsid w:val="00386304"/>
    <w:rsid w:val="00386B19"/>
    <w:rsid w:val="00387610"/>
    <w:rsid w:val="00390FEA"/>
    <w:rsid w:val="0039114B"/>
    <w:rsid w:val="003947B0"/>
    <w:rsid w:val="00395C2F"/>
    <w:rsid w:val="003973D3"/>
    <w:rsid w:val="003A0892"/>
    <w:rsid w:val="003A2D5B"/>
    <w:rsid w:val="003A3B0B"/>
    <w:rsid w:val="003A449E"/>
    <w:rsid w:val="003A71F3"/>
    <w:rsid w:val="003B19F5"/>
    <w:rsid w:val="003B2ABF"/>
    <w:rsid w:val="003B31F8"/>
    <w:rsid w:val="003C0AB8"/>
    <w:rsid w:val="003C3844"/>
    <w:rsid w:val="003C4B53"/>
    <w:rsid w:val="003D0E0A"/>
    <w:rsid w:val="003D3B22"/>
    <w:rsid w:val="003D3F09"/>
    <w:rsid w:val="003D42F8"/>
    <w:rsid w:val="003F1366"/>
    <w:rsid w:val="00402B32"/>
    <w:rsid w:val="004063DA"/>
    <w:rsid w:val="00410243"/>
    <w:rsid w:val="00410C93"/>
    <w:rsid w:val="00411B4A"/>
    <w:rsid w:val="00411B5C"/>
    <w:rsid w:val="0041485E"/>
    <w:rsid w:val="00416E58"/>
    <w:rsid w:val="00417E99"/>
    <w:rsid w:val="00420063"/>
    <w:rsid w:val="00420E06"/>
    <w:rsid w:val="0042338D"/>
    <w:rsid w:val="00427935"/>
    <w:rsid w:val="00430008"/>
    <w:rsid w:val="004363BE"/>
    <w:rsid w:val="004372AA"/>
    <w:rsid w:val="0044695E"/>
    <w:rsid w:val="0045251D"/>
    <w:rsid w:val="004552DF"/>
    <w:rsid w:val="0046039C"/>
    <w:rsid w:val="00460DBE"/>
    <w:rsid w:val="00462878"/>
    <w:rsid w:val="004636FD"/>
    <w:rsid w:val="00465B7A"/>
    <w:rsid w:val="00465D34"/>
    <w:rsid w:val="00472285"/>
    <w:rsid w:val="00472AA2"/>
    <w:rsid w:val="00473EA5"/>
    <w:rsid w:val="004754BD"/>
    <w:rsid w:val="004762B3"/>
    <w:rsid w:val="00476B31"/>
    <w:rsid w:val="0048188E"/>
    <w:rsid w:val="00484CBB"/>
    <w:rsid w:val="004917B0"/>
    <w:rsid w:val="00492BEA"/>
    <w:rsid w:val="0049315B"/>
    <w:rsid w:val="004953EC"/>
    <w:rsid w:val="00495813"/>
    <w:rsid w:val="004962EA"/>
    <w:rsid w:val="004A0D29"/>
    <w:rsid w:val="004A0DE1"/>
    <w:rsid w:val="004A2410"/>
    <w:rsid w:val="004A27AC"/>
    <w:rsid w:val="004A4183"/>
    <w:rsid w:val="004B165D"/>
    <w:rsid w:val="004B176E"/>
    <w:rsid w:val="004B28C2"/>
    <w:rsid w:val="004B2C5D"/>
    <w:rsid w:val="004B39D8"/>
    <w:rsid w:val="004C1DD0"/>
    <w:rsid w:val="004C3C43"/>
    <w:rsid w:val="004C618A"/>
    <w:rsid w:val="004C64E4"/>
    <w:rsid w:val="004C7223"/>
    <w:rsid w:val="004D7BCE"/>
    <w:rsid w:val="004E156F"/>
    <w:rsid w:val="004E38D1"/>
    <w:rsid w:val="004E55DB"/>
    <w:rsid w:val="004F161C"/>
    <w:rsid w:val="004F2D57"/>
    <w:rsid w:val="004F497A"/>
    <w:rsid w:val="004F4F7F"/>
    <w:rsid w:val="004F6399"/>
    <w:rsid w:val="00501981"/>
    <w:rsid w:val="00502B2F"/>
    <w:rsid w:val="00510581"/>
    <w:rsid w:val="00512D00"/>
    <w:rsid w:val="0051390D"/>
    <w:rsid w:val="00514179"/>
    <w:rsid w:val="00524966"/>
    <w:rsid w:val="0052579F"/>
    <w:rsid w:val="00526D3C"/>
    <w:rsid w:val="00527C5A"/>
    <w:rsid w:val="00530836"/>
    <w:rsid w:val="0053473C"/>
    <w:rsid w:val="0054028A"/>
    <w:rsid w:val="005421CE"/>
    <w:rsid w:val="0054369F"/>
    <w:rsid w:val="00544BEA"/>
    <w:rsid w:val="005460D5"/>
    <w:rsid w:val="005519C9"/>
    <w:rsid w:val="00556D9F"/>
    <w:rsid w:val="00560570"/>
    <w:rsid w:val="005651B0"/>
    <w:rsid w:val="00566A85"/>
    <w:rsid w:val="00567D04"/>
    <w:rsid w:val="00573AE3"/>
    <w:rsid w:val="005810F4"/>
    <w:rsid w:val="005838D0"/>
    <w:rsid w:val="00584BFC"/>
    <w:rsid w:val="00586747"/>
    <w:rsid w:val="005902D9"/>
    <w:rsid w:val="0059196A"/>
    <w:rsid w:val="00596AB7"/>
    <w:rsid w:val="00597743"/>
    <w:rsid w:val="005A15D1"/>
    <w:rsid w:val="005A1EA7"/>
    <w:rsid w:val="005A5FAF"/>
    <w:rsid w:val="005A6938"/>
    <w:rsid w:val="005B0724"/>
    <w:rsid w:val="005B1E46"/>
    <w:rsid w:val="005B3D75"/>
    <w:rsid w:val="005B448D"/>
    <w:rsid w:val="005B4BB2"/>
    <w:rsid w:val="005B5133"/>
    <w:rsid w:val="005B575B"/>
    <w:rsid w:val="005B7C8B"/>
    <w:rsid w:val="005C1B86"/>
    <w:rsid w:val="005C39CC"/>
    <w:rsid w:val="005C42AC"/>
    <w:rsid w:val="005C4F84"/>
    <w:rsid w:val="005D37D0"/>
    <w:rsid w:val="005D703E"/>
    <w:rsid w:val="005E5525"/>
    <w:rsid w:val="005E7FAC"/>
    <w:rsid w:val="005F11C0"/>
    <w:rsid w:val="005F37E8"/>
    <w:rsid w:val="005F58F3"/>
    <w:rsid w:val="005F5E0B"/>
    <w:rsid w:val="00611A9B"/>
    <w:rsid w:val="00612FD9"/>
    <w:rsid w:val="00613410"/>
    <w:rsid w:val="00613E81"/>
    <w:rsid w:val="00615D80"/>
    <w:rsid w:val="00617986"/>
    <w:rsid w:val="00627A5A"/>
    <w:rsid w:val="00630943"/>
    <w:rsid w:val="00636775"/>
    <w:rsid w:val="00637021"/>
    <w:rsid w:val="00641635"/>
    <w:rsid w:val="0064237A"/>
    <w:rsid w:val="00642926"/>
    <w:rsid w:val="0064583B"/>
    <w:rsid w:val="00647C5B"/>
    <w:rsid w:val="00650406"/>
    <w:rsid w:val="0065057A"/>
    <w:rsid w:val="0065293D"/>
    <w:rsid w:val="00654A48"/>
    <w:rsid w:val="0065651B"/>
    <w:rsid w:val="00657B2D"/>
    <w:rsid w:val="00657FAD"/>
    <w:rsid w:val="00660F5D"/>
    <w:rsid w:val="00664607"/>
    <w:rsid w:val="006656AE"/>
    <w:rsid w:val="0066580D"/>
    <w:rsid w:val="00670089"/>
    <w:rsid w:val="006701DF"/>
    <w:rsid w:val="00670F87"/>
    <w:rsid w:val="00680AE4"/>
    <w:rsid w:val="00684E51"/>
    <w:rsid w:val="006852D7"/>
    <w:rsid w:val="00690403"/>
    <w:rsid w:val="006945C4"/>
    <w:rsid w:val="006953ED"/>
    <w:rsid w:val="00697C14"/>
    <w:rsid w:val="006A100B"/>
    <w:rsid w:val="006A143A"/>
    <w:rsid w:val="006A3285"/>
    <w:rsid w:val="006A4336"/>
    <w:rsid w:val="006A55E4"/>
    <w:rsid w:val="006A69E9"/>
    <w:rsid w:val="006B1942"/>
    <w:rsid w:val="006B3903"/>
    <w:rsid w:val="006B5737"/>
    <w:rsid w:val="006B5CFD"/>
    <w:rsid w:val="006B72DE"/>
    <w:rsid w:val="006C023B"/>
    <w:rsid w:val="006C5FC1"/>
    <w:rsid w:val="006C6006"/>
    <w:rsid w:val="006C7DC4"/>
    <w:rsid w:val="006D44E1"/>
    <w:rsid w:val="006D5DEB"/>
    <w:rsid w:val="006D6B52"/>
    <w:rsid w:val="006E21FA"/>
    <w:rsid w:val="006E2308"/>
    <w:rsid w:val="006E27E0"/>
    <w:rsid w:val="006E561A"/>
    <w:rsid w:val="006E60A9"/>
    <w:rsid w:val="006E6479"/>
    <w:rsid w:val="006E798E"/>
    <w:rsid w:val="006F05A5"/>
    <w:rsid w:val="006F0FB7"/>
    <w:rsid w:val="006F21AC"/>
    <w:rsid w:val="006F2519"/>
    <w:rsid w:val="006F2D7A"/>
    <w:rsid w:val="006F3ABB"/>
    <w:rsid w:val="006F7DCF"/>
    <w:rsid w:val="00700B6E"/>
    <w:rsid w:val="0070153C"/>
    <w:rsid w:val="00704E5D"/>
    <w:rsid w:val="00705739"/>
    <w:rsid w:val="007064F5"/>
    <w:rsid w:val="00706963"/>
    <w:rsid w:val="00706FB8"/>
    <w:rsid w:val="00710EAD"/>
    <w:rsid w:val="00711643"/>
    <w:rsid w:val="00715FB5"/>
    <w:rsid w:val="007171A6"/>
    <w:rsid w:val="00717918"/>
    <w:rsid w:val="0071799D"/>
    <w:rsid w:val="00725C47"/>
    <w:rsid w:val="00726088"/>
    <w:rsid w:val="00730B6A"/>
    <w:rsid w:val="00736D88"/>
    <w:rsid w:val="00736DD2"/>
    <w:rsid w:val="00737A25"/>
    <w:rsid w:val="007411DE"/>
    <w:rsid w:val="0074681C"/>
    <w:rsid w:val="00746EC2"/>
    <w:rsid w:val="00747837"/>
    <w:rsid w:val="0075180E"/>
    <w:rsid w:val="00754E57"/>
    <w:rsid w:val="0075736A"/>
    <w:rsid w:val="007654E2"/>
    <w:rsid w:val="0076555E"/>
    <w:rsid w:val="00766274"/>
    <w:rsid w:val="007711E1"/>
    <w:rsid w:val="00771E46"/>
    <w:rsid w:val="00774087"/>
    <w:rsid w:val="007757DD"/>
    <w:rsid w:val="00781168"/>
    <w:rsid w:val="007848BF"/>
    <w:rsid w:val="0078689C"/>
    <w:rsid w:val="00792B0D"/>
    <w:rsid w:val="007959AC"/>
    <w:rsid w:val="007A20E0"/>
    <w:rsid w:val="007A56AC"/>
    <w:rsid w:val="007B2204"/>
    <w:rsid w:val="007B32BE"/>
    <w:rsid w:val="007B4B60"/>
    <w:rsid w:val="007B4E4F"/>
    <w:rsid w:val="007B5713"/>
    <w:rsid w:val="007B7198"/>
    <w:rsid w:val="007C4793"/>
    <w:rsid w:val="007C523B"/>
    <w:rsid w:val="007D7E65"/>
    <w:rsid w:val="007E19E0"/>
    <w:rsid w:val="007E235D"/>
    <w:rsid w:val="007E7BDF"/>
    <w:rsid w:val="007F0A21"/>
    <w:rsid w:val="007F451F"/>
    <w:rsid w:val="008007B6"/>
    <w:rsid w:val="008041D4"/>
    <w:rsid w:val="00805933"/>
    <w:rsid w:val="00807D0E"/>
    <w:rsid w:val="0081156A"/>
    <w:rsid w:val="00811A53"/>
    <w:rsid w:val="00811D97"/>
    <w:rsid w:val="0081619C"/>
    <w:rsid w:val="00817FB4"/>
    <w:rsid w:val="0082730C"/>
    <w:rsid w:val="00827398"/>
    <w:rsid w:val="00827A32"/>
    <w:rsid w:val="008412BE"/>
    <w:rsid w:val="00842974"/>
    <w:rsid w:val="00846FCC"/>
    <w:rsid w:val="0085014E"/>
    <w:rsid w:val="00851EF4"/>
    <w:rsid w:val="0085550A"/>
    <w:rsid w:val="00855C51"/>
    <w:rsid w:val="00856B77"/>
    <w:rsid w:val="00857766"/>
    <w:rsid w:val="00857E6A"/>
    <w:rsid w:val="008616EF"/>
    <w:rsid w:val="00861791"/>
    <w:rsid w:val="00863848"/>
    <w:rsid w:val="008639F2"/>
    <w:rsid w:val="00863C25"/>
    <w:rsid w:val="008641B7"/>
    <w:rsid w:val="00864DC1"/>
    <w:rsid w:val="0086763D"/>
    <w:rsid w:val="008705BC"/>
    <w:rsid w:val="00871009"/>
    <w:rsid w:val="00875A42"/>
    <w:rsid w:val="00875F04"/>
    <w:rsid w:val="00876373"/>
    <w:rsid w:val="00880A38"/>
    <w:rsid w:val="008850EB"/>
    <w:rsid w:val="008857CC"/>
    <w:rsid w:val="008863E6"/>
    <w:rsid w:val="008904A8"/>
    <w:rsid w:val="00891A45"/>
    <w:rsid w:val="008959FF"/>
    <w:rsid w:val="008A0C79"/>
    <w:rsid w:val="008A4BB5"/>
    <w:rsid w:val="008A68CE"/>
    <w:rsid w:val="008B2146"/>
    <w:rsid w:val="008B3351"/>
    <w:rsid w:val="008B4622"/>
    <w:rsid w:val="008C0637"/>
    <w:rsid w:val="008C10A7"/>
    <w:rsid w:val="008C1892"/>
    <w:rsid w:val="008C1D7E"/>
    <w:rsid w:val="008C1E1D"/>
    <w:rsid w:val="008C4665"/>
    <w:rsid w:val="008C510F"/>
    <w:rsid w:val="008D06BE"/>
    <w:rsid w:val="008D0FE0"/>
    <w:rsid w:val="008D1DC6"/>
    <w:rsid w:val="008D3659"/>
    <w:rsid w:val="008E0CF1"/>
    <w:rsid w:val="008E1474"/>
    <w:rsid w:val="008E262B"/>
    <w:rsid w:val="008E66B8"/>
    <w:rsid w:val="008F1988"/>
    <w:rsid w:val="008F43BA"/>
    <w:rsid w:val="008F5227"/>
    <w:rsid w:val="008F6252"/>
    <w:rsid w:val="009014E5"/>
    <w:rsid w:val="009023F3"/>
    <w:rsid w:val="00903540"/>
    <w:rsid w:val="0090383C"/>
    <w:rsid w:val="00912132"/>
    <w:rsid w:val="00912765"/>
    <w:rsid w:val="00915390"/>
    <w:rsid w:val="00915AFC"/>
    <w:rsid w:val="00917F59"/>
    <w:rsid w:val="009211CD"/>
    <w:rsid w:val="00921E62"/>
    <w:rsid w:val="00922FAD"/>
    <w:rsid w:val="00924F0A"/>
    <w:rsid w:val="0092579F"/>
    <w:rsid w:val="00926CB9"/>
    <w:rsid w:val="0092708B"/>
    <w:rsid w:val="0093049D"/>
    <w:rsid w:val="00930CFA"/>
    <w:rsid w:val="00931044"/>
    <w:rsid w:val="00933B34"/>
    <w:rsid w:val="00934E6D"/>
    <w:rsid w:val="00936838"/>
    <w:rsid w:val="00937713"/>
    <w:rsid w:val="00941683"/>
    <w:rsid w:val="00941A72"/>
    <w:rsid w:val="00944CC5"/>
    <w:rsid w:val="00946407"/>
    <w:rsid w:val="0094759E"/>
    <w:rsid w:val="009478AA"/>
    <w:rsid w:val="009519FB"/>
    <w:rsid w:val="009560B3"/>
    <w:rsid w:val="00963A39"/>
    <w:rsid w:val="00965932"/>
    <w:rsid w:val="00966820"/>
    <w:rsid w:val="009702E8"/>
    <w:rsid w:val="00971600"/>
    <w:rsid w:val="00971E57"/>
    <w:rsid w:val="009723CF"/>
    <w:rsid w:val="00973717"/>
    <w:rsid w:val="00973EB6"/>
    <w:rsid w:val="00974A13"/>
    <w:rsid w:val="00980037"/>
    <w:rsid w:val="00983B43"/>
    <w:rsid w:val="00990AA9"/>
    <w:rsid w:val="00991B37"/>
    <w:rsid w:val="00993362"/>
    <w:rsid w:val="0099647C"/>
    <w:rsid w:val="0099752A"/>
    <w:rsid w:val="00997744"/>
    <w:rsid w:val="00997E58"/>
    <w:rsid w:val="009A7A6C"/>
    <w:rsid w:val="009B1B1E"/>
    <w:rsid w:val="009B2EDB"/>
    <w:rsid w:val="009B5443"/>
    <w:rsid w:val="009B6096"/>
    <w:rsid w:val="009C0879"/>
    <w:rsid w:val="009C3034"/>
    <w:rsid w:val="009C4DEB"/>
    <w:rsid w:val="009C6C1E"/>
    <w:rsid w:val="009D1A6B"/>
    <w:rsid w:val="009D3162"/>
    <w:rsid w:val="009D3181"/>
    <w:rsid w:val="009D6489"/>
    <w:rsid w:val="009E0C8F"/>
    <w:rsid w:val="009E1169"/>
    <w:rsid w:val="009E2F1C"/>
    <w:rsid w:val="009E348B"/>
    <w:rsid w:val="009E737D"/>
    <w:rsid w:val="009E79B1"/>
    <w:rsid w:val="009F28E3"/>
    <w:rsid w:val="009F5842"/>
    <w:rsid w:val="009F6803"/>
    <w:rsid w:val="00A01930"/>
    <w:rsid w:val="00A03977"/>
    <w:rsid w:val="00A12B4E"/>
    <w:rsid w:val="00A22213"/>
    <w:rsid w:val="00A2453D"/>
    <w:rsid w:val="00A25A21"/>
    <w:rsid w:val="00A26185"/>
    <w:rsid w:val="00A26FF7"/>
    <w:rsid w:val="00A27BD2"/>
    <w:rsid w:val="00A27BE2"/>
    <w:rsid w:val="00A30323"/>
    <w:rsid w:val="00A31077"/>
    <w:rsid w:val="00A3730B"/>
    <w:rsid w:val="00A37C81"/>
    <w:rsid w:val="00A41E4A"/>
    <w:rsid w:val="00A42CE3"/>
    <w:rsid w:val="00A445DC"/>
    <w:rsid w:val="00A44BEA"/>
    <w:rsid w:val="00A45D44"/>
    <w:rsid w:val="00A47655"/>
    <w:rsid w:val="00A47700"/>
    <w:rsid w:val="00A52D1B"/>
    <w:rsid w:val="00A55650"/>
    <w:rsid w:val="00A569E8"/>
    <w:rsid w:val="00A610EC"/>
    <w:rsid w:val="00A613D3"/>
    <w:rsid w:val="00A67920"/>
    <w:rsid w:val="00A67AE8"/>
    <w:rsid w:val="00A711C6"/>
    <w:rsid w:val="00A737AF"/>
    <w:rsid w:val="00A74559"/>
    <w:rsid w:val="00A756B7"/>
    <w:rsid w:val="00A75A98"/>
    <w:rsid w:val="00A75C90"/>
    <w:rsid w:val="00A76DA9"/>
    <w:rsid w:val="00A81327"/>
    <w:rsid w:val="00A84863"/>
    <w:rsid w:val="00A932A2"/>
    <w:rsid w:val="00A95D95"/>
    <w:rsid w:val="00A977EC"/>
    <w:rsid w:val="00AA13DD"/>
    <w:rsid w:val="00AA2730"/>
    <w:rsid w:val="00AA3FD1"/>
    <w:rsid w:val="00AA57F3"/>
    <w:rsid w:val="00AB05AF"/>
    <w:rsid w:val="00AB11B3"/>
    <w:rsid w:val="00AB5ED3"/>
    <w:rsid w:val="00AB6B0C"/>
    <w:rsid w:val="00AB70CD"/>
    <w:rsid w:val="00AC4898"/>
    <w:rsid w:val="00AC48B3"/>
    <w:rsid w:val="00AC7AC9"/>
    <w:rsid w:val="00AC7D41"/>
    <w:rsid w:val="00AD09C0"/>
    <w:rsid w:val="00AD3D11"/>
    <w:rsid w:val="00AE1406"/>
    <w:rsid w:val="00AE1920"/>
    <w:rsid w:val="00AF01B3"/>
    <w:rsid w:val="00AF0F13"/>
    <w:rsid w:val="00AF1B68"/>
    <w:rsid w:val="00AF3A78"/>
    <w:rsid w:val="00AF46C7"/>
    <w:rsid w:val="00AF7992"/>
    <w:rsid w:val="00B00AB3"/>
    <w:rsid w:val="00B00E1B"/>
    <w:rsid w:val="00B05BAD"/>
    <w:rsid w:val="00B10333"/>
    <w:rsid w:val="00B10C5D"/>
    <w:rsid w:val="00B11A85"/>
    <w:rsid w:val="00B14C52"/>
    <w:rsid w:val="00B155FA"/>
    <w:rsid w:val="00B16BBB"/>
    <w:rsid w:val="00B17214"/>
    <w:rsid w:val="00B200AA"/>
    <w:rsid w:val="00B22702"/>
    <w:rsid w:val="00B25FB0"/>
    <w:rsid w:val="00B30645"/>
    <w:rsid w:val="00B32B44"/>
    <w:rsid w:val="00B32BCD"/>
    <w:rsid w:val="00B422DA"/>
    <w:rsid w:val="00B4399C"/>
    <w:rsid w:val="00B44B87"/>
    <w:rsid w:val="00B478C3"/>
    <w:rsid w:val="00B5069F"/>
    <w:rsid w:val="00B52715"/>
    <w:rsid w:val="00B561E2"/>
    <w:rsid w:val="00B56779"/>
    <w:rsid w:val="00B56C8A"/>
    <w:rsid w:val="00B61348"/>
    <w:rsid w:val="00B6263F"/>
    <w:rsid w:val="00B627B6"/>
    <w:rsid w:val="00B67114"/>
    <w:rsid w:val="00B70750"/>
    <w:rsid w:val="00B75449"/>
    <w:rsid w:val="00B77B01"/>
    <w:rsid w:val="00B806DC"/>
    <w:rsid w:val="00B80919"/>
    <w:rsid w:val="00B81FE4"/>
    <w:rsid w:val="00B82082"/>
    <w:rsid w:val="00B8292A"/>
    <w:rsid w:val="00B82ACC"/>
    <w:rsid w:val="00B84133"/>
    <w:rsid w:val="00B91AE4"/>
    <w:rsid w:val="00B91E6E"/>
    <w:rsid w:val="00BA0852"/>
    <w:rsid w:val="00BA527C"/>
    <w:rsid w:val="00BA64B4"/>
    <w:rsid w:val="00BA7E28"/>
    <w:rsid w:val="00BA7E3B"/>
    <w:rsid w:val="00BB170E"/>
    <w:rsid w:val="00BB1CFF"/>
    <w:rsid w:val="00BB527A"/>
    <w:rsid w:val="00BB5C4B"/>
    <w:rsid w:val="00BB6959"/>
    <w:rsid w:val="00BB7494"/>
    <w:rsid w:val="00BB7AE3"/>
    <w:rsid w:val="00BC2390"/>
    <w:rsid w:val="00BC7017"/>
    <w:rsid w:val="00BD71EC"/>
    <w:rsid w:val="00BD7A7A"/>
    <w:rsid w:val="00BE07A9"/>
    <w:rsid w:val="00BE1580"/>
    <w:rsid w:val="00BE20EA"/>
    <w:rsid w:val="00BE3215"/>
    <w:rsid w:val="00BE54F1"/>
    <w:rsid w:val="00BE67C9"/>
    <w:rsid w:val="00BE6918"/>
    <w:rsid w:val="00BF273B"/>
    <w:rsid w:val="00BF46A7"/>
    <w:rsid w:val="00BF5230"/>
    <w:rsid w:val="00BF747D"/>
    <w:rsid w:val="00C1090C"/>
    <w:rsid w:val="00C20BEE"/>
    <w:rsid w:val="00C210D8"/>
    <w:rsid w:val="00C21AE6"/>
    <w:rsid w:val="00C240C8"/>
    <w:rsid w:val="00C250E4"/>
    <w:rsid w:val="00C26513"/>
    <w:rsid w:val="00C279B3"/>
    <w:rsid w:val="00C27FA6"/>
    <w:rsid w:val="00C31433"/>
    <w:rsid w:val="00C324C9"/>
    <w:rsid w:val="00C328C9"/>
    <w:rsid w:val="00C346EB"/>
    <w:rsid w:val="00C347C0"/>
    <w:rsid w:val="00C372D4"/>
    <w:rsid w:val="00C37F72"/>
    <w:rsid w:val="00C420C1"/>
    <w:rsid w:val="00C45963"/>
    <w:rsid w:val="00C472B8"/>
    <w:rsid w:val="00C53124"/>
    <w:rsid w:val="00C53B2E"/>
    <w:rsid w:val="00C54018"/>
    <w:rsid w:val="00C56D7B"/>
    <w:rsid w:val="00C6160A"/>
    <w:rsid w:val="00C63BC6"/>
    <w:rsid w:val="00C65711"/>
    <w:rsid w:val="00C67DDB"/>
    <w:rsid w:val="00C76ECD"/>
    <w:rsid w:val="00C76FFC"/>
    <w:rsid w:val="00C7771A"/>
    <w:rsid w:val="00C77870"/>
    <w:rsid w:val="00C803FC"/>
    <w:rsid w:val="00C82019"/>
    <w:rsid w:val="00C84E04"/>
    <w:rsid w:val="00C84EB8"/>
    <w:rsid w:val="00C910BE"/>
    <w:rsid w:val="00C922BE"/>
    <w:rsid w:val="00C9232C"/>
    <w:rsid w:val="00C92F2D"/>
    <w:rsid w:val="00CA134E"/>
    <w:rsid w:val="00CA5844"/>
    <w:rsid w:val="00CA7415"/>
    <w:rsid w:val="00CB0693"/>
    <w:rsid w:val="00CB265C"/>
    <w:rsid w:val="00CB2703"/>
    <w:rsid w:val="00CB2F2D"/>
    <w:rsid w:val="00CB4540"/>
    <w:rsid w:val="00CB7A07"/>
    <w:rsid w:val="00CC165C"/>
    <w:rsid w:val="00CC59BB"/>
    <w:rsid w:val="00CC5CC8"/>
    <w:rsid w:val="00CC6D93"/>
    <w:rsid w:val="00CD165B"/>
    <w:rsid w:val="00CD3976"/>
    <w:rsid w:val="00CD57CC"/>
    <w:rsid w:val="00CD635D"/>
    <w:rsid w:val="00CD7CED"/>
    <w:rsid w:val="00CE04C7"/>
    <w:rsid w:val="00CE2ABC"/>
    <w:rsid w:val="00CE5AD7"/>
    <w:rsid w:val="00CE60B1"/>
    <w:rsid w:val="00CE6F66"/>
    <w:rsid w:val="00CE7BF5"/>
    <w:rsid w:val="00CF156B"/>
    <w:rsid w:val="00CF15EF"/>
    <w:rsid w:val="00CF1E02"/>
    <w:rsid w:val="00CF2F3C"/>
    <w:rsid w:val="00CF37B1"/>
    <w:rsid w:val="00CF597A"/>
    <w:rsid w:val="00CF6BA6"/>
    <w:rsid w:val="00CF6D82"/>
    <w:rsid w:val="00CF72D3"/>
    <w:rsid w:val="00CF735D"/>
    <w:rsid w:val="00D00595"/>
    <w:rsid w:val="00D05BAA"/>
    <w:rsid w:val="00D10F8B"/>
    <w:rsid w:val="00D13B7A"/>
    <w:rsid w:val="00D203E7"/>
    <w:rsid w:val="00D22C4B"/>
    <w:rsid w:val="00D230C7"/>
    <w:rsid w:val="00D2340D"/>
    <w:rsid w:val="00D23E7D"/>
    <w:rsid w:val="00D2405F"/>
    <w:rsid w:val="00D24766"/>
    <w:rsid w:val="00D26C15"/>
    <w:rsid w:val="00D272D7"/>
    <w:rsid w:val="00D309EC"/>
    <w:rsid w:val="00D30C7F"/>
    <w:rsid w:val="00D325B6"/>
    <w:rsid w:val="00D33DD7"/>
    <w:rsid w:val="00D41BA9"/>
    <w:rsid w:val="00D45986"/>
    <w:rsid w:val="00D52376"/>
    <w:rsid w:val="00D52D0B"/>
    <w:rsid w:val="00D566E3"/>
    <w:rsid w:val="00D572DC"/>
    <w:rsid w:val="00D576B6"/>
    <w:rsid w:val="00D612C2"/>
    <w:rsid w:val="00D62F80"/>
    <w:rsid w:val="00D652F4"/>
    <w:rsid w:val="00D66DA9"/>
    <w:rsid w:val="00D706B3"/>
    <w:rsid w:val="00D70AD7"/>
    <w:rsid w:val="00D745E0"/>
    <w:rsid w:val="00D76AA3"/>
    <w:rsid w:val="00D80604"/>
    <w:rsid w:val="00D92ADD"/>
    <w:rsid w:val="00DA086B"/>
    <w:rsid w:val="00DA18C8"/>
    <w:rsid w:val="00DA1D7A"/>
    <w:rsid w:val="00DA3B3C"/>
    <w:rsid w:val="00DA5493"/>
    <w:rsid w:val="00DA6834"/>
    <w:rsid w:val="00DA7E05"/>
    <w:rsid w:val="00DB4794"/>
    <w:rsid w:val="00DB4DC7"/>
    <w:rsid w:val="00DB5C3E"/>
    <w:rsid w:val="00DB628E"/>
    <w:rsid w:val="00DD19E1"/>
    <w:rsid w:val="00DE1E39"/>
    <w:rsid w:val="00DE3353"/>
    <w:rsid w:val="00DE43BF"/>
    <w:rsid w:val="00DE647B"/>
    <w:rsid w:val="00DE6E57"/>
    <w:rsid w:val="00DE7E57"/>
    <w:rsid w:val="00DF47D6"/>
    <w:rsid w:val="00DF482A"/>
    <w:rsid w:val="00DF5425"/>
    <w:rsid w:val="00DF68EF"/>
    <w:rsid w:val="00DF782C"/>
    <w:rsid w:val="00E01B9B"/>
    <w:rsid w:val="00E030A0"/>
    <w:rsid w:val="00E0425A"/>
    <w:rsid w:val="00E075A1"/>
    <w:rsid w:val="00E117B8"/>
    <w:rsid w:val="00E124E3"/>
    <w:rsid w:val="00E14812"/>
    <w:rsid w:val="00E15554"/>
    <w:rsid w:val="00E15DDE"/>
    <w:rsid w:val="00E17C1A"/>
    <w:rsid w:val="00E203CD"/>
    <w:rsid w:val="00E20947"/>
    <w:rsid w:val="00E20AFA"/>
    <w:rsid w:val="00E21116"/>
    <w:rsid w:val="00E2339E"/>
    <w:rsid w:val="00E23A3A"/>
    <w:rsid w:val="00E23E23"/>
    <w:rsid w:val="00E270A9"/>
    <w:rsid w:val="00E3245B"/>
    <w:rsid w:val="00E32DCD"/>
    <w:rsid w:val="00E3303D"/>
    <w:rsid w:val="00E35C87"/>
    <w:rsid w:val="00E3707B"/>
    <w:rsid w:val="00E50685"/>
    <w:rsid w:val="00E54312"/>
    <w:rsid w:val="00E57F6B"/>
    <w:rsid w:val="00E64B3E"/>
    <w:rsid w:val="00E65844"/>
    <w:rsid w:val="00E663F4"/>
    <w:rsid w:val="00E667B8"/>
    <w:rsid w:val="00E70006"/>
    <w:rsid w:val="00E723CF"/>
    <w:rsid w:val="00E7342C"/>
    <w:rsid w:val="00E74B95"/>
    <w:rsid w:val="00E76363"/>
    <w:rsid w:val="00E845C5"/>
    <w:rsid w:val="00E84B64"/>
    <w:rsid w:val="00E855E7"/>
    <w:rsid w:val="00E86AC9"/>
    <w:rsid w:val="00E87CFE"/>
    <w:rsid w:val="00E91D81"/>
    <w:rsid w:val="00E92559"/>
    <w:rsid w:val="00E92BC2"/>
    <w:rsid w:val="00E93EDB"/>
    <w:rsid w:val="00E94267"/>
    <w:rsid w:val="00E94CA4"/>
    <w:rsid w:val="00E97202"/>
    <w:rsid w:val="00EA010E"/>
    <w:rsid w:val="00EA3693"/>
    <w:rsid w:val="00EA384A"/>
    <w:rsid w:val="00EB00B0"/>
    <w:rsid w:val="00EB1E33"/>
    <w:rsid w:val="00EB2181"/>
    <w:rsid w:val="00EB5869"/>
    <w:rsid w:val="00EC0881"/>
    <w:rsid w:val="00EC0892"/>
    <w:rsid w:val="00EC0BC3"/>
    <w:rsid w:val="00EC4665"/>
    <w:rsid w:val="00EC6CB3"/>
    <w:rsid w:val="00ED060F"/>
    <w:rsid w:val="00ED377D"/>
    <w:rsid w:val="00ED4D2B"/>
    <w:rsid w:val="00ED7DBC"/>
    <w:rsid w:val="00ED7FA0"/>
    <w:rsid w:val="00EF1253"/>
    <w:rsid w:val="00EF2A4D"/>
    <w:rsid w:val="00EF305A"/>
    <w:rsid w:val="00EF3FC7"/>
    <w:rsid w:val="00EF4F54"/>
    <w:rsid w:val="00EF7003"/>
    <w:rsid w:val="00F0053B"/>
    <w:rsid w:val="00F019BE"/>
    <w:rsid w:val="00F115B7"/>
    <w:rsid w:val="00F16313"/>
    <w:rsid w:val="00F2025B"/>
    <w:rsid w:val="00F20667"/>
    <w:rsid w:val="00F20FF1"/>
    <w:rsid w:val="00F21F4B"/>
    <w:rsid w:val="00F234C0"/>
    <w:rsid w:val="00F35457"/>
    <w:rsid w:val="00F3595B"/>
    <w:rsid w:val="00F36608"/>
    <w:rsid w:val="00F36D58"/>
    <w:rsid w:val="00F41170"/>
    <w:rsid w:val="00F426A6"/>
    <w:rsid w:val="00F429FD"/>
    <w:rsid w:val="00F43602"/>
    <w:rsid w:val="00F4623C"/>
    <w:rsid w:val="00F46E44"/>
    <w:rsid w:val="00F515B0"/>
    <w:rsid w:val="00F55278"/>
    <w:rsid w:val="00F56399"/>
    <w:rsid w:val="00F56A2E"/>
    <w:rsid w:val="00F57AE0"/>
    <w:rsid w:val="00F60188"/>
    <w:rsid w:val="00F60CD2"/>
    <w:rsid w:val="00F63FE3"/>
    <w:rsid w:val="00F73AC2"/>
    <w:rsid w:val="00F768C2"/>
    <w:rsid w:val="00F7750A"/>
    <w:rsid w:val="00F80006"/>
    <w:rsid w:val="00F80084"/>
    <w:rsid w:val="00F8166E"/>
    <w:rsid w:val="00F833E0"/>
    <w:rsid w:val="00F84048"/>
    <w:rsid w:val="00F87A29"/>
    <w:rsid w:val="00F87C90"/>
    <w:rsid w:val="00F95676"/>
    <w:rsid w:val="00F966EA"/>
    <w:rsid w:val="00FA4D21"/>
    <w:rsid w:val="00FA57DA"/>
    <w:rsid w:val="00FA5C8C"/>
    <w:rsid w:val="00FA6D7E"/>
    <w:rsid w:val="00FA77F5"/>
    <w:rsid w:val="00FB13BC"/>
    <w:rsid w:val="00FB1A28"/>
    <w:rsid w:val="00FB1B2D"/>
    <w:rsid w:val="00FB7C08"/>
    <w:rsid w:val="00FC58E1"/>
    <w:rsid w:val="00FC5A85"/>
    <w:rsid w:val="00FC7653"/>
    <w:rsid w:val="00FD0677"/>
    <w:rsid w:val="00FD159B"/>
    <w:rsid w:val="00FD2470"/>
    <w:rsid w:val="00FD42AF"/>
    <w:rsid w:val="00FD4503"/>
    <w:rsid w:val="00FD5120"/>
    <w:rsid w:val="00FD57C5"/>
    <w:rsid w:val="00FD5823"/>
    <w:rsid w:val="00FD702F"/>
    <w:rsid w:val="00FE1C27"/>
    <w:rsid w:val="00FE30F1"/>
    <w:rsid w:val="00FE4D95"/>
    <w:rsid w:val="00FE5C31"/>
    <w:rsid w:val="00FE6908"/>
    <w:rsid w:val="00FE7527"/>
    <w:rsid w:val="00FF01B8"/>
    <w:rsid w:val="00FF1B0E"/>
    <w:rsid w:val="00FF748B"/>
    <w:rsid w:val="0100281C"/>
    <w:rsid w:val="010D767C"/>
    <w:rsid w:val="011B1C79"/>
    <w:rsid w:val="0125469A"/>
    <w:rsid w:val="01260E98"/>
    <w:rsid w:val="0132783D"/>
    <w:rsid w:val="014D4B17"/>
    <w:rsid w:val="015045B8"/>
    <w:rsid w:val="01504981"/>
    <w:rsid w:val="0159792A"/>
    <w:rsid w:val="016D6AC7"/>
    <w:rsid w:val="016D7265"/>
    <w:rsid w:val="016D7DD1"/>
    <w:rsid w:val="01792284"/>
    <w:rsid w:val="017D61DA"/>
    <w:rsid w:val="01836134"/>
    <w:rsid w:val="01895494"/>
    <w:rsid w:val="018F6D2C"/>
    <w:rsid w:val="01AE030F"/>
    <w:rsid w:val="01C107D2"/>
    <w:rsid w:val="01C54B55"/>
    <w:rsid w:val="01CE57B8"/>
    <w:rsid w:val="01D37272"/>
    <w:rsid w:val="01DD5F46"/>
    <w:rsid w:val="01F14357"/>
    <w:rsid w:val="01F7028A"/>
    <w:rsid w:val="0217728B"/>
    <w:rsid w:val="0227136C"/>
    <w:rsid w:val="02311A90"/>
    <w:rsid w:val="02380E83"/>
    <w:rsid w:val="024E06A7"/>
    <w:rsid w:val="02590F98"/>
    <w:rsid w:val="025A0DC5"/>
    <w:rsid w:val="02661BC2"/>
    <w:rsid w:val="02722AD9"/>
    <w:rsid w:val="027258A5"/>
    <w:rsid w:val="02801118"/>
    <w:rsid w:val="0281282A"/>
    <w:rsid w:val="02894DD9"/>
    <w:rsid w:val="028A4B59"/>
    <w:rsid w:val="02932389"/>
    <w:rsid w:val="02974AD8"/>
    <w:rsid w:val="02993EC1"/>
    <w:rsid w:val="02A15215"/>
    <w:rsid w:val="02A84BD6"/>
    <w:rsid w:val="02B81E4D"/>
    <w:rsid w:val="02C40750"/>
    <w:rsid w:val="02C7674C"/>
    <w:rsid w:val="02C90B1E"/>
    <w:rsid w:val="02C90CB7"/>
    <w:rsid w:val="02DE2CF9"/>
    <w:rsid w:val="02E806FA"/>
    <w:rsid w:val="02ED0078"/>
    <w:rsid w:val="02EE6DB5"/>
    <w:rsid w:val="02F43497"/>
    <w:rsid w:val="02F61CBC"/>
    <w:rsid w:val="02F756C2"/>
    <w:rsid w:val="03037AC8"/>
    <w:rsid w:val="03135958"/>
    <w:rsid w:val="03234A7E"/>
    <w:rsid w:val="033A3FB1"/>
    <w:rsid w:val="034040FC"/>
    <w:rsid w:val="0342198C"/>
    <w:rsid w:val="035D1859"/>
    <w:rsid w:val="036775E2"/>
    <w:rsid w:val="036D485E"/>
    <w:rsid w:val="03705BCA"/>
    <w:rsid w:val="03730F74"/>
    <w:rsid w:val="037D67D2"/>
    <w:rsid w:val="0388388E"/>
    <w:rsid w:val="038A036A"/>
    <w:rsid w:val="03AE2F54"/>
    <w:rsid w:val="03B12839"/>
    <w:rsid w:val="03B44E81"/>
    <w:rsid w:val="03B57EAA"/>
    <w:rsid w:val="03B8194B"/>
    <w:rsid w:val="03B947F2"/>
    <w:rsid w:val="03BD42D2"/>
    <w:rsid w:val="03C70711"/>
    <w:rsid w:val="03D110B4"/>
    <w:rsid w:val="03D865AB"/>
    <w:rsid w:val="03DD1CE2"/>
    <w:rsid w:val="03E47515"/>
    <w:rsid w:val="03E70A05"/>
    <w:rsid w:val="03EF58CD"/>
    <w:rsid w:val="03FB03BA"/>
    <w:rsid w:val="040666BE"/>
    <w:rsid w:val="040C0819"/>
    <w:rsid w:val="040D1B6E"/>
    <w:rsid w:val="04162220"/>
    <w:rsid w:val="041F4B84"/>
    <w:rsid w:val="0420780F"/>
    <w:rsid w:val="042A3842"/>
    <w:rsid w:val="04525864"/>
    <w:rsid w:val="045964CE"/>
    <w:rsid w:val="045A27C0"/>
    <w:rsid w:val="045B52FD"/>
    <w:rsid w:val="045D32FA"/>
    <w:rsid w:val="045F3A8D"/>
    <w:rsid w:val="04644D1A"/>
    <w:rsid w:val="04677FAF"/>
    <w:rsid w:val="04787C5D"/>
    <w:rsid w:val="04846E88"/>
    <w:rsid w:val="048738C2"/>
    <w:rsid w:val="048E7165"/>
    <w:rsid w:val="04A94931"/>
    <w:rsid w:val="04AD2373"/>
    <w:rsid w:val="04CC4CB2"/>
    <w:rsid w:val="04CC6B08"/>
    <w:rsid w:val="04D8694E"/>
    <w:rsid w:val="04D87E49"/>
    <w:rsid w:val="04DB5E41"/>
    <w:rsid w:val="04DD3D50"/>
    <w:rsid w:val="04E220D4"/>
    <w:rsid w:val="04E8141C"/>
    <w:rsid w:val="04EF105C"/>
    <w:rsid w:val="04F33A71"/>
    <w:rsid w:val="04F76DD4"/>
    <w:rsid w:val="04FF7C5D"/>
    <w:rsid w:val="05046312"/>
    <w:rsid w:val="05092D32"/>
    <w:rsid w:val="0521388A"/>
    <w:rsid w:val="053662A1"/>
    <w:rsid w:val="05427727"/>
    <w:rsid w:val="05435B35"/>
    <w:rsid w:val="057175A3"/>
    <w:rsid w:val="05752968"/>
    <w:rsid w:val="0580501B"/>
    <w:rsid w:val="05832D5D"/>
    <w:rsid w:val="05880F3B"/>
    <w:rsid w:val="0592157E"/>
    <w:rsid w:val="05A02C7F"/>
    <w:rsid w:val="05A167D5"/>
    <w:rsid w:val="05B66017"/>
    <w:rsid w:val="05C56ED2"/>
    <w:rsid w:val="05CF3DB5"/>
    <w:rsid w:val="05D22BD7"/>
    <w:rsid w:val="05D932A2"/>
    <w:rsid w:val="05E17E07"/>
    <w:rsid w:val="05FF1838"/>
    <w:rsid w:val="06025A90"/>
    <w:rsid w:val="060C08A1"/>
    <w:rsid w:val="06110DFB"/>
    <w:rsid w:val="06123656"/>
    <w:rsid w:val="0618401F"/>
    <w:rsid w:val="061D6D0E"/>
    <w:rsid w:val="06204F9E"/>
    <w:rsid w:val="06355214"/>
    <w:rsid w:val="06407354"/>
    <w:rsid w:val="064F49ED"/>
    <w:rsid w:val="06500E91"/>
    <w:rsid w:val="06672E75"/>
    <w:rsid w:val="067958AB"/>
    <w:rsid w:val="067B1C86"/>
    <w:rsid w:val="068666C9"/>
    <w:rsid w:val="068C1838"/>
    <w:rsid w:val="06966A2B"/>
    <w:rsid w:val="06BB5028"/>
    <w:rsid w:val="06C40DCA"/>
    <w:rsid w:val="06C6780F"/>
    <w:rsid w:val="06C85989"/>
    <w:rsid w:val="06CD343A"/>
    <w:rsid w:val="06DC0977"/>
    <w:rsid w:val="06DF1D39"/>
    <w:rsid w:val="06F943A0"/>
    <w:rsid w:val="06FE347C"/>
    <w:rsid w:val="06FF7F4A"/>
    <w:rsid w:val="0703567E"/>
    <w:rsid w:val="07047ECE"/>
    <w:rsid w:val="07097C34"/>
    <w:rsid w:val="071853AE"/>
    <w:rsid w:val="07313F51"/>
    <w:rsid w:val="07407E0E"/>
    <w:rsid w:val="074D10CC"/>
    <w:rsid w:val="07576CD8"/>
    <w:rsid w:val="077A1431"/>
    <w:rsid w:val="077D494F"/>
    <w:rsid w:val="079035F7"/>
    <w:rsid w:val="079F6F2A"/>
    <w:rsid w:val="07A43DB1"/>
    <w:rsid w:val="07A86D96"/>
    <w:rsid w:val="07C44941"/>
    <w:rsid w:val="07CE4A17"/>
    <w:rsid w:val="07CE7149"/>
    <w:rsid w:val="07D962E2"/>
    <w:rsid w:val="07DA7C53"/>
    <w:rsid w:val="07DD65F7"/>
    <w:rsid w:val="07E212EE"/>
    <w:rsid w:val="07EA2C20"/>
    <w:rsid w:val="07F5433A"/>
    <w:rsid w:val="07FE1CDB"/>
    <w:rsid w:val="07FE68E4"/>
    <w:rsid w:val="080E6316"/>
    <w:rsid w:val="08187672"/>
    <w:rsid w:val="083514EA"/>
    <w:rsid w:val="083B16D7"/>
    <w:rsid w:val="0848667D"/>
    <w:rsid w:val="085705E0"/>
    <w:rsid w:val="085846A0"/>
    <w:rsid w:val="08720602"/>
    <w:rsid w:val="08751FBD"/>
    <w:rsid w:val="089D0466"/>
    <w:rsid w:val="089F1CE5"/>
    <w:rsid w:val="089F79E9"/>
    <w:rsid w:val="08AC4379"/>
    <w:rsid w:val="08B65503"/>
    <w:rsid w:val="08C4114D"/>
    <w:rsid w:val="08C55238"/>
    <w:rsid w:val="08C6429C"/>
    <w:rsid w:val="08C77405"/>
    <w:rsid w:val="08CC113E"/>
    <w:rsid w:val="08D35DAA"/>
    <w:rsid w:val="08DB6A6D"/>
    <w:rsid w:val="08EF7A01"/>
    <w:rsid w:val="0904639A"/>
    <w:rsid w:val="090B777A"/>
    <w:rsid w:val="0918624A"/>
    <w:rsid w:val="092C0E5C"/>
    <w:rsid w:val="09422C9A"/>
    <w:rsid w:val="09424A96"/>
    <w:rsid w:val="094F275C"/>
    <w:rsid w:val="096A0B31"/>
    <w:rsid w:val="096A2148"/>
    <w:rsid w:val="096C1815"/>
    <w:rsid w:val="0972671A"/>
    <w:rsid w:val="097E7DA5"/>
    <w:rsid w:val="09803D7A"/>
    <w:rsid w:val="098E71BF"/>
    <w:rsid w:val="09901235"/>
    <w:rsid w:val="099B68C7"/>
    <w:rsid w:val="09A83576"/>
    <w:rsid w:val="09B22E96"/>
    <w:rsid w:val="09B26559"/>
    <w:rsid w:val="09B907C2"/>
    <w:rsid w:val="09BA5D53"/>
    <w:rsid w:val="09C270E2"/>
    <w:rsid w:val="09D45935"/>
    <w:rsid w:val="09D678FF"/>
    <w:rsid w:val="09E748DF"/>
    <w:rsid w:val="09F86A86"/>
    <w:rsid w:val="09FC1D01"/>
    <w:rsid w:val="09FD076D"/>
    <w:rsid w:val="0A006242"/>
    <w:rsid w:val="0A060280"/>
    <w:rsid w:val="0A075F84"/>
    <w:rsid w:val="0A141668"/>
    <w:rsid w:val="0A4C4515"/>
    <w:rsid w:val="0A542A13"/>
    <w:rsid w:val="0A5B3123"/>
    <w:rsid w:val="0A5E2458"/>
    <w:rsid w:val="0A61251E"/>
    <w:rsid w:val="0A792DA1"/>
    <w:rsid w:val="0A8C21A4"/>
    <w:rsid w:val="0A8C6724"/>
    <w:rsid w:val="0A977411"/>
    <w:rsid w:val="0AA92466"/>
    <w:rsid w:val="0AC27052"/>
    <w:rsid w:val="0AC56307"/>
    <w:rsid w:val="0AE37C05"/>
    <w:rsid w:val="0AEB4BC1"/>
    <w:rsid w:val="0AED1FFF"/>
    <w:rsid w:val="0AF53DB5"/>
    <w:rsid w:val="0AF67B2D"/>
    <w:rsid w:val="0AF77E8D"/>
    <w:rsid w:val="0B065C6C"/>
    <w:rsid w:val="0B0E6391"/>
    <w:rsid w:val="0B1272D8"/>
    <w:rsid w:val="0B1424C2"/>
    <w:rsid w:val="0B177AFB"/>
    <w:rsid w:val="0B1F7AC7"/>
    <w:rsid w:val="0B39657B"/>
    <w:rsid w:val="0B461220"/>
    <w:rsid w:val="0B492353"/>
    <w:rsid w:val="0B4C1AC9"/>
    <w:rsid w:val="0B512FB6"/>
    <w:rsid w:val="0B64176A"/>
    <w:rsid w:val="0B691EA3"/>
    <w:rsid w:val="0B6A07AB"/>
    <w:rsid w:val="0B6B5465"/>
    <w:rsid w:val="0B755AA9"/>
    <w:rsid w:val="0B7A3449"/>
    <w:rsid w:val="0B8069F5"/>
    <w:rsid w:val="0B814E53"/>
    <w:rsid w:val="0B826CE0"/>
    <w:rsid w:val="0B862159"/>
    <w:rsid w:val="0B962468"/>
    <w:rsid w:val="0B9D740B"/>
    <w:rsid w:val="0B9F1C6E"/>
    <w:rsid w:val="0BCF0AAA"/>
    <w:rsid w:val="0BD555C8"/>
    <w:rsid w:val="0BDC2EFD"/>
    <w:rsid w:val="0BE1416F"/>
    <w:rsid w:val="0BE53C10"/>
    <w:rsid w:val="0BEE2489"/>
    <w:rsid w:val="0BF64289"/>
    <w:rsid w:val="0BF8410F"/>
    <w:rsid w:val="0BFA7A25"/>
    <w:rsid w:val="0C056E77"/>
    <w:rsid w:val="0C077DBF"/>
    <w:rsid w:val="0C0C366D"/>
    <w:rsid w:val="0C1222DD"/>
    <w:rsid w:val="0C1B6313"/>
    <w:rsid w:val="0C271224"/>
    <w:rsid w:val="0C2B5693"/>
    <w:rsid w:val="0C312EBF"/>
    <w:rsid w:val="0C3409D1"/>
    <w:rsid w:val="0C4A1EDF"/>
    <w:rsid w:val="0C50352B"/>
    <w:rsid w:val="0C5B40EC"/>
    <w:rsid w:val="0C774C9E"/>
    <w:rsid w:val="0CA50467"/>
    <w:rsid w:val="0CAA3452"/>
    <w:rsid w:val="0CAA5073"/>
    <w:rsid w:val="0CAD77DF"/>
    <w:rsid w:val="0CC54C7F"/>
    <w:rsid w:val="0CFE2C9E"/>
    <w:rsid w:val="0D0A1FE1"/>
    <w:rsid w:val="0D0A2A0F"/>
    <w:rsid w:val="0D0F5366"/>
    <w:rsid w:val="0D1C75B2"/>
    <w:rsid w:val="0D1F15BD"/>
    <w:rsid w:val="0D2963D8"/>
    <w:rsid w:val="0D2C757B"/>
    <w:rsid w:val="0D2F1D05"/>
    <w:rsid w:val="0D337086"/>
    <w:rsid w:val="0D3E5667"/>
    <w:rsid w:val="0D4265B5"/>
    <w:rsid w:val="0D6856AB"/>
    <w:rsid w:val="0D6F1E62"/>
    <w:rsid w:val="0D750E6C"/>
    <w:rsid w:val="0D7A2A5F"/>
    <w:rsid w:val="0D8315C3"/>
    <w:rsid w:val="0D9A0C44"/>
    <w:rsid w:val="0D9E0A77"/>
    <w:rsid w:val="0DA76AE3"/>
    <w:rsid w:val="0DAC29F2"/>
    <w:rsid w:val="0DC80C78"/>
    <w:rsid w:val="0DCA57E5"/>
    <w:rsid w:val="0DCC061D"/>
    <w:rsid w:val="0DCE0020"/>
    <w:rsid w:val="0DCF6614"/>
    <w:rsid w:val="0DD23B5A"/>
    <w:rsid w:val="0DD47061"/>
    <w:rsid w:val="0DE11555"/>
    <w:rsid w:val="0E0475E9"/>
    <w:rsid w:val="0E0D4D74"/>
    <w:rsid w:val="0E137FAF"/>
    <w:rsid w:val="0E166C35"/>
    <w:rsid w:val="0E1D35C1"/>
    <w:rsid w:val="0E253848"/>
    <w:rsid w:val="0E323206"/>
    <w:rsid w:val="0E423593"/>
    <w:rsid w:val="0E443D5A"/>
    <w:rsid w:val="0E4566B4"/>
    <w:rsid w:val="0E496C9A"/>
    <w:rsid w:val="0E4E2D45"/>
    <w:rsid w:val="0E526540"/>
    <w:rsid w:val="0E533734"/>
    <w:rsid w:val="0E5B75AF"/>
    <w:rsid w:val="0E5C38F5"/>
    <w:rsid w:val="0E5D208C"/>
    <w:rsid w:val="0E6A2312"/>
    <w:rsid w:val="0E783D33"/>
    <w:rsid w:val="0E863AC2"/>
    <w:rsid w:val="0E8849E6"/>
    <w:rsid w:val="0E8B6774"/>
    <w:rsid w:val="0E963983"/>
    <w:rsid w:val="0E972A24"/>
    <w:rsid w:val="0E980EBB"/>
    <w:rsid w:val="0E9C4820"/>
    <w:rsid w:val="0EAE5C87"/>
    <w:rsid w:val="0EB775D4"/>
    <w:rsid w:val="0EBB4FF0"/>
    <w:rsid w:val="0EC03618"/>
    <w:rsid w:val="0EC20BEA"/>
    <w:rsid w:val="0EC23F5B"/>
    <w:rsid w:val="0EDB3F6B"/>
    <w:rsid w:val="0EDD34DE"/>
    <w:rsid w:val="0EDF0927"/>
    <w:rsid w:val="0EE71770"/>
    <w:rsid w:val="0EF93425"/>
    <w:rsid w:val="0EFA1E3D"/>
    <w:rsid w:val="0EFC3018"/>
    <w:rsid w:val="0EFD7236"/>
    <w:rsid w:val="0F0033FE"/>
    <w:rsid w:val="0F0C5B71"/>
    <w:rsid w:val="0F102B00"/>
    <w:rsid w:val="0F1D151B"/>
    <w:rsid w:val="0F1D4BC8"/>
    <w:rsid w:val="0F285F9E"/>
    <w:rsid w:val="0F2A6053"/>
    <w:rsid w:val="0F3D2270"/>
    <w:rsid w:val="0F3F5BEA"/>
    <w:rsid w:val="0F413F94"/>
    <w:rsid w:val="0F430FD4"/>
    <w:rsid w:val="0F4E4880"/>
    <w:rsid w:val="0F59068B"/>
    <w:rsid w:val="0F5A0CFF"/>
    <w:rsid w:val="0F5D0D3B"/>
    <w:rsid w:val="0F630BDA"/>
    <w:rsid w:val="0F865924"/>
    <w:rsid w:val="0F8A7A69"/>
    <w:rsid w:val="0F8D38E0"/>
    <w:rsid w:val="0FA94FFE"/>
    <w:rsid w:val="0FAF2EB3"/>
    <w:rsid w:val="0FB545CB"/>
    <w:rsid w:val="0FC24AB0"/>
    <w:rsid w:val="0FD158FF"/>
    <w:rsid w:val="0FD41C91"/>
    <w:rsid w:val="0FE22A75"/>
    <w:rsid w:val="0FE465FF"/>
    <w:rsid w:val="0FE95B56"/>
    <w:rsid w:val="0FF07479"/>
    <w:rsid w:val="0FFC3E38"/>
    <w:rsid w:val="0FFD4D1C"/>
    <w:rsid w:val="10000301"/>
    <w:rsid w:val="1004532A"/>
    <w:rsid w:val="100E00B6"/>
    <w:rsid w:val="10110D83"/>
    <w:rsid w:val="10115AD8"/>
    <w:rsid w:val="10142E7B"/>
    <w:rsid w:val="101E3A6A"/>
    <w:rsid w:val="10233173"/>
    <w:rsid w:val="1024272A"/>
    <w:rsid w:val="10276990"/>
    <w:rsid w:val="102802AF"/>
    <w:rsid w:val="102D16D0"/>
    <w:rsid w:val="103142DB"/>
    <w:rsid w:val="10344B52"/>
    <w:rsid w:val="1034544C"/>
    <w:rsid w:val="10357851"/>
    <w:rsid w:val="103804F1"/>
    <w:rsid w:val="103A01BE"/>
    <w:rsid w:val="103C4BC2"/>
    <w:rsid w:val="10430851"/>
    <w:rsid w:val="10430E79"/>
    <w:rsid w:val="104A7EA5"/>
    <w:rsid w:val="106065D9"/>
    <w:rsid w:val="10672559"/>
    <w:rsid w:val="10673D79"/>
    <w:rsid w:val="106F6A60"/>
    <w:rsid w:val="10744527"/>
    <w:rsid w:val="10755870"/>
    <w:rsid w:val="10817B8B"/>
    <w:rsid w:val="1088601E"/>
    <w:rsid w:val="1097590F"/>
    <w:rsid w:val="1098201D"/>
    <w:rsid w:val="10A30004"/>
    <w:rsid w:val="10B23B37"/>
    <w:rsid w:val="10B31AC8"/>
    <w:rsid w:val="10B512B8"/>
    <w:rsid w:val="10B65D95"/>
    <w:rsid w:val="10B826E5"/>
    <w:rsid w:val="10BD5BA8"/>
    <w:rsid w:val="10BE10ED"/>
    <w:rsid w:val="10C123FA"/>
    <w:rsid w:val="10C151B6"/>
    <w:rsid w:val="10CB62AF"/>
    <w:rsid w:val="10E42AF2"/>
    <w:rsid w:val="10FC2D15"/>
    <w:rsid w:val="10FF70DE"/>
    <w:rsid w:val="11010A52"/>
    <w:rsid w:val="110613D7"/>
    <w:rsid w:val="110B7B9F"/>
    <w:rsid w:val="111B6A6A"/>
    <w:rsid w:val="111C00CF"/>
    <w:rsid w:val="11241C6E"/>
    <w:rsid w:val="112E0021"/>
    <w:rsid w:val="113329B2"/>
    <w:rsid w:val="1164721C"/>
    <w:rsid w:val="11651816"/>
    <w:rsid w:val="116D5089"/>
    <w:rsid w:val="117A57CA"/>
    <w:rsid w:val="118440E5"/>
    <w:rsid w:val="11A4519E"/>
    <w:rsid w:val="11AE1965"/>
    <w:rsid w:val="11B461B6"/>
    <w:rsid w:val="11B76268"/>
    <w:rsid w:val="11B80336"/>
    <w:rsid w:val="11BD14E0"/>
    <w:rsid w:val="11D108B7"/>
    <w:rsid w:val="11E53726"/>
    <w:rsid w:val="11F0177A"/>
    <w:rsid w:val="11F23DDD"/>
    <w:rsid w:val="11FB4046"/>
    <w:rsid w:val="120C3472"/>
    <w:rsid w:val="121E5C37"/>
    <w:rsid w:val="122B1445"/>
    <w:rsid w:val="122B3A78"/>
    <w:rsid w:val="122E6A5A"/>
    <w:rsid w:val="123065BD"/>
    <w:rsid w:val="12311611"/>
    <w:rsid w:val="123F17D3"/>
    <w:rsid w:val="124467EB"/>
    <w:rsid w:val="124B3B3C"/>
    <w:rsid w:val="12502219"/>
    <w:rsid w:val="12531EB0"/>
    <w:rsid w:val="125C5BF4"/>
    <w:rsid w:val="12647A72"/>
    <w:rsid w:val="12672A95"/>
    <w:rsid w:val="127E0B34"/>
    <w:rsid w:val="128D521B"/>
    <w:rsid w:val="129C6FED"/>
    <w:rsid w:val="12A23EAA"/>
    <w:rsid w:val="12A4590E"/>
    <w:rsid w:val="12B1593C"/>
    <w:rsid w:val="12D371AD"/>
    <w:rsid w:val="12FB4D13"/>
    <w:rsid w:val="131A2B99"/>
    <w:rsid w:val="131E23A3"/>
    <w:rsid w:val="13205B53"/>
    <w:rsid w:val="132304F7"/>
    <w:rsid w:val="13271835"/>
    <w:rsid w:val="132A71AF"/>
    <w:rsid w:val="1331316C"/>
    <w:rsid w:val="133B4FB9"/>
    <w:rsid w:val="133C68AA"/>
    <w:rsid w:val="13460D42"/>
    <w:rsid w:val="13470ED9"/>
    <w:rsid w:val="134A170E"/>
    <w:rsid w:val="134D2B8A"/>
    <w:rsid w:val="134E6B88"/>
    <w:rsid w:val="1350052E"/>
    <w:rsid w:val="13574DD0"/>
    <w:rsid w:val="13745AEF"/>
    <w:rsid w:val="13755250"/>
    <w:rsid w:val="139F2A74"/>
    <w:rsid w:val="13A008CD"/>
    <w:rsid w:val="13A723E3"/>
    <w:rsid w:val="13A77344"/>
    <w:rsid w:val="13CF1F85"/>
    <w:rsid w:val="13CF59D6"/>
    <w:rsid w:val="13D8488F"/>
    <w:rsid w:val="13EC307D"/>
    <w:rsid w:val="13EE0DD1"/>
    <w:rsid w:val="13FE2D40"/>
    <w:rsid w:val="140E57A8"/>
    <w:rsid w:val="141365C8"/>
    <w:rsid w:val="14456DE6"/>
    <w:rsid w:val="144B0EEA"/>
    <w:rsid w:val="14551087"/>
    <w:rsid w:val="145675AF"/>
    <w:rsid w:val="145D2C16"/>
    <w:rsid w:val="1461498E"/>
    <w:rsid w:val="14673664"/>
    <w:rsid w:val="146A5355"/>
    <w:rsid w:val="147A5E14"/>
    <w:rsid w:val="148040ED"/>
    <w:rsid w:val="14805F30"/>
    <w:rsid w:val="14973355"/>
    <w:rsid w:val="14AA4D7E"/>
    <w:rsid w:val="14B24C5C"/>
    <w:rsid w:val="14C132E4"/>
    <w:rsid w:val="14D81E33"/>
    <w:rsid w:val="14E8558F"/>
    <w:rsid w:val="14F201F3"/>
    <w:rsid w:val="14F45F31"/>
    <w:rsid w:val="15081525"/>
    <w:rsid w:val="150A66AF"/>
    <w:rsid w:val="15113B96"/>
    <w:rsid w:val="15125E28"/>
    <w:rsid w:val="151848B0"/>
    <w:rsid w:val="152239F8"/>
    <w:rsid w:val="153313C4"/>
    <w:rsid w:val="15461BF7"/>
    <w:rsid w:val="15494455"/>
    <w:rsid w:val="15641609"/>
    <w:rsid w:val="156A427D"/>
    <w:rsid w:val="158F27F9"/>
    <w:rsid w:val="1591465B"/>
    <w:rsid w:val="1594241D"/>
    <w:rsid w:val="15A9411A"/>
    <w:rsid w:val="15B11221"/>
    <w:rsid w:val="15BA62C3"/>
    <w:rsid w:val="15BC7CF8"/>
    <w:rsid w:val="15BE22B1"/>
    <w:rsid w:val="15D63E55"/>
    <w:rsid w:val="15D86B42"/>
    <w:rsid w:val="15D90BDF"/>
    <w:rsid w:val="15DD5ECA"/>
    <w:rsid w:val="15E909BB"/>
    <w:rsid w:val="15EB4733"/>
    <w:rsid w:val="15EF5C47"/>
    <w:rsid w:val="15F453FB"/>
    <w:rsid w:val="1600455E"/>
    <w:rsid w:val="16012E00"/>
    <w:rsid w:val="161F2668"/>
    <w:rsid w:val="162B2D81"/>
    <w:rsid w:val="16354F06"/>
    <w:rsid w:val="16387C49"/>
    <w:rsid w:val="163F4E6B"/>
    <w:rsid w:val="16475867"/>
    <w:rsid w:val="1649480C"/>
    <w:rsid w:val="164C2CF7"/>
    <w:rsid w:val="1651451D"/>
    <w:rsid w:val="16587142"/>
    <w:rsid w:val="165A0089"/>
    <w:rsid w:val="16715BFE"/>
    <w:rsid w:val="167330E8"/>
    <w:rsid w:val="1676510F"/>
    <w:rsid w:val="16791B2B"/>
    <w:rsid w:val="167A366C"/>
    <w:rsid w:val="16A9014A"/>
    <w:rsid w:val="16AE139D"/>
    <w:rsid w:val="16B84A32"/>
    <w:rsid w:val="16BC4C89"/>
    <w:rsid w:val="16C62CF0"/>
    <w:rsid w:val="16C96C02"/>
    <w:rsid w:val="16D13A93"/>
    <w:rsid w:val="16E44ABF"/>
    <w:rsid w:val="16EC2F91"/>
    <w:rsid w:val="16F00307"/>
    <w:rsid w:val="16F15FB1"/>
    <w:rsid w:val="16F75359"/>
    <w:rsid w:val="16F76EDA"/>
    <w:rsid w:val="16F81AD2"/>
    <w:rsid w:val="1700124A"/>
    <w:rsid w:val="1709683E"/>
    <w:rsid w:val="170B0EAA"/>
    <w:rsid w:val="1716153F"/>
    <w:rsid w:val="171D443B"/>
    <w:rsid w:val="171D7928"/>
    <w:rsid w:val="171E5F9A"/>
    <w:rsid w:val="171F0B4E"/>
    <w:rsid w:val="172D06CB"/>
    <w:rsid w:val="172D48D7"/>
    <w:rsid w:val="174B7841"/>
    <w:rsid w:val="174D4542"/>
    <w:rsid w:val="1751178D"/>
    <w:rsid w:val="17521185"/>
    <w:rsid w:val="17527376"/>
    <w:rsid w:val="17553155"/>
    <w:rsid w:val="17671865"/>
    <w:rsid w:val="177B5C92"/>
    <w:rsid w:val="177E126D"/>
    <w:rsid w:val="17861330"/>
    <w:rsid w:val="17962426"/>
    <w:rsid w:val="179C20E1"/>
    <w:rsid w:val="179D11A9"/>
    <w:rsid w:val="17A141F7"/>
    <w:rsid w:val="17A72566"/>
    <w:rsid w:val="17B234F6"/>
    <w:rsid w:val="17D5054D"/>
    <w:rsid w:val="17E44B72"/>
    <w:rsid w:val="17F31887"/>
    <w:rsid w:val="17F431B8"/>
    <w:rsid w:val="17FB61FF"/>
    <w:rsid w:val="180A5DFF"/>
    <w:rsid w:val="180C6BE2"/>
    <w:rsid w:val="181949BB"/>
    <w:rsid w:val="181C294C"/>
    <w:rsid w:val="181C739F"/>
    <w:rsid w:val="181E3FEC"/>
    <w:rsid w:val="18326A17"/>
    <w:rsid w:val="18583BD5"/>
    <w:rsid w:val="185A4F8B"/>
    <w:rsid w:val="185F4F64"/>
    <w:rsid w:val="186017A7"/>
    <w:rsid w:val="187D3D27"/>
    <w:rsid w:val="18881F6D"/>
    <w:rsid w:val="189C1061"/>
    <w:rsid w:val="189C7F66"/>
    <w:rsid w:val="189F7AE4"/>
    <w:rsid w:val="18A1732B"/>
    <w:rsid w:val="18A64387"/>
    <w:rsid w:val="18B35706"/>
    <w:rsid w:val="18B455FA"/>
    <w:rsid w:val="18B65D3E"/>
    <w:rsid w:val="18C63644"/>
    <w:rsid w:val="18C821EE"/>
    <w:rsid w:val="18D73301"/>
    <w:rsid w:val="18DC6F08"/>
    <w:rsid w:val="18E057B6"/>
    <w:rsid w:val="18ED7A84"/>
    <w:rsid w:val="18EF01C7"/>
    <w:rsid w:val="18F12204"/>
    <w:rsid w:val="18F924A4"/>
    <w:rsid w:val="190068C7"/>
    <w:rsid w:val="190667D2"/>
    <w:rsid w:val="1920672D"/>
    <w:rsid w:val="192D2E87"/>
    <w:rsid w:val="194E5CC9"/>
    <w:rsid w:val="195B2869"/>
    <w:rsid w:val="19627DD0"/>
    <w:rsid w:val="197025FA"/>
    <w:rsid w:val="19726CE2"/>
    <w:rsid w:val="197C0CF2"/>
    <w:rsid w:val="198468B8"/>
    <w:rsid w:val="1985668C"/>
    <w:rsid w:val="19856C4C"/>
    <w:rsid w:val="19875239"/>
    <w:rsid w:val="19913482"/>
    <w:rsid w:val="19956654"/>
    <w:rsid w:val="19AC61A1"/>
    <w:rsid w:val="19B75B45"/>
    <w:rsid w:val="19C37774"/>
    <w:rsid w:val="19D379B8"/>
    <w:rsid w:val="19D511CC"/>
    <w:rsid w:val="19E445B9"/>
    <w:rsid w:val="19ED131F"/>
    <w:rsid w:val="19F732B6"/>
    <w:rsid w:val="19FC3383"/>
    <w:rsid w:val="1A004BB4"/>
    <w:rsid w:val="1A0960B5"/>
    <w:rsid w:val="1A096D76"/>
    <w:rsid w:val="1A0F5EEA"/>
    <w:rsid w:val="1A134D3F"/>
    <w:rsid w:val="1A1C478F"/>
    <w:rsid w:val="1A1F5E07"/>
    <w:rsid w:val="1A203259"/>
    <w:rsid w:val="1A2451E1"/>
    <w:rsid w:val="1A25776D"/>
    <w:rsid w:val="1A292598"/>
    <w:rsid w:val="1A3B5478"/>
    <w:rsid w:val="1A4426FE"/>
    <w:rsid w:val="1A555ADC"/>
    <w:rsid w:val="1A5B03F7"/>
    <w:rsid w:val="1A5C58EA"/>
    <w:rsid w:val="1A747435"/>
    <w:rsid w:val="1A7948E0"/>
    <w:rsid w:val="1A7E60DC"/>
    <w:rsid w:val="1A7F0309"/>
    <w:rsid w:val="1A8011C2"/>
    <w:rsid w:val="1A8E4F93"/>
    <w:rsid w:val="1A953215"/>
    <w:rsid w:val="1A9D1E89"/>
    <w:rsid w:val="1AAB4BCB"/>
    <w:rsid w:val="1ABD0CE9"/>
    <w:rsid w:val="1AC26C91"/>
    <w:rsid w:val="1AD102CD"/>
    <w:rsid w:val="1AEC6857"/>
    <w:rsid w:val="1AEE13E2"/>
    <w:rsid w:val="1AF2262C"/>
    <w:rsid w:val="1AF4282F"/>
    <w:rsid w:val="1AF84297"/>
    <w:rsid w:val="1AF916A0"/>
    <w:rsid w:val="1B021D33"/>
    <w:rsid w:val="1B0E23ED"/>
    <w:rsid w:val="1B3A75C2"/>
    <w:rsid w:val="1B3E60DA"/>
    <w:rsid w:val="1B4C6C32"/>
    <w:rsid w:val="1B5C0E37"/>
    <w:rsid w:val="1B5F1B58"/>
    <w:rsid w:val="1B64198F"/>
    <w:rsid w:val="1B862EF8"/>
    <w:rsid w:val="1B8844BC"/>
    <w:rsid w:val="1B8E324C"/>
    <w:rsid w:val="1B9A5153"/>
    <w:rsid w:val="1B9D4639"/>
    <w:rsid w:val="1BA817B3"/>
    <w:rsid w:val="1BB16714"/>
    <w:rsid w:val="1BBA2257"/>
    <w:rsid w:val="1BC33A5C"/>
    <w:rsid w:val="1BC577D4"/>
    <w:rsid w:val="1BDD3C46"/>
    <w:rsid w:val="1BDE1625"/>
    <w:rsid w:val="1BE0016A"/>
    <w:rsid w:val="1BE315D9"/>
    <w:rsid w:val="1BFC40C1"/>
    <w:rsid w:val="1BFD52CB"/>
    <w:rsid w:val="1C0801FA"/>
    <w:rsid w:val="1C102D1B"/>
    <w:rsid w:val="1C1B3D3B"/>
    <w:rsid w:val="1C1B73F4"/>
    <w:rsid w:val="1C2145D6"/>
    <w:rsid w:val="1C236DEF"/>
    <w:rsid w:val="1C2416A3"/>
    <w:rsid w:val="1C2506FF"/>
    <w:rsid w:val="1C271290"/>
    <w:rsid w:val="1C382851"/>
    <w:rsid w:val="1C395892"/>
    <w:rsid w:val="1C410ABC"/>
    <w:rsid w:val="1C421454"/>
    <w:rsid w:val="1C446125"/>
    <w:rsid w:val="1C4D6193"/>
    <w:rsid w:val="1C4E1577"/>
    <w:rsid w:val="1C5F19D6"/>
    <w:rsid w:val="1C635D7E"/>
    <w:rsid w:val="1C6632CB"/>
    <w:rsid w:val="1C731D10"/>
    <w:rsid w:val="1C8166F6"/>
    <w:rsid w:val="1C8179D9"/>
    <w:rsid w:val="1C827935"/>
    <w:rsid w:val="1C892ADC"/>
    <w:rsid w:val="1C8D2613"/>
    <w:rsid w:val="1C8E7336"/>
    <w:rsid w:val="1C903426"/>
    <w:rsid w:val="1C9E7876"/>
    <w:rsid w:val="1CA84A27"/>
    <w:rsid w:val="1CA8617A"/>
    <w:rsid w:val="1CA90268"/>
    <w:rsid w:val="1CBD6AD7"/>
    <w:rsid w:val="1CBF2C82"/>
    <w:rsid w:val="1CCF653B"/>
    <w:rsid w:val="1CD33E10"/>
    <w:rsid w:val="1CE53E3A"/>
    <w:rsid w:val="1CE80822"/>
    <w:rsid w:val="1CF7217C"/>
    <w:rsid w:val="1D0600A4"/>
    <w:rsid w:val="1D085BCA"/>
    <w:rsid w:val="1D314D7C"/>
    <w:rsid w:val="1D385263"/>
    <w:rsid w:val="1D4A686E"/>
    <w:rsid w:val="1D4D7A81"/>
    <w:rsid w:val="1D743260"/>
    <w:rsid w:val="1D7940CD"/>
    <w:rsid w:val="1D7A4260"/>
    <w:rsid w:val="1D855628"/>
    <w:rsid w:val="1D862542"/>
    <w:rsid w:val="1D935415"/>
    <w:rsid w:val="1DAA5EB2"/>
    <w:rsid w:val="1DB5761A"/>
    <w:rsid w:val="1DCF7908"/>
    <w:rsid w:val="1DD10155"/>
    <w:rsid w:val="1DF148B0"/>
    <w:rsid w:val="1DFA65A3"/>
    <w:rsid w:val="1DFD4103"/>
    <w:rsid w:val="1E1203B5"/>
    <w:rsid w:val="1E1C644B"/>
    <w:rsid w:val="1E226E68"/>
    <w:rsid w:val="1E274038"/>
    <w:rsid w:val="1E3F732A"/>
    <w:rsid w:val="1E4F5A7B"/>
    <w:rsid w:val="1E4F663B"/>
    <w:rsid w:val="1E654ED4"/>
    <w:rsid w:val="1E6E2435"/>
    <w:rsid w:val="1E741412"/>
    <w:rsid w:val="1E753113"/>
    <w:rsid w:val="1E914D5B"/>
    <w:rsid w:val="1E916CEF"/>
    <w:rsid w:val="1EA04B8E"/>
    <w:rsid w:val="1EAD39FF"/>
    <w:rsid w:val="1EB53AE2"/>
    <w:rsid w:val="1EB77316"/>
    <w:rsid w:val="1ECE386C"/>
    <w:rsid w:val="1EDA063D"/>
    <w:rsid w:val="1EEC350C"/>
    <w:rsid w:val="1EF07B54"/>
    <w:rsid w:val="1EF65ED1"/>
    <w:rsid w:val="1EF86D03"/>
    <w:rsid w:val="1F0169DF"/>
    <w:rsid w:val="1F0914BD"/>
    <w:rsid w:val="1F10383E"/>
    <w:rsid w:val="1F1A7314"/>
    <w:rsid w:val="1F234F3D"/>
    <w:rsid w:val="1F2760B0"/>
    <w:rsid w:val="1F312505"/>
    <w:rsid w:val="1F316B42"/>
    <w:rsid w:val="1F3B126A"/>
    <w:rsid w:val="1F5B1F39"/>
    <w:rsid w:val="1F6B5EB7"/>
    <w:rsid w:val="1F79116C"/>
    <w:rsid w:val="1F803150"/>
    <w:rsid w:val="1F8B663F"/>
    <w:rsid w:val="1F933B6D"/>
    <w:rsid w:val="1F971487"/>
    <w:rsid w:val="1F9B0813"/>
    <w:rsid w:val="1FA5406C"/>
    <w:rsid w:val="1FAB474C"/>
    <w:rsid w:val="1FAD2193"/>
    <w:rsid w:val="1FAE5E34"/>
    <w:rsid w:val="1FB010FC"/>
    <w:rsid w:val="1FB5190D"/>
    <w:rsid w:val="1FD004F5"/>
    <w:rsid w:val="1FD473A2"/>
    <w:rsid w:val="1FD75E6D"/>
    <w:rsid w:val="1FE952FA"/>
    <w:rsid w:val="20032679"/>
    <w:rsid w:val="200D6143"/>
    <w:rsid w:val="20155E88"/>
    <w:rsid w:val="201762B3"/>
    <w:rsid w:val="201C5838"/>
    <w:rsid w:val="201E0CFC"/>
    <w:rsid w:val="202F16C0"/>
    <w:rsid w:val="20365850"/>
    <w:rsid w:val="203C3DDD"/>
    <w:rsid w:val="2042173D"/>
    <w:rsid w:val="20472A0F"/>
    <w:rsid w:val="204C0C81"/>
    <w:rsid w:val="204D1354"/>
    <w:rsid w:val="20551D5D"/>
    <w:rsid w:val="206D3E0B"/>
    <w:rsid w:val="207A40F1"/>
    <w:rsid w:val="207C0F46"/>
    <w:rsid w:val="207F3FB6"/>
    <w:rsid w:val="208134A5"/>
    <w:rsid w:val="208143B7"/>
    <w:rsid w:val="20895274"/>
    <w:rsid w:val="20A25089"/>
    <w:rsid w:val="20B4447D"/>
    <w:rsid w:val="20BB2E64"/>
    <w:rsid w:val="20C00248"/>
    <w:rsid w:val="20C6413B"/>
    <w:rsid w:val="20CC5F0A"/>
    <w:rsid w:val="20D5021D"/>
    <w:rsid w:val="20DB4F95"/>
    <w:rsid w:val="20EA0C0A"/>
    <w:rsid w:val="20EA3839"/>
    <w:rsid w:val="20F63B7C"/>
    <w:rsid w:val="20F70489"/>
    <w:rsid w:val="20F81FDE"/>
    <w:rsid w:val="20FE4D0D"/>
    <w:rsid w:val="21013108"/>
    <w:rsid w:val="21071D51"/>
    <w:rsid w:val="211A0BFC"/>
    <w:rsid w:val="211C3DAA"/>
    <w:rsid w:val="212B539D"/>
    <w:rsid w:val="212E5902"/>
    <w:rsid w:val="21314DF3"/>
    <w:rsid w:val="21460B0C"/>
    <w:rsid w:val="21466CC1"/>
    <w:rsid w:val="215D509E"/>
    <w:rsid w:val="216A29E9"/>
    <w:rsid w:val="216B2E38"/>
    <w:rsid w:val="217A05EA"/>
    <w:rsid w:val="218E52EE"/>
    <w:rsid w:val="219A1264"/>
    <w:rsid w:val="21A809A5"/>
    <w:rsid w:val="21AA1EEC"/>
    <w:rsid w:val="21B26F3A"/>
    <w:rsid w:val="21B31E7D"/>
    <w:rsid w:val="21BA10AC"/>
    <w:rsid w:val="21CA2E7B"/>
    <w:rsid w:val="21D267A7"/>
    <w:rsid w:val="21E35F41"/>
    <w:rsid w:val="21E97EBB"/>
    <w:rsid w:val="21EA12B6"/>
    <w:rsid w:val="21F63E62"/>
    <w:rsid w:val="21FF416D"/>
    <w:rsid w:val="2205509A"/>
    <w:rsid w:val="22163C90"/>
    <w:rsid w:val="221B3C31"/>
    <w:rsid w:val="222A51F7"/>
    <w:rsid w:val="222F2989"/>
    <w:rsid w:val="223D33AB"/>
    <w:rsid w:val="223D6797"/>
    <w:rsid w:val="22541E9B"/>
    <w:rsid w:val="22742C45"/>
    <w:rsid w:val="22745421"/>
    <w:rsid w:val="227B3565"/>
    <w:rsid w:val="22886894"/>
    <w:rsid w:val="228E694F"/>
    <w:rsid w:val="22900BBB"/>
    <w:rsid w:val="229C185A"/>
    <w:rsid w:val="22A939AB"/>
    <w:rsid w:val="22AB3844"/>
    <w:rsid w:val="22AF418E"/>
    <w:rsid w:val="22BC5C2F"/>
    <w:rsid w:val="22C434E6"/>
    <w:rsid w:val="22CA360C"/>
    <w:rsid w:val="22F322DF"/>
    <w:rsid w:val="22FB3ADB"/>
    <w:rsid w:val="230734DA"/>
    <w:rsid w:val="23097A09"/>
    <w:rsid w:val="230A4901"/>
    <w:rsid w:val="23186599"/>
    <w:rsid w:val="23363822"/>
    <w:rsid w:val="23492A98"/>
    <w:rsid w:val="234E00AF"/>
    <w:rsid w:val="234F4F9F"/>
    <w:rsid w:val="236004DD"/>
    <w:rsid w:val="23643277"/>
    <w:rsid w:val="236A5F21"/>
    <w:rsid w:val="237004F0"/>
    <w:rsid w:val="237C17D0"/>
    <w:rsid w:val="237C2E0C"/>
    <w:rsid w:val="23832D79"/>
    <w:rsid w:val="2393303A"/>
    <w:rsid w:val="23A81EB5"/>
    <w:rsid w:val="23AC12A8"/>
    <w:rsid w:val="23C10043"/>
    <w:rsid w:val="23C33B62"/>
    <w:rsid w:val="23C92124"/>
    <w:rsid w:val="23CB23E1"/>
    <w:rsid w:val="23CB668F"/>
    <w:rsid w:val="23D92665"/>
    <w:rsid w:val="23DB74E8"/>
    <w:rsid w:val="23EC49B8"/>
    <w:rsid w:val="240F5A90"/>
    <w:rsid w:val="241C24D2"/>
    <w:rsid w:val="24287E32"/>
    <w:rsid w:val="24356EDC"/>
    <w:rsid w:val="243748CB"/>
    <w:rsid w:val="24446917"/>
    <w:rsid w:val="244C1963"/>
    <w:rsid w:val="244E07F7"/>
    <w:rsid w:val="24570568"/>
    <w:rsid w:val="245A2A83"/>
    <w:rsid w:val="247116E9"/>
    <w:rsid w:val="24770D8C"/>
    <w:rsid w:val="2478463F"/>
    <w:rsid w:val="24800324"/>
    <w:rsid w:val="248F01FE"/>
    <w:rsid w:val="249C50CF"/>
    <w:rsid w:val="24A3229B"/>
    <w:rsid w:val="24AF30A7"/>
    <w:rsid w:val="24BB54B4"/>
    <w:rsid w:val="24CB26EC"/>
    <w:rsid w:val="24CB276B"/>
    <w:rsid w:val="24D3573A"/>
    <w:rsid w:val="24D42CDE"/>
    <w:rsid w:val="24E60EA1"/>
    <w:rsid w:val="24F84776"/>
    <w:rsid w:val="250018A8"/>
    <w:rsid w:val="25034EC9"/>
    <w:rsid w:val="25052BDB"/>
    <w:rsid w:val="251C2547"/>
    <w:rsid w:val="251E2948"/>
    <w:rsid w:val="252C67D5"/>
    <w:rsid w:val="25335027"/>
    <w:rsid w:val="2533755C"/>
    <w:rsid w:val="253402FE"/>
    <w:rsid w:val="25503CCA"/>
    <w:rsid w:val="255658F1"/>
    <w:rsid w:val="25697F9B"/>
    <w:rsid w:val="2570253C"/>
    <w:rsid w:val="257313AA"/>
    <w:rsid w:val="257E032D"/>
    <w:rsid w:val="258120BD"/>
    <w:rsid w:val="258424AE"/>
    <w:rsid w:val="258831CB"/>
    <w:rsid w:val="259D10B5"/>
    <w:rsid w:val="259F6D3F"/>
    <w:rsid w:val="25AC4397"/>
    <w:rsid w:val="25AC73F0"/>
    <w:rsid w:val="25C91C70"/>
    <w:rsid w:val="25CD6031"/>
    <w:rsid w:val="25E27596"/>
    <w:rsid w:val="25E60A73"/>
    <w:rsid w:val="25E65168"/>
    <w:rsid w:val="25F25851"/>
    <w:rsid w:val="26015A19"/>
    <w:rsid w:val="26062902"/>
    <w:rsid w:val="260C19E4"/>
    <w:rsid w:val="26172776"/>
    <w:rsid w:val="261C6EDE"/>
    <w:rsid w:val="26245D8F"/>
    <w:rsid w:val="26415E76"/>
    <w:rsid w:val="264213C7"/>
    <w:rsid w:val="26461F5A"/>
    <w:rsid w:val="264B644D"/>
    <w:rsid w:val="2664268E"/>
    <w:rsid w:val="26675EF0"/>
    <w:rsid w:val="266766B2"/>
    <w:rsid w:val="26693856"/>
    <w:rsid w:val="268077C9"/>
    <w:rsid w:val="268D7140"/>
    <w:rsid w:val="269D7FD6"/>
    <w:rsid w:val="26A20792"/>
    <w:rsid w:val="26A44B7A"/>
    <w:rsid w:val="26B430B5"/>
    <w:rsid w:val="26BA6895"/>
    <w:rsid w:val="26C74DB3"/>
    <w:rsid w:val="26D422DA"/>
    <w:rsid w:val="26E01B85"/>
    <w:rsid w:val="26E069E8"/>
    <w:rsid w:val="26F22358"/>
    <w:rsid w:val="26F35DC8"/>
    <w:rsid w:val="26F44B25"/>
    <w:rsid w:val="26F74783"/>
    <w:rsid w:val="27032DC4"/>
    <w:rsid w:val="270D2A2D"/>
    <w:rsid w:val="270F3FF9"/>
    <w:rsid w:val="2712188B"/>
    <w:rsid w:val="272B740C"/>
    <w:rsid w:val="273121C1"/>
    <w:rsid w:val="27384399"/>
    <w:rsid w:val="273E6D68"/>
    <w:rsid w:val="27531E6D"/>
    <w:rsid w:val="275B16C7"/>
    <w:rsid w:val="275B2D9A"/>
    <w:rsid w:val="27661F4C"/>
    <w:rsid w:val="276A2576"/>
    <w:rsid w:val="27771FB6"/>
    <w:rsid w:val="277841B0"/>
    <w:rsid w:val="27830923"/>
    <w:rsid w:val="27847502"/>
    <w:rsid w:val="279D7543"/>
    <w:rsid w:val="27A0235E"/>
    <w:rsid w:val="27A94DCE"/>
    <w:rsid w:val="27AC68C4"/>
    <w:rsid w:val="27AE5CFD"/>
    <w:rsid w:val="27BB5456"/>
    <w:rsid w:val="27C46B92"/>
    <w:rsid w:val="27C732F3"/>
    <w:rsid w:val="27C82DD9"/>
    <w:rsid w:val="27D04393"/>
    <w:rsid w:val="27D85FBE"/>
    <w:rsid w:val="27DD7C53"/>
    <w:rsid w:val="27E234BC"/>
    <w:rsid w:val="27E60276"/>
    <w:rsid w:val="27EA0562"/>
    <w:rsid w:val="27F0727D"/>
    <w:rsid w:val="28064E1B"/>
    <w:rsid w:val="280D61D7"/>
    <w:rsid w:val="281778A7"/>
    <w:rsid w:val="283244AF"/>
    <w:rsid w:val="28370AE6"/>
    <w:rsid w:val="283F3339"/>
    <w:rsid w:val="284208D6"/>
    <w:rsid w:val="284C2EC3"/>
    <w:rsid w:val="284F35CF"/>
    <w:rsid w:val="2857412D"/>
    <w:rsid w:val="28587C4F"/>
    <w:rsid w:val="286C0DA0"/>
    <w:rsid w:val="286C17BB"/>
    <w:rsid w:val="28727189"/>
    <w:rsid w:val="2874680A"/>
    <w:rsid w:val="28820CD0"/>
    <w:rsid w:val="28844465"/>
    <w:rsid w:val="288566F4"/>
    <w:rsid w:val="288928F8"/>
    <w:rsid w:val="289016FF"/>
    <w:rsid w:val="28955C65"/>
    <w:rsid w:val="28990FE8"/>
    <w:rsid w:val="28992885"/>
    <w:rsid w:val="28B14BC9"/>
    <w:rsid w:val="28B22E8D"/>
    <w:rsid w:val="28B23C3B"/>
    <w:rsid w:val="28B37B09"/>
    <w:rsid w:val="28B37BA6"/>
    <w:rsid w:val="28B5472C"/>
    <w:rsid w:val="28B60944"/>
    <w:rsid w:val="28BF2C03"/>
    <w:rsid w:val="28C40E35"/>
    <w:rsid w:val="28D177B8"/>
    <w:rsid w:val="28DC58FC"/>
    <w:rsid w:val="28EC4443"/>
    <w:rsid w:val="28FA7DA0"/>
    <w:rsid w:val="290E11B2"/>
    <w:rsid w:val="290F02E0"/>
    <w:rsid w:val="290F3536"/>
    <w:rsid w:val="291D5104"/>
    <w:rsid w:val="29240CB7"/>
    <w:rsid w:val="29243951"/>
    <w:rsid w:val="2925122E"/>
    <w:rsid w:val="292C3A8A"/>
    <w:rsid w:val="29361D11"/>
    <w:rsid w:val="293730B7"/>
    <w:rsid w:val="293F1711"/>
    <w:rsid w:val="29511C5F"/>
    <w:rsid w:val="29657F00"/>
    <w:rsid w:val="296A66E0"/>
    <w:rsid w:val="296E2B57"/>
    <w:rsid w:val="297B40ED"/>
    <w:rsid w:val="29905390"/>
    <w:rsid w:val="2992577F"/>
    <w:rsid w:val="299E5AD3"/>
    <w:rsid w:val="29A12E98"/>
    <w:rsid w:val="29B34965"/>
    <w:rsid w:val="29BA46F0"/>
    <w:rsid w:val="29C81DEE"/>
    <w:rsid w:val="29CC6860"/>
    <w:rsid w:val="29CD5104"/>
    <w:rsid w:val="29D03AE9"/>
    <w:rsid w:val="29D35C3B"/>
    <w:rsid w:val="29E96443"/>
    <w:rsid w:val="29EA3801"/>
    <w:rsid w:val="29F77F7F"/>
    <w:rsid w:val="2A0C2A72"/>
    <w:rsid w:val="2A0D3F44"/>
    <w:rsid w:val="2A0F77B2"/>
    <w:rsid w:val="2A17569E"/>
    <w:rsid w:val="2A2E1891"/>
    <w:rsid w:val="2A33308A"/>
    <w:rsid w:val="2A522B7B"/>
    <w:rsid w:val="2A554FF6"/>
    <w:rsid w:val="2A587332"/>
    <w:rsid w:val="2A6358A0"/>
    <w:rsid w:val="2A697EC4"/>
    <w:rsid w:val="2A755520"/>
    <w:rsid w:val="2A8A6487"/>
    <w:rsid w:val="2A957438"/>
    <w:rsid w:val="2AAA6513"/>
    <w:rsid w:val="2ABA0CE3"/>
    <w:rsid w:val="2ABC6BA4"/>
    <w:rsid w:val="2ACB2722"/>
    <w:rsid w:val="2ACC6767"/>
    <w:rsid w:val="2AD3585E"/>
    <w:rsid w:val="2AD73A46"/>
    <w:rsid w:val="2AD9065F"/>
    <w:rsid w:val="2AE1609D"/>
    <w:rsid w:val="2AE311EC"/>
    <w:rsid w:val="2AE934C2"/>
    <w:rsid w:val="2B0E43B4"/>
    <w:rsid w:val="2B1420FC"/>
    <w:rsid w:val="2B1963D3"/>
    <w:rsid w:val="2B2636BF"/>
    <w:rsid w:val="2B2A3E4E"/>
    <w:rsid w:val="2B2A6827"/>
    <w:rsid w:val="2B2D11B9"/>
    <w:rsid w:val="2B392377"/>
    <w:rsid w:val="2B3C0A9A"/>
    <w:rsid w:val="2B4E1EAD"/>
    <w:rsid w:val="2B606BD1"/>
    <w:rsid w:val="2B6B30F4"/>
    <w:rsid w:val="2B6D70C3"/>
    <w:rsid w:val="2B7B72AC"/>
    <w:rsid w:val="2B8124AF"/>
    <w:rsid w:val="2B812547"/>
    <w:rsid w:val="2B854247"/>
    <w:rsid w:val="2B9E6593"/>
    <w:rsid w:val="2BA453AC"/>
    <w:rsid w:val="2BBE3630"/>
    <w:rsid w:val="2BC6121D"/>
    <w:rsid w:val="2BC6254C"/>
    <w:rsid w:val="2BC730F4"/>
    <w:rsid w:val="2BC90B7E"/>
    <w:rsid w:val="2BCA04EF"/>
    <w:rsid w:val="2BE23A73"/>
    <w:rsid w:val="2BE772F2"/>
    <w:rsid w:val="2BF75B25"/>
    <w:rsid w:val="2BFC4057"/>
    <w:rsid w:val="2BFD08C4"/>
    <w:rsid w:val="2C003A50"/>
    <w:rsid w:val="2C063C1D"/>
    <w:rsid w:val="2C0F5533"/>
    <w:rsid w:val="2C0F6098"/>
    <w:rsid w:val="2C1F1C18"/>
    <w:rsid w:val="2C1F6A8C"/>
    <w:rsid w:val="2C22559E"/>
    <w:rsid w:val="2C2F43D6"/>
    <w:rsid w:val="2C31056E"/>
    <w:rsid w:val="2C364F00"/>
    <w:rsid w:val="2C395466"/>
    <w:rsid w:val="2C3D2F5D"/>
    <w:rsid w:val="2C3D5164"/>
    <w:rsid w:val="2C4E0A2C"/>
    <w:rsid w:val="2C514A54"/>
    <w:rsid w:val="2C5A4A61"/>
    <w:rsid w:val="2C717D50"/>
    <w:rsid w:val="2C74376C"/>
    <w:rsid w:val="2C7801D0"/>
    <w:rsid w:val="2C83302B"/>
    <w:rsid w:val="2C84529A"/>
    <w:rsid w:val="2C9C243A"/>
    <w:rsid w:val="2CBA5C99"/>
    <w:rsid w:val="2CCC46FF"/>
    <w:rsid w:val="2CD943F3"/>
    <w:rsid w:val="2CF51284"/>
    <w:rsid w:val="2CFC5F8C"/>
    <w:rsid w:val="2CFE28F9"/>
    <w:rsid w:val="2D076ADD"/>
    <w:rsid w:val="2D11306E"/>
    <w:rsid w:val="2D114DCF"/>
    <w:rsid w:val="2D1F71EF"/>
    <w:rsid w:val="2D216306"/>
    <w:rsid w:val="2D242BB1"/>
    <w:rsid w:val="2D2439EA"/>
    <w:rsid w:val="2D257DE8"/>
    <w:rsid w:val="2D3B050B"/>
    <w:rsid w:val="2D3F69CC"/>
    <w:rsid w:val="2D481BC1"/>
    <w:rsid w:val="2D48475C"/>
    <w:rsid w:val="2D4D1BCC"/>
    <w:rsid w:val="2D4F6EFD"/>
    <w:rsid w:val="2D545814"/>
    <w:rsid w:val="2D697359"/>
    <w:rsid w:val="2D6F7A1B"/>
    <w:rsid w:val="2D7204DC"/>
    <w:rsid w:val="2D7719E5"/>
    <w:rsid w:val="2D80741E"/>
    <w:rsid w:val="2D88079B"/>
    <w:rsid w:val="2D891D55"/>
    <w:rsid w:val="2D996688"/>
    <w:rsid w:val="2D9B47A9"/>
    <w:rsid w:val="2DA81799"/>
    <w:rsid w:val="2DAA1075"/>
    <w:rsid w:val="2DBA30ED"/>
    <w:rsid w:val="2DD17B9E"/>
    <w:rsid w:val="2DF05E5F"/>
    <w:rsid w:val="2DF84BF8"/>
    <w:rsid w:val="2E1A39AF"/>
    <w:rsid w:val="2E20297E"/>
    <w:rsid w:val="2E361EAB"/>
    <w:rsid w:val="2E362CA1"/>
    <w:rsid w:val="2E386A1D"/>
    <w:rsid w:val="2E624245"/>
    <w:rsid w:val="2E6F1538"/>
    <w:rsid w:val="2E744998"/>
    <w:rsid w:val="2E782484"/>
    <w:rsid w:val="2E7F3168"/>
    <w:rsid w:val="2E842CB0"/>
    <w:rsid w:val="2E8D2D02"/>
    <w:rsid w:val="2E934B35"/>
    <w:rsid w:val="2EA547CC"/>
    <w:rsid w:val="2EAE6F07"/>
    <w:rsid w:val="2EBC39EE"/>
    <w:rsid w:val="2EBF6C5D"/>
    <w:rsid w:val="2ED533A3"/>
    <w:rsid w:val="2ED753FC"/>
    <w:rsid w:val="2EEA298A"/>
    <w:rsid w:val="2EEB6F3A"/>
    <w:rsid w:val="2EF328ED"/>
    <w:rsid w:val="2EF86A48"/>
    <w:rsid w:val="2EFC2AA4"/>
    <w:rsid w:val="2EFF324B"/>
    <w:rsid w:val="2F0E76F0"/>
    <w:rsid w:val="2F0F6197"/>
    <w:rsid w:val="2F120BE1"/>
    <w:rsid w:val="2F222891"/>
    <w:rsid w:val="2F260202"/>
    <w:rsid w:val="2F287C43"/>
    <w:rsid w:val="2F493F0A"/>
    <w:rsid w:val="2F495F2A"/>
    <w:rsid w:val="2F4F3A71"/>
    <w:rsid w:val="2F541613"/>
    <w:rsid w:val="2F756311"/>
    <w:rsid w:val="2F792C68"/>
    <w:rsid w:val="2FB347A5"/>
    <w:rsid w:val="2FBE2214"/>
    <w:rsid w:val="2FCF07C9"/>
    <w:rsid w:val="2FD12AE3"/>
    <w:rsid w:val="2FD80315"/>
    <w:rsid w:val="2FE41092"/>
    <w:rsid w:val="2FE87896"/>
    <w:rsid w:val="2FEC1265"/>
    <w:rsid w:val="2FF75939"/>
    <w:rsid w:val="2FF970BE"/>
    <w:rsid w:val="2FFD7C30"/>
    <w:rsid w:val="30182543"/>
    <w:rsid w:val="302419D6"/>
    <w:rsid w:val="302827D3"/>
    <w:rsid w:val="30311B0B"/>
    <w:rsid w:val="303932AE"/>
    <w:rsid w:val="303E67EE"/>
    <w:rsid w:val="30420F9B"/>
    <w:rsid w:val="305922DF"/>
    <w:rsid w:val="305B3FDF"/>
    <w:rsid w:val="305F095F"/>
    <w:rsid w:val="30601978"/>
    <w:rsid w:val="30681B2A"/>
    <w:rsid w:val="306857C7"/>
    <w:rsid w:val="308D5920"/>
    <w:rsid w:val="309655A9"/>
    <w:rsid w:val="30A05CC2"/>
    <w:rsid w:val="30BF5C92"/>
    <w:rsid w:val="30C93074"/>
    <w:rsid w:val="30CB1CB5"/>
    <w:rsid w:val="30D10088"/>
    <w:rsid w:val="30D25086"/>
    <w:rsid w:val="30D76AEB"/>
    <w:rsid w:val="30E93A58"/>
    <w:rsid w:val="30EB1633"/>
    <w:rsid w:val="30EF5146"/>
    <w:rsid w:val="30F276FC"/>
    <w:rsid w:val="310A1821"/>
    <w:rsid w:val="310C4A77"/>
    <w:rsid w:val="311741D6"/>
    <w:rsid w:val="311F10D6"/>
    <w:rsid w:val="311F24BE"/>
    <w:rsid w:val="311F69A8"/>
    <w:rsid w:val="31313A84"/>
    <w:rsid w:val="313A7EC4"/>
    <w:rsid w:val="313C4E21"/>
    <w:rsid w:val="314632BB"/>
    <w:rsid w:val="3148126B"/>
    <w:rsid w:val="314A231E"/>
    <w:rsid w:val="314E32B9"/>
    <w:rsid w:val="315346D2"/>
    <w:rsid w:val="315372CC"/>
    <w:rsid w:val="3157280D"/>
    <w:rsid w:val="315D67A3"/>
    <w:rsid w:val="3163417D"/>
    <w:rsid w:val="316F76AD"/>
    <w:rsid w:val="317579FC"/>
    <w:rsid w:val="317902A9"/>
    <w:rsid w:val="317C6D20"/>
    <w:rsid w:val="317D6BDC"/>
    <w:rsid w:val="31813D45"/>
    <w:rsid w:val="318179DB"/>
    <w:rsid w:val="31956B3E"/>
    <w:rsid w:val="319638C6"/>
    <w:rsid w:val="31970732"/>
    <w:rsid w:val="31A43F7B"/>
    <w:rsid w:val="31B15FEC"/>
    <w:rsid w:val="31B402FA"/>
    <w:rsid w:val="31D44E72"/>
    <w:rsid w:val="31E03CCA"/>
    <w:rsid w:val="31E27790"/>
    <w:rsid w:val="31F02423"/>
    <w:rsid w:val="31F664E1"/>
    <w:rsid w:val="32052E10"/>
    <w:rsid w:val="32134D7B"/>
    <w:rsid w:val="32311AA4"/>
    <w:rsid w:val="32353110"/>
    <w:rsid w:val="32362E6E"/>
    <w:rsid w:val="323A37C3"/>
    <w:rsid w:val="323A55BB"/>
    <w:rsid w:val="3240150B"/>
    <w:rsid w:val="324803BF"/>
    <w:rsid w:val="3261786D"/>
    <w:rsid w:val="326A2A2B"/>
    <w:rsid w:val="327A179F"/>
    <w:rsid w:val="328D4EBA"/>
    <w:rsid w:val="3292535C"/>
    <w:rsid w:val="329C7B3E"/>
    <w:rsid w:val="32BA381F"/>
    <w:rsid w:val="32C04482"/>
    <w:rsid w:val="32C12C2B"/>
    <w:rsid w:val="32CC0848"/>
    <w:rsid w:val="32CF5CFB"/>
    <w:rsid w:val="32D768F9"/>
    <w:rsid w:val="32D80470"/>
    <w:rsid w:val="32D86FF1"/>
    <w:rsid w:val="32E17678"/>
    <w:rsid w:val="32E47C9F"/>
    <w:rsid w:val="32E95A74"/>
    <w:rsid w:val="32EC50D1"/>
    <w:rsid w:val="32F272EE"/>
    <w:rsid w:val="32F479DD"/>
    <w:rsid w:val="32FF63EB"/>
    <w:rsid w:val="331C0D3B"/>
    <w:rsid w:val="332307F9"/>
    <w:rsid w:val="33346832"/>
    <w:rsid w:val="3338085C"/>
    <w:rsid w:val="333B5874"/>
    <w:rsid w:val="33433433"/>
    <w:rsid w:val="334545B9"/>
    <w:rsid w:val="334C37C7"/>
    <w:rsid w:val="334D2131"/>
    <w:rsid w:val="33581A56"/>
    <w:rsid w:val="33802506"/>
    <w:rsid w:val="338E5DEF"/>
    <w:rsid w:val="339D315C"/>
    <w:rsid w:val="339F2AE6"/>
    <w:rsid w:val="33A06705"/>
    <w:rsid w:val="33A645CF"/>
    <w:rsid w:val="33AD0505"/>
    <w:rsid w:val="33AF6948"/>
    <w:rsid w:val="33B33BDF"/>
    <w:rsid w:val="33B42B8C"/>
    <w:rsid w:val="33CE4D97"/>
    <w:rsid w:val="33D75FC0"/>
    <w:rsid w:val="33EA6EBD"/>
    <w:rsid w:val="33ED1F20"/>
    <w:rsid w:val="33FE2F74"/>
    <w:rsid w:val="3409363C"/>
    <w:rsid w:val="340A328C"/>
    <w:rsid w:val="340D7248"/>
    <w:rsid w:val="34160775"/>
    <w:rsid w:val="341838A6"/>
    <w:rsid w:val="34204F4C"/>
    <w:rsid w:val="342B6C55"/>
    <w:rsid w:val="34327F5F"/>
    <w:rsid w:val="343B47A4"/>
    <w:rsid w:val="344067CA"/>
    <w:rsid w:val="34416F7C"/>
    <w:rsid w:val="34426687"/>
    <w:rsid w:val="344319D6"/>
    <w:rsid w:val="3446015E"/>
    <w:rsid w:val="344F5E3E"/>
    <w:rsid w:val="3462394C"/>
    <w:rsid w:val="347B0DB3"/>
    <w:rsid w:val="348619F6"/>
    <w:rsid w:val="348B5E86"/>
    <w:rsid w:val="34965481"/>
    <w:rsid w:val="34A2132C"/>
    <w:rsid w:val="34AD79C6"/>
    <w:rsid w:val="34B868E1"/>
    <w:rsid w:val="34BA2157"/>
    <w:rsid w:val="34BA22CF"/>
    <w:rsid w:val="34BA3AA8"/>
    <w:rsid w:val="34C70909"/>
    <w:rsid w:val="34D16F8B"/>
    <w:rsid w:val="34D321B9"/>
    <w:rsid w:val="34D348B8"/>
    <w:rsid w:val="34D64AA7"/>
    <w:rsid w:val="34D83195"/>
    <w:rsid w:val="34D83D60"/>
    <w:rsid w:val="34E63569"/>
    <w:rsid w:val="34E750DA"/>
    <w:rsid w:val="34F67921"/>
    <w:rsid w:val="350325D0"/>
    <w:rsid w:val="350974B0"/>
    <w:rsid w:val="350E58F0"/>
    <w:rsid w:val="35252644"/>
    <w:rsid w:val="35261B4D"/>
    <w:rsid w:val="352C7F5B"/>
    <w:rsid w:val="35415CC5"/>
    <w:rsid w:val="354631E6"/>
    <w:rsid w:val="35474A00"/>
    <w:rsid w:val="355514A4"/>
    <w:rsid w:val="35576048"/>
    <w:rsid w:val="356133A7"/>
    <w:rsid w:val="357B3B1B"/>
    <w:rsid w:val="35903B55"/>
    <w:rsid w:val="359412D3"/>
    <w:rsid w:val="35A146C6"/>
    <w:rsid w:val="35A95619"/>
    <w:rsid w:val="35AB1391"/>
    <w:rsid w:val="35C67F79"/>
    <w:rsid w:val="35D13379"/>
    <w:rsid w:val="35D429CB"/>
    <w:rsid w:val="35D72B1B"/>
    <w:rsid w:val="35E13004"/>
    <w:rsid w:val="35E24DB2"/>
    <w:rsid w:val="35EB4C6E"/>
    <w:rsid w:val="35F20D6E"/>
    <w:rsid w:val="35F45C39"/>
    <w:rsid w:val="36004B53"/>
    <w:rsid w:val="362F0EDA"/>
    <w:rsid w:val="36315D3A"/>
    <w:rsid w:val="36363E0D"/>
    <w:rsid w:val="36416E8F"/>
    <w:rsid w:val="365F7FAF"/>
    <w:rsid w:val="36635313"/>
    <w:rsid w:val="36635C63"/>
    <w:rsid w:val="366F00BD"/>
    <w:rsid w:val="367C2E30"/>
    <w:rsid w:val="367D1CA4"/>
    <w:rsid w:val="367F4CA6"/>
    <w:rsid w:val="36934F7F"/>
    <w:rsid w:val="3695131D"/>
    <w:rsid w:val="369737B0"/>
    <w:rsid w:val="36995759"/>
    <w:rsid w:val="36AC228B"/>
    <w:rsid w:val="36B04C59"/>
    <w:rsid w:val="36BE665F"/>
    <w:rsid w:val="36C615CE"/>
    <w:rsid w:val="36E8434B"/>
    <w:rsid w:val="36EF5742"/>
    <w:rsid w:val="36F079A3"/>
    <w:rsid w:val="36F20B4D"/>
    <w:rsid w:val="36FA0A90"/>
    <w:rsid w:val="370D0F31"/>
    <w:rsid w:val="372525FF"/>
    <w:rsid w:val="372F0378"/>
    <w:rsid w:val="372F652A"/>
    <w:rsid w:val="37396A34"/>
    <w:rsid w:val="373B04F2"/>
    <w:rsid w:val="374E16EB"/>
    <w:rsid w:val="375079EC"/>
    <w:rsid w:val="375342C7"/>
    <w:rsid w:val="37565FF2"/>
    <w:rsid w:val="376223F0"/>
    <w:rsid w:val="376F3DA2"/>
    <w:rsid w:val="37836D98"/>
    <w:rsid w:val="3784633D"/>
    <w:rsid w:val="378F5C5E"/>
    <w:rsid w:val="3799680D"/>
    <w:rsid w:val="37AB1391"/>
    <w:rsid w:val="37BE79BC"/>
    <w:rsid w:val="37C10C47"/>
    <w:rsid w:val="37C47D68"/>
    <w:rsid w:val="37D4691B"/>
    <w:rsid w:val="37D61DD8"/>
    <w:rsid w:val="37DC6DA7"/>
    <w:rsid w:val="37E64902"/>
    <w:rsid w:val="37EE0826"/>
    <w:rsid w:val="37EE0A92"/>
    <w:rsid w:val="37F11176"/>
    <w:rsid w:val="37F324A3"/>
    <w:rsid w:val="37F621FD"/>
    <w:rsid w:val="37FE01FA"/>
    <w:rsid w:val="38061BDA"/>
    <w:rsid w:val="381044CC"/>
    <w:rsid w:val="381366DF"/>
    <w:rsid w:val="38210309"/>
    <w:rsid w:val="38263E22"/>
    <w:rsid w:val="38290904"/>
    <w:rsid w:val="3830014D"/>
    <w:rsid w:val="38335ECE"/>
    <w:rsid w:val="383429A6"/>
    <w:rsid w:val="383A1C2C"/>
    <w:rsid w:val="38431D54"/>
    <w:rsid w:val="3849468E"/>
    <w:rsid w:val="386267CB"/>
    <w:rsid w:val="386F4220"/>
    <w:rsid w:val="387060D2"/>
    <w:rsid w:val="38806B18"/>
    <w:rsid w:val="388F4F9A"/>
    <w:rsid w:val="389102DA"/>
    <w:rsid w:val="389C24F8"/>
    <w:rsid w:val="389F232A"/>
    <w:rsid w:val="38A50A20"/>
    <w:rsid w:val="38C073F1"/>
    <w:rsid w:val="38C47680"/>
    <w:rsid w:val="38D37649"/>
    <w:rsid w:val="38E54054"/>
    <w:rsid w:val="38F235C6"/>
    <w:rsid w:val="38F62E5D"/>
    <w:rsid w:val="38F641A1"/>
    <w:rsid w:val="390850EA"/>
    <w:rsid w:val="39152B52"/>
    <w:rsid w:val="391F4983"/>
    <w:rsid w:val="39225B16"/>
    <w:rsid w:val="39226B49"/>
    <w:rsid w:val="39275DFB"/>
    <w:rsid w:val="39286304"/>
    <w:rsid w:val="393115C2"/>
    <w:rsid w:val="39407FD8"/>
    <w:rsid w:val="394A2C6F"/>
    <w:rsid w:val="394E76CF"/>
    <w:rsid w:val="3958607A"/>
    <w:rsid w:val="395D0A0D"/>
    <w:rsid w:val="3968580F"/>
    <w:rsid w:val="397F0102"/>
    <w:rsid w:val="398B16FF"/>
    <w:rsid w:val="39B159CA"/>
    <w:rsid w:val="39B800F5"/>
    <w:rsid w:val="39BE53D6"/>
    <w:rsid w:val="39D56CB9"/>
    <w:rsid w:val="39D76904"/>
    <w:rsid w:val="39DB4F94"/>
    <w:rsid w:val="39E711EA"/>
    <w:rsid w:val="39E9620C"/>
    <w:rsid w:val="39EB3B81"/>
    <w:rsid w:val="39F149E8"/>
    <w:rsid w:val="39F54CA2"/>
    <w:rsid w:val="3A064531"/>
    <w:rsid w:val="3A0A1B23"/>
    <w:rsid w:val="3A0C7A10"/>
    <w:rsid w:val="3A0E7C4F"/>
    <w:rsid w:val="3A1473EF"/>
    <w:rsid w:val="3A1A0893"/>
    <w:rsid w:val="3A2B732D"/>
    <w:rsid w:val="3A3A5CD6"/>
    <w:rsid w:val="3A4B70E9"/>
    <w:rsid w:val="3A4E015B"/>
    <w:rsid w:val="3A5C534F"/>
    <w:rsid w:val="3A667F7C"/>
    <w:rsid w:val="3A6B6DF4"/>
    <w:rsid w:val="3A7139DF"/>
    <w:rsid w:val="3A730F09"/>
    <w:rsid w:val="3A800457"/>
    <w:rsid w:val="3A826517"/>
    <w:rsid w:val="3A9374F9"/>
    <w:rsid w:val="3A997463"/>
    <w:rsid w:val="3A9B19D4"/>
    <w:rsid w:val="3A9D5BAC"/>
    <w:rsid w:val="3AA1560E"/>
    <w:rsid w:val="3AA60AE3"/>
    <w:rsid w:val="3AAB720F"/>
    <w:rsid w:val="3AAD2388"/>
    <w:rsid w:val="3AB15DF4"/>
    <w:rsid w:val="3AB53EE2"/>
    <w:rsid w:val="3AB701EF"/>
    <w:rsid w:val="3AB84DFB"/>
    <w:rsid w:val="3ABC7EBD"/>
    <w:rsid w:val="3AC30EDE"/>
    <w:rsid w:val="3AD4390D"/>
    <w:rsid w:val="3ADC4D58"/>
    <w:rsid w:val="3ADF1B88"/>
    <w:rsid w:val="3AE84145"/>
    <w:rsid w:val="3AED5DC5"/>
    <w:rsid w:val="3AF07C00"/>
    <w:rsid w:val="3B003E5B"/>
    <w:rsid w:val="3B02109A"/>
    <w:rsid w:val="3B19419E"/>
    <w:rsid w:val="3B1A13AF"/>
    <w:rsid w:val="3B265952"/>
    <w:rsid w:val="3B276B65"/>
    <w:rsid w:val="3B2C0842"/>
    <w:rsid w:val="3B385475"/>
    <w:rsid w:val="3B415A12"/>
    <w:rsid w:val="3B4C08AC"/>
    <w:rsid w:val="3B5B07F2"/>
    <w:rsid w:val="3B5B46B0"/>
    <w:rsid w:val="3B6030BF"/>
    <w:rsid w:val="3B647824"/>
    <w:rsid w:val="3B652639"/>
    <w:rsid w:val="3B77415E"/>
    <w:rsid w:val="3B867253"/>
    <w:rsid w:val="3B9608A1"/>
    <w:rsid w:val="3B9A7EDD"/>
    <w:rsid w:val="3B9B3B3D"/>
    <w:rsid w:val="3BA5394C"/>
    <w:rsid w:val="3BA64AD4"/>
    <w:rsid w:val="3BAC40A8"/>
    <w:rsid w:val="3BAE4749"/>
    <w:rsid w:val="3BB624CB"/>
    <w:rsid w:val="3BBB0CCE"/>
    <w:rsid w:val="3BC42118"/>
    <w:rsid w:val="3BD32C9B"/>
    <w:rsid w:val="3BD67FC5"/>
    <w:rsid w:val="3BDC4070"/>
    <w:rsid w:val="3BE51ED5"/>
    <w:rsid w:val="3BE712C4"/>
    <w:rsid w:val="3BEE5B7C"/>
    <w:rsid w:val="3BF96691"/>
    <w:rsid w:val="3BFE3F91"/>
    <w:rsid w:val="3C0E1B2A"/>
    <w:rsid w:val="3C0F6496"/>
    <w:rsid w:val="3C1A68AD"/>
    <w:rsid w:val="3C221F5A"/>
    <w:rsid w:val="3C2346A6"/>
    <w:rsid w:val="3C2F6709"/>
    <w:rsid w:val="3C34421F"/>
    <w:rsid w:val="3C371BD0"/>
    <w:rsid w:val="3C37572C"/>
    <w:rsid w:val="3C4760FB"/>
    <w:rsid w:val="3C484FEC"/>
    <w:rsid w:val="3C5671D9"/>
    <w:rsid w:val="3C5E3766"/>
    <w:rsid w:val="3C7254C1"/>
    <w:rsid w:val="3C752E14"/>
    <w:rsid w:val="3C776758"/>
    <w:rsid w:val="3C9608F4"/>
    <w:rsid w:val="3C986B1F"/>
    <w:rsid w:val="3C9E0CF8"/>
    <w:rsid w:val="3CA628B2"/>
    <w:rsid w:val="3CA74BDD"/>
    <w:rsid w:val="3CA80B2A"/>
    <w:rsid w:val="3CAF79B9"/>
    <w:rsid w:val="3CBB2A96"/>
    <w:rsid w:val="3CBC6F3C"/>
    <w:rsid w:val="3CC64D8C"/>
    <w:rsid w:val="3CCE695F"/>
    <w:rsid w:val="3CD27922"/>
    <w:rsid w:val="3CE4280A"/>
    <w:rsid w:val="3CF83061"/>
    <w:rsid w:val="3CFC2C39"/>
    <w:rsid w:val="3D060539"/>
    <w:rsid w:val="3D0855A2"/>
    <w:rsid w:val="3D0F48FB"/>
    <w:rsid w:val="3D257113"/>
    <w:rsid w:val="3D2F0AF9"/>
    <w:rsid w:val="3D406863"/>
    <w:rsid w:val="3D487C94"/>
    <w:rsid w:val="3D4E71D1"/>
    <w:rsid w:val="3D54685A"/>
    <w:rsid w:val="3D5C2D06"/>
    <w:rsid w:val="3D5E2339"/>
    <w:rsid w:val="3D6C3AFB"/>
    <w:rsid w:val="3D784546"/>
    <w:rsid w:val="3D806A9B"/>
    <w:rsid w:val="3D856577"/>
    <w:rsid w:val="3D885FA9"/>
    <w:rsid w:val="3D891FB8"/>
    <w:rsid w:val="3D8C1654"/>
    <w:rsid w:val="3D934BE4"/>
    <w:rsid w:val="3D97792F"/>
    <w:rsid w:val="3DA2386D"/>
    <w:rsid w:val="3DA6228E"/>
    <w:rsid w:val="3DAD1EEC"/>
    <w:rsid w:val="3DB8289D"/>
    <w:rsid w:val="3DBF485F"/>
    <w:rsid w:val="3DC079A3"/>
    <w:rsid w:val="3DE5760F"/>
    <w:rsid w:val="3DEC08A8"/>
    <w:rsid w:val="3DFF0E5D"/>
    <w:rsid w:val="3E03001F"/>
    <w:rsid w:val="3E283D84"/>
    <w:rsid w:val="3E3622B8"/>
    <w:rsid w:val="3E4573F0"/>
    <w:rsid w:val="3E4C58E9"/>
    <w:rsid w:val="3E4E10B2"/>
    <w:rsid w:val="3E4E3201"/>
    <w:rsid w:val="3E510B20"/>
    <w:rsid w:val="3E5527E2"/>
    <w:rsid w:val="3E561730"/>
    <w:rsid w:val="3E5F5509"/>
    <w:rsid w:val="3E610F8C"/>
    <w:rsid w:val="3E675386"/>
    <w:rsid w:val="3E8527E8"/>
    <w:rsid w:val="3E8D1066"/>
    <w:rsid w:val="3E903D46"/>
    <w:rsid w:val="3E9055C8"/>
    <w:rsid w:val="3E952404"/>
    <w:rsid w:val="3EA053E9"/>
    <w:rsid w:val="3EA334DD"/>
    <w:rsid w:val="3EA465B8"/>
    <w:rsid w:val="3EAB54D7"/>
    <w:rsid w:val="3EB209EE"/>
    <w:rsid w:val="3EBC47E4"/>
    <w:rsid w:val="3EBC6D49"/>
    <w:rsid w:val="3EC3774B"/>
    <w:rsid w:val="3ECA0F7C"/>
    <w:rsid w:val="3ED060A2"/>
    <w:rsid w:val="3ED5511F"/>
    <w:rsid w:val="3EE85404"/>
    <w:rsid w:val="3EEC7956"/>
    <w:rsid w:val="3EF765D5"/>
    <w:rsid w:val="3EF7710B"/>
    <w:rsid w:val="3EF87B99"/>
    <w:rsid w:val="3EFB14C6"/>
    <w:rsid w:val="3F084677"/>
    <w:rsid w:val="3F0920F4"/>
    <w:rsid w:val="3F0B2EA0"/>
    <w:rsid w:val="3F0C3E23"/>
    <w:rsid w:val="3F14769B"/>
    <w:rsid w:val="3F186A65"/>
    <w:rsid w:val="3F236FD5"/>
    <w:rsid w:val="3F2F4DE1"/>
    <w:rsid w:val="3F4C78EC"/>
    <w:rsid w:val="3F520ACF"/>
    <w:rsid w:val="3F5761BC"/>
    <w:rsid w:val="3F7136BA"/>
    <w:rsid w:val="3F7C6868"/>
    <w:rsid w:val="3F8224CB"/>
    <w:rsid w:val="3F8409D2"/>
    <w:rsid w:val="3F8D4479"/>
    <w:rsid w:val="3F96537C"/>
    <w:rsid w:val="3F966EDD"/>
    <w:rsid w:val="3F970FDE"/>
    <w:rsid w:val="3F997BD3"/>
    <w:rsid w:val="3FA4608F"/>
    <w:rsid w:val="3FBA7117"/>
    <w:rsid w:val="3FBA7232"/>
    <w:rsid w:val="3FC50AB9"/>
    <w:rsid w:val="3FD100D2"/>
    <w:rsid w:val="3FD55988"/>
    <w:rsid w:val="3FE03AB7"/>
    <w:rsid w:val="3FE10479"/>
    <w:rsid w:val="3FF33400"/>
    <w:rsid w:val="3FFF2FBA"/>
    <w:rsid w:val="3FFFCA38"/>
    <w:rsid w:val="40033DAA"/>
    <w:rsid w:val="4008248A"/>
    <w:rsid w:val="40151FE5"/>
    <w:rsid w:val="401B25AD"/>
    <w:rsid w:val="401F4AA1"/>
    <w:rsid w:val="40334BCE"/>
    <w:rsid w:val="4037567F"/>
    <w:rsid w:val="403B3F6F"/>
    <w:rsid w:val="403C00CA"/>
    <w:rsid w:val="4046428C"/>
    <w:rsid w:val="404C0D0E"/>
    <w:rsid w:val="40544B3B"/>
    <w:rsid w:val="405A7C3B"/>
    <w:rsid w:val="406D13F2"/>
    <w:rsid w:val="407E26B1"/>
    <w:rsid w:val="40863438"/>
    <w:rsid w:val="408F243F"/>
    <w:rsid w:val="40985140"/>
    <w:rsid w:val="409A6EE8"/>
    <w:rsid w:val="40AC3868"/>
    <w:rsid w:val="40C8717C"/>
    <w:rsid w:val="40CE527F"/>
    <w:rsid w:val="40D45B3E"/>
    <w:rsid w:val="40D52C7B"/>
    <w:rsid w:val="40DF1457"/>
    <w:rsid w:val="40E671FE"/>
    <w:rsid w:val="41002317"/>
    <w:rsid w:val="41030E35"/>
    <w:rsid w:val="41196BFD"/>
    <w:rsid w:val="412769CC"/>
    <w:rsid w:val="412C7F8F"/>
    <w:rsid w:val="41344748"/>
    <w:rsid w:val="4135004E"/>
    <w:rsid w:val="41363C01"/>
    <w:rsid w:val="41391F47"/>
    <w:rsid w:val="413C193F"/>
    <w:rsid w:val="415374D0"/>
    <w:rsid w:val="41700675"/>
    <w:rsid w:val="417E4C6C"/>
    <w:rsid w:val="418351D0"/>
    <w:rsid w:val="4185620E"/>
    <w:rsid w:val="418D65CF"/>
    <w:rsid w:val="41994793"/>
    <w:rsid w:val="41AE12EE"/>
    <w:rsid w:val="41B4140F"/>
    <w:rsid w:val="41B65472"/>
    <w:rsid w:val="41BC4620"/>
    <w:rsid w:val="41C0209A"/>
    <w:rsid w:val="41C53D52"/>
    <w:rsid w:val="41C80A89"/>
    <w:rsid w:val="41CE7C0B"/>
    <w:rsid w:val="41D96BAE"/>
    <w:rsid w:val="41E72C0E"/>
    <w:rsid w:val="41E8090D"/>
    <w:rsid w:val="41EA017C"/>
    <w:rsid w:val="41EE61B3"/>
    <w:rsid w:val="41F45E6E"/>
    <w:rsid w:val="41F74C6C"/>
    <w:rsid w:val="41FD27DD"/>
    <w:rsid w:val="420773A5"/>
    <w:rsid w:val="421137D3"/>
    <w:rsid w:val="42146974"/>
    <w:rsid w:val="42197A4E"/>
    <w:rsid w:val="422E137F"/>
    <w:rsid w:val="424622E4"/>
    <w:rsid w:val="424C45B4"/>
    <w:rsid w:val="424C4859"/>
    <w:rsid w:val="425214A5"/>
    <w:rsid w:val="425C1690"/>
    <w:rsid w:val="42672AE3"/>
    <w:rsid w:val="427415DE"/>
    <w:rsid w:val="42882752"/>
    <w:rsid w:val="428970C0"/>
    <w:rsid w:val="428B0222"/>
    <w:rsid w:val="42A065E5"/>
    <w:rsid w:val="42A9004C"/>
    <w:rsid w:val="42B06F9B"/>
    <w:rsid w:val="42BA147F"/>
    <w:rsid w:val="42C062B2"/>
    <w:rsid w:val="42CB5122"/>
    <w:rsid w:val="42EE32FC"/>
    <w:rsid w:val="42F24C23"/>
    <w:rsid w:val="43014CE6"/>
    <w:rsid w:val="43102C90"/>
    <w:rsid w:val="431A7B56"/>
    <w:rsid w:val="431B1F06"/>
    <w:rsid w:val="43213EBD"/>
    <w:rsid w:val="43361F5E"/>
    <w:rsid w:val="434D7041"/>
    <w:rsid w:val="4350088E"/>
    <w:rsid w:val="436545E9"/>
    <w:rsid w:val="436C5462"/>
    <w:rsid w:val="436D0D30"/>
    <w:rsid w:val="4371243F"/>
    <w:rsid w:val="437C1CBF"/>
    <w:rsid w:val="438258CE"/>
    <w:rsid w:val="43947908"/>
    <w:rsid w:val="439873F8"/>
    <w:rsid w:val="43A644A3"/>
    <w:rsid w:val="43C00FC9"/>
    <w:rsid w:val="43D24BFD"/>
    <w:rsid w:val="43D84D01"/>
    <w:rsid w:val="43DC05F0"/>
    <w:rsid w:val="43E514BC"/>
    <w:rsid w:val="44010064"/>
    <w:rsid w:val="44277F65"/>
    <w:rsid w:val="442F4166"/>
    <w:rsid w:val="443B431D"/>
    <w:rsid w:val="445175A7"/>
    <w:rsid w:val="445B77D0"/>
    <w:rsid w:val="445D7C68"/>
    <w:rsid w:val="446D3343"/>
    <w:rsid w:val="44735770"/>
    <w:rsid w:val="44915BF6"/>
    <w:rsid w:val="44984905"/>
    <w:rsid w:val="449E7402"/>
    <w:rsid w:val="449F47B6"/>
    <w:rsid w:val="44A41DCD"/>
    <w:rsid w:val="44AB076B"/>
    <w:rsid w:val="44B87C9F"/>
    <w:rsid w:val="44C1472D"/>
    <w:rsid w:val="44C16CAB"/>
    <w:rsid w:val="44C35BC9"/>
    <w:rsid w:val="44C5155A"/>
    <w:rsid w:val="44E802C6"/>
    <w:rsid w:val="45060ED2"/>
    <w:rsid w:val="450A60D4"/>
    <w:rsid w:val="450E75B7"/>
    <w:rsid w:val="451A208F"/>
    <w:rsid w:val="451D1297"/>
    <w:rsid w:val="451E1B7F"/>
    <w:rsid w:val="452432EE"/>
    <w:rsid w:val="45275A63"/>
    <w:rsid w:val="45287844"/>
    <w:rsid w:val="452D591E"/>
    <w:rsid w:val="45300B85"/>
    <w:rsid w:val="4540527E"/>
    <w:rsid w:val="45527E74"/>
    <w:rsid w:val="455308E6"/>
    <w:rsid w:val="4555378E"/>
    <w:rsid w:val="455561E0"/>
    <w:rsid w:val="45584411"/>
    <w:rsid w:val="45594965"/>
    <w:rsid w:val="455F0924"/>
    <w:rsid w:val="456735C0"/>
    <w:rsid w:val="456D2789"/>
    <w:rsid w:val="456D2D94"/>
    <w:rsid w:val="45742769"/>
    <w:rsid w:val="457C19E2"/>
    <w:rsid w:val="457E7A89"/>
    <w:rsid w:val="457F4834"/>
    <w:rsid w:val="45856C79"/>
    <w:rsid w:val="45905DC6"/>
    <w:rsid w:val="45A3243E"/>
    <w:rsid w:val="45A45CA6"/>
    <w:rsid w:val="45A86A88"/>
    <w:rsid w:val="45AA4C0F"/>
    <w:rsid w:val="45AE5B70"/>
    <w:rsid w:val="45AF7272"/>
    <w:rsid w:val="45B46107"/>
    <w:rsid w:val="45B50119"/>
    <w:rsid w:val="45B778DE"/>
    <w:rsid w:val="45B92231"/>
    <w:rsid w:val="45B9706C"/>
    <w:rsid w:val="45BE47AE"/>
    <w:rsid w:val="45C25217"/>
    <w:rsid w:val="45CB49F3"/>
    <w:rsid w:val="45CC591B"/>
    <w:rsid w:val="45E726AC"/>
    <w:rsid w:val="45EA68EF"/>
    <w:rsid w:val="45EF3866"/>
    <w:rsid w:val="45F039C5"/>
    <w:rsid w:val="45F2498B"/>
    <w:rsid w:val="45F435EA"/>
    <w:rsid w:val="45F776C2"/>
    <w:rsid w:val="46194F8D"/>
    <w:rsid w:val="461D5895"/>
    <w:rsid w:val="46252865"/>
    <w:rsid w:val="464F7E8C"/>
    <w:rsid w:val="466379A0"/>
    <w:rsid w:val="46795B73"/>
    <w:rsid w:val="46835F2C"/>
    <w:rsid w:val="469156ED"/>
    <w:rsid w:val="46A064B9"/>
    <w:rsid w:val="46B37073"/>
    <w:rsid w:val="46B37479"/>
    <w:rsid w:val="46B92C5E"/>
    <w:rsid w:val="46BC277A"/>
    <w:rsid w:val="46C53CB1"/>
    <w:rsid w:val="46C634BE"/>
    <w:rsid w:val="46CC5F1A"/>
    <w:rsid w:val="46CD70C7"/>
    <w:rsid w:val="46D25639"/>
    <w:rsid w:val="46DF3C89"/>
    <w:rsid w:val="46E40CF0"/>
    <w:rsid w:val="46E456A4"/>
    <w:rsid w:val="46E8029E"/>
    <w:rsid w:val="46F04554"/>
    <w:rsid w:val="46F25184"/>
    <w:rsid w:val="47060B1D"/>
    <w:rsid w:val="470A1F4E"/>
    <w:rsid w:val="470B65BB"/>
    <w:rsid w:val="470C2336"/>
    <w:rsid w:val="470D3D85"/>
    <w:rsid w:val="470F2269"/>
    <w:rsid w:val="47111879"/>
    <w:rsid w:val="47115291"/>
    <w:rsid w:val="471A0099"/>
    <w:rsid w:val="4736778D"/>
    <w:rsid w:val="47440719"/>
    <w:rsid w:val="47487A5F"/>
    <w:rsid w:val="4764623A"/>
    <w:rsid w:val="476E6CED"/>
    <w:rsid w:val="477144CB"/>
    <w:rsid w:val="47737835"/>
    <w:rsid w:val="477B1ABA"/>
    <w:rsid w:val="477B7317"/>
    <w:rsid w:val="479003E6"/>
    <w:rsid w:val="479101D2"/>
    <w:rsid w:val="47A3396B"/>
    <w:rsid w:val="47AA5131"/>
    <w:rsid w:val="47AF4EE8"/>
    <w:rsid w:val="47B6200F"/>
    <w:rsid w:val="47CD3B64"/>
    <w:rsid w:val="47D35DB1"/>
    <w:rsid w:val="47FA303B"/>
    <w:rsid w:val="47FB783B"/>
    <w:rsid w:val="47FC782A"/>
    <w:rsid w:val="48050DD4"/>
    <w:rsid w:val="480A1E0A"/>
    <w:rsid w:val="480A63EB"/>
    <w:rsid w:val="480D3502"/>
    <w:rsid w:val="481E7563"/>
    <w:rsid w:val="483E684A"/>
    <w:rsid w:val="48522C79"/>
    <w:rsid w:val="48532744"/>
    <w:rsid w:val="48661D34"/>
    <w:rsid w:val="4870256A"/>
    <w:rsid w:val="48767174"/>
    <w:rsid w:val="487D54A1"/>
    <w:rsid w:val="48944C19"/>
    <w:rsid w:val="489E6887"/>
    <w:rsid w:val="48A04E07"/>
    <w:rsid w:val="48A15B36"/>
    <w:rsid w:val="48A64F09"/>
    <w:rsid w:val="48B00D40"/>
    <w:rsid w:val="48B77474"/>
    <w:rsid w:val="48BB76E5"/>
    <w:rsid w:val="48C04CFB"/>
    <w:rsid w:val="48EA1F71"/>
    <w:rsid w:val="48F1177C"/>
    <w:rsid w:val="49032001"/>
    <w:rsid w:val="490E2E80"/>
    <w:rsid w:val="491C5451"/>
    <w:rsid w:val="491C5DE6"/>
    <w:rsid w:val="491E1C32"/>
    <w:rsid w:val="492956CC"/>
    <w:rsid w:val="49413F52"/>
    <w:rsid w:val="494B6CBB"/>
    <w:rsid w:val="495042D1"/>
    <w:rsid w:val="495264A5"/>
    <w:rsid w:val="49585F89"/>
    <w:rsid w:val="495E079C"/>
    <w:rsid w:val="495E1FB7"/>
    <w:rsid w:val="4961028C"/>
    <w:rsid w:val="496F3163"/>
    <w:rsid w:val="4970325B"/>
    <w:rsid w:val="497A16BC"/>
    <w:rsid w:val="498B7FB9"/>
    <w:rsid w:val="49951CE4"/>
    <w:rsid w:val="499875AE"/>
    <w:rsid w:val="499D18CA"/>
    <w:rsid w:val="49A41FD5"/>
    <w:rsid w:val="49A5110B"/>
    <w:rsid w:val="49A8454F"/>
    <w:rsid w:val="49A91BC0"/>
    <w:rsid w:val="49AC4C9B"/>
    <w:rsid w:val="49B223D6"/>
    <w:rsid w:val="49CF3448"/>
    <w:rsid w:val="49E73BAD"/>
    <w:rsid w:val="49EA4BDD"/>
    <w:rsid w:val="49EF3AEA"/>
    <w:rsid w:val="4A0B7E4D"/>
    <w:rsid w:val="4A1115B3"/>
    <w:rsid w:val="4A181F56"/>
    <w:rsid w:val="4A195F96"/>
    <w:rsid w:val="4A1D6A64"/>
    <w:rsid w:val="4A2135CB"/>
    <w:rsid w:val="4A255457"/>
    <w:rsid w:val="4A293372"/>
    <w:rsid w:val="4A2D06C2"/>
    <w:rsid w:val="4A3F61EB"/>
    <w:rsid w:val="4A457C70"/>
    <w:rsid w:val="4A60254F"/>
    <w:rsid w:val="4A690C8F"/>
    <w:rsid w:val="4A825F2B"/>
    <w:rsid w:val="4A8F5711"/>
    <w:rsid w:val="4A9858ED"/>
    <w:rsid w:val="4A9B5E30"/>
    <w:rsid w:val="4A9E1D36"/>
    <w:rsid w:val="4AA81BE0"/>
    <w:rsid w:val="4ABE090A"/>
    <w:rsid w:val="4ABF0059"/>
    <w:rsid w:val="4AC812BF"/>
    <w:rsid w:val="4AC81793"/>
    <w:rsid w:val="4ACC6808"/>
    <w:rsid w:val="4AEA314C"/>
    <w:rsid w:val="4AF3460B"/>
    <w:rsid w:val="4AF81438"/>
    <w:rsid w:val="4AFA5749"/>
    <w:rsid w:val="4B126B9F"/>
    <w:rsid w:val="4B15353E"/>
    <w:rsid w:val="4B1772C8"/>
    <w:rsid w:val="4B2649EC"/>
    <w:rsid w:val="4B312C21"/>
    <w:rsid w:val="4B34064F"/>
    <w:rsid w:val="4B344B01"/>
    <w:rsid w:val="4B3519D1"/>
    <w:rsid w:val="4B394F62"/>
    <w:rsid w:val="4B44149B"/>
    <w:rsid w:val="4B461FA1"/>
    <w:rsid w:val="4B505E8B"/>
    <w:rsid w:val="4B7652B1"/>
    <w:rsid w:val="4B7C0FC4"/>
    <w:rsid w:val="4B8B48EA"/>
    <w:rsid w:val="4B935E86"/>
    <w:rsid w:val="4B9422CC"/>
    <w:rsid w:val="4B9B6DB2"/>
    <w:rsid w:val="4B9D454A"/>
    <w:rsid w:val="4BAF7C48"/>
    <w:rsid w:val="4BBA5F35"/>
    <w:rsid w:val="4BC0573E"/>
    <w:rsid w:val="4BC42FEC"/>
    <w:rsid w:val="4BC46B51"/>
    <w:rsid w:val="4BCF1913"/>
    <w:rsid w:val="4BD05255"/>
    <w:rsid w:val="4BD74836"/>
    <w:rsid w:val="4BD80F46"/>
    <w:rsid w:val="4BDD6AEA"/>
    <w:rsid w:val="4BEB2A84"/>
    <w:rsid w:val="4C05635B"/>
    <w:rsid w:val="4C110813"/>
    <w:rsid w:val="4C183BDA"/>
    <w:rsid w:val="4C271C44"/>
    <w:rsid w:val="4C2D188F"/>
    <w:rsid w:val="4C3149C4"/>
    <w:rsid w:val="4C3B4FDC"/>
    <w:rsid w:val="4C3D27C9"/>
    <w:rsid w:val="4C3D6D8F"/>
    <w:rsid w:val="4C4360F4"/>
    <w:rsid w:val="4C471CF9"/>
    <w:rsid w:val="4C497B37"/>
    <w:rsid w:val="4C4D453F"/>
    <w:rsid w:val="4C541867"/>
    <w:rsid w:val="4C6644FE"/>
    <w:rsid w:val="4C6A3788"/>
    <w:rsid w:val="4C717BE6"/>
    <w:rsid w:val="4C80297D"/>
    <w:rsid w:val="4C9417C6"/>
    <w:rsid w:val="4C95087D"/>
    <w:rsid w:val="4C990151"/>
    <w:rsid w:val="4C9E7130"/>
    <w:rsid w:val="4CA25563"/>
    <w:rsid w:val="4CA40468"/>
    <w:rsid w:val="4CC66BA5"/>
    <w:rsid w:val="4CCB6C1A"/>
    <w:rsid w:val="4CE20577"/>
    <w:rsid w:val="4CE36023"/>
    <w:rsid w:val="4CE37EE9"/>
    <w:rsid w:val="4CEE64ED"/>
    <w:rsid w:val="4CFF5ED3"/>
    <w:rsid w:val="4D222F7F"/>
    <w:rsid w:val="4D413775"/>
    <w:rsid w:val="4D413D05"/>
    <w:rsid w:val="4D442987"/>
    <w:rsid w:val="4D517593"/>
    <w:rsid w:val="4D532C20"/>
    <w:rsid w:val="4D6E142B"/>
    <w:rsid w:val="4D740721"/>
    <w:rsid w:val="4D75743A"/>
    <w:rsid w:val="4D810262"/>
    <w:rsid w:val="4D810694"/>
    <w:rsid w:val="4D847BDE"/>
    <w:rsid w:val="4D885D04"/>
    <w:rsid w:val="4D8E0D02"/>
    <w:rsid w:val="4DB47968"/>
    <w:rsid w:val="4DB97644"/>
    <w:rsid w:val="4DBE2066"/>
    <w:rsid w:val="4DCD36D9"/>
    <w:rsid w:val="4DCF2002"/>
    <w:rsid w:val="4DD23507"/>
    <w:rsid w:val="4DDB714B"/>
    <w:rsid w:val="4DE17BEE"/>
    <w:rsid w:val="4DE3189D"/>
    <w:rsid w:val="4DF35FC2"/>
    <w:rsid w:val="4DFE6D44"/>
    <w:rsid w:val="4E013C25"/>
    <w:rsid w:val="4E02431F"/>
    <w:rsid w:val="4E067EC7"/>
    <w:rsid w:val="4E0914D7"/>
    <w:rsid w:val="4E1206DA"/>
    <w:rsid w:val="4E174236"/>
    <w:rsid w:val="4E1B08FD"/>
    <w:rsid w:val="4E1F46AE"/>
    <w:rsid w:val="4E2D2CB0"/>
    <w:rsid w:val="4E2F2F55"/>
    <w:rsid w:val="4E315603"/>
    <w:rsid w:val="4E363BFC"/>
    <w:rsid w:val="4E4166B5"/>
    <w:rsid w:val="4E425E1E"/>
    <w:rsid w:val="4E452DBC"/>
    <w:rsid w:val="4E460EA4"/>
    <w:rsid w:val="4E4E56F9"/>
    <w:rsid w:val="4E4F1509"/>
    <w:rsid w:val="4E5C54C6"/>
    <w:rsid w:val="4E5F4911"/>
    <w:rsid w:val="4E6A08AC"/>
    <w:rsid w:val="4E6C1DEA"/>
    <w:rsid w:val="4E750842"/>
    <w:rsid w:val="4E766588"/>
    <w:rsid w:val="4E7B5D66"/>
    <w:rsid w:val="4E7C2785"/>
    <w:rsid w:val="4E7F769E"/>
    <w:rsid w:val="4E804743"/>
    <w:rsid w:val="4E824A5E"/>
    <w:rsid w:val="4E84255A"/>
    <w:rsid w:val="4E8D7060"/>
    <w:rsid w:val="4E914FC2"/>
    <w:rsid w:val="4E9478CC"/>
    <w:rsid w:val="4E9C0017"/>
    <w:rsid w:val="4E9D57F2"/>
    <w:rsid w:val="4EA50606"/>
    <w:rsid w:val="4EAC5F97"/>
    <w:rsid w:val="4EAD0476"/>
    <w:rsid w:val="4EAD19C4"/>
    <w:rsid w:val="4EB81245"/>
    <w:rsid w:val="4EB9387B"/>
    <w:rsid w:val="4EC05A55"/>
    <w:rsid w:val="4EC95CE1"/>
    <w:rsid w:val="4ED937FE"/>
    <w:rsid w:val="4EE11040"/>
    <w:rsid w:val="4EEA53C2"/>
    <w:rsid w:val="4EEA7980"/>
    <w:rsid w:val="4EEF4B91"/>
    <w:rsid w:val="4EF55292"/>
    <w:rsid w:val="4EFF04C8"/>
    <w:rsid w:val="4F020299"/>
    <w:rsid w:val="4F193009"/>
    <w:rsid w:val="4F1A55B1"/>
    <w:rsid w:val="4F2064F4"/>
    <w:rsid w:val="4F216F0D"/>
    <w:rsid w:val="4F287F42"/>
    <w:rsid w:val="4F317E38"/>
    <w:rsid w:val="4F322E5A"/>
    <w:rsid w:val="4F340ACC"/>
    <w:rsid w:val="4F40679C"/>
    <w:rsid w:val="4F425B41"/>
    <w:rsid w:val="4F457D08"/>
    <w:rsid w:val="4F5B7732"/>
    <w:rsid w:val="4F696D5A"/>
    <w:rsid w:val="4F731D97"/>
    <w:rsid w:val="4F863CEA"/>
    <w:rsid w:val="4F8E380C"/>
    <w:rsid w:val="4F9540B9"/>
    <w:rsid w:val="4F9F566B"/>
    <w:rsid w:val="4F9F6734"/>
    <w:rsid w:val="4FA12817"/>
    <w:rsid w:val="4FA90297"/>
    <w:rsid w:val="4FAF6685"/>
    <w:rsid w:val="4FB31116"/>
    <w:rsid w:val="4FB8741A"/>
    <w:rsid w:val="4FC46188"/>
    <w:rsid w:val="4FD159FE"/>
    <w:rsid w:val="4FD25E95"/>
    <w:rsid w:val="4FDD3A7F"/>
    <w:rsid w:val="4FE04F25"/>
    <w:rsid w:val="4FF359B6"/>
    <w:rsid w:val="4FF84F5F"/>
    <w:rsid w:val="4FFB1042"/>
    <w:rsid w:val="4FFC2ABD"/>
    <w:rsid w:val="4FFD2B5D"/>
    <w:rsid w:val="501027FE"/>
    <w:rsid w:val="501B5EF2"/>
    <w:rsid w:val="5023629C"/>
    <w:rsid w:val="50292F4D"/>
    <w:rsid w:val="502C1B48"/>
    <w:rsid w:val="50491571"/>
    <w:rsid w:val="504E4B13"/>
    <w:rsid w:val="50534BEB"/>
    <w:rsid w:val="50611263"/>
    <w:rsid w:val="50615C9C"/>
    <w:rsid w:val="50624749"/>
    <w:rsid w:val="50624806"/>
    <w:rsid w:val="506F24DD"/>
    <w:rsid w:val="50720485"/>
    <w:rsid w:val="50854860"/>
    <w:rsid w:val="508605D9"/>
    <w:rsid w:val="508D2516"/>
    <w:rsid w:val="508D6964"/>
    <w:rsid w:val="509673EA"/>
    <w:rsid w:val="50AE2A27"/>
    <w:rsid w:val="50AE6EB8"/>
    <w:rsid w:val="50B37EB5"/>
    <w:rsid w:val="50DC516E"/>
    <w:rsid w:val="50E825A5"/>
    <w:rsid w:val="50ED2B10"/>
    <w:rsid w:val="50F25C6E"/>
    <w:rsid w:val="50F641CA"/>
    <w:rsid w:val="510A38B1"/>
    <w:rsid w:val="511E595C"/>
    <w:rsid w:val="51295B34"/>
    <w:rsid w:val="5135052B"/>
    <w:rsid w:val="51426BF5"/>
    <w:rsid w:val="51525993"/>
    <w:rsid w:val="51544338"/>
    <w:rsid w:val="515D3F33"/>
    <w:rsid w:val="51680D3A"/>
    <w:rsid w:val="516C0D75"/>
    <w:rsid w:val="516D4037"/>
    <w:rsid w:val="51756FC7"/>
    <w:rsid w:val="517729DD"/>
    <w:rsid w:val="517858CE"/>
    <w:rsid w:val="5189040D"/>
    <w:rsid w:val="519805C3"/>
    <w:rsid w:val="519B7F47"/>
    <w:rsid w:val="51A1138F"/>
    <w:rsid w:val="51AF4F35"/>
    <w:rsid w:val="51B35069"/>
    <w:rsid w:val="51BC5ACC"/>
    <w:rsid w:val="51C55D72"/>
    <w:rsid w:val="51C958BE"/>
    <w:rsid w:val="51CC08CF"/>
    <w:rsid w:val="51D204BE"/>
    <w:rsid w:val="51D9488C"/>
    <w:rsid w:val="51DB759A"/>
    <w:rsid w:val="51E43ECB"/>
    <w:rsid w:val="51F405E2"/>
    <w:rsid w:val="51F45B52"/>
    <w:rsid w:val="52041E26"/>
    <w:rsid w:val="520527C7"/>
    <w:rsid w:val="520C5A77"/>
    <w:rsid w:val="520F3BC8"/>
    <w:rsid w:val="521A36CE"/>
    <w:rsid w:val="523522B6"/>
    <w:rsid w:val="52391DA6"/>
    <w:rsid w:val="5245738A"/>
    <w:rsid w:val="5269731C"/>
    <w:rsid w:val="526A4359"/>
    <w:rsid w:val="52711F3C"/>
    <w:rsid w:val="5272748D"/>
    <w:rsid w:val="52823F6A"/>
    <w:rsid w:val="528A406D"/>
    <w:rsid w:val="529979B3"/>
    <w:rsid w:val="529C2700"/>
    <w:rsid w:val="529C40E3"/>
    <w:rsid w:val="52B06007"/>
    <w:rsid w:val="52C02AD1"/>
    <w:rsid w:val="52CA0CE5"/>
    <w:rsid w:val="52D11CE2"/>
    <w:rsid w:val="52D92ACB"/>
    <w:rsid w:val="52E12DA6"/>
    <w:rsid w:val="52EA7F96"/>
    <w:rsid w:val="52F14C6F"/>
    <w:rsid w:val="530829F0"/>
    <w:rsid w:val="53141140"/>
    <w:rsid w:val="531A554E"/>
    <w:rsid w:val="531B76FE"/>
    <w:rsid w:val="531E0F9C"/>
    <w:rsid w:val="532E5683"/>
    <w:rsid w:val="534B58E0"/>
    <w:rsid w:val="535C0ABD"/>
    <w:rsid w:val="535D7C11"/>
    <w:rsid w:val="535E583D"/>
    <w:rsid w:val="53640CAC"/>
    <w:rsid w:val="53710FFA"/>
    <w:rsid w:val="537D65C2"/>
    <w:rsid w:val="538552ED"/>
    <w:rsid w:val="538C2996"/>
    <w:rsid w:val="538D3D20"/>
    <w:rsid w:val="53BB3DEA"/>
    <w:rsid w:val="53BB61C7"/>
    <w:rsid w:val="53BD2965"/>
    <w:rsid w:val="53CB09D3"/>
    <w:rsid w:val="53D457EE"/>
    <w:rsid w:val="53D55F5F"/>
    <w:rsid w:val="53DF5EFD"/>
    <w:rsid w:val="53E27D52"/>
    <w:rsid w:val="53ED03CF"/>
    <w:rsid w:val="53F6133F"/>
    <w:rsid w:val="541E7C60"/>
    <w:rsid w:val="541F7C9F"/>
    <w:rsid w:val="5424616B"/>
    <w:rsid w:val="54265B5E"/>
    <w:rsid w:val="54330A77"/>
    <w:rsid w:val="54342C25"/>
    <w:rsid w:val="543B7103"/>
    <w:rsid w:val="54465D45"/>
    <w:rsid w:val="54485F67"/>
    <w:rsid w:val="544C3023"/>
    <w:rsid w:val="5463667D"/>
    <w:rsid w:val="54877909"/>
    <w:rsid w:val="5488350A"/>
    <w:rsid w:val="54921C42"/>
    <w:rsid w:val="54AE6B07"/>
    <w:rsid w:val="54B90F7D"/>
    <w:rsid w:val="54BB6FFA"/>
    <w:rsid w:val="54BD1FDF"/>
    <w:rsid w:val="54BF2DC9"/>
    <w:rsid w:val="54C51A6B"/>
    <w:rsid w:val="54CE3180"/>
    <w:rsid w:val="54F71B19"/>
    <w:rsid w:val="55072A4B"/>
    <w:rsid w:val="55085A60"/>
    <w:rsid w:val="55173E54"/>
    <w:rsid w:val="55200136"/>
    <w:rsid w:val="5523289A"/>
    <w:rsid w:val="552929F7"/>
    <w:rsid w:val="552C5495"/>
    <w:rsid w:val="55336B96"/>
    <w:rsid w:val="554259FB"/>
    <w:rsid w:val="555A7E5A"/>
    <w:rsid w:val="557C4CE4"/>
    <w:rsid w:val="557F08FB"/>
    <w:rsid w:val="55832775"/>
    <w:rsid w:val="55915C5C"/>
    <w:rsid w:val="559F0FA0"/>
    <w:rsid w:val="559F6647"/>
    <w:rsid w:val="55A35EA2"/>
    <w:rsid w:val="55B71F05"/>
    <w:rsid w:val="55B84BFE"/>
    <w:rsid w:val="55B860B5"/>
    <w:rsid w:val="55D765D8"/>
    <w:rsid w:val="55DB13C7"/>
    <w:rsid w:val="55E74F22"/>
    <w:rsid w:val="55ED4953"/>
    <w:rsid w:val="55F04FF6"/>
    <w:rsid w:val="55FD5C05"/>
    <w:rsid w:val="56293EE0"/>
    <w:rsid w:val="562C39D0"/>
    <w:rsid w:val="5633556B"/>
    <w:rsid w:val="563B4759"/>
    <w:rsid w:val="56440D1A"/>
    <w:rsid w:val="5649100F"/>
    <w:rsid w:val="565408CC"/>
    <w:rsid w:val="565B01D1"/>
    <w:rsid w:val="565D3B8A"/>
    <w:rsid w:val="56604743"/>
    <w:rsid w:val="569B5175"/>
    <w:rsid w:val="56A63A6B"/>
    <w:rsid w:val="56A97394"/>
    <w:rsid w:val="56AF23B9"/>
    <w:rsid w:val="56BB5F3C"/>
    <w:rsid w:val="56BD608E"/>
    <w:rsid w:val="56BFAE93"/>
    <w:rsid w:val="56C25877"/>
    <w:rsid w:val="56CF79B5"/>
    <w:rsid w:val="56D26326"/>
    <w:rsid w:val="56D701ED"/>
    <w:rsid w:val="56DB31FB"/>
    <w:rsid w:val="56E36888"/>
    <w:rsid w:val="56E6075F"/>
    <w:rsid w:val="56ED6A4F"/>
    <w:rsid w:val="56FB0B62"/>
    <w:rsid w:val="56FB38F8"/>
    <w:rsid w:val="572350CE"/>
    <w:rsid w:val="572B7D76"/>
    <w:rsid w:val="57480204"/>
    <w:rsid w:val="57494473"/>
    <w:rsid w:val="574F1705"/>
    <w:rsid w:val="575346E6"/>
    <w:rsid w:val="57546437"/>
    <w:rsid w:val="57596A47"/>
    <w:rsid w:val="575C4647"/>
    <w:rsid w:val="57700C66"/>
    <w:rsid w:val="57710FE8"/>
    <w:rsid w:val="57881DA7"/>
    <w:rsid w:val="579652ED"/>
    <w:rsid w:val="57B856D0"/>
    <w:rsid w:val="57BB11C0"/>
    <w:rsid w:val="57D74343"/>
    <w:rsid w:val="57DA7B88"/>
    <w:rsid w:val="57E52089"/>
    <w:rsid w:val="57F41F18"/>
    <w:rsid w:val="58216B9E"/>
    <w:rsid w:val="582270EA"/>
    <w:rsid w:val="584611FC"/>
    <w:rsid w:val="584625B9"/>
    <w:rsid w:val="584F1A9A"/>
    <w:rsid w:val="585636CA"/>
    <w:rsid w:val="585E073D"/>
    <w:rsid w:val="586B2AA2"/>
    <w:rsid w:val="586D6BD1"/>
    <w:rsid w:val="58750470"/>
    <w:rsid w:val="58783F4D"/>
    <w:rsid w:val="58860C9B"/>
    <w:rsid w:val="58870D6E"/>
    <w:rsid w:val="58896317"/>
    <w:rsid w:val="588E1216"/>
    <w:rsid w:val="58934D65"/>
    <w:rsid w:val="589F3F28"/>
    <w:rsid w:val="58A5484D"/>
    <w:rsid w:val="58A82EAD"/>
    <w:rsid w:val="58B25CD4"/>
    <w:rsid w:val="58B53004"/>
    <w:rsid w:val="58B6180A"/>
    <w:rsid w:val="58B70F82"/>
    <w:rsid w:val="58D36A81"/>
    <w:rsid w:val="58DA2A14"/>
    <w:rsid w:val="58E14760"/>
    <w:rsid w:val="58E1680A"/>
    <w:rsid w:val="58E47279"/>
    <w:rsid w:val="58F36328"/>
    <w:rsid w:val="58F505A7"/>
    <w:rsid w:val="59187FA2"/>
    <w:rsid w:val="591A2206"/>
    <w:rsid w:val="59220B64"/>
    <w:rsid w:val="59241213"/>
    <w:rsid w:val="5925099C"/>
    <w:rsid w:val="592C120A"/>
    <w:rsid w:val="5949196E"/>
    <w:rsid w:val="594B23BF"/>
    <w:rsid w:val="5959426B"/>
    <w:rsid w:val="596976B8"/>
    <w:rsid w:val="596D62FA"/>
    <w:rsid w:val="5971576F"/>
    <w:rsid w:val="59791019"/>
    <w:rsid w:val="598067A1"/>
    <w:rsid w:val="598633F7"/>
    <w:rsid w:val="598725D6"/>
    <w:rsid w:val="59A71CEC"/>
    <w:rsid w:val="59A80A2C"/>
    <w:rsid w:val="59B039A6"/>
    <w:rsid w:val="59B62442"/>
    <w:rsid w:val="59C3586B"/>
    <w:rsid w:val="59DB7BE7"/>
    <w:rsid w:val="59E67BEF"/>
    <w:rsid w:val="5A044CD7"/>
    <w:rsid w:val="5A1E35BF"/>
    <w:rsid w:val="5A214555"/>
    <w:rsid w:val="5A225816"/>
    <w:rsid w:val="5A3A31C3"/>
    <w:rsid w:val="5A3B0D0B"/>
    <w:rsid w:val="5A3B1862"/>
    <w:rsid w:val="5A3E7416"/>
    <w:rsid w:val="5A4548FE"/>
    <w:rsid w:val="5A466973"/>
    <w:rsid w:val="5A47527D"/>
    <w:rsid w:val="5A52173F"/>
    <w:rsid w:val="5A5D2B2C"/>
    <w:rsid w:val="5A634F64"/>
    <w:rsid w:val="5A6A1854"/>
    <w:rsid w:val="5A771855"/>
    <w:rsid w:val="5A7B26EA"/>
    <w:rsid w:val="5A882E77"/>
    <w:rsid w:val="5A9102A6"/>
    <w:rsid w:val="5A9C6BCC"/>
    <w:rsid w:val="5A9E4986"/>
    <w:rsid w:val="5A9F5E78"/>
    <w:rsid w:val="5AA35018"/>
    <w:rsid w:val="5AAC21B6"/>
    <w:rsid w:val="5AB42467"/>
    <w:rsid w:val="5AC8583D"/>
    <w:rsid w:val="5AC95E45"/>
    <w:rsid w:val="5AD32B73"/>
    <w:rsid w:val="5AE3680F"/>
    <w:rsid w:val="5AE64A95"/>
    <w:rsid w:val="5AFE1DDF"/>
    <w:rsid w:val="5B0077AE"/>
    <w:rsid w:val="5B0373F5"/>
    <w:rsid w:val="5B1340E6"/>
    <w:rsid w:val="5B295D1F"/>
    <w:rsid w:val="5B391A07"/>
    <w:rsid w:val="5B4D72F6"/>
    <w:rsid w:val="5B556495"/>
    <w:rsid w:val="5B557C15"/>
    <w:rsid w:val="5B56220F"/>
    <w:rsid w:val="5B6A05E8"/>
    <w:rsid w:val="5B70435F"/>
    <w:rsid w:val="5B7130F1"/>
    <w:rsid w:val="5B744020"/>
    <w:rsid w:val="5B7D1D66"/>
    <w:rsid w:val="5B8F6493"/>
    <w:rsid w:val="5B9861E9"/>
    <w:rsid w:val="5B990374"/>
    <w:rsid w:val="5B9C4B16"/>
    <w:rsid w:val="5BC6564F"/>
    <w:rsid w:val="5BD62414"/>
    <w:rsid w:val="5BD7058C"/>
    <w:rsid w:val="5BDC11F0"/>
    <w:rsid w:val="5BE92B2B"/>
    <w:rsid w:val="5BED02C0"/>
    <w:rsid w:val="5BEF2162"/>
    <w:rsid w:val="5BF05CDF"/>
    <w:rsid w:val="5BFA16FB"/>
    <w:rsid w:val="5C1F5A65"/>
    <w:rsid w:val="5C4066A5"/>
    <w:rsid w:val="5C550C02"/>
    <w:rsid w:val="5C5E432F"/>
    <w:rsid w:val="5C761B75"/>
    <w:rsid w:val="5C7A210E"/>
    <w:rsid w:val="5C820272"/>
    <w:rsid w:val="5C846692"/>
    <w:rsid w:val="5C8A064E"/>
    <w:rsid w:val="5C9D2F32"/>
    <w:rsid w:val="5CB33834"/>
    <w:rsid w:val="5CBC1860"/>
    <w:rsid w:val="5CBF40CA"/>
    <w:rsid w:val="5CC46C82"/>
    <w:rsid w:val="5CD14EB6"/>
    <w:rsid w:val="5CDD730A"/>
    <w:rsid w:val="5CE22035"/>
    <w:rsid w:val="5CF7587D"/>
    <w:rsid w:val="5D222DF7"/>
    <w:rsid w:val="5D272917"/>
    <w:rsid w:val="5D385550"/>
    <w:rsid w:val="5D491040"/>
    <w:rsid w:val="5D552C05"/>
    <w:rsid w:val="5D704AEA"/>
    <w:rsid w:val="5D7F0889"/>
    <w:rsid w:val="5D8538F5"/>
    <w:rsid w:val="5D8D253F"/>
    <w:rsid w:val="5DA34CFF"/>
    <w:rsid w:val="5DA9259B"/>
    <w:rsid w:val="5DAF62A3"/>
    <w:rsid w:val="5DE05FAF"/>
    <w:rsid w:val="5DE27014"/>
    <w:rsid w:val="5DE43D38"/>
    <w:rsid w:val="5DED40FD"/>
    <w:rsid w:val="5DEF45E6"/>
    <w:rsid w:val="5DF070C7"/>
    <w:rsid w:val="5DF516E7"/>
    <w:rsid w:val="5DF6625D"/>
    <w:rsid w:val="5DFB78A1"/>
    <w:rsid w:val="5E042740"/>
    <w:rsid w:val="5E074541"/>
    <w:rsid w:val="5E131ECE"/>
    <w:rsid w:val="5E177F67"/>
    <w:rsid w:val="5E2824F8"/>
    <w:rsid w:val="5E312342"/>
    <w:rsid w:val="5E3953DC"/>
    <w:rsid w:val="5E546526"/>
    <w:rsid w:val="5E5E3C7C"/>
    <w:rsid w:val="5E622685"/>
    <w:rsid w:val="5E64014B"/>
    <w:rsid w:val="5E692BF8"/>
    <w:rsid w:val="5E6F461C"/>
    <w:rsid w:val="5E753226"/>
    <w:rsid w:val="5E7E1181"/>
    <w:rsid w:val="5E8B1DC8"/>
    <w:rsid w:val="5E8E5AFF"/>
    <w:rsid w:val="5E8E66C2"/>
    <w:rsid w:val="5E921A5B"/>
    <w:rsid w:val="5E983765"/>
    <w:rsid w:val="5E992D6E"/>
    <w:rsid w:val="5EA83F0C"/>
    <w:rsid w:val="5EB1580B"/>
    <w:rsid w:val="5EBF6C53"/>
    <w:rsid w:val="5ECC6B94"/>
    <w:rsid w:val="5EDD765C"/>
    <w:rsid w:val="5EE132BE"/>
    <w:rsid w:val="5EE21FEF"/>
    <w:rsid w:val="5EE809FF"/>
    <w:rsid w:val="5EEB1B3A"/>
    <w:rsid w:val="5F0454EA"/>
    <w:rsid w:val="5F060738"/>
    <w:rsid w:val="5F080754"/>
    <w:rsid w:val="5F1052C0"/>
    <w:rsid w:val="5F117322"/>
    <w:rsid w:val="5F175124"/>
    <w:rsid w:val="5F1C1314"/>
    <w:rsid w:val="5F324694"/>
    <w:rsid w:val="5F3308FB"/>
    <w:rsid w:val="5F395E26"/>
    <w:rsid w:val="5F3B5A4A"/>
    <w:rsid w:val="5F416AD5"/>
    <w:rsid w:val="5F603A43"/>
    <w:rsid w:val="5F654C59"/>
    <w:rsid w:val="5F681618"/>
    <w:rsid w:val="5F685995"/>
    <w:rsid w:val="5F6E0BB6"/>
    <w:rsid w:val="5F8715C5"/>
    <w:rsid w:val="5FA00370"/>
    <w:rsid w:val="5FA23C0D"/>
    <w:rsid w:val="5FA97B31"/>
    <w:rsid w:val="5FAE30F2"/>
    <w:rsid w:val="5FBD68DE"/>
    <w:rsid w:val="5FBF1411"/>
    <w:rsid w:val="5FCF11F2"/>
    <w:rsid w:val="5FD02B65"/>
    <w:rsid w:val="5FEF131A"/>
    <w:rsid w:val="5FFD34EA"/>
    <w:rsid w:val="60014213"/>
    <w:rsid w:val="60061C8E"/>
    <w:rsid w:val="60066843"/>
    <w:rsid w:val="60070445"/>
    <w:rsid w:val="600B4656"/>
    <w:rsid w:val="600C0AFA"/>
    <w:rsid w:val="600F7CBF"/>
    <w:rsid w:val="60145BE9"/>
    <w:rsid w:val="602E6BAE"/>
    <w:rsid w:val="6030036E"/>
    <w:rsid w:val="60321761"/>
    <w:rsid w:val="603B432F"/>
    <w:rsid w:val="603F58EB"/>
    <w:rsid w:val="60405809"/>
    <w:rsid w:val="604208D0"/>
    <w:rsid w:val="60495D3A"/>
    <w:rsid w:val="604F07E6"/>
    <w:rsid w:val="6050092C"/>
    <w:rsid w:val="6053679E"/>
    <w:rsid w:val="60615395"/>
    <w:rsid w:val="606352D7"/>
    <w:rsid w:val="608B58E7"/>
    <w:rsid w:val="608E3EBE"/>
    <w:rsid w:val="609548B6"/>
    <w:rsid w:val="60AB1B22"/>
    <w:rsid w:val="60BE4E95"/>
    <w:rsid w:val="60C53FFF"/>
    <w:rsid w:val="60CE1419"/>
    <w:rsid w:val="60D060CA"/>
    <w:rsid w:val="60D23FB5"/>
    <w:rsid w:val="60D61108"/>
    <w:rsid w:val="60DB5A3B"/>
    <w:rsid w:val="60E03D35"/>
    <w:rsid w:val="60E43825"/>
    <w:rsid w:val="60E67FD5"/>
    <w:rsid w:val="60EA40C6"/>
    <w:rsid w:val="60FB2DC7"/>
    <w:rsid w:val="60FB3346"/>
    <w:rsid w:val="60FE387E"/>
    <w:rsid w:val="61077C47"/>
    <w:rsid w:val="610859DB"/>
    <w:rsid w:val="610F0201"/>
    <w:rsid w:val="611A1414"/>
    <w:rsid w:val="611D6EE3"/>
    <w:rsid w:val="611F0DC5"/>
    <w:rsid w:val="61287D74"/>
    <w:rsid w:val="612E045B"/>
    <w:rsid w:val="612E4A80"/>
    <w:rsid w:val="613555BA"/>
    <w:rsid w:val="61362008"/>
    <w:rsid w:val="6142054C"/>
    <w:rsid w:val="614868F3"/>
    <w:rsid w:val="61527746"/>
    <w:rsid w:val="615B08EF"/>
    <w:rsid w:val="615B2AA4"/>
    <w:rsid w:val="61601744"/>
    <w:rsid w:val="616745B9"/>
    <w:rsid w:val="616A46AA"/>
    <w:rsid w:val="6178545B"/>
    <w:rsid w:val="617B06C3"/>
    <w:rsid w:val="61882403"/>
    <w:rsid w:val="6190296C"/>
    <w:rsid w:val="61994B35"/>
    <w:rsid w:val="619B25B8"/>
    <w:rsid w:val="619B3521"/>
    <w:rsid w:val="61A87821"/>
    <w:rsid w:val="61BB7859"/>
    <w:rsid w:val="61BE4076"/>
    <w:rsid w:val="61C34597"/>
    <w:rsid w:val="61CD47C2"/>
    <w:rsid w:val="61D11707"/>
    <w:rsid w:val="61D50805"/>
    <w:rsid w:val="61D867CE"/>
    <w:rsid w:val="61D92C5E"/>
    <w:rsid w:val="61E6537B"/>
    <w:rsid w:val="61EE3FF7"/>
    <w:rsid w:val="62023AA5"/>
    <w:rsid w:val="62025657"/>
    <w:rsid w:val="620572E1"/>
    <w:rsid w:val="6208352F"/>
    <w:rsid w:val="620B0D4D"/>
    <w:rsid w:val="621D541D"/>
    <w:rsid w:val="62295F11"/>
    <w:rsid w:val="622A0CE9"/>
    <w:rsid w:val="6237161D"/>
    <w:rsid w:val="62425BD4"/>
    <w:rsid w:val="625469B4"/>
    <w:rsid w:val="625664E0"/>
    <w:rsid w:val="62577ED6"/>
    <w:rsid w:val="62623953"/>
    <w:rsid w:val="626537E0"/>
    <w:rsid w:val="62654AC1"/>
    <w:rsid w:val="62662018"/>
    <w:rsid w:val="626A15EF"/>
    <w:rsid w:val="627306D4"/>
    <w:rsid w:val="62742987"/>
    <w:rsid w:val="62782E5E"/>
    <w:rsid w:val="62832C3E"/>
    <w:rsid w:val="628E5862"/>
    <w:rsid w:val="62931B90"/>
    <w:rsid w:val="62970F08"/>
    <w:rsid w:val="629B237B"/>
    <w:rsid w:val="62AD7C47"/>
    <w:rsid w:val="62B31701"/>
    <w:rsid w:val="62B75221"/>
    <w:rsid w:val="62B81491"/>
    <w:rsid w:val="62C57EC0"/>
    <w:rsid w:val="62C7276D"/>
    <w:rsid w:val="62CA475F"/>
    <w:rsid w:val="62D13FB8"/>
    <w:rsid w:val="62D34DD2"/>
    <w:rsid w:val="62D522DA"/>
    <w:rsid w:val="62E0403B"/>
    <w:rsid w:val="62E77D1A"/>
    <w:rsid w:val="62F33D61"/>
    <w:rsid w:val="62F41FFC"/>
    <w:rsid w:val="62F826CC"/>
    <w:rsid w:val="62FD35E5"/>
    <w:rsid w:val="62FF6C09"/>
    <w:rsid w:val="630A67C2"/>
    <w:rsid w:val="630F44ED"/>
    <w:rsid w:val="631810DE"/>
    <w:rsid w:val="631D413D"/>
    <w:rsid w:val="63260AD7"/>
    <w:rsid w:val="632E70D3"/>
    <w:rsid w:val="634734CF"/>
    <w:rsid w:val="634A442A"/>
    <w:rsid w:val="635C14E4"/>
    <w:rsid w:val="636724EC"/>
    <w:rsid w:val="63691D6E"/>
    <w:rsid w:val="636C5F8B"/>
    <w:rsid w:val="637721C3"/>
    <w:rsid w:val="637F3391"/>
    <w:rsid w:val="638B36A0"/>
    <w:rsid w:val="638D1F52"/>
    <w:rsid w:val="6393508F"/>
    <w:rsid w:val="639A4752"/>
    <w:rsid w:val="63BD558F"/>
    <w:rsid w:val="63CF256C"/>
    <w:rsid w:val="63CF276F"/>
    <w:rsid w:val="63D567C7"/>
    <w:rsid w:val="63EF4A2D"/>
    <w:rsid w:val="63F279DE"/>
    <w:rsid w:val="63F844A0"/>
    <w:rsid w:val="63FC093D"/>
    <w:rsid w:val="640257A0"/>
    <w:rsid w:val="64086206"/>
    <w:rsid w:val="640C526F"/>
    <w:rsid w:val="64180BB4"/>
    <w:rsid w:val="641D178B"/>
    <w:rsid w:val="6426218D"/>
    <w:rsid w:val="64273EFE"/>
    <w:rsid w:val="642B176B"/>
    <w:rsid w:val="643C3911"/>
    <w:rsid w:val="644D4CA4"/>
    <w:rsid w:val="64710683"/>
    <w:rsid w:val="64852734"/>
    <w:rsid w:val="64987A19"/>
    <w:rsid w:val="649E7692"/>
    <w:rsid w:val="64A27ACE"/>
    <w:rsid w:val="64AC27F7"/>
    <w:rsid w:val="64AD4784"/>
    <w:rsid w:val="64AE53F7"/>
    <w:rsid w:val="64B1091C"/>
    <w:rsid w:val="64B97D5A"/>
    <w:rsid w:val="64BD18CD"/>
    <w:rsid w:val="64BE336A"/>
    <w:rsid w:val="64C61CB5"/>
    <w:rsid w:val="64CE1865"/>
    <w:rsid w:val="64CE1E95"/>
    <w:rsid w:val="64DD17D5"/>
    <w:rsid w:val="64DD253C"/>
    <w:rsid w:val="64E32C0D"/>
    <w:rsid w:val="64E34381"/>
    <w:rsid w:val="64EC7DBE"/>
    <w:rsid w:val="64F03F09"/>
    <w:rsid w:val="64F73B49"/>
    <w:rsid w:val="64FE5FDC"/>
    <w:rsid w:val="65127BC9"/>
    <w:rsid w:val="65226F5B"/>
    <w:rsid w:val="653415BC"/>
    <w:rsid w:val="65380875"/>
    <w:rsid w:val="65494717"/>
    <w:rsid w:val="65597459"/>
    <w:rsid w:val="656777B1"/>
    <w:rsid w:val="65744BBB"/>
    <w:rsid w:val="65745756"/>
    <w:rsid w:val="657573D6"/>
    <w:rsid w:val="6579572F"/>
    <w:rsid w:val="657D1B52"/>
    <w:rsid w:val="657F44B1"/>
    <w:rsid w:val="65856998"/>
    <w:rsid w:val="6598361E"/>
    <w:rsid w:val="65A05D6F"/>
    <w:rsid w:val="65A35E8E"/>
    <w:rsid w:val="65AA47C1"/>
    <w:rsid w:val="65B0017A"/>
    <w:rsid w:val="65BC65E7"/>
    <w:rsid w:val="65CC5645"/>
    <w:rsid w:val="65D11E9E"/>
    <w:rsid w:val="65D167B0"/>
    <w:rsid w:val="65DD6469"/>
    <w:rsid w:val="65E74C15"/>
    <w:rsid w:val="65E96EF5"/>
    <w:rsid w:val="65EB0A1F"/>
    <w:rsid w:val="65F13345"/>
    <w:rsid w:val="65F51309"/>
    <w:rsid w:val="65FB22AF"/>
    <w:rsid w:val="66060C04"/>
    <w:rsid w:val="660F0098"/>
    <w:rsid w:val="66236B0A"/>
    <w:rsid w:val="6626537D"/>
    <w:rsid w:val="66321A5D"/>
    <w:rsid w:val="665976DA"/>
    <w:rsid w:val="665978D6"/>
    <w:rsid w:val="66652D12"/>
    <w:rsid w:val="666F6D80"/>
    <w:rsid w:val="667245C3"/>
    <w:rsid w:val="667A103B"/>
    <w:rsid w:val="66853957"/>
    <w:rsid w:val="669B6A87"/>
    <w:rsid w:val="669E65F5"/>
    <w:rsid w:val="66A5202F"/>
    <w:rsid w:val="66A81B0A"/>
    <w:rsid w:val="66AE1E81"/>
    <w:rsid w:val="66B60E53"/>
    <w:rsid w:val="66DB7D5A"/>
    <w:rsid w:val="66E21BDB"/>
    <w:rsid w:val="66E42BA0"/>
    <w:rsid w:val="66E9646E"/>
    <w:rsid w:val="66E96BD0"/>
    <w:rsid w:val="66F42FFF"/>
    <w:rsid w:val="66F437F4"/>
    <w:rsid w:val="66F754AA"/>
    <w:rsid w:val="66FE3167"/>
    <w:rsid w:val="671169F6"/>
    <w:rsid w:val="67132309"/>
    <w:rsid w:val="67173BE1"/>
    <w:rsid w:val="671A71FC"/>
    <w:rsid w:val="672C28D6"/>
    <w:rsid w:val="6735169B"/>
    <w:rsid w:val="67414D32"/>
    <w:rsid w:val="67432E7D"/>
    <w:rsid w:val="674735A2"/>
    <w:rsid w:val="67601856"/>
    <w:rsid w:val="67630A4B"/>
    <w:rsid w:val="67631CA4"/>
    <w:rsid w:val="677129D0"/>
    <w:rsid w:val="677B7977"/>
    <w:rsid w:val="67862C1B"/>
    <w:rsid w:val="67A34B3C"/>
    <w:rsid w:val="67AD2A5C"/>
    <w:rsid w:val="67B41268"/>
    <w:rsid w:val="67B52DAC"/>
    <w:rsid w:val="67C10C5B"/>
    <w:rsid w:val="67C51289"/>
    <w:rsid w:val="67D30EB3"/>
    <w:rsid w:val="67E40DD3"/>
    <w:rsid w:val="67E4371F"/>
    <w:rsid w:val="67E87AD0"/>
    <w:rsid w:val="67F03D35"/>
    <w:rsid w:val="67F307F2"/>
    <w:rsid w:val="67F43B4F"/>
    <w:rsid w:val="67F559C0"/>
    <w:rsid w:val="67F66C43"/>
    <w:rsid w:val="68106CAE"/>
    <w:rsid w:val="68156360"/>
    <w:rsid w:val="681D2B64"/>
    <w:rsid w:val="681E4C98"/>
    <w:rsid w:val="683A01CF"/>
    <w:rsid w:val="6843548D"/>
    <w:rsid w:val="684D4EE7"/>
    <w:rsid w:val="685B6E87"/>
    <w:rsid w:val="685D0876"/>
    <w:rsid w:val="68600D58"/>
    <w:rsid w:val="686058A9"/>
    <w:rsid w:val="68624B41"/>
    <w:rsid w:val="68711D67"/>
    <w:rsid w:val="68794A24"/>
    <w:rsid w:val="687B51E8"/>
    <w:rsid w:val="687D3B3C"/>
    <w:rsid w:val="687E0414"/>
    <w:rsid w:val="688B3417"/>
    <w:rsid w:val="68911E74"/>
    <w:rsid w:val="68921DB9"/>
    <w:rsid w:val="68931F2B"/>
    <w:rsid w:val="689C4AF0"/>
    <w:rsid w:val="68A85E4C"/>
    <w:rsid w:val="68B1232C"/>
    <w:rsid w:val="68B254D2"/>
    <w:rsid w:val="68B37CC9"/>
    <w:rsid w:val="68BC13C0"/>
    <w:rsid w:val="68C201F7"/>
    <w:rsid w:val="68D92F51"/>
    <w:rsid w:val="68DE6DAC"/>
    <w:rsid w:val="68E21FF0"/>
    <w:rsid w:val="68E3351D"/>
    <w:rsid w:val="68EF151C"/>
    <w:rsid w:val="68F11E63"/>
    <w:rsid w:val="68F14C3B"/>
    <w:rsid w:val="68F410E4"/>
    <w:rsid w:val="68FC0D07"/>
    <w:rsid w:val="69055A5E"/>
    <w:rsid w:val="691232A6"/>
    <w:rsid w:val="691952D1"/>
    <w:rsid w:val="691F2828"/>
    <w:rsid w:val="692B5965"/>
    <w:rsid w:val="69336C77"/>
    <w:rsid w:val="69484FDB"/>
    <w:rsid w:val="69496826"/>
    <w:rsid w:val="694974FD"/>
    <w:rsid w:val="694A110D"/>
    <w:rsid w:val="694A3591"/>
    <w:rsid w:val="69543034"/>
    <w:rsid w:val="69793B84"/>
    <w:rsid w:val="69885DC4"/>
    <w:rsid w:val="699F1AEF"/>
    <w:rsid w:val="69A17E0A"/>
    <w:rsid w:val="69BD2E65"/>
    <w:rsid w:val="69C3298E"/>
    <w:rsid w:val="69C42F0D"/>
    <w:rsid w:val="69CB6FE2"/>
    <w:rsid w:val="69CD637A"/>
    <w:rsid w:val="69D24000"/>
    <w:rsid w:val="69D90001"/>
    <w:rsid w:val="6A0227A8"/>
    <w:rsid w:val="6A1A6A24"/>
    <w:rsid w:val="6A2F0733"/>
    <w:rsid w:val="6A3177EF"/>
    <w:rsid w:val="6A3814F5"/>
    <w:rsid w:val="6A413A96"/>
    <w:rsid w:val="6A4A66F7"/>
    <w:rsid w:val="6A60151E"/>
    <w:rsid w:val="6A6205FB"/>
    <w:rsid w:val="6A6432E1"/>
    <w:rsid w:val="6A7154D2"/>
    <w:rsid w:val="6A796C16"/>
    <w:rsid w:val="6A7C6AAF"/>
    <w:rsid w:val="6A7D243E"/>
    <w:rsid w:val="6A8F588A"/>
    <w:rsid w:val="6A92753B"/>
    <w:rsid w:val="6A9E7A3D"/>
    <w:rsid w:val="6A9F256B"/>
    <w:rsid w:val="6AAD2DD6"/>
    <w:rsid w:val="6AB66BC9"/>
    <w:rsid w:val="6AC07C98"/>
    <w:rsid w:val="6AC86CFD"/>
    <w:rsid w:val="6ACA0A05"/>
    <w:rsid w:val="6ACB5B05"/>
    <w:rsid w:val="6AD93E55"/>
    <w:rsid w:val="6ADA17F5"/>
    <w:rsid w:val="6ADC0A54"/>
    <w:rsid w:val="6AE17CF5"/>
    <w:rsid w:val="6AE334F1"/>
    <w:rsid w:val="6AE71156"/>
    <w:rsid w:val="6AE83F12"/>
    <w:rsid w:val="6AE929BC"/>
    <w:rsid w:val="6AF168ED"/>
    <w:rsid w:val="6AFF369B"/>
    <w:rsid w:val="6B0B15E0"/>
    <w:rsid w:val="6B104474"/>
    <w:rsid w:val="6B146AB5"/>
    <w:rsid w:val="6B25683C"/>
    <w:rsid w:val="6B2A079E"/>
    <w:rsid w:val="6B346CB9"/>
    <w:rsid w:val="6B367EB4"/>
    <w:rsid w:val="6B3B4729"/>
    <w:rsid w:val="6B461EDA"/>
    <w:rsid w:val="6B487507"/>
    <w:rsid w:val="6B601395"/>
    <w:rsid w:val="6B62315D"/>
    <w:rsid w:val="6B63088A"/>
    <w:rsid w:val="6B6F7816"/>
    <w:rsid w:val="6B702365"/>
    <w:rsid w:val="6B7E19CD"/>
    <w:rsid w:val="6B7E5CE7"/>
    <w:rsid w:val="6B801646"/>
    <w:rsid w:val="6B814D9E"/>
    <w:rsid w:val="6B824366"/>
    <w:rsid w:val="6B827BEC"/>
    <w:rsid w:val="6B8B4A16"/>
    <w:rsid w:val="6B8E684F"/>
    <w:rsid w:val="6BA02A3F"/>
    <w:rsid w:val="6BA836A7"/>
    <w:rsid w:val="6BB676C4"/>
    <w:rsid w:val="6BBB3901"/>
    <w:rsid w:val="6BBB5FAB"/>
    <w:rsid w:val="6BC801EA"/>
    <w:rsid w:val="6BCC7E83"/>
    <w:rsid w:val="6BDF6CC4"/>
    <w:rsid w:val="6BF713A0"/>
    <w:rsid w:val="6C070B91"/>
    <w:rsid w:val="6C0B3EB2"/>
    <w:rsid w:val="6C137534"/>
    <w:rsid w:val="6C1A0A77"/>
    <w:rsid w:val="6C1C4750"/>
    <w:rsid w:val="6C1F1E21"/>
    <w:rsid w:val="6C223FAC"/>
    <w:rsid w:val="6C2F5075"/>
    <w:rsid w:val="6C445118"/>
    <w:rsid w:val="6C46271A"/>
    <w:rsid w:val="6C474EF9"/>
    <w:rsid w:val="6C533564"/>
    <w:rsid w:val="6C573043"/>
    <w:rsid w:val="6C591A64"/>
    <w:rsid w:val="6C5F584C"/>
    <w:rsid w:val="6C6B6F68"/>
    <w:rsid w:val="6C6D497F"/>
    <w:rsid w:val="6C767F1C"/>
    <w:rsid w:val="6C8658C3"/>
    <w:rsid w:val="6C8B3CB7"/>
    <w:rsid w:val="6C8F160B"/>
    <w:rsid w:val="6C9C4FB4"/>
    <w:rsid w:val="6CA35367"/>
    <w:rsid w:val="6CAA5DF6"/>
    <w:rsid w:val="6CAD6199"/>
    <w:rsid w:val="6CAF7728"/>
    <w:rsid w:val="6CB07B43"/>
    <w:rsid w:val="6CBA2382"/>
    <w:rsid w:val="6CBA5185"/>
    <w:rsid w:val="6CBD2E6E"/>
    <w:rsid w:val="6CC16782"/>
    <w:rsid w:val="6CCE0EE6"/>
    <w:rsid w:val="6CD1329B"/>
    <w:rsid w:val="6CDA5C14"/>
    <w:rsid w:val="6CE67B1F"/>
    <w:rsid w:val="6CEF622B"/>
    <w:rsid w:val="6D025A40"/>
    <w:rsid w:val="6D027DC8"/>
    <w:rsid w:val="6D08160C"/>
    <w:rsid w:val="6D25240D"/>
    <w:rsid w:val="6D2C09C3"/>
    <w:rsid w:val="6D2D540F"/>
    <w:rsid w:val="6D3035D1"/>
    <w:rsid w:val="6D351C89"/>
    <w:rsid w:val="6D43796C"/>
    <w:rsid w:val="6D4C2232"/>
    <w:rsid w:val="6D534A3D"/>
    <w:rsid w:val="6D594C53"/>
    <w:rsid w:val="6D5A2293"/>
    <w:rsid w:val="6D5E6EFE"/>
    <w:rsid w:val="6D631B18"/>
    <w:rsid w:val="6D7323BF"/>
    <w:rsid w:val="6D7E54FF"/>
    <w:rsid w:val="6D8158D8"/>
    <w:rsid w:val="6D82064E"/>
    <w:rsid w:val="6D875787"/>
    <w:rsid w:val="6D8C1D7F"/>
    <w:rsid w:val="6DA619D6"/>
    <w:rsid w:val="6DAB6551"/>
    <w:rsid w:val="6DC1631B"/>
    <w:rsid w:val="6DD275E0"/>
    <w:rsid w:val="6DD30EA9"/>
    <w:rsid w:val="6DD9608C"/>
    <w:rsid w:val="6DE42EE4"/>
    <w:rsid w:val="6DE970EA"/>
    <w:rsid w:val="6DEF74ED"/>
    <w:rsid w:val="6DF32CA7"/>
    <w:rsid w:val="6DF5641E"/>
    <w:rsid w:val="6DF73A81"/>
    <w:rsid w:val="6DF826BE"/>
    <w:rsid w:val="6E015F3D"/>
    <w:rsid w:val="6E0C373D"/>
    <w:rsid w:val="6E1578A4"/>
    <w:rsid w:val="6E1E47A6"/>
    <w:rsid w:val="6E272FA3"/>
    <w:rsid w:val="6E3033A3"/>
    <w:rsid w:val="6E3130ED"/>
    <w:rsid w:val="6E3F386B"/>
    <w:rsid w:val="6E4530EE"/>
    <w:rsid w:val="6E47182B"/>
    <w:rsid w:val="6E4E3360"/>
    <w:rsid w:val="6E512CD3"/>
    <w:rsid w:val="6E633318"/>
    <w:rsid w:val="6E6416A4"/>
    <w:rsid w:val="6E6B34A3"/>
    <w:rsid w:val="6E6D1362"/>
    <w:rsid w:val="6E6E4D61"/>
    <w:rsid w:val="6E7C4644"/>
    <w:rsid w:val="6E8020D3"/>
    <w:rsid w:val="6E813D91"/>
    <w:rsid w:val="6E895C81"/>
    <w:rsid w:val="6E8F42D3"/>
    <w:rsid w:val="6E8F54B4"/>
    <w:rsid w:val="6E994449"/>
    <w:rsid w:val="6EA63EC8"/>
    <w:rsid w:val="6EB4008C"/>
    <w:rsid w:val="6EBC1098"/>
    <w:rsid w:val="6EC4377A"/>
    <w:rsid w:val="6ED35665"/>
    <w:rsid w:val="6ED53D6E"/>
    <w:rsid w:val="6EE83F08"/>
    <w:rsid w:val="6EEC6A5A"/>
    <w:rsid w:val="6F08315C"/>
    <w:rsid w:val="6F0D3ED0"/>
    <w:rsid w:val="6F236464"/>
    <w:rsid w:val="6F2822B5"/>
    <w:rsid w:val="6F3874AA"/>
    <w:rsid w:val="6F4418DA"/>
    <w:rsid w:val="6F4709FD"/>
    <w:rsid w:val="6F4D6A39"/>
    <w:rsid w:val="6F571084"/>
    <w:rsid w:val="6F5B2A24"/>
    <w:rsid w:val="6F623646"/>
    <w:rsid w:val="6F6417C4"/>
    <w:rsid w:val="6F685621"/>
    <w:rsid w:val="6F6A457A"/>
    <w:rsid w:val="6F8B594A"/>
    <w:rsid w:val="6F8C5863"/>
    <w:rsid w:val="6F9E164D"/>
    <w:rsid w:val="6FAD572A"/>
    <w:rsid w:val="6FB52FCC"/>
    <w:rsid w:val="6FB652BB"/>
    <w:rsid w:val="6FB95BB9"/>
    <w:rsid w:val="6FE17FF0"/>
    <w:rsid w:val="6FE7439B"/>
    <w:rsid w:val="6FE969BF"/>
    <w:rsid w:val="6FED7AA7"/>
    <w:rsid w:val="6FF57A3D"/>
    <w:rsid w:val="70002411"/>
    <w:rsid w:val="700E342C"/>
    <w:rsid w:val="700F0F64"/>
    <w:rsid w:val="701B4455"/>
    <w:rsid w:val="70217031"/>
    <w:rsid w:val="70243A7D"/>
    <w:rsid w:val="70267986"/>
    <w:rsid w:val="70340C9E"/>
    <w:rsid w:val="70395B51"/>
    <w:rsid w:val="703D730B"/>
    <w:rsid w:val="70412BED"/>
    <w:rsid w:val="704B2437"/>
    <w:rsid w:val="7054140D"/>
    <w:rsid w:val="7065090D"/>
    <w:rsid w:val="7067248C"/>
    <w:rsid w:val="707324D0"/>
    <w:rsid w:val="707A1AB0"/>
    <w:rsid w:val="7081436D"/>
    <w:rsid w:val="70830B30"/>
    <w:rsid w:val="70843EF3"/>
    <w:rsid w:val="70881259"/>
    <w:rsid w:val="708E3D85"/>
    <w:rsid w:val="708F0AD1"/>
    <w:rsid w:val="709D2496"/>
    <w:rsid w:val="709D4824"/>
    <w:rsid w:val="70A15B5A"/>
    <w:rsid w:val="70BC1F99"/>
    <w:rsid w:val="70C1525D"/>
    <w:rsid w:val="70CD6084"/>
    <w:rsid w:val="70CE1C35"/>
    <w:rsid w:val="70D23836"/>
    <w:rsid w:val="70DB7F45"/>
    <w:rsid w:val="70E45AD2"/>
    <w:rsid w:val="70F03B20"/>
    <w:rsid w:val="70F71FB3"/>
    <w:rsid w:val="711A0B9D"/>
    <w:rsid w:val="7121327D"/>
    <w:rsid w:val="712317FC"/>
    <w:rsid w:val="7138122D"/>
    <w:rsid w:val="713E451B"/>
    <w:rsid w:val="71433036"/>
    <w:rsid w:val="7148570A"/>
    <w:rsid w:val="714E0188"/>
    <w:rsid w:val="714F1788"/>
    <w:rsid w:val="715F4B4E"/>
    <w:rsid w:val="716330C5"/>
    <w:rsid w:val="716D38A1"/>
    <w:rsid w:val="7184022A"/>
    <w:rsid w:val="718C698D"/>
    <w:rsid w:val="71924139"/>
    <w:rsid w:val="71A368B8"/>
    <w:rsid w:val="71AF7537"/>
    <w:rsid w:val="71B36606"/>
    <w:rsid w:val="71BC3FF7"/>
    <w:rsid w:val="71C04C20"/>
    <w:rsid w:val="71CA609A"/>
    <w:rsid w:val="71D60F68"/>
    <w:rsid w:val="71DC7E8D"/>
    <w:rsid w:val="71E12B57"/>
    <w:rsid w:val="71E566F8"/>
    <w:rsid w:val="71E87F09"/>
    <w:rsid w:val="71FB1615"/>
    <w:rsid w:val="71FD64F5"/>
    <w:rsid w:val="72052CA7"/>
    <w:rsid w:val="720D5082"/>
    <w:rsid w:val="72146C9B"/>
    <w:rsid w:val="721557B8"/>
    <w:rsid w:val="723C253D"/>
    <w:rsid w:val="723F4D5F"/>
    <w:rsid w:val="724E2614"/>
    <w:rsid w:val="724F355A"/>
    <w:rsid w:val="72605D30"/>
    <w:rsid w:val="72617E43"/>
    <w:rsid w:val="726437F6"/>
    <w:rsid w:val="7264404D"/>
    <w:rsid w:val="726C2C48"/>
    <w:rsid w:val="726D3426"/>
    <w:rsid w:val="727236FB"/>
    <w:rsid w:val="72741343"/>
    <w:rsid w:val="72747DC5"/>
    <w:rsid w:val="727B544A"/>
    <w:rsid w:val="72872DB0"/>
    <w:rsid w:val="728B3BA1"/>
    <w:rsid w:val="729251C6"/>
    <w:rsid w:val="72A37174"/>
    <w:rsid w:val="72BB6E10"/>
    <w:rsid w:val="72C06107"/>
    <w:rsid w:val="72DA6732"/>
    <w:rsid w:val="72F42ADE"/>
    <w:rsid w:val="72F43367"/>
    <w:rsid w:val="730B577C"/>
    <w:rsid w:val="7315140A"/>
    <w:rsid w:val="731625FC"/>
    <w:rsid w:val="731F06ED"/>
    <w:rsid w:val="731F075B"/>
    <w:rsid w:val="73201B95"/>
    <w:rsid w:val="73406174"/>
    <w:rsid w:val="73423A7A"/>
    <w:rsid w:val="7348701D"/>
    <w:rsid w:val="734A28B7"/>
    <w:rsid w:val="7357105A"/>
    <w:rsid w:val="73727F0B"/>
    <w:rsid w:val="737A39F5"/>
    <w:rsid w:val="738B062C"/>
    <w:rsid w:val="73944605"/>
    <w:rsid w:val="73985622"/>
    <w:rsid w:val="739C4363"/>
    <w:rsid w:val="73A100AF"/>
    <w:rsid w:val="73A31545"/>
    <w:rsid w:val="73AC4A69"/>
    <w:rsid w:val="73AF6852"/>
    <w:rsid w:val="73B33721"/>
    <w:rsid w:val="73B53504"/>
    <w:rsid w:val="73CE2013"/>
    <w:rsid w:val="73D7393F"/>
    <w:rsid w:val="73DD0263"/>
    <w:rsid w:val="73DD75DF"/>
    <w:rsid w:val="73E85387"/>
    <w:rsid w:val="73EB05CF"/>
    <w:rsid w:val="73F37AD2"/>
    <w:rsid w:val="73F95B20"/>
    <w:rsid w:val="73FE1F9F"/>
    <w:rsid w:val="74165962"/>
    <w:rsid w:val="741915E0"/>
    <w:rsid w:val="741D0C94"/>
    <w:rsid w:val="74213D66"/>
    <w:rsid w:val="74250CD9"/>
    <w:rsid w:val="742F414E"/>
    <w:rsid w:val="7430191F"/>
    <w:rsid w:val="743F09E7"/>
    <w:rsid w:val="74410E24"/>
    <w:rsid w:val="74422B79"/>
    <w:rsid w:val="746834FA"/>
    <w:rsid w:val="74687CBF"/>
    <w:rsid w:val="746B0BAA"/>
    <w:rsid w:val="74742AF1"/>
    <w:rsid w:val="748528EB"/>
    <w:rsid w:val="74970208"/>
    <w:rsid w:val="74A215D5"/>
    <w:rsid w:val="74A9060F"/>
    <w:rsid w:val="74A92964"/>
    <w:rsid w:val="74AC57AA"/>
    <w:rsid w:val="74AC6B3A"/>
    <w:rsid w:val="74B17A6A"/>
    <w:rsid w:val="74B97DE3"/>
    <w:rsid w:val="74C035F2"/>
    <w:rsid w:val="74C41CC3"/>
    <w:rsid w:val="74CE5A34"/>
    <w:rsid w:val="74E93D82"/>
    <w:rsid w:val="74EC45FF"/>
    <w:rsid w:val="74EE4AA7"/>
    <w:rsid w:val="74F454AB"/>
    <w:rsid w:val="75104791"/>
    <w:rsid w:val="751838CC"/>
    <w:rsid w:val="752C514D"/>
    <w:rsid w:val="75472A9A"/>
    <w:rsid w:val="754E6F5D"/>
    <w:rsid w:val="75534552"/>
    <w:rsid w:val="75554A77"/>
    <w:rsid w:val="75564379"/>
    <w:rsid w:val="755E4481"/>
    <w:rsid w:val="7564754F"/>
    <w:rsid w:val="75653F8F"/>
    <w:rsid w:val="75675AF9"/>
    <w:rsid w:val="757345ED"/>
    <w:rsid w:val="7585360D"/>
    <w:rsid w:val="75853C55"/>
    <w:rsid w:val="758A3D6D"/>
    <w:rsid w:val="75BF7F65"/>
    <w:rsid w:val="75CB3545"/>
    <w:rsid w:val="75D0668E"/>
    <w:rsid w:val="75D73404"/>
    <w:rsid w:val="75D91278"/>
    <w:rsid w:val="75D95DAA"/>
    <w:rsid w:val="75DD025A"/>
    <w:rsid w:val="75DE3386"/>
    <w:rsid w:val="75DE7589"/>
    <w:rsid w:val="75EB6AA1"/>
    <w:rsid w:val="75EF1DD9"/>
    <w:rsid w:val="75F5572D"/>
    <w:rsid w:val="76193DFA"/>
    <w:rsid w:val="761F501E"/>
    <w:rsid w:val="762404D4"/>
    <w:rsid w:val="762E07DC"/>
    <w:rsid w:val="7645433A"/>
    <w:rsid w:val="76520E7E"/>
    <w:rsid w:val="765D0AC2"/>
    <w:rsid w:val="76610E1E"/>
    <w:rsid w:val="766506E4"/>
    <w:rsid w:val="766F287A"/>
    <w:rsid w:val="76701021"/>
    <w:rsid w:val="767D3C03"/>
    <w:rsid w:val="76827062"/>
    <w:rsid w:val="768A53A8"/>
    <w:rsid w:val="768B24F9"/>
    <w:rsid w:val="76944CA4"/>
    <w:rsid w:val="7696634D"/>
    <w:rsid w:val="76985AE2"/>
    <w:rsid w:val="769907B6"/>
    <w:rsid w:val="769F7D98"/>
    <w:rsid w:val="76B175BC"/>
    <w:rsid w:val="76B6683F"/>
    <w:rsid w:val="76B97545"/>
    <w:rsid w:val="76C3433D"/>
    <w:rsid w:val="76C375E1"/>
    <w:rsid w:val="76C9651D"/>
    <w:rsid w:val="76D1711F"/>
    <w:rsid w:val="76D20CDE"/>
    <w:rsid w:val="76D731F7"/>
    <w:rsid w:val="76DA2E7B"/>
    <w:rsid w:val="76DE0552"/>
    <w:rsid w:val="76E039BC"/>
    <w:rsid w:val="76E51777"/>
    <w:rsid w:val="76F019B6"/>
    <w:rsid w:val="77007465"/>
    <w:rsid w:val="77104FD8"/>
    <w:rsid w:val="77111E40"/>
    <w:rsid w:val="77206FD3"/>
    <w:rsid w:val="77253DF8"/>
    <w:rsid w:val="772C6A64"/>
    <w:rsid w:val="772D4B79"/>
    <w:rsid w:val="772E644B"/>
    <w:rsid w:val="772F6324"/>
    <w:rsid w:val="77495E85"/>
    <w:rsid w:val="775F1633"/>
    <w:rsid w:val="77647B3B"/>
    <w:rsid w:val="776C1D72"/>
    <w:rsid w:val="776C64FC"/>
    <w:rsid w:val="776D7803"/>
    <w:rsid w:val="776E6765"/>
    <w:rsid w:val="7777673E"/>
    <w:rsid w:val="777B754B"/>
    <w:rsid w:val="77871F6E"/>
    <w:rsid w:val="77963C6B"/>
    <w:rsid w:val="77991D23"/>
    <w:rsid w:val="77AC5563"/>
    <w:rsid w:val="77C74149"/>
    <w:rsid w:val="77CD3E6F"/>
    <w:rsid w:val="77DE7BD3"/>
    <w:rsid w:val="77E76D58"/>
    <w:rsid w:val="77F86763"/>
    <w:rsid w:val="78032F91"/>
    <w:rsid w:val="781400F4"/>
    <w:rsid w:val="784976AB"/>
    <w:rsid w:val="784C764C"/>
    <w:rsid w:val="784D3788"/>
    <w:rsid w:val="787C1C3D"/>
    <w:rsid w:val="788C60D5"/>
    <w:rsid w:val="78922472"/>
    <w:rsid w:val="789575B1"/>
    <w:rsid w:val="78B66E08"/>
    <w:rsid w:val="78B91B66"/>
    <w:rsid w:val="78BB0D0F"/>
    <w:rsid w:val="78BD534B"/>
    <w:rsid w:val="78C626DF"/>
    <w:rsid w:val="78C90E4C"/>
    <w:rsid w:val="78E67510"/>
    <w:rsid w:val="78F17D83"/>
    <w:rsid w:val="78FC1C16"/>
    <w:rsid w:val="790D1906"/>
    <w:rsid w:val="791153EF"/>
    <w:rsid w:val="791B586C"/>
    <w:rsid w:val="791D75EE"/>
    <w:rsid w:val="792253EC"/>
    <w:rsid w:val="79295E21"/>
    <w:rsid w:val="7930365E"/>
    <w:rsid w:val="793E7BA2"/>
    <w:rsid w:val="793F2B12"/>
    <w:rsid w:val="794054AC"/>
    <w:rsid w:val="79411FC0"/>
    <w:rsid w:val="79416DAC"/>
    <w:rsid w:val="794351C7"/>
    <w:rsid w:val="7956297A"/>
    <w:rsid w:val="795E5A72"/>
    <w:rsid w:val="796E0486"/>
    <w:rsid w:val="797144A4"/>
    <w:rsid w:val="797F7531"/>
    <w:rsid w:val="7994264C"/>
    <w:rsid w:val="79984EFC"/>
    <w:rsid w:val="79A42F8A"/>
    <w:rsid w:val="79AE52D4"/>
    <w:rsid w:val="79BC4EA2"/>
    <w:rsid w:val="79C43E47"/>
    <w:rsid w:val="79C756FD"/>
    <w:rsid w:val="79CC3E3D"/>
    <w:rsid w:val="79CE3815"/>
    <w:rsid w:val="79D733D5"/>
    <w:rsid w:val="79D966BA"/>
    <w:rsid w:val="79E4735A"/>
    <w:rsid w:val="79E92D7D"/>
    <w:rsid w:val="79EA53F0"/>
    <w:rsid w:val="79EC36BB"/>
    <w:rsid w:val="79F82B71"/>
    <w:rsid w:val="79FB191F"/>
    <w:rsid w:val="7A0E424F"/>
    <w:rsid w:val="7A250A85"/>
    <w:rsid w:val="7A3958BB"/>
    <w:rsid w:val="7A4E712B"/>
    <w:rsid w:val="7A5A538E"/>
    <w:rsid w:val="7A5A5BA8"/>
    <w:rsid w:val="7A5C5BD6"/>
    <w:rsid w:val="7A61783D"/>
    <w:rsid w:val="7A66163F"/>
    <w:rsid w:val="7A7408C7"/>
    <w:rsid w:val="7A827ECC"/>
    <w:rsid w:val="7A942E72"/>
    <w:rsid w:val="7A9A49D8"/>
    <w:rsid w:val="7AA17C39"/>
    <w:rsid w:val="7AB317CB"/>
    <w:rsid w:val="7AF24089"/>
    <w:rsid w:val="7AF5322D"/>
    <w:rsid w:val="7AFF6EE7"/>
    <w:rsid w:val="7B121152"/>
    <w:rsid w:val="7B1E4E86"/>
    <w:rsid w:val="7B312413"/>
    <w:rsid w:val="7B347940"/>
    <w:rsid w:val="7B4A6C88"/>
    <w:rsid w:val="7B5353D8"/>
    <w:rsid w:val="7B6300D8"/>
    <w:rsid w:val="7B722E89"/>
    <w:rsid w:val="7B806ADF"/>
    <w:rsid w:val="7B8410DB"/>
    <w:rsid w:val="7B8657AD"/>
    <w:rsid w:val="7B89704B"/>
    <w:rsid w:val="7B8B2806"/>
    <w:rsid w:val="7B995D1E"/>
    <w:rsid w:val="7BA05FB3"/>
    <w:rsid w:val="7BA8292F"/>
    <w:rsid w:val="7BB6059A"/>
    <w:rsid w:val="7BCD0401"/>
    <w:rsid w:val="7BCF0EA8"/>
    <w:rsid w:val="7BD66691"/>
    <w:rsid w:val="7BE11714"/>
    <w:rsid w:val="7BEF28D0"/>
    <w:rsid w:val="7BF344C5"/>
    <w:rsid w:val="7BF50744"/>
    <w:rsid w:val="7BFC00D7"/>
    <w:rsid w:val="7C001CD6"/>
    <w:rsid w:val="7C116FC2"/>
    <w:rsid w:val="7C1C704C"/>
    <w:rsid w:val="7C357219"/>
    <w:rsid w:val="7C3714E0"/>
    <w:rsid w:val="7C3A64F7"/>
    <w:rsid w:val="7C4C3564"/>
    <w:rsid w:val="7C4D6B6B"/>
    <w:rsid w:val="7C604061"/>
    <w:rsid w:val="7C64079E"/>
    <w:rsid w:val="7C6B6751"/>
    <w:rsid w:val="7C8D4118"/>
    <w:rsid w:val="7C91213C"/>
    <w:rsid w:val="7C99757F"/>
    <w:rsid w:val="7C9B25CE"/>
    <w:rsid w:val="7C9D2A38"/>
    <w:rsid w:val="7CAA3794"/>
    <w:rsid w:val="7CB029CD"/>
    <w:rsid w:val="7CB542E7"/>
    <w:rsid w:val="7CBC55FB"/>
    <w:rsid w:val="7CC71EEB"/>
    <w:rsid w:val="7CCE3D6A"/>
    <w:rsid w:val="7CD930BD"/>
    <w:rsid w:val="7CDD64B7"/>
    <w:rsid w:val="7CE15D25"/>
    <w:rsid w:val="7CED2A91"/>
    <w:rsid w:val="7CEF740C"/>
    <w:rsid w:val="7CF11C3E"/>
    <w:rsid w:val="7CF152E5"/>
    <w:rsid w:val="7D184A39"/>
    <w:rsid w:val="7D253442"/>
    <w:rsid w:val="7D2D7007"/>
    <w:rsid w:val="7D36464E"/>
    <w:rsid w:val="7D374D36"/>
    <w:rsid w:val="7D3A60A2"/>
    <w:rsid w:val="7D4615F6"/>
    <w:rsid w:val="7D4B0076"/>
    <w:rsid w:val="7D513B99"/>
    <w:rsid w:val="7D651BFD"/>
    <w:rsid w:val="7D733A32"/>
    <w:rsid w:val="7D7C3DCB"/>
    <w:rsid w:val="7D9B4E14"/>
    <w:rsid w:val="7D9F3E29"/>
    <w:rsid w:val="7D9F7BF1"/>
    <w:rsid w:val="7DA56094"/>
    <w:rsid w:val="7DA64894"/>
    <w:rsid w:val="7DA71A0B"/>
    <w:rsid w:val="7DA912DF"/>
    <w:rsid w:val="7DA97C07"/>
    <w:rsid w:val="7DAB0D8C"/>
    <w:rsid w:val="7DAB2992"/>
    <w:rsid w:val="7DB27F48"/>
    <w:rsid w:val="7DBB1A86"/>
    <w:rsid w:val="7DC9191C"/>
    <w:rsid w:val="7DDA2D2B"/>
    <w:rsid w:val="7DDA3FE2"/>
    <w:rsid w:val="7DE61F4E"/>
    <w:rsid w:val="7DE72B62"/>
    <w:rsid w:val="7DF67617"/>
    <w:rsid w:val="7DFD4AA0"/>
    <w:rsid w:val="7DFD74E0"/>
    <w:rsid w:val="7E0620B6"/>
    <w:rsid w:val="7E140500"/>
    <w:rsid w:val="7E313A4A"/>
    <w:rsid w:val="7E382007"/>
    <w:rsid w:val="7E393A63"/>
    <w:rsid w:val="7E3B120C"/>
    <w:rsid w:val="7E4070BC"/>
    <w:rsid w:val="7E410BFA"/>
    <w:rsid w:val="7E417F15"/>
    <w:rsid w:val="7E45506D"/>
    <w:rsid w:val="7E4800B3"/>
    <w:rsid w:val="7E4A5D8B"/>
    <w:rsid w:val="7E560C13"/>
    <w:rsid w:val="7E64452C"/>
    <w:rsid w:val="7E644BF6"/>
    <w:rsid w:val="7E6572EE"/>
    <w:rsid w:val="7E712ECD"/>
    <w:rsid w:val="7E785DB5"/>
    <w:rsid w:val="7E7B375A"/>
    <w:rsid w:val="7E86088C"/>
    <w:rsid w:val="7E904A01"/>
    <w:rsid w:val="7E942AA5"/>
    <w:rsid w:val="7E9C052C"/>
    <w:rsid w:val="7E9F2E67"/>
    <w:rsid w:val="7EBA1B05"/>
    <w:rsid w:val="7EC24622"/>
    <w:rsid w:val="7ED37308"/>
    <w:rsid w:val="7EDB4998"/>
    <w:rsid w:val="7EDD0509"/>
    <w:rsid w:val="7EE177BF"/>
    <w:rsid w:val="7EF90044"/>
    <w:rsid w:val="7EFA526B"/>
    <w:rsid w:val="7EFC7159"/>
    <w:rsid w:val="7F0730DD"/>
    <w:rsid w:val="7F097E5D"/>
    <w:rsid w:val="7F0A04A3"/>
    <w:rsid w:val="7F0A5111"/>
    <w:rsid w:val="7F0D421A"/>
    <w:rsid w:val="7F146B45"/>
    <w:rsid w:val="7F1F73AD"/>
    <w:rsid w:val="7F3215D4"/>
    <w:rsid w:val="7F381330"/>
    <w:rsid w:val="7F5E765E"/>
    <w:rsid w:val="7F6C1280"/>
    <w:rsid w:val="7F7562BD"/>
    <w:rsid w:val="7F8A7D3D"/>
    <w:rsid w:val="7FA357DC"/>
    <w:rsid w:val="7FA8530F"/>
    <w:rsid w:val="7FAA3445"/>
    <w:rsid w:val="7FAB6B6F"/>
    <w:rsid w:val="7FAE7BCD"/>
    <w:rsid w:val="7FB71B57"/>
    <w:rsid w:val="7FBB3107"/>
    <w:rsid w:val="7FC11792"/>
    <w:rsid w:val="7FE073C7"/>
    <w:rsid w:val="7FF538B1"/>
    <w:rsid w:val="7FF761CD"/>
    <w:rsid w:val="8DFFE321"/>
    <w:rsid w:val="B4E76123"/>
    <w:rsid w:val="D39FEBEC"/>
    <w:rsid w:val="F7178F5D"/>
    <w:rsid w:val="F9F35E61"/>
    <w:rsid w:val="FFE7463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qFormat="1" w:unhideWhenUsed="0" w:uiPriority="0" w:name="index 3"/>
    <w:lsdException w:uiPriority="0" w:name="index 4"/>
    <w:lsdException w:uiPriority="0" w:name="index 5"/>
    <w:lsdException w:uiPriority="0" w:name="index 6"/>
    <w:lsdException w:qFormat="1" w:unhideWhenUsed="0" w:uiPriority="0" w:semiHidden="0" w:name="index 7"/>
    <w:lsdException w:uiPriority="0" w:name="index 8"/>
    <w:lsdException w:uiPriority="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8"/>
      <w:lang w:val="en-US" w:eastAsia="zh-CN" w:bidi="ar-SA"/>
    </w:rPr>
  </w:style>
  <w:style w:type="paragraph" w:styleId="2">
    <w:name w:val="heading 1"/>
    <w:basedOn w:val="1"/>
    <w:next w:val="1"/>
    <w:link w:val="69"/>
    <w:qFormat/>
    <w:uiPriority w:val="0"/>
    <w:pPr>
      <w:keepNext/>
      <w:snapToGrid w:val="0"/>
      <w:spacing w:line="360" w:lineRule="atLeast"/>
      <w:outlineLvl w:val="0"/>
    </w:pPr>
    <w:rPr>
      <w:rFonts w:ascii="宋体"/>
    </w:rPr>
  </w:style>
  <w:style w:type="paragraph" w:styleId="3">
    <w:name w:val="heading 2"/>
    <w:basedOn w:val="4"/>
    <w:next w:val="1"/>
    <w:link w:val="70"/>
    <w:qFormat/>
    <w:uiPriority w:val="0"/>
    <w:pPr>
      <w:keepNext/>
      <w:keepLines/>
      <w:spacing w:line="413" w:lineRule="auto"/>
      <w:outlineLvl w:val="1"/>
    </w:pPr>
    <w:rPr>
      <w:rFonts w:ascii="Arial" w:hAnsi="Arial" w:eastAsia="黑体"/>
      <w:sz w:val="32"/>
    </w:rPr>
  </w:style>
  <w:style w:type="paragraph" w:styleId="4">
    <w:name w:val="heading 3"/>
    <w:basedOn w:val="1"/>
    <w:next w:val="1"/>
    <w:link w:val="210"/>
    <w:qFormat/>
    <w:uiPriority w:val="0"/>
    <w:pPr>
      <w:keepNext/>
      <w:keepLines/>
      <w:spacing w:line="413" w:lineRule="auto"/>
      <w:outlineLvl w:val="2"/>
    </w:pPr>
    <w:rPr>
      <w:b/>
      <w:sz w:val="32"/>
    </w:rPr>
  </w:style>
  <w:style w:type="paragraph" w:styleId="5">
    <w:name w:val="heading 4"/>
    <w:basedOn w:val="1"/>
    <w:next w:val="1"/>
    <w:qFormat/>
    <w:uiPriority w:val="0"/>
    <w:pPr>
      <w:keepNext/>
      <w:keepLines/>
      <w:spacing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line="317" w:lineRule="auto"/>
      <w:ind w:left="1584" w:hanging="1584"/>
      <w:outlineLvl w:val="8"/>
    </w:pPr>
    <w:rPr>
      <w:rFonts w:ascii="Arial" w:hAnsi="Arial" w:eastAsia="黑体"/>
      <w:b/>
      <w:sz w:val="24"/>
    </w:rPr>
  </w:style>
  <w:style w:type="character" w:default="1" w:styleId="61">
    <w:name w:val="Default Paragraph Font"/>
    <w:semiHidden/>
    <w:unhideWhenUsed/>
    <w:qFormat/>
    <w:uiPriority w:val="1"/>
  </w:style>
  <w:style w:type="table" w:default="1" w:styleId="5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line="280" w:lineRule="atLeast"/>
      <w:ind w:left="1418" w:hanging="284"/>
      <w:jc w:val="left"/>
    </w:pPr>
    <w:rPr>
      <w:rFonts w:ascii="宋体"/>
      <w:kern w:val="0"/>
      <w:sz w:val="22"/>
    </w:rPr>
  </w:style>
  <w:style w:type="paragraph" w:styleId="15">
    <w:name w:val="Normal Indent"/>
    <w:basedOn w:val="1"/>
    <w:next w:val="16"/>
    <w:qFormat/>
    <w:uiPriority w:val="0"/>
    <w:pPr>
      <w:adjustRightInd w:val="0"/>
      <w:snapToGrid w:val="0"/>
      <w:spacing w:line="360" w:lineRule="auto"/>
      <w:ind w:firstLine="420"/>
    </w:pPr>
    <w:rPr>
      <w:sz w:val="24"/>
    </w:rPr>
  </w:style>
  <w:style w:type="paragraph" w:styleId="16">
    <w:name w:val="Body Text Indent"/>
    <w:basedOn w:val="1"/>
    <w:next w:val="15"/>
    <w:link w:val="216"/>
    <w:qFormat/>
    <w:uiPriority w:val="0"/>
    <w:pPr>
      <w:spacing w:line="700" w:lineRule="exact"/>
      <w:ind w:left="960"/>
    </w:pPr>
    <w:rPr>
      <w:sz w:val="4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rPr>
      <w:rFonts w:ascii="Arial" w:hAnsi="Arial"/>
      <w:sz w:val="24"/>
    </w:rPr>
  </w:style>
  <w:style w:type="paragraph" w:styleId="20">
    <w:name w:val="annotation text"/>
    <w:basedOn w:val="1"/>
    <w:link w:val="228"/>
    <w:qFormat/>
    <w:uiPriority w:val="0"/>
    <w:pPr>
      <w:adjustRightInd w:val="0"/>
      <w:spacing w:line="360" w:lineRule="atLeast"/>
      <w:jc w:val="left"/>
      <w:textAlignment w:val="baseline"/>
    </w:pPr>
    <w:rPr>
      <w:kern w:val="0"/>
      <w:sz w:val="24"/>
    </w:rPr>
  </w:style>
  <w:style w:type="paragraph" w:styleId="21">
    <w:name w:val="Body Text 3"/>
    <w:basedOn w:val="1"/>
    <w:qFormat/>
    <w:uiPriority w:val="0"/>
    <w:pPr>
      <w:adjustRightInd w:val="0"/>
      <w:snapToGrid w:val="0"/>
      <w:spacing w:line="360" w:lineRule="auto"/>
    </w:pPr>
    <w:rPr>
      <w:sz w:val="16"/>
    </w:rPr>
  </w:style>
  <w:style w:type="paragraph" w:styleId="22">
    <w:name w:val="List Bullet 3"/>
    <w:basedOn w:val="1"/>
    <w:qFormat/>
    <w:uiPriority w:val="0"/>
    <w:pPr>
      <w:numPr>
        <w:ilvl w:val="0"/>
        <w:numId w:val="2"/>
      </w:numPr>
      <w:adjustRightInd w:val="0"/>
      <w:snapToGrid w:val="0"/>
      <w:spacing w:line="360" w:lineRule="auto"/>
    </w:pPr>
    <w:rPr>
      <w:sz w:val="24"/>
    </w:rPr>
  </w:style>
  <w:style w:type="paragraph" w:styleId="23">
    <w:name w:val="Body Text"/>
    <w:basedOn w:val="1"/>
    <w:qFormat/>
    <w:uiPriority w:val="0"/>
    <w:rPr>
      <w:rFonts w:ascii="仿宋_GB2312" w:eastAsia="仿宋_GB2312"/>
      <w:sz w:val="32"/>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line="360" w:lineRule="auto"/>
      <w:ind w:left="420" w:leftChars="200"/>
    </w:pPr>
    <w:rPr>
      <w:sz w:val="24"/>
    </w:rPr>
  </w:style>
  <w:style w:type="paragraph" w:styleId="27">
    <w:name w:val="List Bullet 2"/>
    <w:basedOn w:val="1"/>
    <w:qFormat/>
    <w:uiPriority w:val="0"/>
    <w:pPr>
      <w:numPr>
        <w:ilvl w:val="0"/>
        <w:numId w:val="3"/>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index 3"/>
    <w:basedOn w:val="1"/>
    <w:next w:val="1"/>
    <w:semiHidden/>
    <w:qFormat/>
    <w:uiPriority w:val="0"/>
    <w:pPr>
      <w:ind w:left="600" w:hanging="200"/>
    </w:pPr>
  </w:style>
  <w:style w:type="paragraph" w:styleId="33">
    <w:name w:val="Date"/>
    <w:basedOn w:val="1"/>
    <w:next w:val="1"/>
    <w:link w:val="230"/>
    <w:qFormat/>
    <w:uiPriority w:val="0"/>
  </w:style>
  <w:style w:type="paragraph" w:styleId="34">
    <w:name w:val="Body Text Indent 2"/>
    <w:basedOn w:val="1"/>
    <w:link w:val="223"/>
    <w:qFormat/>
    <w:uiPriority w:val="0"/>
    <w:pPr>
      <w:snapToGrid w:val="0"/>
      <w:spacing w:line="560" w:lineRule="atLeast"/>
      <w:ind w:firstLine="540"/>
    </w:pPr>
  </w:style>
  <w:style w:type="paragraph" w:styleId="35">
    <w:name w:val="Balloon Text"/>
    <w:basedOn w:val="1"/>
    <w:link w:val="262"/>
    <w:qFormat/>
    <w:uiPriority w:val="99"/>
    <w:rPr>
      <w:sz w:val="18"/>
    </w:rPr>
  </w:style>
  <w:style w:type="paragraph" w:styleId="36">
    <w:name w:val="footer"/>
    <w:basedOn w:val="1"/>
    <w:qFormat/>
    <w:uiPriority w:val="0"/>
    <w:pPr>
      <w:tabs>
        <w:tab w:val="center" w:pos="4153"/>
        <w:tab w:val="right" w:pos="8306"/>
      </w:tabs>
      <w:snapToGrid w:val="0"/>
      <w:jc w:val="left"/>
    </w:pPr>
    <w:rPr>
      <w:sz w:val="18"/>
    </w:rPr>
  </w:style>
  <w:style w:type="paragraph" w:styleId="37">
    <w:name w:val="header"/>
    <w:basedOn w:val="1"/>
    <w:link w:val="260"/>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0"/>
    <w:pPr>
      <w:spacing w:line="180" w:lineRule="auto"/>
      <w:jc w:val="center"/>
    </w:pPr>
    <w:rPr>
      <w:sz w:val="30"/>
    </w:rPr>
  </w:style>
  <w:style w:type="paragraph" w:styleId="39">
    <w:name w:val="List Continue 4"/>
    <w:basedOn w:val="1"/>
    <w:qFormat/>
    <w:uiPriority w:val="0"/>
    <w:pPr>
      <w:adjustRightInd w:val="0"/>
      <w:snapToGrid w:val="0"/>
      <w:spacing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link w:val="236"/>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index 7"/>
    <w:basedOn w:val="1"/>
    <w:next w:val="1"/>
    <w:qFormat/>
    <w:uiPriority w:val="0"/>
    <w:pPr>
      <w:ind w:left="2520"/>
    </w:pPr>
    <w:rPr>
      <w:rFonts w:ascii="Times New Roman" w:hAnsi="Times New Roman"/>
      <w:sz w:val="21"/>
      <w:szCs w:val="21"/>
    </w:rPr>
  </w:style>
  <w:style w:type="paragraph" w:styleId="46">
    <w:name w:val="table of figures"/>
    <w:basedOn w:val="1"/>
    <w:next w:val="1"/>
    <w:qFormat/>
    <w:uiPriority w:val="0"/>
    <w:pPr>
      <w:tabs>
        <w:tab w:val="right" w:leader="dot" w:pos="8640"/>
      </w:tabs>
      <w:spacing w:line="360" w:lineRule="auto"/>
      <w:ind w:left="400" w:hanging="400"/>
    </w:pPr>
    <w:rPr>
      <w:sz w:val="24"/>
    </w:rPr>
  </w:style>
  <w:style w:type="paragraph" w:styleId="47">
    <w:name w:val="toc 2"/>
    <w:basedOn w:val="1"/>
    <w:next w:val="1"/>
    <w:qFormat/>
    <w:uiPriority w:val="39"/>
    <w:pPr>
      <w:ind w:left="420" w:leftChars="200"/>
    </w:pPr>
  </w:style>
  <w:style w:type="paragraph" w:styleId="48">
    <w:name w:val="toc 9"/>
    <w:basedOn w:val="1"/>
    <w:next w:val="1"/>
    <w:qFormat/>
    <w:uiPriority w:val="0"/>
    <w:pPr>
      <w:ind w:left="3360" w:leftChars="1600"/>
    </w:pPr>
  </w:style>
  <w:style w:type="paragraph" w:styleId="49">
    <w:name w:val="Body Text 2"/>
    <w:basedOn w:val="1"/>
    <w:qFormat/>
    <w:uiPriority w:val="0"/>
    <w:pPr>
      <w:adjustRightInd w:val="0"/>
      <w:snapToGrid w:val="0"/>
      <w:spacing w:line="480" w:lineRule="auto"/>
    </w:pPr>
    <w:rPr>
      <w:sz w:val="24"/>
    </w:rPr>
  </w:style>
  <w:style w:type="paragraph" w:styleId="50">
    <w:name w:val="List 4"/>
    <w:basedOn w:val="1"/>
    <w:qFormat/>
    <w:uiPriority w:val="0"/>
    <w:pPr>
      <w:adjustRightInd w:val="0"/>
      <w:snapToGrid w:val="0"/>
      <w:spacing w:line="360" w:lineRule="auto"/>
      <w:ind w:left="100" w:leftChars="600" w:hanging="200" w:hangingChars="200"/>
    </w:pPr>
    <w:rPr>
      <w:sz w:val="24"/>
    </w:rPr>
  </w:style>
  <w:style w:type="paragraph" w:styleId="51">
    <w:name w:val="List Continue 2"/>
    <w:basedOn w:val="1"/>
    <w:qFormat/>
    <w:uiPriority w:val="0"/>
    <w:pPr>
      <w:adjustRightInd w:val="0"/>
      <w:snapToGrid w:val="0"/>
      <w:spacing w:line="360" w:lineRule="auto"/>
      <w:ind w:left="840" w:leftChars="400"/>
    </w:pPr>
    <w:rPr>
      <w:sz w:val="24"/>
    </w:rPr>
  </w:style>
  <w:style w:type="paragraph" w:styleId="52">
    <w:name w:val="Normal (Web)"/>
    <w:basedOn w:val="1"/>
    <w:qFormat/>
    <w:uiPriority w:val="0"/>
    <w:pPr>
      <w:widowControl/>
      <w:spacing w:beforeAutospacing="1" w:afterAutospacing="1"/>
      <w:jc w:val="left"/>
    </w:pPr>
    <w:rPr>
      <w:rFonts w:ascii="宋体" w:hAnsi="宋体"/>
      <w:kern w:val="0"/>
      <w:sz w:val="24"/>
    </w:rPr>
  </w:style>
  <w:style w:type="paragraph" w:styleId="53">
    <w:name w:val="List Continue 3"/>
    <w:basedOn w:val="1"/>
    <w:qFormat/>
    <w:uiPriority w:val="0"/>
    <w:pPr>
      <w:adjustRightInd w:val="0"/>
      <w:snapToGrid w:val="0"/>
      <w:spacing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line="360" w:lineRule="auto"/>
      <w:jc w:val="center"/>
    </w:pPr>
    <w:rPr>
      <w:rFonts w:ascii="Arial" w:hAnsi="Arial"/>
      <w:b/>
      <w:smallCaps/>
      <w:kern w:val="28"/>
      <w:sz w:val="36"/>
      <w:lang w:eastAsia="en-US"/>
    </w:rPr>
  </w:style>
  <w:style w:type="paragraph" w:styleId="56">
    <w:name w:val="annotation subject"/>
    <w:basedOn w:val="20"/>
    <w:next w:val="20"/>
    <w:link w:val="227"/>
    <w:qFormat/>
    <w:uiPriority w:val="0"/>
    <w:pPr>
      <w:adjustRightInd/>
      <w:spacing w:line="240" w:lineRule="auto"/>
      <w:textAlignment w:val="auto"/>
    </w:pPr>
  </w:style>
  <w:style w:type="paragraph" w:styleId="57">
    <w:name w:val="Body Text First Indent"/>
    <w:basedOn w:val="23"/>
    <w:qFormat/>
    <w:uiPriority w:val="0"/>
    <w:pPr>
      <w:spacing w:line="360" w:lineRule="auto"/>
      <w:ind w:firstLine="420"/>
    </w:pPr>
    <w:rPr>
      <w:rFonts w:ascii="宋体" w:hAnsi="宋体"/>
      <w:sz w:val="24"/>
    </w:rPr>
  </w:style>
  <w:style w:type="paragraph" w:styleId="58">
    <w:name w:val="Body Text First Indent 2"/>
    <w:basedOn w:val="16"/>
    <w:link w:val="215"/>
    <w:qFormat/>
    <w:uiPriority w:val="0"/>
    <w:pPr>
      <w:spacing w:line="240" w:lineRule="auto"/>
      <w:ind w:left="420" w:leftChars="200" w:firstLine="420" w:firstLineChars="200"/>
    </w:pPr>
  </w:style>
  <w:style w:type="table" w:styleId="60">
    <w:name w:val="Table Grid"/>
    <w:basedOn w:val="59"/>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2">
    <w:name w:val="Strong"/>
    <w:basedOn w:val="61"/>
    <w:qFormat/>
    <w:uiPriority w:val="22"/>
    <w:rPr>
      <w:b/>
    </w:rPr>
  </w:style>
  <w:style w:type="character" w:styleId="63">
    <w:name w:val="page number"/>
    <w:basedOn w:val="61"/>
    <w:qFormat/>
    <w:uiPriority w:val="0"/>
  </w:style>
  <w:style w:type="character" w:styleId="64">
    <w:name w:val="FollowedHyperlink"/>
    <w:qFormat/>
    <w:uiPriority w:val="0"/>
    <w:rPr>
      <w:color w:val="800080"/>
      <w:u w:val="single"/>
    </w:rPr>
  </w:style>
  <w:style w:type="character" w:styleId="65">
    <w:name w:val="Emphasis"/>
    <w:qFormat/>
    <w:uiPriority w:val="0"/>
    <w:rPr>
      <w:i/>
    </w:rPr>
  </w:style>
  <w:style w:type="character" w:styleId="66">
    <w:name w:val="Hyperlink"/>
    <w:qFormat/>
    <w:uiPriority w:val="99"/>
    <w:rPr>
      <w:color w:val="0000FF"/>
      <w:u w:val="single"/>
    </w:rPr>
  </w:style>
  <w:style w:type="character" w:styleId="67">
    <w:name w:val="annotation reference"/>
    <w:qFormat/>
    <w:uiPriority w:val="0"/>
    <w:rPr>
      <w:sz w:val="21"/>
      <w:szCs w:val="21"/>
    </w:rPr>
  </w:style>
  <w:style w:type="character" w:styleId="68">
    <w:name w:val="footnote reference"/>
    <w:qFormat/>
    <w:uiPriority w:val="0"/>
    <w:rPr>
      <w:position w:val="6"/>
      <w:sz w:val="14"/>
      <w:vertAlign w:val="superscript"/>
    </w:rPr>
  </w:style>
  <w:style w:type="character" w:customStyle="1" w:styleId="69">
    <w:name w:val="标题 1 Char"/>
    <w:link w:val="2"/>
    <w:qFormat/>
    <w:uiPriority w:val="0"/>
    <w:rPr>
      <w:rFonts w:ascii="宋体"/>
    </w:rPr>
  </w:style>
  <w:style w:type="character" w:customStyle="1" w:styleId="70">
    <w:name w:val="标题 2 Char"/>
    <w:link w:val="3"/>
    <w:qFormat/>
    <w:uiPriority w:val="0"/>
    <w:rPr>
      <w:rFonts w:ascii="Arial" w:hAnsi="Arial" w:eastAsia="黑体"/>
      <w:b/>
      <w:kern w:val="2"/>
      <w:sz w:val="32"/>
    </w:rPr>
  </w:style>
  <w:style w:type="paragraph" w:customStyle="1" w:styleId="71">
    <w:name w:val="无间隔1"/>
    <w:qFormat/>
    <w:uiPriority w:val="1"/>
    <w:pPr>
      <w:jc w:val="both"/>
    </w:pPr>
    <w:rPr>
      <w:rFonts w:ascii="Times New Roman" w:hAnsi="Times New Roman" w:eastAsia="Times New Roman" w:cs="Times New Roman"/>
      <w:lang w:val="en-US" w:eastAsia="zh-CN" w:bidi="ar-SA"/>
    </w:rPr>
  </w:style>
  <w:style w:type="paragraph" w:styleId="72">
    <w:name w:val="Quote"/>
    <w:basedOn w:val="1"/>
    <w:next w:val="1"/>
    <w:qFormat/>
    <w:uiPriority w:val="29"/>
    <w:pPr>
      <w:spacing w:beforeLines="50" w:afterLines="50" w:line="360" w:lineRule="auto"/>
    </w:pPr>
    <w:rPr>
      <w:i/>
      <w:iCs/>
      <w:color w:val="000000"/>
      <w:sz w:val="21"/>
      <w:szCs w:val="24"/>
      <w:lang w:val="zh-CN"/>
    </w:rPr>
  </w:style>
  <w:style w:type="paragraph" w:customStyle="1" w:styleId="73">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74">
    <w:name w:val="Char2 Char Char Char Char Char Char"/>
    <w:basedOn w:val="1"/>
    <w:qFormat/>
    <w:uiPriority w:val="0"/>
    <w:rPr>
      <w:rFonts w:ascii="仿宋_GB2312"/>
      <w:b/>
      <w:sz w:val="30"/>
    </w:rPr>
  </w:style>
  <w:style w:type="paragraph" w:customStyle="1" w:styleId="75">
    <w:name w:val="样式1"/>
    <w:basedOn w:val="5"/>
    <w:qFormat/>
    <w:uiPriority w:val="0"/>
    <w:pPr>
      <w:tabs>
        <w:tab w:val="left" w:pos="720"/>
      </w:tabs>
      <w:spacing w:line="560" w:lineRule="atLeast"/>
      <w:ind w:left="420" w:hanging="420"/>
    </w:pPr>
  </w:style>
  <w:style w:type="paragraph" w:customStyle="1" w:styleId="76">
    <w:name w:val="表头样式"/>
    <w:basedOn w:val="1"/>
    <w:qFormat/>
    <w:uiPriority w:val="0"/>
    <w:pPr>
      <w:autoSpaceDE w:val="0"/>
      <w:autoSpaceDN w:val="0"/>
      <w:adjustRightInd w:val="0"/>
      <w:spacing w:line="360" w:lineRule="auto"/>
      <w:jc w:val="left"/>
    </w:pPr>
    <w:rPr>
      <w:b/>
      <w:kern w:val="0"/>
      <w:sz w:val="21"/>
    </w:rPr>
  </w:style>
  <w:style w:type="paragraph" w:customStyle="1" w:styleId="77">
    <w:name w:val="首行缩进"/>
    <w:basedOn w:val="1"/>
    <w:qFormat/>
    <w:uiPriority w:val="0"/>
    <w:pPr>
      <w:numPr>
        <w:ilvl w:val="0"/>
        <w:numId w:val="4"/>
      </w:numPr>
      <w:spacing w:line="360" w:lineRule="auto"/>
    </w:pPr>
    <w:rPr>
      <w:rFonts w:eastAsia="仿宋_GB2312"/>
    </w:rPr>
  </w:style>
  <w:style w:type="paragraph" w:customStyle="1" w:styleId="78">
    <w:name w:val="xl53"/>
    <w:basedOn w:val="1"/>
    <w:qFormat/>
    <w:uiPriority w:val="0"/>
    <w:pPr>
      <w:widowControl/>
      <w:pBdr>
        <w:left w:val="single" w:color="auto" w:sz="4" w:space="0"/>
        <w:bottom w:val="single" w:color="auto" w:sz="4" w:space="0"/>
      </w:pBdr>
      <w:spacing w:beforeAutospacing="1" w:afterAutospacing="1"/>
      <w:jc w:val="center"/>
      <w:textAlignment w:val="center"/>
    </w:pPr>
    <w:rPr>
      <w:rFonts w:ascii="宋体" w:hAnsi="宋体"/>
      <w:kern w:val="0"/>
      <w:sz w:val="24"/>
    </w:rPr>
  </w:style>
  <w:style w:type="paragraph" w:customStyle="1" w:styleId="79">
    <w:name w:val="关键词"/>
    <w:basedOn w:val="1"/>
    <w:next w:val="1"/>
    <w:qFormat/>
    <w:uiPriority w:val="0"/>
    <w:pPr>
      <w:spacing w:line="360" w:lineRule="auto"/>
    </w:pPr>
    <w:rPr>
      <w:rFonts w:eastAsia="黑体"/>
      <w:sz w:val="20"/>
    </w:rPr>
  </w:style>
  <w:style w:type="paragraph" w:customStyle="1" w:styleId="80">
    <w:name w:val="首行缩进 1"/>
    <w:basedOn w:val="1"/>
    <w:qFormat/>
    <w:uiPriority w:val="0"/>
    <w:pPr>
      <w:spacing w:line="360" w:lineRule="auto"/>
      <w:ind w:firstLine="200" w:firstLineChars="200"/>
    </w:pPr>
    <w:rPr>
      <w:sz w:val="24"/>
    </w:rPr>
  </w:style>
  <w:style w:type="paragraph" w:customStyle="1" w:styleId="81">
    <w:name w:val="Char1 Char Char Char"/>
    <w:basedOn w:val="1"/>
    <w:qFormat/>
    <w:uiPriority w:val="0"/>
    <w:rPr>
      <w:rFonts w:ascii="Tahoma" w:hAnsi="Tahoma"/>
      <w:sz w:val="24"/>
    </w:rPr>
  </w:style>
  <w:style w:type="paragraph" w:customStyle="1" w:styleId="82">
    <w:name w:val="样式 正文缩进正文（首行缩进两字）表正文正文非缩进特点标题4段1 + 首行缩进:  2 字符"/>
    <w:basedOn w:val="15"/>
    <w:qFormat/>
    <w:uiPriority w:val="0"/>
    <w:pPr>
      <w:ind w:firstLine="480" w:firstLineChars="200"/>
    </w:pPr>
  </w:style>
  <w:style w:type="paragraph" w:customStyle="1" w:styleId="83">
    <w:name w:val="Table Contents"/>
    <w:basedOn w:val="23"/>
    <w:qFormat/>
    <w:uiPriority w:val="0"/>
    <w:pPr>
      <w:suppressAutoHyphens/>
      <w:jc w:val="left"/>
    </w:pPr>
    <w:rPr>
      <w:rFonts w:ascii="Times New Roman" w:eastAsia="Times New Roman"/>
      <w:kern w:val="0"/>
      <w:sz w:val="24"/>
    </w:rPr>
  </w:style>
  <w:style w:type="paragraph" w:customStyle="1" w:styleId="84">
    <w:name w:val="正文字缩2字"/>
    <w:basedOn w:val="1"/>
    <w:qFormat/>
    <w:uiPriority w:val="0"/>
    <w:pPr>
      <w:spacing w:line="360" w:lineRule="auto"/>
      <w:ind w:left="200" w:leftChars="200" w:firstLine="200" w:firstLineChars="200"/>
    </w:pPr>
    <w:rPr>
      <w:sz w:val="24"/>
    </w:rPr>
  </w:style>
  <w:style w:type="paragraph" w:customStyle="1" w:styleId="8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86">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87">
    <w:name w:val="摘要"/>
    <w:basedOn w:val="1"/>
    <w:next w:val="3"/>
    <w:qFormat/>
    <w:uiPriority w:val="0"/>
    <w:pPr>
      <w:spacing w:line="360" w:lineRule="auto"/>
    </w:pPr>
    <w:rPr>
      <w:rFonts w:eastAsia="黑体"/>
      <w:sz w:val="20"/>
    </w:rPr>
  </w:style>
  <w:style w:type="paragraph" w:customStyle="1" w:styleId="88">
    <w:name w:val="图例"/>
    <w:basedOn w:val="1"/>
    <w:qFormat/>
    <w:uiPriority w:val="0"/>
    <w:pPr>
      <w:spacing w:line="360" w:lineRule="auto"/>
      <w:jc w:val="center"/>
    </w:pPr>
    <w:rPr>
      <w:rFonts w:eastAsia="仿宋_GB2312"/>
      <w:b/>
      <w:sz w:val="24"/>
    </w:rPr>
  </w:style>
  <w:style w:type="paragraph" w:customStyle="1" w:styleId="89">
    <w:name w:val="样式1xz"/>
    <w:basedOn w:val="1"/>
    <w:qFormat/>
    <w:uiPriority w:val="0"/>
    <w:pPr>
      <w:tabs>
        <w:tab w:val="left" w:pos="1050"/>
        <w:tab w:val="right" w:leader="dot" w:pos="8296"/>
      </w:tabs>
    </w:pPr>
    <w:rPr>
      <w:caps/>
      <w:spacing w:val="20"/>
      <w:sz w:val="24"/>
    </w:rPr>
  </w:style>
  <w:style w:type="paragraph" w:customStyle="1" w:styleId="90">
    <w:name w:val="Char Char Char Char Char"/>
    <w:basedOn w:val="1"/>
    <w:qFormat/>
    <w:uiPriority w:val="0"/>
    <w:pPr>
      <w:tabs>
        <w:tab w:val="left" w:pos="425"/>
      </w:tabs>
      <w:ind w:left="1620" w:hanging="360"/>
    </w:pPr>
    <w:rPr>
      <w:rFonts w:ascii="Tahoma" w:hAnsi="Tahoma"/>
      <w:sz w:val="24"/>
    </w:rPr>
  </w:style>
  <w:style w:type="paragraph" w:customStyle="1" w:styleId="91">
    <w:name w:val="Char"/>
    <w:basedOn w:val="1"/>
    <w:qFormat/>
    <w:uiPriority w:val="0"/>
    <w:pPr>
      <w:spacing w:line="240" w:lineRule="atLeast"/>
      <w:ind w:left="420" w:firstLine="420"/>
    </w:pPr>
    <w:rPr>
      <w:kern w:val="0"/>
      <w:sz w:val="21"/>
    </w:rPr>
  </w:style>
  <w:style w:type="paragraph" w:customStyle="1" w:styleId="92">
    <w:name w:val="Char Char1 Char"/>
    <w:basedOn w:val="1"/>
    <w:qFormat/>
    <w:uiPriority w:val="0"/>
    <w:rPr>
      <w:rFonts w:ascii="Tahoma" w:hAnsi="Tahoma"/>
      <w:sz w:val="24"/>
      <w:szCs w:val="24"/>
    </w:rPr>
  </w:style>
  <w:style w:type="paragraph" w:customStyle="1" w:styleId="93">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94">
    <w:name w:val="表格内文字"/>
    <w:basedOn w:val="30"/>
    <w:qFormat/>
    <w:uiPriority w:val="0"/>
    <w:pPr>
      <w:adjustRightInd w:val="0"/>
    </w:pPr>
    <w:rPr>
      <w:color w:val="000000"/>
      <w:lang w:val="en-GB"/>
    </w:rPr>
  </w:style>
  <w:style w:type="paragraph" w:customStyle="1" w:styleId="95">
    <w:name w:val="1.正文"/>
    <w:basedOn w:val="1"/>
    <w:qFormat/>
    <w:uiPriority w:val="0"/>
    <w:pPr>
      <w:spacing w:line="360" w:lineRule="auto"/>
      <w:ind w:left="540" w:leftChars="225" w:firstLine="540" w:firstLineChars="225"/>
    </w:pPr>
    <w:rPr>
      <w:sz w:val="24"/>
    </w:rPr>
  </w:style>
  <w:style w:type="paragraph" w:customStyle="1" w:styleId="96">
    <w:name w:val="正文文本缩进 21"/>
    <w:basedOn w:val="1"/>
    <w:qFormat/>
    <w:uiPriority w:val="0"/>
    <w:pPr>
      <w:adjustRightInd w:val="0"/>
      <w:ind w:firstLine="420"/>
      <w:textAlignment w:val="baseline"/>
    </w:pPr>
    <w:rPr>
      <w:sz w:val="24"/>
    </w:rPr>
  </w:style>
  <w:style w:type="paragraph" w:customStyle="1" w:styleId="97">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98">
    <w:name w:val="编号正文"/>
    <w:basedOn w:val="99"/>
    <w:qFormat/>
    <w:uiPriority w:val="0"/>
    <w:pPr>
      <w:snapToGrid/>
      <w:spacing w:line="360" w:lineRule="auto"/>
      <w:ind w:left="1407" w:hanging="1047"/>
      <w:jc w:val="left"/>
    </w:pPr>
    <w:rPr>
      <w:rFonts w:eastAsia="仿宋_GB2312"/>
    </w:rPr>
  </w:style>
  <w:style w:type="paragraph" w:customStyle="1" w:styleId="99">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00">
    <w:name w:val="文本框样式1"/>
    <w:basedOn w:val="1"/>
    <w:qFormat/>
    <w:uiPriority w:val="0"/>
    <w:pPr>
      <w:adjustRightInd w:val="0"/>
      <w:snapToGrid w:val="0"/>
      <w:spacing w:line="180" w:lineRule="exact"/>
      <w:jc w:val="center"/>
    </w:pPr>
    <w:rPr>
      <w:sz w:val="21"/>
    </w:rPr>
  </w:style>
  <w:style w:type="paragraph" w:customStyle="1" w:styleId="101">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02">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03">
    <w:name w:val="正文（首行不缩进）"/>
    <w:basedOn w:val="1"/>
    <w:qFormat/>
    <w:uiPriority w:val="0"/>
    <w:pPr>
      <w:autoSpaceDE w:val="0"/>
      <w:autoSpaceDN w:val="0"/>
      <w:adjustRightInd w:val="0"/>
      <w:spacing w:line="360" w:lineRule="auto"/>
      <w:jc w:val="left"/>
    </w:pPr>
    <w:rPr>
      <w:kern w:val="0"/>
      <w:sz w:val="21"/>
    </w:rPr>
  </w:style>
  <w:style w:type="paragraph" w:customStyle="1" w:styleId="104">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05">
    <w:name w:val="_"/>
    <w:basedOn w:val="1"/>
    <w:qFormat/>
    <w:uiPriority w:val="0"/>
    <w:pPr>
      <w:adjustRightInd w:val="0"/>
      <w:spacing w:line="360" w:lineRule="auto"/>
      <w:ind w:left="480" w:firstLine="200" w:firstLineChars="200"/>
      <w:textAlignment w:val="baseline"/>
    </w:pPr>
    <w:rPr>
      <w:kern w:val="0"/>
      <w:sz w:val="24"/>
    </w:rPr>
  </w:style>
  <w:style w:type="paragraph" w:customStyle="1" w:styleId="106">
    <w:name w:val="附录3"/>
    <w:basedOn w:val="1"/>
    <w:next w:val="1"/>
    <w:qFormat/>
    <w:uiPriority w:val="0"/>
    <w:pPr>
      <w:tabs>
        <w:tab w:val="left" w:pos="851"/>
      </w:tabs>
      <w:ind w:left="425" w:hanging="425"/>
      <w:outlineLvl w:val="2"/>
    </w:pPr>
    <w:rPr>
      <w:rFonts w:eastAsia="黑体"/>
      <w:b/>
      <w:sz w:val="32"/>
    </w:rPr>
  </w:style>
  <w:style w:type="paragraph" w:customStyle="1" w:styleId="107">
    <w:name w:val="1"/>
    <w:basedOn w:val="1"/>
    <w:next w:val="30"/>
    <w:qFormat/>
    <w:uiPriority w:val="0"/>
    <w:rPr>
      <w:rFonts w:ascii="宋体" w:hAnsi="Courier New"/>
      <w:sz w:val="21"/>
    </w:rPr>
  </w:style>
  <w:style w:type="paragraph" w:customStyle="1" w:styleId="108">
    <w:name w:val="xl40"/>
    <w:basedOn w:val="1"/>
    <w:qFormat/>
    <w:uiPriority w:val="0"/>
    <w:pPr>
      <w:widowControl/>
      <w:pBdr>
        <w:left w:val="single" w:color="auto" w:sz="4" w:space="0"/>
        <w:right w:val="single" w:color="auto" w:sz="4" w:space="0"/>
      </w:pBdr>
      <w:spacing w:beforeAutospacing="1" w:afterAutospacing="1"/>
      <w:jc w:val="center"/>
    </w:pPr>
    <w:rPr>
      <w:rFonts w:ascii="宋体" w:hAnsi="宋体"/>
      <w:kern w:val="0"/>
      <w:sz w:val="24"/>
    </w:rPr>
  </w:style>
  <w:style w:type="paragraph" w:customStyle="1" w:styleId="109">
    <w:name w:val="段落正文"/>
    <w:basedOn w:val="1"/>
    <w:qFormat/>
    <w:uiPriority w:val="0"/>
    <w:pPr>
      <w:spacing w:beforeLines="50" w:line="360" w:lineRule="auto"/>
      <w:ind w:firstLine="200" w:firstLineChars="200"/>
    </w:pPr>
    <w:rPr>
      <w:spacing w:val="2"/>
      <w:sz w:val="24"/>
    </w:rPr>
  </w:style>
  <w:style w:type="paragraph" w:customStyle="1" w:styleId="110">
    <w:name w:val="IN Step"/>
    <w:basedOn w:val="1"/>
    <w:qFormat/>
    <w:uiPriority w:val="0"/>
    <w:pPr>
      <w:keepLines/>
      <w:widowControl/>
      <w:tabs>
        <w:tab w:val="left" w:pos="1134"/>
      </w:tabs>
      <w:spacing w:line="300" w:lineRule="auto"/>
      <w:ind w:left="1134" w:hanging="907"/>
      <w:outlineLvl w:val="8"/>
    </w:pPr>
    <w:rPr>
      <w:rFonts w:ascii="Arial" w:hAnsi="Arial"/>
      <w:kern w:val="0"/>
      <w:sz w:val="21"/>
    </w:rPr>
  </w:style>
  <w:style w:type="paragraph" w:customStyle="1" w:styleId="111">
    <w:name w:val="样式 标题 1章标题Heading 0Section HeadPIM 1H1h11st levell11H1..."/>
    <w:basedOn w:val="2"/>
    <w:qFormat/>
    <w:uiPriority w:val="0"/>
    <w:pPr>
      <w:keepLines/>
      <w:pageBreakBefore/>
      <w:tabs>
        <w:tab w:val="left" w:pos="432"/>
      </w:tabs>
      <w:autoSpaceDE w:val="0"/>
      <w:autoSpaceDN w:val="0"/>
      <w:adjustRightInd w:val="0"/>
      <w:spacing w:line="578" w:lineRule="atLeast"/>
      <w:textAlignment w:val="bottom"/>
    </w:pPr>
    <w:rPr>
      <w:rFonts w:hAnsi="宋体" w:eastAsia="黑体"/>
      <w:b/>
      <w:kern w:val="44"/>
      <w:sz w:val="36"/>
    </w:rPr>
  </w:style>
  <w:style w:type="paragraph" w:customStyle="1" w:styleId="112">
    <w:name w:val="表格文本"/>
    <w:qFormat/>
    <w:uiPriority w:val="0"/>
    <w:pPr>
      <w:tabs>
        <w:tab w:val="decimal" w:pos="0"/>
      </w:tabs>
    </w:pPr>
    <w:rPr>
      <w:rFonts w:ascii="Arial" w:hAnsi="Arial" w:eastAsia="宋体" w:cs="Times New Roman"/>
      <w:sz w:val="21"/>
      <w:lang w:val="en-US" w:eastAsia="zh-CN" w:bidi="ar-SA"/>
    </w:rPr>
  </w:style>
  <w:style w:type="paragraph" w:customStyle="1" w:styleId="113">
    <w:name w:val="内容标题"/>
    <w:basedOn w:val="18"/>
    <w:qFormat/>
    <w:uiPriority w:val="0"/>
    <w:rPr>
      <w:rFonts w:ascii="Tahoma" w:hAnsi="Tahoma"/>
      <w:sz w:val="24"/>
    </w:rPr>
  </w:style>
  <w:style w:type="paragraph" w:customStyle="1" w:styleId="114">
    <w:name w:val="Char Char Char Char Char Char Char"/>
    <w:basedOn w:val="18"/>
    <w:qFormat/>
    <w:uiPriority w:val="0"/>
    <w:rPr>
      <w:rFonts w:ascii="宋体" w:hAnsi="Tahoma"/>
    </w:rPr>
  </w:style>
  <w:style w:type="paragraph" w:customStyle="1" w:styleId="115">
    <w:name w:val="Title - Revision"/>
    <w:basedOn w:val="55"/>
    <w:qFormat/>
    <w:uiPriority w:val="0"/>
  </w:style>
  <w:style w:type="paragraph" w:customStyle="1" w:styleId="116">
    <w:name w:val="操作步骤"/>
    <w:basedOn w:val="1"/>
    <w:qFormat/>
    <w:uiPriority w:val="0"/>
    <w:pPr>
      <w:numPr>
        <w:ilvl w:val="0"/>
        <w:numId w:val="6"/>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17">
    <w:name w:val="简单回函地址"/>
    <w:basedOn w:val="1"/>
    <w:qFormat/>
    <w:uiPriority w:val="0"/>
    <w:pPr>
      <w:adjustRightInd w:val="0"/>
      <w:snapToGrid w:val="0"/>
      <w:spacing w:line="360" w:lineRule="auto"/>
    </w:pPr>
    <w:rPr>
      <w:sz w:val="24"/>
    </w:rPr>
  </w:style>
  <w:style w:type="paragraph" w:customStyle="1" w:styleId="118">
    <w:name w:val="Table Text Char Char Char"/>
    <w:link w:val="222"/>
    <w:qFormat/>
    <w:uiPriority w:val="0"/>
    <w:pPr>
      <w:snapToGrid w:val="0"/>
      <w:spacing w:before="80" w:after="80"/>
    </w:pPr>
    <w:rPr>
      <w:rFonts w:ascii="Arial" w:hAnsi="Arial" w:eastAsia="宋体" w:cs="Times New Roman"/>
      <w:kern w:val="2"/>
      <w:sz w:val="18"/>
      <w:lang w:val="en-US" w:eastAsia="zh-CN" w:bidi="ar-SA"/>
    </w:rPr>
  </w:style>
  <w:style w:type="paragraph" w:customStyle="1" w:styleId="119">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0">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21">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22">
    <w:name w:val="文本1"/>
    <w:basedOn w:val="1"/>
    <w:qFormat/>
    <w:uiPriority w:val="0"/>
    <w:pPr>
      <w:adjustRightInd w:val="0"/>
      <w:spacing w:line="312" w:lineRule="atLeast"/>
      <w:jc w:val="center"/>
      <w:textAlignment w:val="baseline"/>
    </w:pPr>
    <w:rPr>
      <w:kern w:val="0"/>
      <w:sz w:val="18"/>
    </w:rPr>
  </w:style>
  <w:style w:type="paragraph" w:customStyle="1" w:styleId="123">
    <w:name w:val="文字"/>
    <w:basedOn w:val="1"/>
    <w:link w:val="242"/>
    <w:qFormat/>
    <w:uiPriority w:val="0"/>
    <w:pPr>
      <w:tabs>
        <w:tab w:val="left" w:pos="8520"/>
      </w:tabs>
      <w:spacing w:line="312" w:lineRule="auto"/>
      <w:ind w:right="-210" w:firstLine="556"/>
    </w:pPr>
    <w:rPr>
      <w:rFonts w:ascii="宋体"/>
    </w:rPr>
  </w:style>
  <w:style w:type="paragraph" w:customStyle="1" w:styleId="124">
    <w:name w:val="样式2"/>
    <w:basedOn w:val="5"/>
    <w:qFormat/>
    <w:uiPriority w:val="0"/>
    <w:pPr>
      <w:numPr>
        <w:ilvl w:val="0"/>
        <w:numId w:val="7"/>
      </w:numPr>
      <w:spacing w:line="400" w:lineRule="exact"/>
      <w:jc w:val="center"/>
      <w:outlineLvl w:val="0"/>
    </w:pPr>
    <w:rPr>
      <w:b w:val="0"/>
      <w:sz w:val="44"/>
    </w:rPr>
  </w:style>
  <w:style w:type="paragraph" w:customStyle="1" w:styleId="125">
    <w:name w:val="Note"/>
    <w:basedOn w:val="1"/>
    <w:qFormat/>
    <w:uiPriority w:val="0"/>
    <w:pPr>
      <w:pBdr>
        <w:top w:val="single" w:color="auto" w:sz="12" w:space="3"/>
        <w:bottom w:val="single" w:color="auto" w:sz="12" w:space="3"/>
      </w:pBdr>
      <w:spacing w:line="360" w:lineRule="auto"/>
    </w:pPr>
    <w:rPr>
      <w:sz w:val="24"/>
    </w:rPr>
  </w:style>
  <w:style w:type="paragraph" w:customStyle="1" w:styleId="126">
    <w:name w:val="正文表格"/>
    <w:basedOn w:val="1"/>
    <w:qFormat/>
    <w:uiPriority w:val="0"/>
    <w:pPr>
      <w:adjustRightInd w:val="0"/>
    </w:pPr>
    <w:rPr>
      <w:sz w:val="24"/>
    </w:rPr>
  </w:style>
  <w:style w:type="paragraph" w:customStyle="1" w:styleId="127">
    <w:name w:val="IN Feature"/>
    <w:next w:val="110"/>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28">
    <w:name w:val="Char1"/>
    <w:basedOn w:val="1"/>
    <w:qFormat/>
    <w:uiPriority w:val="0"/>
    <w:rPr>
      <w:sz w:val="21"/>
    </w:rPr>
  </w:style>
  <w:style w:type="paragraph" w:customStyle="1" w:styleId="129">
    <w:name w:val="可研正文"/>
    <w:basedOn w:val="23"/>
    <w:qFormat/>
    <w:uiPriority w:val="0"/>
    <w:pPr>
      <w:adjustRightInd w:val="0"/>
      <w:snapToGrid w:val="0"/>
      <w:spacing w:line="440" w:lineRule="exact"/>
      <w:ind w:firstLine="567"/>
    </w:pPr>
    <w:rPr>
      <w:sz w:val="28"/>
    </w:rPr>
  </w:style>
  <w:style w:type="paragraph" w:customStyle="1" w:styleId="130">
    <w:name w:val="标题3——2"/>
    <w:basedOn w:val="4"/>
    <w:next w:val="57"/>
    <w:qFormat/>
    <w:uiPriority w:val="0"/>
    <w:pPr>
      <w:tabs>
        <w:tab w:val="left" w:pos="1280"/>
        <w:tab w:val="right" w:leader="dot" w:pos="8777"/>
      </w:tabs>
      <w:spacing w:beforeLines="100" w:line="240" w:lineRule="auto"/>
      <w:ind w:left="851" w:hanging="851"/>
      <w:outlineLvl w:val="9"/>
    </w:pPr>
    <w:rPr>
      <w:rFonts w:ascii="黑体" w:hAnsi="宋体" w:eastAsia="黑体"/>
      <w:sz w:val="30"/>
    </w:rPr>
  </w:style>
  <w:style w:type="paragraph" w:customStyle="1" w:styleId="131">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32">
    <w:name w:val="样式 正文首行缩进 2 + 首行缩进:  2 字符"/>
    <w:basedOn w:val="1"/>
    <w:qFormat/>
    <w:uiPriority w:val="0"/>
    <w:pPr>
      <w:numPr>
        <w:ilvl w:val="0"/>
        <w:numId w:val="8"/>
      </w:numPr>
      <w:adjustRightInd w:val="0"/>
      <w:snapToGrid w:val="0"/>
      <w:spacing w:line="360" w:lineRule="auto"/>
    </w:pPr>
    <w:rPr>
      <w:rFonts w:ascii="Arial" w:hAnsi="Arial"/>
      <w:b/>
      <w:sz w:val="24"/>
    </w:rPr>
  </w:style>
  <w:style w:type="paragraph" w:customStyle="1" w:styleId="133">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34">
    <w:name w:val="没有缩进（为图形使用）"/>
    <w:basedOn w:val="1"/>
    <w:qFormat/>
    <w:uiPriority w:val="0"/>
    <w:pPr>
      <w:spacing w:line="360" w:lineRule="auto"/>
    </w:pPr>
    <w:rPr>
      <w:sz w:val="24"/>
    </w:rPr>
  </w:style>
  <w:style w:type="paragraph" w:customStyle="1" w:styleId="135">
    <w:name w:val="Char Char Char"/>
    <w:basedOn w:val="1"/>
    <w:qFormat/>
    <w:uiPriority w:val="0"/>
    <w:rPr>
      <w:rFonts w:ascii="Tahoma" w:hAnsi="Tahoma"/>
      <w:sz w:val="24"/>
    </w:rPr>
  </w:style>
  <w:style w:type="paragraph" w:customStyle="1" w:styleId="136">
    <w:name w:val="表文字"/>
    <w:qFormat/>
    <w:uiPriority w:val="0"/>
    <w:rPr>
      <w:rFonts w:ascii="宋体" w:hAnsi="Calibri" w:eastAsia="宋体" w:cs="Times New Roman"/>
      <w:kern w:val="2"/>
      <w:lang w:val="en-US" w:eastAsia="zh-CN" w:bidi="ar-SA"/>
    </w:rPr>
  </w:style>
  <w:style w:type="paragraph" w:customStyle="1" w:styleId="137">
    <w:name w:val="Char Char Char1 Char Char Char Char Char Char Char Char Char Char Char Char Char"/>
    <w:basedOn w:val="1"/>
    <w:qFormat/>
    <w:uiPriority w:val="0"/>
    <w:pPr>
      <w:widowControl/>
      <w:spacing w:line="240" w:lineRule="exact"/>
      <w:jc w:val="left"/>
    </w:pPr>
    <w:rPr>
      <w:rFonts w:ascii="Verdana" w:hAnsi="Verdana"/>
      <w:kern w:val="0"/>
      <w:sz w:val="18"/>
      <w:lang w:eastAsia="en-US"/>
    </w:rPr>
  </w:style>
  <w:style w:type="paragraph" w:customStyle="1" w:styleId="138">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line="288" w:lineRule="auto"/>
      <w:ind w:left="144" w:right="144"/>
      <w:jc w:val="center"/>
    </w:pPr>
    <w:rPr>
      <w:b/>
      <w:i/>
      <w:sz w:val="24"/>
    </w:rPr>
  </w:style>
  <w:style w:type="paragraph" w:customStyle="1" w:styleId="139">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40">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1">
    <w:name w:val="列表项目"/>
    <w:basedOn w:val="1"/>
    <w:qFormat/>
    <w:uiPriority w:val="0"/>
    <w:pPr>
      <w:tabs>
        <w:tab w:val="left" w:pos="420"/>
      </w:tabs>
      <w:spacing w:line="288" w:lineRule="auto"/>
      <w:ind w:left="840" w:leftChars="200" w:hanging="420" w:hangingChars="200"/>
    </w:pPr>
    <w:rPr>
      <w:sz w:val="21"/>
    </w:rPr>
  </w:style>
  <w:style w:type="paragraph" w:customStyle="1" w:styleId="142">
    <w:name w:val="二级列表"/>
    <w:basedOn w:val="109"/>
    <w:next w:val="109"/>
    <w:qFormat/>
    <w:uiPriority w:val="0"/>
    <w:pPr>
      <w:tabs>
        <w:tab w:val="left" w:pos="2120"/>
      </w:tabs>
      <w:ind w:firstLine="0" w:firstLineChars="0"/>
    </w:pPr>
    <w:rPr>
      <w:b/>
    </w:rPr>
  </w:style>
  <w:style w:type="paragraph" w:customStyle="1" w:styleId="143">
    <w:name w:val="Char Char14 Char Char"/>
    <w:basedOn w:val="1"/>
    <w:qFormat/>
    <w:uiPriority w:val="0"/>
    <w:rPr>
      <w:sz w:val="21"/>
      <w:szCs w:val="24"/>
    </w:rPr>
  </w:style>
  <w:style w:type="paragraph" w:customStyle="1" w:styleId="144">
    <w:name w:val="正文格式"/>
    <w:basedOn w:val="1"/>
    <w:qFormat/>
    <w:uiPriority w:val="0"/>
    <w:pPr>
      <w:widowControl/>
      <w:adjustRightInd w:val="0"/>
      <w:snapToGrid w:val="0"/>
      <w:spacing w:line="360" w:lineRule="auto"/>
      <w:ind w:firstLine="480" w:firstLineChars="200"/>
      <w:jc w:val="left"/>
      <w:textAlignment w:val="baseline"/>
    </w:pPr>
    <w:rPr>
      <w:rFonts w:ascii="宋体" w:hAnsi="宋体"/>
      <w:color w:val="000000"/>
      <w:kern w:val="0"/>
      <w:sz w:val="24"/>
    </w:rPr>
  </w:style>
  <w:style w:type="paragraph" w:customStyle="1" w:styleId="145">
    <w:name w:val="Char2"/>
    <w:basedOn w:val="1"/>
    <w:qFormat/>
    <w:uiPriority w:val="0"/>
    <w:pPr>
      <w:spacing w:line="240" w:lineRule="atLeast"/>
      <w:ind w:left="420" w:firstLine="420"/>
    </w:pPr>
    <w:rPr>
      <w:kern w:val="0"/>
      <w:sz w:val="21"/>
    </w:rPr>
  </w:style>
  <w:style w:type="paragraph" w:customStyle="1" w:styleId="146">
    <w:name w:val="样式4"/>
    <w:basedOn w:val="5"/>
    <w:qFormat/>
    <w:uiPriority w:val="0"/>
    <w:pPr>
      <w:adjustRightInd w:val="0"/>
      <w:snapToGrid w:val="0"/>
    </w:pPr>
  </w:style>
  <w:style w:type="paragraph" w:customStyle="1" w:styleId="147">
    <w:name w:val="标书正文:  0.74 厘米"/>
    <w:basedOn w:val="1"/>
    <w:qFormat/>
    <w:uiPriority w:val="0"/>
    <w:pPr>
      <w:snapToGrid w:val="0"/>
      <w:spacing w:line="360" w:lineRule="auto"/>
      <w:ind w:firstLine="420"/>
    </w:pPr>
    <w:rPr>
      <w:sz w:val="24"/>
    </w:rPr>
  </w:style>
  <w:style w:type="paragraph" w:customStyle="1" w:styleId="148">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49">
    <w:name w:val="af"/>
    <w:basedOn w:val="1"/>
    <w:qFormat/>
    <w:uiPriority w:val="0"/>
    <w:pPr>
      <w:widowControl/>
      <w:spacing w:line="300" w:lineRule="atLeast"/>
      <w:jc w:val="left"/>
    </w:pPr>
    <w:rPr>
      <w:rFonts w:ascii="宋体" w:hAnsi="宋体"/>
      <w:kern w:val="0"/>
      <w:sz w:val="18"/>
    </w:rPr>
  </w:style>
  <w:style w:type="paragraph" w:customStyle="1" w:styleId="150">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51">
    <w:name w:val="Char Char Char Char"/>
    <w:basedOn w:val="1"/>
    <w:qFormat/>
    <w:uiPriority w:val="0"/>
    <w:pPr>
      <w:pageBreakBefore/>
      <w:widowControl/>
      <w:spacing w:line="240" w:lineRule="exact"/>
      <w:jc w:val="left"/>
    </w:pPr>
    <w:rPr>
      <w:rFonts w:ascii="Verdana" w:hAnsi="Verdana"/>
      <w:kern w:val="0"/>
      <w:sz w:val="20"/>
      <w:lang w:eastAsia="en-US"/>
    </w:rPr>
  </w:style>
  <w:style w:type="paragraph" w:customStyle="1" w:styleId="152">
    <w:name w:val="样式 样式 正文首行缩进 2 + 左  0 字符 + 首行缩进:  2.57 字符"/>
    <w:basedOn w:val="1"/>
    <w:next w:val="1"/>
    <w:qFormat/>
    <w:uiPriority w:val="0"/>
    <w:pPr>
      <w:adjustRightInd w:val="0"/>
      <w:snapToGrid w:val="0"/>
      <w:ind w:firstLine="540" w:firstLineChars="257"/>
    </w:pPr>
    <w:rPr>
      <w:sz w:val="21"/>
    </w:rPr>
  </w:style>
  <w:style w:type="paragraph" w:customStyle="1" w:styleId="153">
    <w:name w:val="标准正文"/>
    <w:basedOn w:val="16"/>
    <w:qFormat/>
    <w:uiPriority w:val="0"/>
    <w:pPr>
      <w:spacing w:line="360" w:lineRule="auto"/>
      <w:ind w:left="0" w:firstLine="482"/>
    </w:pPr>
    <w:rPr>
      <w:rFonts w:ascii="Arial" w:hAnsi="Arial"/>
      <w:sz w:val="24"/>
    </w:rPr>
  </w:style>
  <w:style w:type="paragraph" w:customStyle="1" w:styleId="154">
    <w:name w:val="章标题"/>
    <w:next w:val="1"/>
    <w:qFormat/>
    <w:uiPriority w:val="0"/>
    <w:pPr>
      <w:numPr>
        <w:ilvl w:val="1"/>
        <w:numId w:val="5"/>
      </w:numPr>
      <w:spacing w:beforeLines="50" w:afterLines="50"/>
      <w:ind w:left="0"/>
      <w:jc w:val="both"/>
      <w:outlineLvl w:val="1"/>
    </w:pPr>
    <w:rPr>
      <w:rFonts w:ascii="黑体" w:hAnsi="Calibri" w:eastAsia="黑体" w:cs="Times New Roman"/>
      <w:sz w:val="24"/>
      <w:lang w:val="en-US" w:eastAsia="zh-CN" w:bidi="ar-SA"/>
    </w:rPr>
  </w:style>
  <w:style w:type="paragraph" w:customStyle="1" w:styleId="155">
    <w:name w:val="二级条标题"/>
    <w:basedOn w:val="156"/>
    <w:next w:val="133"/>
    <w:qFormat/>
    <w:uiPriority w:val="0"/>
    <w:pPr>
      <w:ind w:left="840"/>
      <w:outlineLvl w:val="3"/>
    </w:pPr>
  </w:style>
  <w:style w:type="paragraph" w:customStyle="1" w:styleId="156">
    <w:name w:val="一级条标题"/>
    <w:basedOn w:val="154"/>
    <w:next w:val="133"/>
    <w:qFormat/>
    <w:uiPriority w:val="0"/>
    <w:pPr>
      <w:numPr>
        <w:numId w:val="0"/>
      </w:numPr>
      <w:spacing w:beforeLines="0" w:afterLines="0"/>
      <w:ind w:left="525"/>
      <w:outlineLvl w:val="2"/>
    </w:pPr>
    <w:rPr>
      <w:sz w:val="21"/>
    </w:rPr>
  </w:style>
  <w:style w:type="paragraph" w:customStyle="1" w:styleId="157">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58">
    <w:name w:val="标题无"/>
    <w:basedOn w:val="1"/>
    <w:qFormat/>
    <w:uiPriority w:val="0"/>
    <w:pPr>
      <w:spacing w:line="360" w:lineRule="auto"/>
    </w:pPr>
    <w:rPr>
      <w:sz w:val="24"/>
    </w:rPr>
  </w:style>
  <w:style w:type="paragraph" w:customStyle="1" w:styleId="159">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0">
    <w:name w:val="xl23"/>
    <w:basedOn w:val="1"/>
    <w:qFormat/>
    <w:uiPriority w:val="0"/>
    <w:pPr>
      <w:widowControl/>
      <w:spacing w:beforeAutospacing="1" w:afterAutospacing="1" w:line="360" w:lineRule="auto"/>
      <w:textAlignment w:val="top"/>
    </w:pPr>
    <w:rPr>
      <w:kern w:val="0"/>
      <w:sz w:val="24"/>
    </w:rPr>
  </w:style>
  <w:style w:type="paragraph" w:customStyle="1" w:styleId="161">
    <w:name w:val="正文文本 21"/>
    <w:basedOn w:val="1"/>
    <w:qFormat/>
    <w:uiPriority w:val="0"/>
    <w:pPr>
      <w:adjustRightInd w:val="0"/>
      <w:spacing w:line="360" w:lineRule="auto"/>
      <w:ind w:firstLine="480"/>
      <w:textAlignment w:val="baseline"/>
    </w:pPr>
    <w:rPr>
      <w:sz w:val="24"/>
    </w:rPr>
  </w:style>
  <w:style w:type="paragraph" w:customStyle="1" w:styleId="162">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63">
    <w:name w:val="表头文本"/>
    <w:qFormat/>
    <w:uiPriority w:val="0"/>
    <w:pPr>
      <w:jc w:val="center"/>
    </w:pPr>
    <w:rPr>
      <w:rFonts w:ascii="Arial" w:hAnsi="Arial" w:eastAsia="宋体" w:cs="Times New Roman"/>
      <w:b/>
      <w:sz w:val="21"/>
      <w:lang w:val="en-US" w:eastAsia="zh-CN" w:bidi="ar-SA"/>
    </w:rPr>
  </w:style>
  <w:style w:type="paragraph" w:customStyle="1" w:styleId="164">
    <w:name w:val="Char1 Char Char Char1"/>
    <w:basedOn w:val="1"/>
    <w:qFormat/>
    <w:uiPriority w:val="0"/>
    <w:rPr>
      <w:rFonts w:ascii="Tahoma" w:hAnsi="Tahoma"/>
      <w:sz w:val="30"/>
    </w:rPr>
  </w:style>
  <w:style w:type="paragraph" w:customStyle="1" w:styleId="165">
    <w:name w:val="Char Char Char Char Char Char Char1"/>
    <w:basedOn w:val="1"/>
    <w:qFormat/>
    <w:uiPriority w:val="0"/>
    <w:rPr>
      <w:rFonts w:ascii="Tahoma" w:hAnsi="Tahoma"/>
      <w:sz w:val="24"/>
    </w:rPr>
  </w:style>
  <w:style w:type="paragraph" w:customStyle="1" w:styleId="166">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67">
    <w:name w:val="_Style 159"/>
    <w:qFormat/>
    <w:uiPriority w:val="0"/>
    <w:rPr>
      <w:rFonts w:ascii="Calibri" w:hAnsi="Calibri" w:eastAsia="宋体" w:cs="Times New Roman"/>
      <w:kern w:val="2"/>
      <w:sz w:val="21"/>
      <w:lang w:val="en-US" w:eastAsia="zh-CN" w:bidi="ar-SA"/>
    </w:rPr>
  </w:style>
  <w:style w:type="paragraph" w:customStyle="1" w:styleId="168">
    <w:name w:val="样式 宋体 五号 行距: 单倍行距"/>
    <w:basedOn w:val="1"/>
    <w:qFormat/>
    <w:uiPriority w:val="0"/>
    <w:pPr>
      <w:adjustRightInd w:val="0"/>
      <w:jc w:val="left"/>
    </w:pPr>
    <w:rPr>
      <w:rFonts w:ascii="宋体" w:hAnsi="宋体"/>
      <w:kern w:val="0"/>
      <w:sz w:val="21"/>
    </w:rPr>
  </w:style>
  <w:style w:type="paragraph" w:customStyle="1" w:styleId="169">
    <w:name w:val="Table Text"/>
    <w:link w:val="211"/>
    <w:qFormat/>
    <w:uiPriority w:val="0"/>
    <w:pPr>
      <w:snapToGrid w:val="0"/>
      <w:spacing w:before="80" w:after="80"/>
    </w:pPr>
    <w:rPr>
      <w:rFonts w:ascii="Arial" w:hAnsi="Arial" w:eastAsia="宋体" w:cs="Times New Roman"/>
      <w:kern w:val="2"/>
      <w:sz w:val="18"/>
      <w:lang w:val="en-US" w:eastAsia="zh-CN" w:bidi="ar-SA"/>
    </w:rPr>
  </w:style>
  <w:style w:type="paragraph" w:customStyle="1" w:styleId="170">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71">
    <w:name w:val="bt"/>
    <w:basedOn w:val="1"/>
    <w:next w:val="23"/>
    <w:qFormat/>
    <w:uiPriority w:val="0"/>
    <w:pPr>
      <w:overflowPunct w:val="0"/>
      <w:autoSpaceDE w:val="0"/>
      <w:autoSpaceDN w:val="0"/>
      <w:adjustRightInd w:val="0"/>
      <w:snapToGrid w:val="0"/>
      <w:spacing w:line="240" w:lineRule="atLeast"/>
      <w:ind w:left="2880" w:hanging="360"/>
      <w:textAlignment w:val="baseline"/>
    </w:pPr>
    <w:rPr>
      <w:rFonts w:ascii="宋体"/>
      <w:kern w:val="0"/>
      <w:sz w:val="20"/>
    </w:rPr>
  </w:style>
  <w:style w:type="paragraph" w:customStyle="1" w:styleId="172">
    <w:name w:val="正文 + 三号"/>
    <w:basedOn w:val="1"/>
    <w:qFormat/>
    <w:uiPriority w:val="0"/>
    <w:rPr>
      <w:sz w:val="21"/>
    </w:rPr>
  </w:style>
  <w:style w:type="paragraph" w:customStyle="1" w:styleId="173">
    <w:name w:val="默认段落字体 Para Char Char Char Char Char Char Char Char Char1 Char Char Char Char"/>
    <w:basedOn w:val="1"/>
    <w:qFormat/>
    <w:uiPriority w:val="0"/>
    <w:rPr>
      <w:rFonts w:ascii="Tahoma" w:hAnsi="Tahoma"/>
      <w:sz w:val="24"/>
    </w:rPr>
  </w:style>
  <w:style w:type="paragraph" w:customStyle="1" w:styleId="174">
    <w:name w:val="表号"/>
    <w:basedOn w:val="1"/>
    <w:qFormat/>
    <w:uiPriority w:val="0"/>
    <w:pPr>
      <w:numPr>
        <w:ilvl w:val="0"/>
        <w:numId w:val="9"/>
      </w:numPr>
      <w:tabs>
        <w:tab w:val="left" w:pos="648"/>
        <w:tab w:val="clear" w:pos="360"/>
      </w:tabs>
      <w:autoSpaceDE w:val="0"/>
      <w:autoSpaceDN w:val="0"/>
      <w:adjustRightInd w:val="0"/>
      <w:ind w:left="425" w:hanging="137"/>
      <w:jc w:val="center"/>
    </w:pPr>
    <w:rPr>
      <w:kern w:val="0"/>
      <w:sz w:val="21"/>
      <w:lang w:eastAsia="en-US"/>
    </w:rPr>
  </w:style>
  <w:style w:type="paragraph" w:customStyle="1" w:styleId="175">
    <w:name w:val="Title - Date"/>
    <w:basedOn w:val="55"/>
    <w:next w:val="1"/>
    <w:qFormat/>
    <w:uiPriority w:val="0"/>
    <w:rPr>
      <w:sz w:val="28"/>
    </w:rPr>
  </w:style>
  <w:style w:type="paragraph" w:customStyle="1" w:styleId="176">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7">
    <w:name w:val="Char Char1 Char Char Char Char Char Char Char Char Char Char Char Char Char Char"/>
    <w:basedOn w:val="1"/>
    <w:qFormat/>
    <w:uiPriority w:val="0"/>
    <w:pPr>
      <w:widowControl/>
      <w:spacing w:line="240" w:lineRule="exact"/>
      <w:jc w:val="left"/>
    </w:pPr>
    <w:rPr>
      <w:rFonts w:ascii="Verdana" w:hAnsi="Verdana"/>
      <w:kern w:val="0"/>
      <w:sz w:val="20"/>
      <w:lang w:eastAsia="en-US"/>
    </w:rPr>
  </w:style>
  <w:style w:type="paragraph" w:customStyle="1" w:styleId="178">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79">
    <w:name w:val="正文4"/>
    <w:basedOn w:val="1"/>
    <w:qFormat/>
    <w:uiPriority w:val="0"/>
    <w:pPr>
      <w:tabs>
        <w:tab w:val="left" w:pos="1275"/>
      </w:tabs>
      <w:spacing w:line="360" w:lineRule="auto"/>
      <w:ind w:left="820" w:leftChars="400" w:hanging="705"/>
    </w:pPr>
    <w:rPr>
      <w:sz w:val="24"/>
    </w:rPr>
  </w:style>
  <w:style w:type="paragraph" w:customStyle="1" w:styleId="180">
    <w:name w:val="文章正文"/>
    <w:basedOn w:val="1"/>
    <w:qFormat/>
    <w:uiPriority w:val="0"/>
    <w:pPr>
      <w:ind w:firstLine="560" w:firstLineChars="200"/>
    </w:pPr>
    <w:rPr>
      <w:rFonts w:ascii="仿宋_GB2312" w:hAnsi="宋体" w:eastAsia="仿宋_GB2312"/>
      <w:color w:val="000000"/>
    </w:rPr>
  </w:style>
  <w:style w:type="paragraph" w:customStyle="1" w:styleId="181">
    <w:name w:val="项目"/>
    <w:basedOn w:val="1"/>
    <w:qFormat/>
    <w:uiPriority w:val="0"/>
    <w:pPr>
      <w:tabs>
        <w:tab w:val="left" w:pos="1280"/>
      </w:tabs>
      <w:spacing w:line="360" w:lineRule="auto"/>
      <w:ind w:left="-7" w:firstLine="567"/>
      <w:jc w:val="left"/>
      <w:textAlignment w:val="baseline"/>
    </w:pPr>
    <w:rPr>
      <w:rFonts w:ascii="宋体"/>
      <w:kern w:val="0"/>
      <w:sz w:val="24"/>
    </w:rPr>
  </w:style>
  <w:style w:type="paragraph" w:customStyle="1" w:styleId="182">
    <w:name w:val="默认段落字体 Para Char Char Char Char Char Char Char"/>
    <w:basedOn w:val="1"/>
    <w:qFormat/>
    <w:uiPriority w:val="0"/>
    <w:rPr>
      <w:rFonts w:ascii="Tahoma" w:hAnsi="Tahoma"/>
      <w:sz w:val="24"/>
    </w:rPr>
  </w:style>
  <w:style w:type="paragraph" w:customStyle="1" w:styleId="183">
    <w:name w:val="样式 首行缩进:  0.74 厘米"/>
    <w:basedOn w:val="1"/>
    <w:qFormat/>
    <w:uiPriority w:val="0"/>
    <w:pPr>
      <w:spacing w:line="360" w:lineRule="auto"/>
      <w:ind w:firstLine="420"/>
    </w:pPr>
    <w:rPr>
      <w:sz w:val="24"/>
    </w:rPr>
  </w:style>
  <w:style w:type="paragraph" w:customStyle="1" w:styleId="184">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85">
    <w:name w:val="Style Heading 3h3Heading 3 - oldLevel 3 HeadH3level_3PIM 3se..."/>
    <w:basedOn w:val="4"/>
    <w:qFormat/>
    <w:uiPriority w:val="0"/>
    <w:pPr>
      <w:tabs>
        <w:tab w:val="left" w:pos="709"/>
        <w:tab w:val="left" w:pos="1620"/>
      </w:tabs>
      <w:ind w:left="1620" w:hanging="360"/>
    </w:pPr>
  </w:style>
  <w:style w:type="paragraph" w:customStyle="1" w:styleId="186">
    <w:name w:val="图标"/>
    <w:basedOn w:val="1"/>
    <w:next w:val="1"/>
    <w:qFormat/>
    <w:uiPriority w:val="0"/>
    <w:pPr>
      <w:tabs>
        <w:tab w:val="left" w:pos="420"/>
        <w:tab w:val="left" w:pos="567"/>
        <w:tab w:val="left" w:pos="720"/>
      </w:tabs>
      <w:autoSpaceDE w:val="0"/>
      <w:autoSpaceDN w:val="0"/>
      <w:adjustRightInd w:val="0"/>
      <w:snapToGrid w:val="0"/>
      <w:spacing w:line="320" w:lineRule="atLeast"/>
      <w:ind w:left="420" w:hanging="420"/>
      <w:jc w:val="center"/>
      <w:textAlignment w:val="baseline"/>
    </w:pPr>
    <w:rPr>
      <w:rFonts w:eastAsia="仿宋_GB2312"/>
      <w:kern w:val="0"/>
      <w:sz w:val="24"/>
    </w:rPr>
  </w:style>
  <w:style w:type="paragraph" w:customStyle="1" w:styleId="187">
    <w:name w:val="正文1"/>
    <w:basedOn w:val="1"/>
    <w:qFormat/>
    <w:uiPriority w:val="0"/>
    <w:pPr>
      <w:spacing w:line="300" w:lineRule="auto"/>
      <w:ind w:firstLine="200" w:firstLineChars="200"/>
    </w:pPr>
    <w:rPr>
      <w:sz w:val="24"/>
    </w:rPr>
  </w:style>
  <w:style w:type="paragraph" w:customStyle="1" w:styleId="188">
    <w:name w:val="Char Char1"/>
    <w:basedOn w:val="1"/>
    <w:qFormat/>
    <w:uiPriority w:val="0"/>
    <w:pPr>
      <w:widowControl/>
      <w:spacing w:line="240" w:lineRule="exact"/>
      <w:jc w:val="left"/>
    </w:pPr>
    <w:rPr>
      <w:rFonts w:ascii="Verdana" w:hAnsi="Verdana"/>
      <w:kern w:val="0"/>
      <w:sz w:val="20"/>
      <w:lang w:eastAsia="en-US"/>
    </w:rPr>
  </w:style>
  <w:style w:type="paragraph" w:customStyle="1" w:styleId="189">
    <w:name w:val="样式 样式 首行缩进:  2 字符 + 首行缩进:  2 字符"/>
    <w:basedOn w:val="1"/>
    <w:qFormat/>
    <w:uiPriority w:val="0"/>
    <w:pPr>
      <w:numPr>
        <w:ilvl w:val="0"/>
        <w:numId w:val="10"/>
      </w:numPr>
      <w:tabs>
        <w:tab w:val="clear" w:pos="1230"/>
      </w:tabs>
      <w:spacing w:line="360" w:lineRule="auto"/>
      <w:ind w:firstLine="480" w:firstLineChars="200"/>
    </w:pPr>
    <w:rPr>
      <w:sz w:val="24"/>
    </w:rPr>
  </w:style>
  <w:style w:type="paragraph" w:customStyle="1" w:styleId="190">
    <w:name w:val="00"/>
    <w:basedOn w:val="1"/>
    <w:qFormat/>
    <w:uiPriority w:val="0"/>
    <w:pPr>
      <w:autoSpaceDE w:val="0"/>
      <w:autoSpaceDN w:val="0"/>
      <w:adjustRightInd w:val="0"/>
      <w:jc w:val="left"/>
    </w:pPr>
    <w:rPr>
      <w:rFonts w:ascii="黑体" w:eastAsia="黑体"/>
      <w:b/>
      <w:kern w:val="0"/>
      <w:sz w:val="20"/>
    </w:rPr>
  </w:style>
  <w:style w:type="paragraph" w:customStyle="1" w:styleId="191">
    <w:name w:val="Char Char Char Char Char Char1 Char"/>
    <w:basedOn w:val="1"/>
    <w:qFormat/>
    <w:uiPriority w:val="0"/>
    <w:pPr>
      <w:widowControl/>
      <w:spacing w:line="240" w:lineRule="exact"/>
      <w:jc w:val="left"/>
    </w:pPr>
    <w:rPr>
      <w:rFonts w:ascii="Verdana" w:hAnsi="Verdana"/>
      <w:kern w:val="0"/>
      <w:sz w:val="21"/>
      <w:lang w:eastAsia="en-US"/>
    </w:rPr>
  </w:style>
  <w:style w:type="paragraph" w:customStyle="1" w:styleId="192">
    <w:name w:val="xl27"/>
    <w:basedOn w:val="1"/>
    <w:qFormat/>
    <w:uiPriority w:val="0"/>
    <w:pPr>
      <w:widowControl/>
      <w:pBdr>
        <w:left w:val="single" w:color="auto" w:sz="8" w:space="0"/>
        <w:bottom w:val="single" w:color="auto" w:sz="4" w:space="0"/>
        <w:right w:val="single" w:color="auto" w:sz="4" w:space="0"/>
      </w:pBdr>
      <w:spacing w:beforeAutospacing="1" w:afterAutospacing="1"/>
      <w:jc w:val="center"/>
      <w:textAlignment w:val="center"/>
    </w:pPr>
    <w:rPr>
      <w:rFonts w:ascii="宋体" w:hAnsi="宋体"/>
      <w:kern w:val="0"/>
      <w:sz w:val="21"/>
    </w:rPr>
  </w:style>
  <w:style w:type="paragraph" w:customStyle="1" w:styleId="193">
    <w:name w:val="普通正文"/>
    <w:basedOn w:val="1"/>
    <w:qFormat/>
    <w:uiPriority w:val="0"/>
    <w:pPr>
      <w:adjustRightInd w:val="0"/>
      <w:spacing w:line="360" w:lineRule="auto"/>
      <w:ind w:firstLine="480"/>
      <w:jc w:val="left"/>
      <w:textAlignment w:val="baseline"/>
    </w:pPr>
    <w:rPr>
      <w:rFonts w:ascii="Arial" w:hAnsi="Arial"/>
      <w:kern w:val="0"/>
      <w:sz w:val="24"/>
    </w:rPr>
  </w:style>
  <w:style w:type="paragraph" w:customStyle="1" w:styleId="194">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95">
    <w:name w:val="样式 行距: 1.5 倍行距1"/>
    <w:basedOn w:val="1"/>
    <w:qFormat/>
    <w:uiPriority w:val="0"/>
    <w:pPr>
      <w:snapToGrid w:val="0"/>
    </w:pPr>
    <w:rPr>
      <w:sz w:val="21"/>
    </w:rPr>
  </w:style>
  <w:style w:type="paragraph" w:customStyle="1" w:styleId="196">
    <w:name w:val="样式3"/>
    <w:basedOn w:val="2"/>
    <w:next w:val="2"/>
    <w:qFormat/>
    <w:uiPriority w:val="0"/>
    <w:pPr>
      <w:keepLines/>
      <w:adjustRightInd w:val="0"/>
      <w:spacing w:line="576" w:lineRule="auto"/>
    </w:pPr>
    <w:rPr>
      <w:rFonts w:ascii="Times New Roman" w:eastAsia="黑体"/>
      <w:b/>
      <w:kern w:val="44"/>
      <w:sz w:val="44"/>
    </w:rPr>
  </w:style>
  <w:style w:type="paragraph" w:customStyle="1" w:styleId="197">
    <w:name w:val="图片文字"/>
    <w:basedOn w:val="1"/>
    <w:qFormat/>
    <w:uiPriority w:val="0"/>
    <w:pPr>
      <w:spacing w:line="240" w:lineRule="atLeast"/>
      <w:jc w:val="center"/>
    </w:pPr>
    <w:rPr>
      <w:sz w:val="21"/>
    </w:rPr>
  </w:style>
  <w:style w:type="paragraph" w:customStyle="1" w:styleId="198">
    <w:name w:val="Char Char Char Char Char Char Char Char Char Char Char Char Char Char Char Char"/>
    <w:basedOn w:val="1"/>
    <w:qFormat/>
    <w:uiPriority w:val="0"/>
    <w:pPr>
      <w:tabs>
        <w:tab w:val="left" w:pos="360"/>
      </w:tabs>
    </w:pPr>
    <w:rPr>
      <w:sz w:val="24"/>
    </w:rPr>
  </w:style>
  <w:style w:type="paragraph" w:customStyle="1" w:styleId="199">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00">
    <w:name w:val="标题2"/>
    <w:basedOn w:val="3"/>
    <w:qFormat/>
    <w:uiPriority w:val="0"/>
    <w:pPr>
      <w:keepNext w:val="0"/>
      <w:keepLines w:val="0"/>
      <w:adjustRightInd w:val="0"/>
      <w:snapToGrid w:val="0"/>
      <w:spacing w:line="360" w:lineRule="auto"/>
      <w:ind w:firstLine="574" w:firstLineChars="196"/>
      <w:outlineLvl w:val="9"/>
    </w:pPr>
    <w:rPr>
      <w:rFonts w:ascii="宋体" w:hAnsi="宋体" w:eastAsia="宋体"/>
      <w:spacing w:val="6"/>
      <w:sz w:val="28"/>
      <w:u w:val="single"/>
    </w:rPr>
  </w:style>
  <w:style w:type="paragraph" w:customStyle="1" w:styleId="201">
    <w:name w:val="样式 标题 1 + 居中 段前: 6 磅 段后: 6 磅 行距: 1.5 倍行距"/>
    <w:basedOn w:val="2"/>
    <w:qFormat/>
    <w:uiPriority w:val="0"/>
    <w:pPr>
      <w:keepLines/>
      <w:adjustRightInd w:val="0"/>
      <w:spacing w:line="360" w:lineRule="auto"/>
      <w:jc w:val="center"/>
    </w:pPr>
    <w:rPr>
      <w:rFonts w:ascii="Times New Roman"/>
      <w:b/>
      <w:kern w:val="44"/>
      <w:sz w:val="32"/>
    </w:rPr>
  </w:style>
  <w:style w:type="paragraph" w:customStyle="1" w:styleId="202">
    <w:name w:val="Char Char 字元 字元 字元 Char Char Char Char"/>
    <w:basedOn w:val="1"/>
    <w:qFormat/>
    <w:uiPriority w:val="0"/>
    <w:pPr>
      <w:adjustRightInd w:val="0"/>
      <w:spacing w:line="360" w:lineRule="auto"/>
    </w:pPr>
    <w:rPr>
      <w:kern w:val="0"/>
      <w:sz w:val="24"/>
    </w:rPr>
  </w:style>
  <w:style w:type="paragraph" w:customStyle="1" w:styleId="203">
    <w:name w:val="tabletext"/>
    <w:basedOn w:val="1"/>
    <w:qFormat/>
    <w:uiPriority w:val="0"/>
    <w:pPr>
      <w:widowControl/>
      <w:spacing w:beforeAutospacing="1" w:afterAutospacing="1"/>
      <w:jc w:val="left"/>
    </w:pPr>
    <w:rPr>
      <w:rFonts w:ascii="宋体" w:hAnsi="宋体" w:cs="宋体"/>
      <w:kern w:val="0"/>
      <w:sz w:val="24"/>
      <w:szCs w:val="24"/>
    </w:rPr>
  </w:style>
  <w:style w:type="paragraph" w:customStyle="1" w:styleId="204">
    <w:name w:val="Char Char Char Char Char Char Char Char Char Char Char Char Char"/>
    <w:basedOn w:val="1"/>
    <w:qFormat/>
    <w:uiPriority w:val="0"/>
    <w:pPr>
      <w:widowControl/>
      <w:spacing w:line="240" w:lineRule="exact"/>
      <w:jc w:val="left"/>
    </w:pPr>
    <w:rPr>
      <w:rFonts w:ascii="Verdana" w:hAnsi="Verdana" w:eastAsia="仿宋_GB2312"/>
      <w:kern w:val="0"/>
      <w:sz w:val="24"/>
      <w:lang w:eastAsia="en-US"/>
    </w:rPr>
  </w:style>
  <w:style w:type="paragraph" w:customStyle="1" w:styleId="205">
    <w:name w:val="content"/>
    <w:basedOn w:val="1"/>
    <w:qFormat/>
    <w:uiPriority w:val="0"/>
    <w:pPr>
      <w:widowControl/>
      <w:spacing w:beforeAutospacing="1" w:afterAutospacing="1" w:line="280" w:lineRule="atLeast"/>
      <w:ind w:firstLine="375"/>
      <w:jc w:val="left"/>
    </w:pPr>
    <w:rPr>
      <w:rFonts w:ascii="宋体" w:hAnsi="宋体"/>
      <w:color w:val="000000"/>
      <w:kern w:val="0"/>
      <w:sz w:val="18"/>
    </w:rPr>
  </w:style>
  <w:style w:type="paragraph" w:customStyle="1" w:styleId="206">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207">
    <w:name w:val="style1"/>
    <w:basedOn w:val="1"/>
    <w:qFormat/>
    <w:uiPriority w:val="0"/>
    <w:pPr>
      <w:widowControl/>
      <w:spacing w:beforeAutospacing="1" w:afterAutospacing="1"/>
      <w:jc w:val="left"/>
    </w:pPr>
    <w:rPr>
      <w:rFonts w:ascii="宋体" w:hAnsi="宋体"/>
      <w:kern w:val="0"/>
      <w:sz w:val="21"/>
    </w:rPr>
  </w:style>
  <w:style w:type="character" w:customStyle="1" w:styleId="208">
    <w:name w:val="Char Char3"/>
    <w:qFormat/>
    <w:uiPriority w:val="0"/>
    <w:rPr>
      <w:rFonts w:eastAsia="宋体"/>
      <w:kern w:val="2"/>
      <w:sz w:val="18"/>
      <w:lang w:val="en-US" w:eastAsia="zh-CN"/>
    </w:rPr>
  </w:style>
  <w:style w:type="character" w:customStyle="1" w:styleId="209">
    <w:name w:val="title_emph1"/>
    <w:qFormat/>
    <w:uiPriority w:val="0"/>
    <w:rPr>
      <w:rFonts w:hint="default" w:ascii="Arial" w:hAnsi="Arial"/>
      <w:b/>
      <w:sz w:val="20"/>
    </w:rPr>
  </w:style>
  <w:style w:type="character" w:customStyle="1" w:styleId="210">
    <w:name w:val="标题 3 Char"/>
    <w:link w:val="4"/>
    <w:qFormat/>
    <w:uiPriority w:val="0"/>
    <w:rPr>
      <w:rFonts w:eastAsia="宋体"/>
      <w:b/>
      <w:kern w:val="2"/>
      <w:sz w:val="32"/>
      <w:lang w:val="en-US" w:eastAsia="zh-CN"/>
    </w:rPr>
  </w:style>
  <w:style w:type="character" w:customStyle="1" w:styleId="211">
    <w:name w:val="Table Text Char"/>
    <w:link w:val="169"/>
    <w:qFormat/>
    <w:uiPriority w:val="0"/>
    <w:rPr>
      <w:rFonts w:ascii="Arial" w:hAnsi="Arial"/>
      <w:kern w:val="2"/>
      <w:sz w:val="18"/>
      <w:lang w:val="en-US" w:eastAsia="zh-CN" w:bidi="ar-SA"/>
    </w:rPr>
  </w:style>
  <w:style w:type="character" w:customStyle="1" w:styleId="212">
    <w:name w:val="Char Char11"/>
    <w:qFormat/>
    <w:uiPriority w:val="0"/>
    <w:rPr>
      <w:rFonts w:ascii="宋体"/>
      <w:kern w:val="2"/>
      <w:sz w:val="28"/>
    </w:rPr>
  </w:style>
  <w:style w:type="character" w:customStyle="1" w:styleId="213">
    <w:name w:val="top-det1"/>
    <w:qFormat/>
    <w:uiPriority w:val="0"/>
    <w:rPr>
      <w:b/>
      <w:color w:val="000000"/>
    </w:rPr>
  </w:style>
  <w:style w:type="character" w:customStyle="1" w:styleId="214">
    <w:name w:val="font31"/>
    <w:basedOn w:val="61"/>
    <w:qFormat/>
    <w:uiPriority w:val="0"/>
    <w:rPr>
      <w:rFonts w:hint="default" w:ascii="Times New Roman" w:hAnsi="Times New Roman" w:cs="Times New Roman"/>
      <w:color w:val="000000"/>
      <w:sz w:val="20"/>
      <w:szCs w:val="20"/>
      <w:u w:val="none"/>
    </w:rPr>
  </w:style>
  <w:style w:type="character" w:customStyle="1" w:styleId="215">
    <w:name w:val="正文首行缩进 2 Char"/>
    <w:basedOn w:val="216"/>
    <w:link w:val="58"/>
    <w:qFormat/>
    <w:uiPriority w:val="0"/>
    <w:rPr>
      <w:kern w:val="2"/>
      <w:sz w:val="44"/>
    </w:rPr>
  </w:style>
  <w:style w:type="character" w:customStyle="1" w:styleId="216">
    <w:name w:val="正文文本缩进 Char"/>
    <w:link w:val="16"/>
    <w:qFormat/>
    <w:uiPriority w:val="0"/>
    <w:rPr>
      <w:kern w:val="2"/>
      <w:sz w:val="44"/>
    </w:rPr>
  </w:style>
  <w:style w:type="character" w:customStyle="1" w:styleId="217">
    <w:name w:val="Table Heading Char Char"/>
    <w:qFormat/>
    <w:uiPriority w:val="0"/>
    <w:rPr>
      <w:rFonts w:ascii="Arial" w:hAnsi="Arial" w:eastAsia="黑体"/>
      <w:kern w:val="2"/>
      <w:sz w:val="18"/>
      <w:lang w:val="en-US" w:eastAsia="zh-CN"/>
    </w:rPr>
  </w:style>
  <w:style w:type="character" w:customStyle="1" w:styleId="218">
    <w:name w:val="样式 宋体"/>
    <w:qFormat/>
    <w:uiPriority w:val="0"/>
    <w:rPr>
      <w:rFonts w:ascii="宋体" w:hAnsi="宋体" w:eastAsia="宋体"/>
      <w:sz w:val="28"/>
    </w:rPr>
  </w:style>
  <w:style w:type="character" w:customStyle="1" w:styleId="219">
    <w:name w:val="小 Char"/>
    <w:qFormat/>
    <w:uiPriority w:val="0"/>
    <w:rPr>
      <w:rFonts w:ascii="宋体" w:hAnsi="Courier New" w:eastAsia="宋体"/>
      <w:kern w:val="2"/>
      <w:sz w:val="21"/>
      <w:lang w:val="en-US" w:eastAsia="zh-CN" w:bidi="ar-SA"/>
    </w:rPr>
  </w:style>
  <w:style w:type="character" w:customStyle="1" w:styleId="220">
    <w:name w:val="Char Char6"/>
    <w:qFormat/>
    <w:uiPriority w:val="0"/>
    <w:rPr>
      <w:rFonts w:ascii="仿宋_GB2312" w:eastAsia="仿宋_GB2312"/>
      <w:kern w:val="2"/>
      <w:sz w:val="32"/>
    </w:rPr>
  </w:style>
  <w:style w:type="character" w:customStyle="1" w:styleId="221">
    <w:name w:val="标题 2 字符"/>
    <w:qFormat/>
    <w:uiPriority w:val="0"/>
    <w:rPr>
      <w:rFonts w:ascii="Arial" w:hAnsi="Arial" w:eastAsia="黑体"/>
      <w:b/>
      <w:kern w:val="2"/>
      <w:sz w:val="32"/>
    </w:rPr>
  </w:style>
  <w:style w:type="character" w:customStyle="1" w:styleId="222">
    <w:name w:val="Table Text Char Char Char Char"/>
    <w:link w:val="118"/>
    <w:qFormat/>
    <w:uiPriority w:val="0"/>
    <w:rPr>
      <w:rFonts w:ascii="Arial" w:hAnsi="Arial"/>
      <w:kern w:val="2"/>
      <w:sz w:val="18"/>
      <w:lang w:val="en-US" w:eastAsia="zh-CN" w:bidi="ar-SA"/>
    </w:rPr>
  </w:style>
  <w:style w:type="character" w:customStyle="1" w:styleId="223">
    <w:name w:val="正文文本缩进 2 Char"/>
    <w:link w:val="34"/>
    <w:qFormat/>
    <w:uiPriority w:val="0"/>
    <w:rPr>
      <w:kern w:val="2"/>
      <w:sz w:val="28"/>
    </w:rPr>
  </w:style>
  <w:style w:type="character" w:customStyle="1" w:styleId="224">
    <w:name w:val="Char Char7"/>
    <w:qFormat/>
    <w:uiPriority w:val="0"/>
    <w:rPr>
      <w:rFonts w:ascii="宋体" w:hAnsi="宋体" w:eastAsia="宋体"/>
      <w:kern w:val="2"/>
      <w:sz w:val="28"/>
    </w:rPr>
  </w:style>
  <w:style w:type="character" w:customStyle="1" w:styleId="225">
    <w:name w:val="font21"/>
    <w:basedOn w:val="61"/>
    <w:qFormat/>
    <w:uiPriority w:val="0"/>
    <w:rPr>
      <w:rFonts w:hint="eastAsia" w:ascii="宋体" w:hAnsi="宋体" w:eastAsia="宋体" w:cs="宋体"/>
      <w:color w:val="000000"/>
      <w:sz w:val="20"/>
      <w:szCs w:val="20"/>
      <w:u w:val="none"/>
    </w:rPr>
  </w:style>
  <w:style w:type="character" w:customStyle="1" w:styleId="226">
    <w:name w:val="Char Char5"/>
    <w:qFormat/>
    <w:uiPriority w:val="0"/>
    <w:rPr>
      <w:rFonts w:ascii="Arial" w:hAnsi="Arial" w:eastAsia="宋体"/>
      <w:b/>
      <w:smallCaps/>
      <w:kern w:val="28"/>
      <w:sz w:val="36"/>
      <w:lang w:val="en-US" w:eastAsia="en-US"/>
    </w:rPr>
  </w:style>
  <w:style w:type="character" w:customStyle="1" w:styleId="227">
    <w:name w:val="批注主题 Char"/>
    <w:basedOn w:val="228"/>
    <w:link w:val="56"/>
    <w:qFormat/>
    <w:uiPriority w:val="0"/>
    <w:rPr>
      <w:sz w:val="24"/>
    </w:rPr>
  </w:style>
  <w:style w:type="character" w:customStyle="1" w:styleId="228">
    <w:name w:val="批注文字 Char"/>
    <w:link w:val="20"/>
    <w:qFormat/>
    <w:uiPriority w:val="0"/>
    <w:rPr>
      <w:sz w:val="24"/>
    </w:rPr>
  </w:style>
  <w:style w:type="character" w:customStyle="1" w:styleId="229">
    <w:name w:val="未命名11"/>
    <w:qFormat/>
    <w:uiPriority w:val="0"/>
    <w:rPr>
      <w:color w:val="77FFFF"/>
      <w:sz w:val="24"/>
    </w:rPr>
  </w:style>
  <w:style w:type="character" w:customStyle="1" w:styleId="230">
    <w:name w:val="日期 Char"/>
    <w:link w:val="33"/>
    <w:qFormat/>
    <w:uiPriority w:val="0"/>
    <w:rPr>
      <w:kern w:val="2"/>
      <w:sz w:val="28"/>
    </w:rPr>
  </w:style>
  <w:style w:type="character" w:customStyle="1" w:styleId="231">
    <w:name w:val="正文 + 三号 Char"/>
    <w:qFormat/>
    <w:uiPriority w:val="0"/>
    <w:rPr>
      <w:rFonts w:eastAsia="宋体"/>
      <w:kern w:val="2"/>
      <w:sz w:val="21"/>
      <w:lang w:val="en-US" w:eastAsia="zh-CN"/>
    </w:rPr>
  </w:style>
  <w:style w:type="character" w:customStyle="1" w:styleId="232">
    <w:name w:val="Char Char2"/>
    <w:qFormat/>
    <w:uiPriority w:val="0"/>
    <w:rPr>
      <w:rFonts w:eastAsia="宋体"/>
      <w:kern w:val="2"/>
      <w:sz w:val="18"/>
      <w:lang w:val="en-US" w:eastAsia="zh-CN"/>
    </w:rPr>
  </w:style>
  <w:style w:type="character" w:customStyle="1" w:styleId="233">
    <w:name w:val="H2 Char"/>
    <w:qFormat/>
    <w:uiPriority w:val="0"/>
    <w:rPr>
      <w:rFonts w:ascii="Arial" w:hAnsi="Arial" w:eastAsia="宋体"/>
      <w:kern w:val="2"/>
      <w:sz w:val="28"/>
      <w:lang w:val="en-US" w:eastAsia="zh-CN"/>
    </w:rPr>
  </w:style>
  <w:style w:type="character" w:customStyle="1" w:styleId="234">
    <w:name w:val="font1"/>
    <w:qFormat/>
    <w:uiPriority w:val="0"/>
    <w:rPr>
      <w:color w:val="000000"/>
      <w:sz w:val="18"/>
    </w:rPr>
  </w:style>
  <w:style w:type="character" w:customStyle="1" w:styleId="235">
    <w:name w:val="v151"/>
    <w:qFormat/>
    <w:uiPriority w:val="0"/>
    <w:rPr>
      <w:sz w:val="18"/>
    </w:rPr>
  </w:style>
  <w:style w:type="character" w:customStyle="1" w:styleId="236">
    <w:name w:val="脚注文本 Char"/>
    <w:link w:val="41"/>
    <w:qFormat/>
    <w:uiPriority w:val="0"/>
    <w:rPr>
      <w:kern w:val="2"/>
      <w:sz w:val="18"/>
    </w:rPr>
  </w:style>
  <w:style w:type="character" w:customStyle="1" w:styleId="237">
    <w:name w:val="Char Char"/>
    <w:qFormat/>
    <w:uiPriority w:val="0"/>
    <w:rPr>
      <w:rFonts w:ascii="宋体" w:hAnsi="宋体" w:eastAsia="宋体"/>
      <w:kern w:val="2"/>
      <w:sz w:val="24"/>
      <w:lang w:val="en-US" w:eastAsia="zh-CN" w:bidi="ar-SA"/>
    </w:rPr>
  </w:style>
  <w:style w:type="character" w:customStyle="1" w:styleId="238">
    <w:name w:val="crowed11"/>
    <w:qFormat/>
    <w:uiPriority w:val="0"/>
    <w:rPr>
      <w:rFonts w:hint="default" w:ascii="_x000B__x000C_" w:hAnsi="_x000B__x000C_"/>
      <w:sz w:val="24"/>
    </w:rPr>
  </w:style>
  <w:style w:type="character" w:customStyle="1" w:styleId="239">
    <w:name w:val="标书正文:  0.74 厘米 Char1"/>
    <w:qFormat/>
    <w:uiPriority w:val="0"/>
    <w:rPr>
      <w:rFonts w:eastAsia="宋体"/>
      <w:kern w:val="2"/>
      <w:sz w:val="24"/>
      <w:lang w:val="en-US" w:eastAsia="zh-CN"/>
    </w:rPr>
  </w:style>
  <w:style w:type="character" w:customStyle="1" w:styleId="240">
    <w:name w:val="Table Text Char1 Char"/>
    <w:qFormat/>
    <w:uiPriority w:val="0"/>
    <w:rPr>
      <w:rFonts w:ascii="Arial" w:hAnsi="Arial"/>
      <w:kern w:val="2"/>
      <w:sz w:val="18"/>
      <w:lang w:val="en-US" w:eastAsia="zh-CN" w:bidi="ar-SA"/>
    </w:rPr>
  </w:style>
  <w:style w:type="character" w:customStyle="1" w:styleId="241">
    <w:name w:val="Char Char4"/>
    <w:qFormat/>
    <w:uiPriority w:val="0"/>
    <w:rPr>
      <w:rFonts w:eastAsia="宋体"/>
      <w:b/>
      <w:kern w:val="2"/>
      <w:sz w:val="21"/>
      <w:lang w:val="en-US" w:eastAsia="zh-CN"/>
    </w:rPr>
  </w:style>
  <w:style w:type="character" w:customStyle="1" w:styleId="242">
    <w:name w:val="文字 Char"/>
    <w:link w:val="123"/>
    <w:qFormat/>
    <w:uiPriority w:val="0"/>
    <w:rPr>
      <w:rFonts w:ascii="宋体"/>
      <w:kern w:val="2"/>
      <w:sz w:val="28"/>
    </w:rPr>
  </w:style>
  <w:style w:type="character" w:customStyle="1" w:styleId="243">
    <w:name w:val="content-white1"/>
    <w:qFormat/>
    <w:uiPriority w:val="0"/>
    <w:rPr>
      <w:rFonts w:ascii="_x000B__x000C_" w:hAnsi="_x000B__x000C_"/>
      <w:color w:val="auto"/>
      <w:sz w:val="18"/>
      <w:u w:val="none"/>
    </w:rPr>
  </w:style>
  <w:style w:type="paragraph" w:customStyle="1" w:styleId="244">
    <w:name w:val="列出段落1"/>
    <w:basedOn w:val="1"/>
    <w:link w:val="254"/>
    <w:unhideWhenUsed/>
    <w:qFormat/>
    <w:uiPriority w:val="34"/>
    <w:pPr>
      <w:ind w:firstLine="420" w:firstLineChars="200"/>
    </w:pPr>
  </w:style>
  <w:style w:type="paragraph" w:customStyle="1" w:styleId="245">
    <w:name w:val="Table Paragraph"/>
    <w:basedOn w:val="1"/>
    <w:qFormat/>
    <w:uiPriority w:val="1"/>
    <w:pPr>
      <w:jc w:val="left"/>
    </w:pPr>
    <w:rPr>
      <w:kern w:val="0"/>
      <w:sz w:val="22"/>
      <w:szCs w:val="22"/>
      <w:lang w:eastAsia="en-US"/>
    </w:rPr>
  </w:style>
  <w:style w:type="character" w:customStyle="1" w:styleId="246">
    <w:name w:val="font41"/>
    <w:basedOn w:val="61"/>
    <w:qFormat/>
    <w:uiPriority w:val="0"/>
    <w:rPr>
      <w:rFonts w:hint="eastAsia" w:ascii="宋体" w:hAnsi="宋体" w:eastAsia="宋体" w:cs="宋体"/>
      <w:b/>
      <w:color w:val="000000"/>
      <w:sz w:val="20"/>
      <w:szCs w:val="20"/>
      <w:u w:val="none"/>
    </w:rPr>
  </w:style>
  <w:style w:type="character" w:customStyle="1" w:styleId="247">
    <w:name w:val="font11"/>
    <w:basedOn w:val="61"/>
    <w:qFormat/>
    <w:uiPriority w:val="0"/>
    <w:rPr>
      <w:rFonts w:hint="eastAsia" w:ascii="宋体" w:hAnsi="宋体" w:eastAsia="宋体" w:cs="宋体"/>
      <w:color w:val="000000"/>
      <w:sz w:val="20"/>
      <w:szCs w:val="20"/>
      <w:u w:val="none"/>
    </w:rPr>
  </w:style>
  <w:style w:type="character" w:customStyle="1" w:styleId="248">
    <w:name w:val="font61"/>
    <w:basedOn w:val="61"/>
    <w:qFormat/>
    <w:uiPriority w:val="0"/>
    <w:rPr>
      <w:rFonts w:hint="default" w:ascii="Times New Roman" w:hAnsi="Times New Roman" w:cs="Times New Roman"/>
      <w:color w:val="000000"/>
      <w:sz w:val="20"/>
      <w:szCs w:val="20"/>
      <w:u w:val="none"/>
    </w:rPr>
  </w:style>
  <w:style w:type="character" w:customStyle="1" w:styleId="249">
    <w:name w:val="font81"/>
    <w:basedOn w:val="61"/>
    <w:qFormat/>
    <w:uiPriority w:val="0"/>
    <w:rPr>
      <w:rFonts w:hint="default" w:ascii="Times New Roman" w:hAnsi="Times New Roman" w:cs="Times New Roman"/>
      <w:b/>
      <w:color w:val="000000"/>
      <w:sz w:val="20"/>
      <w:szCs w:val="20"/>
      <w:u w:val="none"/>
    </w:rPr>
  </w:style>
  <w:style w:type="character" w:customStyle="1" w:styleId="250">
    <w:name w:val="font71"/>
    <w:basedOn w:val="61"/>
    <w:qFormat/>
    <w:uiPriority w:val="0"/>
    <w:rPr>
      <w:rFonts w:ascii="方正黑体简体" w:hAnsi="方正黑体简体" w:eastAsia="方正黑体简体" w:cs="方正黑体简体"/>
      <w:b/>
      <w:color w:val="000000"/>
      <w:sz w:val="20"/>
      <w:szCs w:val="20"/>
      <w:u w:val="none"/>
    </w:rPr>
  </w:style>
  <w:style w:type="paragraph" w:customStyle="1" w:styleId="251">
    <w:name w:val="修订1"/>
    <w:hidden/>
    <w:semiHidden/>
    <w:qFormat/>
    <w:uiPriority w:val="99"/>
    <w:rPr>
      <w:rFonts w:ascii="Calibri" w:hAnsi="Calibri" w:eastAsia="宋体" w:cs="Times New Roman"/>
      <w:kern w:val="2"/>
      <w:sz w:val="28"/>
      <w:lang w:val="en-US" w:eastAsia="zh-CN" w:bidi="ar-SA"/>
    </w:rPr>
  </w:style>
  <w:style w:type="paragraph" w:customStyle="1" w:styleId="252">
    <w:name w:val="修订2"/>
    <w:hidden/>
    <w:semiHidden/>
    <w:qFormat/>
    <w:uiPriority w:val="99"/>
    <w:rPr>
      <w:rFonts w:ascii="Calibri" w:hAnsi="Calibri" w:eastAsia="宋体" w:cs="Times New Roman"/>
      <w:kern w:val="2"/>
      <w:sz w:val="28"/>
      <w:lang w:val="en-US" w:eastAsia="zh-CN" w:bidi="ar-SA"/>
    </w:rPr>
  </w:style>
  <w:style w:type="paragraph" w:customStyle="1" w:styleId="253">
    <w:name w:val="样式 首行缩进:  0 字符"/>
    <w:basedOn w:val="1"/>
    <w:qFormat/>
    <w:uiPriority w:val="0"/>
    <w:pPr>
      <w:spacing w:line="360" w:lineRule="auto"/>
      <w:ind w:firstLine="200" w:firstLineChars="200"/>
    </w:pPr>
    <w:rPr>
      <w:rFonts w:ascii="Arial" w:hAnsi="Arial" w:cs="宋体"/>
      <w:snapToGrid w:val="0"/>
      <w:spacing w:val="10"/>
      <w:kern w:val="0"/>
      <w:sz w:val="24"/>
      <w:szCs w:val="24"/>
    </w:rPr>
  </w:style>
  <w:style w:type="character" w:customStyle="1" w:styleId="254">
    <w:name w:val="列出段落 Char"/>
    <w:link w:val="244"/>
    <w:qFormat/>
    <w:uiPriority w:val="34"/>
    <w:rPr>
      <w:rFonts w:ascii="Calibri" w:hAnsi="Calibri" w:eastAsia="宋体" w:cs="Times New Roman"/>
      <w:kern w:val="2"/>
      <w:sz w:val="28"/>
    </w:rPr>
  </w:style>
  <w:style w:type="table" w:customStyle="1" w:styleId="255">
    <w:name w:val="网格型1"/>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56">
    <w:name w:val="表样式"/>
    <w:basedOn w:val="1"/>
    <w:qFormat/>
    <w:uiPriority w:val="0"/>
    <w:rPr>
      <w:rFonts w:ascii="Times New Roman" w:hAnsi="Times New Roman"/>
    </w:rPr>
  </w:style>
  <w:style w:type="paragraph" w:customStyle="1" w:styleId="257">
    <w:name w:val="正文 A"/>
    <w:qFormat/>
    <w:uiPriority w:val="0"/>
    <w:pPr>
      <w:framePr w:wrap="around" w:vAnchor="margin" w:hAnchor="text" w:y="1"/>
      <w:widowControl w:val="0"/>
      <w:jc w:val="both"/>
    </w:pPr>
    <w:rPr>
      <w:rFonts w:ascii="Times New Roman" w:hAnsi="Times New Roman" w:eastAsia="Times New Roman" w:cs="Times New Roman"/>
      <w:color w:val="000000"/>
      <w:kern w:val="2"/>
      <w:sz w:val="28"/>
      <w:szCs w:val="28"/>
      <w:lang w:val="en-US" w:eastAsia="zh-CN" w:bidi="ar-SA"/>
    </w:rPr>
  </w:style>
  <w:style w:type="character" w:customStyle="1" w:styleId="258">
    <w:name w:val="font01"/>
    <w:basedOn w:val="61"/>
    <w:qFormat/>
    <w:uiPriority w:val="0"/>
    <w:rPr>
      <w:rFonts w:hint="eastAsia" w:ascii="方正仿宋_GBK" w:hAnsi="方正仿宋_GBK" w:eastAsia="方正仿宋_GBK" w:cs="方正仿宋_GBK"/>
      <w:color w:val="000000"/>
      <w:sz w:val="24"/>
      <w:szCs w:val="24"/>
      <w:u w:val="none"/>
    </w:rPr>
  </w:style>
  <w:style w:type="character" w:customStyle="1" w:styleId="259">
    <w:name w:val="NormalCharacter"/>
    <w:qFormat/>
    <w:uiPriority w:val="0"/>
  </w:style>
  <w:style w:type="character" w:customStyle="1" w:styleId="260">
    <w:name w:val="页眉 Char"/>
    <w:link w:val="37"/>
    <w:qFormat/>
    <w:uiPriority w:val="0"/>
    <w:rPr>
      <w:rFonts w:ascii="Calibri" w:hAnsi="Calibri"/>
      <w:kern w:val="2"/>
      <w:sz w:val="18"/>
    </w:rPr>
  </w:style>
  <w:style w:type="table" w:customStyle="1" w:styleId="261">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character" w:customStyle="1" w:styleId="262">
    <w:name w:val="批注框文本 Char"/>
    <w:link w:val="35"/>
    <w:qFormat/>
    <w:uiPriority w:val="99"/>
    <w:rPr>
      <w:rFonts w:ascii="Calibri" w:hAnsi="Calibri"/>
      <w:kern w:val="2"/>
      <w:sz w:val="18"/>
    </w:rPr>
  </w:style>
  <w:style w:type="paragraph" w:customStyle="1" w:styleId="263">
    <w:name w:val="正  文"/>
    <w:basedOn w:val="1"/>
    <w:qFormat/>
    <w:uiPriority w:val="0"/>
    <w:pPr>
      <w:spacing w:line="360" w:lineRule="auto"/>
      <w:ind w:firstLine="200" w:firstLineChars="200"/>
    </w:pPr>
    <w:rPr>
      <w:rFonts w:ascii="宋体"/>
      <w:sz w:val="24"/>
      <w:szCs w:val="24"/>
    </w:rPr>
  </w:style>
  <w:style w:type="paragraph" w:customStyle="1" w:styleId="264">
    <w:name w:val="WPSOffice手动目录 1"/>
    <w:qFormat/>
    <w:uiPriority w:val="0"/>
    <w:rPr>
      <w:rFonts w:ascii="Times New Roman" w:hAnsi="Times New Roman" w:eastAsia="宋体" w:cs="Times New Roman"/>
      <w:lang w:val="en-US" w:eastAsia="zh-CN" w:bidi="ar-SA"/>
    </w:rPr>
  </w:style>
  <w:style w:type="paragraph" w:customStyle="1" w:styleId="26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66">
    <w:name w:val="pf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67">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268">
    <w:name w:val="正文 New New New New New New New New New New New New New New New New New New New New New New New New New New New New New New New New New New New New New New New New New New New New New New New New New New New New New New New New New New New New New New N6"/>
    <w:qFormat/>
    <w:uiPriority w:val="0"/>
    <w:pPr>
      <w:widowControl w:val="0"/>
      <w:jc w:val="both"/>
    </w:pPr>
    <w:rPr>
      <w:rFonts w:ascii="Calibri" w:hAnsi="Calibri" w:eastAsia="宋体" w:cs="Times New Roman"/>
      <w:kern w:val="2"/>
      <w:sz w:val="21"/>
      <w:szCs w:val="24"/>
      <w:lang w:val="en-US" w:eastAsia="zh-CN" w:bidi="ar-SA"/>
    </w:rPr>
  </w:style>
  <w:style w:type="paragraph" w:customStyle="1" w:styleId="269">
    <w:name w:val="BodyText1I2"/>
    <w:basedOn w:val="270"/>
    <w:qFormat/>
    <w:uiPriority w:val="0"/>
    <w:pPr>
      <w:spacing w:after="120" w:line="240" w:lineRule="auto"/>
      <w:ind w:left="420" w:leftChars="200" w:firstLine="420" w:firstLineChars="200"/>
    </w:pPr>
  </w:style>
  <w:style w:type="paragraph" w:customStyle="1" w:styleId="270">
    <w:name w:val="BodyTextIndent"/>
    <w:basedOn w:val="1"/>
    <w:qFormat/>
    <w:uiPriority w:val="0"/>
    <w:pPr>
      <w:spacing w:line="700" w:lineRule="exact"/>
      <w:ind w:left="960"/>
      <w:textAlignment w:val="baseline"/>
    </w:pPr>
    <w:rPr>
      <w:sz w:val="44"/>
    </w:rPr>
  </w:style>
  <w:style w:type="paragraph" w:customStyle="1" w:styleId="271">
    <w:name w:val="标题一、"/>
    <w:basedOn w:val="1"/>
    <w:qFormat/>
    <w:uiPriority w:val="0"/>
    <w:pPr>
      <w:spacing w:before="312" w:beforeLines="100" w:after="312" w:afterLines="100" w:line="360" w:lineRule="auto"/>
      <w:jc w:val="center"/>
      <w:outlineLvl w:val="0"/>
    </w:pPr>
    <w:rPr>
      <w:rFonts w:ascii="黑体" w:eastAsia="黑体"/>
      <w:sz w:val="32"/>
      <w:szCs w:val="32"/>
    </w:rPr>
  </w:style>
  <w:style w:type="paragraph" w:customStyle="1" w:styleId="272">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3">
    <w:name w:val="正文 New New New New New New New New New New New New New New New New New New New New New New New New New New New New New New New New New New New New New New New New New New New New New New New New New New New New New New New New New New New New"/>
    <w:unhideWhenUsed/>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38</Pages>
  <Words>17346</Words>
  <Characters>18362</Characters>
  <Lines>1</Lines>
  <Paragraphs>1</Paragraphs>
  <TotalTime>1</TotalTime>
  <ScaleCrop>false</ScaleCrop>
  <LinksUpToDate>false</LinksUpToDate>
  <CharactersWithSpaces>18985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2025-06-25T03:32:00Z</dcterms:created>
  <dc:creator>罗成</dc:creator>
  <cp:lastModifiedBy>批注</cp:lastModifiedBy>
  <cp:lastPrinted>2019-03-05T07:20:00Z</cp:lastPrinted>
  <dcterms:modified xsi:type="dcterms:W3CDTF">2025-10-31T02:19:54Z</dcterms:modified>
  <dc:title>竞争性谈判文件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F2D2B14A51FD40F5B20F98BFD5833287_13</vt:lpwstr>
  </property>
  <property fmtid="{D5CDD505-2E9C-101B-9397-08002B2CF9AE}" pid="4" name="KSOTemplateDocerSaveRecord">
    <vt:lpwstr>eyJoZGlkIjoiMzEwNTM5NzYwMDRjMzkwZTVkZjY2ODkwMGIxNGU0OTUiLCJ1c2VySWQiOiIyODg4NzY1NDcifQ==</vt:lpwstr>
  </property>
</Properties>
</file>