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仿宋" w:hAnsi="仿宋" w:eastAsia="仿宋" w:cs="仿宋"/>
          <w:color w:val="auto"/>
          <w:highlight w:val="none"/>
        </w:rPr>
      </w:pPr>
    </w:p>
    <w:p>
      <w:pPr>
        <w:spacing w:after="0"/>
        <w:jc w:val="center"/>
        <w:outlineLvl w:val="0"/>
        <w:rPr>
          <w:rFonts w:ascii="仿宋" w:hAnsi="仿宋" w:eastAsia="仿宋" w:cs="仿宋"/>
          <w:b/>
          <w:bCs/>
          <w:color w:val="auto"/>
          <w:spacing w:val="80"/>
          <w:sz w:val="112"/>
          <w:szCs w:val="112"/>
          <w:highlight w:val="none"/>
        </w:rPr>
      </w:pPr>
      <w:bookmarkStart w:id="0" w:name="_Toc19880"/>
      <w:bookmarkStart w:id="1" w:name="_Toc17591"/>
      <w:bookmarkStart w:id="2" w:name="_Toc16779"/>
      <w:bookmarkStart w:id="3" w:name="_Toc19609"/>
      <w:bookmarkStart w:id="4" w:name="_Toc7408"/>
      <w:r>
        <w:rPr>
          <w:rFonts w:hint="eastAsia" w:ascii="仿宋" w:hAnsi="仿宋" w:eastAsia="仿宋" w:cs="仿宋"/>
          <w:b/>
          <w:bCs/>
          <w:color w:val="auto"/>
          <w:spacing w:val="80"/>
          <w:sz w:val="112"/>
          <w:szCs w:val="112"/>
          <w:highlight w:val="none"/>
        </w:rPr>
        <w:t>竞争性比选</w:t>
      </w:r>
      <w:bookmarkEnd w:id="0"/>
    </w:p>
    <w:p>
      <w:pPr>
        <w:spacing w:after="0"/>
        <w:jc w:val="center"/>
        <w:outlineLvl w:val="0"/>
        <w:rPr>
          <w:rFonts w:ascii="仿宋" w:hAnsi="仿宋" w:eastAsia="仿宋" w:cs="仿宋"/>
          <w:b/>
          <w:bCs/>
          <w:color w:val="auto"/>
          <w:spacing w:val="80"/>
          <w:sz w:val="112"/>
          <w:szCs w:val="112"/>
          <w:highlight w:val="none"/>
        </w:rPr>
      </w:pPr>
      <w:bookmarkStart w:id="5" w:name="_Toc12516"/>
      <w:r>
        <w:rPr>
          <w:rFonts w:hint="eastAsia" w:ascii="仿宋" w:hAnsi="仿宋" w:eastAsia="仿宋" w:cs="仿宋"/>
          <w:b/>
          <w:bCs/>
          <w:color w:val="auto"/>
          <w:spacing w:val="80"/>
          <w:sz w:val="112"/>
          <w:szCs w:val="112"/>
          <w:highlight w:val="none"/>
        </w:rPr>
        <w:t>采购文件</w:t>
      </w:r>
      <w:bookmarkEnd w:id="1"/>
      <w:bookmarkEnd w:id="2"/>
      <w:bookmarkEnd w:id="3"/>
      <w:bookmarkEnd w:id="4"/>
      <w:bookmarkEnd w:id="5"/>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ind w:firstLine="1446" w:firstLineChars="400"/>
        <w:rPr>
          <w:rFonts w:hint="eastAsia" w:ascii="仿宋" w:hAnsi="仿宋" w:eastAsia="仿宋" w:cs="仿宋"/>
          <w:b/>
          <w:color w:val="auto"/>
          <w:sz w:val="36"/>
          <w:highlight w:val="none"/>
          <w:lang w:val="en-US" w:eastAsia="zh-CN"/>
        </w:rPr>
      </w:pPr>
      <w:r>
        <w:rPr>
          <w:rFonts w:hint="eastAsia" w:ascii="仿宋" w:hAnsi="仿宋" w:eastAsia="仿宋" w:cs="仿宋"/>
          <w:b/>
          <w:color w:val="auto"/>
          <w:sz w:val="36"/>
          <w:highlight w:val="none"/>
        </w:rPr>
        <w:t>采购计划编号：KB0025080</w:t>
      </w:r>
      <w:r>
        <w:rPr>
          <w:rFonts w:hint="eastAsia" w:ascii="仿宋" w:hAnsi="仿宋" w:eastAsia="仿宋" w:cs="仿宋"/>
          <w:b/>
          <w:color w:val="auto"/>
          <w:sz w:val="36"/>
          <w:highlight w:val="none"/>
          <w:lang w:val="en-US" w:eastAsia="zh-CN"/>
        </w:rPr>
        <w:t>8</w:t>
      </w:r>
    </w:p>
    <w:p>
      <w:pPr>
        <w:spacing w:after="0"/>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lang w:eastAsia="zh-CN"/>
        </w:rPr>
        <w:t>重庆市第一〇四中学校教室门采购项目</w:t>
      </w:r>
    </w:p>
    <w:p>
      <w:pPr>
        <w:pStyle w:val="18"/>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jc w:val="center"/>
        <w:rPr>
          <w:rFonts w:hint="eastAsia" w:ascii="仿宋" w:hAnsi="仿宋" w:eastAsia="仿宋" w:cs="仿宋"/>
          <w:b/>
          <w:color w:val="auto"/>
          <w:kern w:val="2"/>
          <w:sz w:val="36"/>
          <w:szCs w:val="28"/>
          <w:highlight w:val="none"/>
          <w:lang w:eastAsia="zh-CN"/>
        </w:rPr>
      </w:pPr>
      <w:r>
        <w:rPr>
          <w:rFonts w:hint="eastAsia" w:ascii="仿宋" w:hAnsi="仿宋" w:eastAsia="仿宋" w:cs="仿宋"/>
          <w:b/>
          <w:color w:val="auto"/>
          <w:kern w:val="2"/>
          <w:sz w:val="36"/>
          <w:highlight w:val="none"/>
        </w:rPr>
        <w:t>采购人：</w:t>
      </w:r>
      <w:r>
        <w:rPr>
          <w:rFonts w:hint="eastAsia" w:ascii="仿宋" w:hAnsi="仿宋" w:eastAsia="仿宋" w:cs="仿宋"/>
          <w:b/>
          <w:color w:val="auto"/>
          <w:sz w:val="36"/>
          <w:highlight w:val="none"/>
          <w:lang w:eastAsia="zh-CN"/>
        </w:rPr>
        <w:t>重庆市第一〇四中学校</w:t>
      </w:r>
    </w:p>
    <w:p>
      <w:pPr>
        <w:spacing w:after="0" w:line="360" w:lineRule="auto"/>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采购代理机构：坤博工程咨询（重庆）有限公司</w:t>
      </w:r>
    </w:p>
    <w:p>
      <w:pPr>
        <w:pStyle w:val="18"/>
        <w:spacing w:after="0"/>
        <w:rPr>
          <w:rFonts w:ascii="仿宋" w:hAnsi="仿宋" w:eastAsia="仿宋" w:cs="仿宋"/>
          <w:color w:val="auto"/>
          <w:highlight w:val="none"/>
        </w:rPr>
      </w:pPr>
    </w:p>
    <w:p>
      <w:pPr>
        <w:spacing w:after="0" w:line="360" w:lineRule="auto"/>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二〇二五年八月</w:t>
      </w:r>
    </w:p>
    <w:p>
      <w:pPr>
        <w:tabs>
          <w:tab w:val="left" w:pos="1185"/>
          <w:tab w:val="center" w:pos="4156"/>
          <w:tab w:val="left" w:pos="7095"/>
        </w:tabs>
        <w:spacing w:after="0" w:line="700" w:lineRule="exact"/>
        <w:rPr>
          <w:rFonts w:ascii="仿宋" w:hAnsi="仿宋" w:eastAsia="仿宋" w:cs="仿宋"/>
          <w:color w:val="auto"/>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after="0" w:line="700" w:lineRule="exact"/>
        <w:rPr>
          <w:rFonts w:ascii="仿宋" w:hAnsi="仿宋" w:eastAsia="仿宋" w:cs="仿宋"/>
          <w:b/>
          <w:bCs/>
          <w:color w:val="auto"/>
          <w:sz w:val="40"/>
          <w:szCs w:val="40"/>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b/>
          <w:bCs/>
          <w:color w:val="auto"/>
          <w:sz w:val="40"/>
          <w:szCs w:val="40"/>
          <w:highlight w:val="none"/>
        </w:rPr>
        <w:t>目  录</w:t>
      </w:r>
    </w:p>
    <w:p>
      <w:pPr>
        <w:pStyle w:val="18"/>
        <w:tabs>
          <w:tab w:val="right" w:leader="dot" w:pos="8313"/>
          <w:tab w:val="clear" w:pos="8303"/>
        </w:tabs>
      </w:pP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TOC \o "1-3" \h \z \u </w:instrText>
      </w:r>
      <w:r>
        <w:rPr>
          <w:rFonts w:hint="eastAsia" w:ascii="仿宋" w:hAnsi="仿宋" w:eastAsia="仿宋" w:cs="仿宋"/>
          <w:b w:val="0"/>
          <w:bCs w:val="0"/>
          <w:color w:val="auto"/>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highlight w:val="none"/>
        </w:rPr>
        <w:instrText xml:space="preserve"> HYPERLINK \l _Toc19880 </w:instrText>
      </w:r>
      <w:r>
        <w:rPr>
          <w:rFonts w:hint="eastAsia" w:ascii="仿宋" w:hAnsi="仿宋" w:eastAsia="仿宋" w:cs="仿宋"/>
          <w:bCs w:val="0"/>
          <w:highlight w:val="none"/>
        </w:rPr>
        <w:fldChar w:fldCharType="separate"/>
      </w:r>
      <w:r>
        <w:rPr>
          <w:rFonts w:hint="eastAsia" w:ascii="仿宋" w:hAnsi="仿宋" w:eastAsia="仿宋" w:cs="仿宋"/>
          <w:bCs/>
          <w:spacing w:val="80"/>
          <w:szCs w:val="112"/>
          <w:highlight w:val="none"/>
        </w:rPr>
        <w:t>竞争性比选</w:t>
      </w:r>
      <w:r>
        <w:tab/>
      </w:r>
      <w:r>
        <w:fldChar w:fldCharType="begin"/>
      </w:r>
      <w:r>
        <w:instrText xml:space="preserve"> PAGEREF _Toc19880 </w:instrText>
      </w:r>
      <w:r>
        <w:fldChar w:fldCharType="separate"/>
      </w:r>
      <w:r>
        <w:t>- 1 -</w:t>
      </w:r>
      <w: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pPr>
      <w:r>
        <w:rPr>
          <w:rFonts w:hint="eastAsia" w:ascii="仿宋" w:hAnsi="仿宋" w:eastAsia="仿宋" w:cs="仿宋"/>
          <w:bCs/>
          <w:color w:val="auto"/>
          <w:highlight w:val="none"/>
        </w:rPr>
        <w:fldChar w:fldCharType="begin"/>
      </w:r>
      <w:r>
        <w:rPr>
          <w:rFonts w:hint="eastAsia" w:ascii="仿宋" w:hAnsi="仿宋" w:eastAsia="仿宋" w:cs="仿宋"/>
          <w:bCs/>
          <w:highlight w:val="none"/>
        </w:rPr>
        <w:instrText xml:space="preserve"> HYPERLINK \l _Toc12516 </w:instrText>
      </w:r>
      <w:r>
        <w:rPr>
          <w:rFonts w:hint="eastAsia" w:ascii="仿宋" w:hAnsi="仿宋" w:eastAsia="仿宋" w:cs="仿宋"/>
          <w:bCs/>
          <w:highlight w:val="none"/>
        </w:rPr>
        <w:fldChar w:fldCharType="separate"/>
      </w:r>
      <w:r>
        <w:rPr>
          <w:rFonts w:hint="eastAsia" w:ascii="仿宋" w:hAnsi="仿宋" w:eastAsia="仿宋" w:cs="仿宋"/>
          <w:bCs/>
          <w:spacing w:val="80"/>
          <w:szCs w:val="112"/>
          <w:highlight w:val="none"/>
        </w:rPr>
        <w:t>采购文件</w:t>
      </w:r>
      <w:r>
        <w:tab/>
      </w:r>
      <w:r>
        <w:fldChar w:fldCharType="begin"/>
      </w:r>
      <w:r>
        <w:instrText xml:space="preserve"> PAGEREF _Toc12516 </w:instrText>
      </w:r>
      <w:r>
        <w:fldChar w:fldCharType="separate"/>
      </w:r>
      <w:r>
        <w:t>- 1 -</w:t>
      </w:r>
      <w:r>
        <w:fldChar w:fldCharType="end"/>
      </w:r>
      <w:r>
        <w:rPr>
          <w:rFonts w:hint="eastAsia" w:ascii="仿宋" w:hAnsi="仿宋" w:eastAsia="仿宋" w:cs="仿宋"/>
          <w:bCs/>
          <w:color w:val="auto"/>
          <w:highlight w:val="none"/>
        </w:rPr>
        <w:fldChar w:fldCharType="end"/>
      </w:r>
    </w:p>
    <w:p>
      <w:pPr>
        <w:pStyle w:val="18"/>
        <w:tabs>
          <w:tab w:val="right" w:leader="dot" w:pos="8313"/>
          <w:tab w:val="clear" w:pos="8303"/>
        </w:tabs>
      </w:pPr>
      <w:r>
        <w:rPr>
          <w:rFonts w:hint="eastAsia" w:ascii="仿宋" w:hAnsi="仿宋" w:eastAsia="仿宋" w:cs="仿宋"/>
          <w:bCs/>
          <w:color w:val="auto"/>
          <w:highlight w:val="none"/>
        </w:rPr>
        <w:fldChar w:fldCharType="begin"/>
      </w:r>
      <w:r>
        <w:rPr>
          <w:rFonts w:hint="eastAsia" w:ascii="仿宋" w:hAnsi="仿宋" w:eastAsia="仿宋" w:cs="仿宋"/>
          <w:bCs/>
          <w:highlight w:val="none"/>
        </w:rPr>
        <w:instrText xml:space="preserve"> HYPERLINK \l _Toc23912 </w:instrText>
      </w:r>
      <w:r>
        <w:rPr>
          <w:rFonts w:hint="eastAsia" w:ascii="仿宋" w:hAnsi="仿宋" w:eastAsia="仿宋" w:cs="仿宋"/>
          <w:bCs/>
          <w:highlight w:val="none"/>
        </w:rPr>
        <w:fldChar w:fldCharType="separate"/>
      </w:r>
      <w:r>
        <w:rPr>
          <w:rFonts w:hint="eastAsia" w:ascii="仿宋" w:hAnsi="仿宋" w:eastAsia="仿宋" w:cs="仿宋"/>
          <w:szCs w:val="36"/>
          <w:highlight w:val="none"/>
        </w:rPr>
        <w:t>第一篇  比选邀请书</w:t>
      </w:r>
      <w:r>
        <w:tab/>
      </w:r>
      <w:r>
        <w:fldChar w:fldCharType="begin"/>
      </w:r>
      <w:r>
        <w:instrText xml:space="preserve"> PAGEREF _Toc23912 </w:instrText>
      </w:r>
      <w:r>
        <w:fldChar w:fldCharType="separate"/>
      </w:r>
      <w:r>
        <w:t>- 4 -</w:t>
      </w:r>
      <w:r>
        <w:fldChar w:fldCharType="end"/>
      </w:r>
      <w:r>
        <w:rPr>
          <w:rFonts w:hint="eastAsia" w:ascii="仿宋" w:hAnsi="仿宋" w:eastAsia="仿宋" w:cs="仿宋"/>
          <w:bCs/>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_Toc17635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一、比选项目内容</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_Toc17635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_Toc14412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二、资金来源</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_Toc14412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_Toc19891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三、资格要求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_Toc19891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_Toc14084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四、比选有关说明</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_Toc14084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_Toc21807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五、比选保证金</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_Toc21807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_Toc10308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六、比选有关规定</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_Toc10308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_Toc12918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七、联系方式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_Toc12918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_Toc9470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第二篇  供应商须知</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_Toc9470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一、比选费用</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_Toc1975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_Toc10122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二、比选通知书</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_Toc10122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_Toc19275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三、比选要求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_Toc19275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_Toc1228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四、比选程序及成交标准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_Toc1228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_Toc7851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五、评审标准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_Toc7851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- 12 -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_Toc8158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六、评审依据</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_Toc8158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_Toc2561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七、成交通知</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_Toc2561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_Toc13265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八、关于质疑和投诉</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_Toc13265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_Toc10603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九、签订合同</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_Toc10603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_Toc11372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第三篇  比选采购服务需求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_Toc11372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※一、采购项目一览表</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_Toc297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_Toc3622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二、</w:t>
      </w:r>
      <w:r>
        <w:rPr>
          <w:rFonts w:hint="eastAsia" w:ascii="仿宋" w:hAnsi="仿宋" w:eastAsia="仿宋" w:cs="仿宋"/>
          <w:bCs w:val="0"/>
          <w:color w:val="auto"/>
          <w:highlight w:val="none"/>
        </w:rPr>
        <w:t>采购项目</w:t>
      </w:r>
      <w:r>
        <w:rPr>
          <w:rFonts w:hint="eastAsia" w:ascii="仿宋" w:hAnsi="仿宋" w:eastAsia="仿宋" w:cs="仿宋"/>
          <w:bCs w:val="0"/>
          <w:color w:val="auto"/>
          <w:highlight w:val="none"/>
          <w:lang w:val="en-US"/>
        </w:rPr>
        <w:t>清单</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_Toc3622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_Toc6210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※三、踏勘现场</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_Toc6210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_Toc11945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※四、其他要求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_Toc11945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_Toc13680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第四篇  商务要求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_Toc13680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_Toc19097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w:t>
      </w:r>
      <w:r>
        <w:rPr>
          <w:rFonts w:hint="eastAsia" w:ascii="仿宋" w:hAnsi="仿宋" w:eastAsia="仿宋" w:cs="仿宋"/>
          <w:bCs w:val="0"/>
          <w:color w:val="auto"/>
          <w:highlight w:val="none"/>
          <w:lang w:val="en-US"/>
        </w:rPr>
        <w:t>工期</w:t>
      </w:r>
      <w:r>
        <w:rPr>
          <w:rFonts w:hint="eastAsia" w:ascii="仿宋" w:hAnsi="仿宋" w:eastAsia="仿宋" w:cs="仿宋"/>
          <w:bCs w:val="0"/>
          <w:color w:val="auto"/>
          <w:highlight w:val="none"/>
        </w:rPr>
        <w:t>时间、地点及验收方式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_Toc19097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_Toc14417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※二、报价要求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_Toc14417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_Toc10878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※三、质量保证及售后服务</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_Toc10878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_Toc6444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四</w:t>
      </w:r>
      <w:r>
        <w:rPr>
          <w:rFonts w:hint="eastAsia" w:ascii="仿宋" w:hAnsi="仿宋" w:eastAsia="仿宋" w:cs="仿宋"/>
          <w:bCs w:val="0"/>
          <w:color w:val="auto"/>
          <w:highlight w:val="none"/>
        </w:rPr>
        <w:t>、付款方式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_Toc6444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_Toc22518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五</w:t>
      </w:r>
      <w:r>
        <w:rPr>
          <w:rFonts w:hint="eastAsia" w:ascii="仿宋" w:hAnsi="仿宋" w:eastAsia="仿宋" w:cs="仿宋"/>
          <w:bCs w:val="0"/>
          <w:color w:val="auto"/>
          <w:highlight w:val="none"/>
        </w:rPr>
        <w:t>、转包、分包</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_Toc22518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_Toc11209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六</w:t>
      </w:r>
      <w:r>
        <w:rPr>
          <w:rFonts w:hint="eastAsia" w:ascii="仿宋" w:hAnsi="仿宋" w:eastAsia="仿宋" w:cs="仿宋"/>
          <w:bCs w:val="0"/>
          <w:color w:val="auto"/>
          <w:highlight w:val="none"/>
        </w:rPr>
        <w:t>、其他</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_Toc11209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_Toc11688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第五篇  合同草案</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_Toc11688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_Toc26164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第六篇  响应文件格式要求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_Toc26164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- 20 -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_Toc8070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一、经济部分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_Toc8070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- 21 -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_Toc12894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二、技术部分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_Toc12894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_Toc18015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三、商务部分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_Toc18015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_Toc18933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四、资格条件及其他</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_Toc18933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_Toc20694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五、其他应提供的资料</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_Toc20694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- 32 -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_Toc22008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附件：</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_Toc22008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- 32 -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spacing w:after="0" w:line="360" w:lineRule="exact"/>
        <w:rPr>
          <w:rFonts w:ascii="仿宋" w:hAnsi="仿宋" w:eastAsia="仿宋" w:cs="仿宋"/>
          <w:color w:val="auto"/>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bCs/>
          <w:color w:val="auto"/>
          <w:highlight w:val="none"/>
        </w:rPr>
        <w:fldChar w:fldCharType="end"/>
      </w:r>
    </w:p>
    <w:p>
      <w:pPr>
        <w:pStyle w:val="4"/>
        <w:spacing w:after="0"/>
        <w:jc w:val="center"/>
        <w:rPr>
          <w:rFonts w:ascii="仿宋" w:hAnsi="仿宋" w:eastAsia="仿宋" w:cs="仿宋"/>
          <w:color w:val="auto"/>
          <w:sz w:val="36"/>
          <w:szCs w:val="36"/>
          <w:highlight w:val="none"/>
        </w:rPr>
      </w:pPr>
      <w:bookmarkStart w:id="6" w:name="_Toc152480139"/>
      <w:bookmarkStart w:id="7" w:name="_Toc23912"/>
      <w:bookmarkStart w:id="8" w:name="_Toc12789052"/>
      <w:bookmarkStart w:id="9" w:name="_Toc128744981"/>
      <w:bookmarkStart w:id="10" w:name="_Toc11641050"/>
      <w:r>
        <w:rPr>
          <w:rFonts w:hint="eastAsia" w:ascii="仿宋" w:hAnsi="仿宋" w:eastAsia="仿宋" w:cs="仿宋"/>
          <w:color w:val="auto"/>
          <w:sz w:val="36"/>
          <w:szCs w:val="36"/>
          <w:highlight w:val="none"/>
        </w:rPr>
        <w:t>第一篇  比选邀请书</w:t>
      </w:r>
      <w:bookmarkEnd w:id="6"/>
      <w:bookmarkEnd w:id="7"/>
    </w:p>
    <w:p>
      <w:pPr>
        <w:snapToGrid w:val="0"/>
        <w:spacing w:after="0" w:line="360" w:lineRule="auto"/>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bookmarkStart w:id="11" w:name="_Toc379619850"/>
      <w:r>
        <w:rPr>
          <w:rFonts w:hint="eastAsia" w:ascii="仿宋" w:hAnsi="仿宋" w:eastAsia="仿宋" w:cs="仿宋"/>
          <w:color w:val="auto"/>
          <w:highlight w:val="none"/>
        </w:rPr>
        <w:t>受</w:t>
      </w:r>
      <w:r>
        <w:rPr>
          <w:rFonts w:hint="eastAsia" w:ascii="仿宋" w:hAnsi="仿宋" w:eastAsia="仿宋" w:cs="仿宋"/>
          <w:color w:val="auto"/>
          <w:highlight w:val="none"/>
          <w:u w:val="single"/>
          <w:lang w:eastAsia="zh-CN"/>
        </w:rPr>
        <w:t>重庆市第一〇四中学校</w:t>
      </w:r>
      <w:r>
        <w:rPr>
          <w:rFonts w:hint="eastAsia" w:ascii="仿宋" w:hAnsi="仿宋" w:eastAsia="仿宋" w:cs="仿宋"/>
          <w:color w:val="auto"/>
          <w:highlight w:val="none"/>
        </w:rPr>
        <w:t>的委托，我公司组织对</w:t>
      </w:r>
      <w:r>
        <w:rPr>
          <w:rFonts w:hint="eastAsia" w:ascii="仿宋" w:hAnsi="仿宋" w:eastAsia="仿宋" w:cs="仿宋"/>
          <w:color w:val="auto"/>
          <w:highlight w:val="none"/>
          <w:u w:val="single"/>
          <w:lang w:eastAsia="zh-CN"/>
        </w:rPr>
        <w:t>重庆市第一〇四中学校教室门采购项目</w:t>
      </w:r>
      <w:r>
        <w:rPr>
          <w:rFonts w:hint="eastAsia" w:ascii="仿宋" w:hAnsi="仿宋" w:eastAsia="仿宋" w:cs="仿宋"/>
          <w:color w:val="auto"/>
          <w:highlight w:val="none"/>
        </w:rPr>
        <w:t>进行比选采购。欢迎具备相关资质的供应商参加报价。</w:t>
      </w:r>
    </w:p>
    <w:p>
      <w:pPr>
        <w:pStyle w:val="6"/>
        <w:spacing w:before="0" w:after="0" w:line="240" w:lineRule="auto"/>
        <w:rPr>
          <w:rFonts w:ascii="仿宋" w:hAnsi="仿宋" w:eastAsia="仿宋" w:cs="仿宋"/>
          <w:color w:val="auto"/>
          <w:sz w:val="24"/>
          <w:szCs w:val="24"/>
          <w:highlight w:val="none"/>
        </w:rPr>
      </w:pPr>
      <w:bookmarkStart w:id="12" w:name="_Toc17635"/>
      <w:r>
        <w:rPr>
          <w:rFonts w:hint="eastAsia" w:ascii="仿宋" w:hAnsi="仿宋" w:eastAsia="仿宋" w:cs="仿宋"/>
          <w:color w:val="auto"/>
          <w:sz w:val="24"/>
          <w:szCs w:val="24"/>
          <w:highlight w:val="none"/>
        </w:rPr>
        <w:t>一、比选项目内容</w:t>
      </w:r>
      <w:bookmarkEnd w:id="11"/>
      <w:bookmarkEnd w:id="12"/>
    </w:p>
    <w:tbl>
      <w:tblPr>
        <w:tblStyle w:val="2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2160"/>
        <w:gridCol w:w="19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33" w:type="dxa"/>
            <w:vAlign w:val="center"/>
          </w:tcPr>
          <w:p>
            <w:pPr>
              <w:spacing w:after="0" w:line="380" w:lineRule="exact"/>
              <w:jc w:val="center"/>
              <w:rPr>
                <w:rFonts w:ascii="仿宋" w:hAnsi="仿宋" w:eastAsia="仿宋" w:cs="仿宋"/>
                <w:b/>
                <w:bCs/>
                <w:color w:val="auto"/>
                <w:highlight w:val="none"/>
              </w:rPr>
            </w:pPr>
            <w:bookmarkStart w:id="13" w:name="_Toc378251877"/>
            <w:bookmarkStart w:id="14" w:name="_Toc152480140"/>
            <w:r>
              <w:rPr>
                <w:rFonts w:hint="eastAsia" w:ascii="仿宋" w:hAnsi="仿宋" w:eastAsia="仿宋" w:cs="仿宋"/>
                <w:b/>
                <w:bCs/>
                <w:color w:val="auto"/>
                <w:highlight w:val="none"/>
              </w:rPr>
              <w:t>项目名称</w:t>
            </w:r>
          </w:p>
        </w:tc>
        <w:tc>
          <w:tcPr>
            <w:tcW w:w="2160" w:type="dxa"/>
            <w:vAlign w:val="center"/>
          </w:tcPr>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预算金额</w:t>
            </w:r>
          </w:p>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（元）</w:t>
            </w:r>
          </w:p>
        </w:tc>
        <w:tc>
          <w:tcPr>
            <w:tcW w:w="1900" w:type="dxa"/>
            <w:vAlign w:val="center"/>
          </w:tcPr>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最高限价</w:t>
            </w:r>
          </w:p>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（元）</w:t>
            </w:r>
          </w:p>
        </w:tc>
        <w:tc>
          <w:tcPr>
            <w:tcW w:w="1559" w:type="dxa"/>
            <w:vAlign w:val="center"/>
          </w:tcPr>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成交供应商</w:t>
            </w:r>
          </w:p>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833" w:type="dxa"/>
            <w:vAlign w:val="center"/>
          </w:tcPr>
          <w:p>
            <w:pPr>
              <w:spacing w:after="0"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重庆市第一〇四中学校教室门采购项目</w:t>
            </w:r>
          </w:p>
        </w:tc>
        <w:tc>
          <w:tcPr>
            <w:tcW w:w="2160" w:type="dxa"/>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306980</w:t>
            </w:r>
            <w:r>
              <w:rPr>
                <w:rFonts w:hint="eastAsia" w:cs="宋体"/>
                <w:i w:val="0"/>
                <w:color w:val="000000"/>
                <w:kern w:val="0"/>
                <w:sz w:val="24"/>
                <w:szCs w:val="24"/>
                <w:u w:val="none"/>
                <w:lang w:val="en-US" w:eastAsia="zh-CN" w:bidi="ar"/>
              </w:rPr>
              <w:t>.00</w:t>
            </w:r>
          </w:p>
        </w:tc>
        <w:tc>
          <w:tcPr>
            <w:tcW w:w="1900" w:type="dxa"/>
            <w:vAlign w:val="center"/>
          </w:tcPr>
          <w:p>
            <w:pPr>
              <w:keepNext w:val="0"/>
              <w:keepLines w:val="0"/>
              <w:widowControl/>
              <w:suppressLineNumbers w:val="0"/>
              <w:jc w:val="center"/>
              <w:textAlignment w:val="center"/>
              <w:rPr>
                <w:rFonts w:ascii="仿宋" w:hAnsi="仿宋" w:eastAsia="仿宋" w:cs="仿宋"/>
                <w:color w:val="auto"/>
                <w:highlight w:val="none"/>
              </w:rPr>
            </w:pPr>
            <w:r>
              <w:rPr>
                <w:rFonts w:hint="eastAsia" w:ascii="宋体" w:hAnsi="宋体" w:eastAsia="宋体" w:cs="宋体"/>
                <w:i w:val="0"/>
                <w:color w:val="000000"/>
                <w:kern w:val="0"/>
                <w:sz w:val="24"/>
                <w:szCs w:val="24"/>
                <w:u w:val="none"/>
                <w:lang w:val="en-US" w:eastAsia="zh-CN" w:bidi="ar"/>
              </w:rPr>
              <w:t>306980</w:t>
            </w:r>
            <w:r>
              <w:rPr>
                <w:rFonts w:hint="eastAsia" w:cs="宋体"/>
                <w:i w:val="0"/>
                <w:color w:val="000000"/>
                <w:kern w:val="0"/>
                <w:sz w:val="24"/>
                <w:szCs w:val="24"/>
                <w:u w:val="none"/>
                <w:lang w:val="en-US" w:eastAsia="zh-CN" w:bidi="ar"/>
              </w:rPr>
              <w:t>.00</w:t>
            </w:r>
          </w:p>
        </w:tc>
        <w:tc>
          <w:tcPr>
            <w:tcW w:w="1559"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1</w:t>
            </w:r>
          </w:p>
        </w:tc>
      </w:tr>
    </w:tbl>
    <w:p>
      <w:pPr>
        <w:pStyle w:val="6"/>
        <w:spacing w:before="0" w:after="0" w:line="240" w:lineRule="auto"/>
        <w:rPr>
          <w:rFonts w:ascii="仿宋" w:hAnsi="仿宋" w:eastAsia="仿宋" w:cs="仿宋"/>
          <w:color w:val="auto"/>
          <w:sz w:val="24"/>
          <w:szCs w:val="24"/>
          <w:highlight w:val="none"/>
        </w:rPr>
      </w:pPr>
      <w:bookmarkStart w:id="15" w:name="_Toc14412"/>
      <w:r>
        <w:rPr>
          <w:rFonts w:hint="eastAsia" w:ascii="仿宋" w:hAnsi="仿宋" w:eastAsia="仿宋" w:cs="仿宋"/>
          <w:color w:val="auto"/>
          <w:sz w:val="24"/>
          <w:szCs w:val="24"/>
          <w:highlight w:val="none"/>
        </w:rPr>
        <w:t>二、资金来源</w:t>
      </w:r>
      <w:bookmarkEnd w:id="13"/>
      <w:bookmarkEnd w:id="1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财政性资金。</w:t>
      </w:r>
    </w:p>
    <w:p>
      <w:pPr>
        <w:pStyle w:val="6"/>
        <w:spacing w:before="0" w:after="0" w:line="240" w:lineRule="auto"/>
        <w:rPr>
          <w:rFonts w:ascii="仿宋" w:hAnsi="仿宋" w:eastAsia="仿宋" w:cs="仿宋"/>
          <w:color w:val="auto"/>
          <w:sz w:val="24"/>
          <w:szCs w:val="24"/>
          <w:highlight w:val="none"/>
        </w:rPr>
      </w:pPr>
      <w:bookmarkStart w:id="16" w:name="_Toc19891"/>
      <w:r>
        <w:rPr>
          <w:rFonts w:hint="eastAsia" w:ascii="仿宋" w:hAnsi="仿宋" w:eastAsia="仿宋" w:cs="仿宋"/>
          <w:color w:val="auto"/>
          <w:sz w:val="24"/>
          <w:szCs w:val="24"/>
          <w:highlight w:val="none"/>
        </w:rPr>
        <w:t>三、资格要求</w:t>
      </w:r>
      <w:bookmarkEnd w:id="1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比选供应商是指向采购人提供货物、工程或者服务的法人、其他组织或者自然人。以下简称供应商。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合格的供应商应符合下列条件：</w:t>
      </w:r>
    </w:p>
    <w:p>
      <w:pPr>
        <w:snapToGrid w:val="0"/>
        <w:spacing w:after="0" w:line="360" w:lineRule="auto"/>
        <w:ind w:firstLine="480" w:firstLineChars="200"/>
        <w:rPr>
          <w:rFonts w:ascii="仿宋" w:hAnsi="仿宋" w:eastAsia="仿宋" w:cs="仿宋"/>
          <w:color w:val="auto"/>
          <w:highlight w:val="none"/>
        </w:rPr>
      </w:pPr>
      <w:bookmarkStart w:id="17" w:name="_Toc1359"/>
      <w:bookmarkStart w:id="18" w:name="_Toc487204774"/>
      <w:r>
        <w:rPr>
          <w:rFonts w:hint="eastAsia" w:ascii="仿宋" w:hAnsi="仿宋" w:eastAsia="仿宋" w:cs="仿宋"/>
          <w:color w:val="auto"/>
          <w:highlight w:val="none"/>
        </w:rPr>
        <w:t>（一）基本条件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（二）特定资格条件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无。</w:t>
      </w:r>
    </w:p>
    <w:p>
      <w:pPr>
        <w:pStyle w:val="6"/>
        <w:spacing w:before="0" w:after="0" w:line="240" w:lineRule="auto"/>
        <w:rPr>
          <w:rFonts w:ascii="仿宋" w:hAnsi="仿宋" w:eastAsia="仿宋" w:cs="仿宋"/>
          <w:color w:val="auto"/>
          <w:sz w:val="24"/>
          <w:szCs w:val="24"/>
          <w:highlight w:val="none"/>
          <w:lang w:val="en-US"/>
        </w:rPr>
      </w:pPr>
      <w:bookmarkStart w:id="19" w:name="_Toc14084"/>
      <w:r>
        <w:rPr>
          <w:rFonts w:hint="eastAsia" w:ascii="仿宋" w:hAnsi="仿宋" w:eastAsia="仿宋" w:cs="仿宋"/>
          <w:color w:val="auto"/>
          <w:sz w:val="24"/>
          <w:szCs w:val="24"/>
          <w:highlight w:val="none"/>
        </w:rPr>
        <w:t>四、比选有关说明</w:t>
      </w:r>
      <w:bookmarkEnd w:id="17"/>
      <w:bookmarkEnd w:id="18"/>
      <w:bookmarkEnd w:id="19"/>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（一）凡有意参加比选的供应商，请于公告发布之日起至提交首次响应文件截止时间之前，在“行采家(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）”上下载或到采购代理机构领取本项目比选文件以及图纸、补遗等比选前公布的所有项目资料，无论供应商下载或领取与否，均视为已知晓所有比选实质性要求内容。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（二）比选文件公告期限：2025年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日（开标前，工作时间）。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（三）文件购买费：招标文件购买费为300元/分包（售后不退）。</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1.招标文件购买方式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1.1汇款购买</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比选文件发售期内，供应商将比选文件购买费用汇至以下账户内进行购买。通过汇款方式购买比选文件的，将比选文件汇款凭证（注明项目编号）、《比选文件发售登记表》（加盖供应商公章）扫描后发送至1162936170@qq.com</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2、现金及微信转账</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2.1在比选文件发售期内[2025年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日（开标前，工作时间）],供应商到代理机构处，递交《比选文件发售登记表》（加盖供应商公章）并购买比选文件。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（四）供应商须满足以下三种要件，其响应文件才被接受：</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1.按时递交并上传了响应文件；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2.按时报名签到；</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3.缴纳了文件购买费并登记递交《比选文件发售登记表》加盖供应商公章（《比选文件发售登记表》见文件最后页附件）。</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网上报价时间段：：比选公告发布之日起至2025年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0止</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）评审时间：2025年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）投标及开标地点：</w:t>
      </w:r>
      <w:r>
        <w:rPr>
          <w:rFonts w:hint="eastAsia" w:ascii="仿宋" w:hAnsi="仿宋" w:eastAsia="仿宋" w:cs="仿宋"/>
          <w:b/>
          <w:bCs/>
          <w:color w:val="auto"/>
          <w:highlight w:val="none"/>
          <w:u w:val="single"/>
        </w:rPr>
        <w:t>本项目为线上</w:t>
      </w:r>
      <w:r>
        <w:rPr>
          <w:rFonts w:hint="eastAsia" w:ascii="仿宋" w:hAnsi="仿宋" w:eastAsia="仿宋" w:cs="仿宋"/>
          <w:b/>
          <w:bCs/>
          <w:color w:val="auto"/>
          <w:highlight w:val="none"/>
          <w:u w:val="single"/>
          <w:lang w:val="en-US" w:eastAsia="zh-CN"/>
        </w:rPr>
        <w:t>递交</w:t>
      </w:r>
      <w:r>
        <w:rPr>
          <w:rFonts w:hint="eastAsia" w:ascii="仿宋" w:hAnsi="仿宋" w:eastAsia="仿宋" w:cs="仿宋"/>
          <w:b/>
          <w:bCs/>
          <w:color w:val="auto"/>
          <w:highlight w:val="none"/>
          <w:u w:val="single"/>
        </w:rPr>
        <w:t>，供应商无需到现场参与。</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）特别说明：供应商应按规定的时间在“行采家”（https://www.gec123.com/）进行网上报价，并上传签字盖章后的投标文件电子文档PDF格式一份。</w:t>
      </w:r>
    </w:p>
    <w:p>
      <w:pPr>
        <w:pStyle w:val="6"/>
        <w:spacing w:before="0" w:after="0" w:line="240" w:lineRule="auto"/>
        <w:rPr>
          <w:rFonts w:ascii="仿宋" w:hAnsi="仿宋" w:eastAsia="仿宋" w:cs="仿宋"/>
          <w:color w:val="auto"/>
          <w:sz w:val="24"/>
          <w:szCs w:val="24"/>
          <w:highlight w:val="none"/>
        </w:rPr>
      </w:pPr>
      <w:bookmarkStart w:id="20" w:name="_Toc487204775"/>
      <w:bookmarkStart w:id="21" w:name="_Toc22356"/>
      <w:bookmarkStart w:id="22" w:name="_Toc21807"/>
      <w:r>
        <w:rPr>
          <w:rFonts w:hint="eastAsia" w:ascii="仿宋" w:hAnsi="仿宋" w:eastAsia="仿宋" w:cs="仿宋"/>
          <w:color w:val="auto"/>
          <w:sz w:val="24"/>
          <w:szCs w:val="24"/>
          <w:highlight w:val="none"/>
        </w:rPr>
        <w:t>五、比选保证金</w:t>
      </w:r>
      <w:bookmarkEnd w:id="20"/>
      <w:bookmarkEnd w:id="21"/>
      <w:bookmarkEnd w:id="22"/>
    </w:p>
    <w:p>
      <w:pPr>
        <w:snapToGrid w:val="0"/>
        <w:spacing w:after="0" w:line="360" w:lineRule="auto"/>
        <w:ind w:firstLine="480" w:firstLineChars="200"/>
        <w:rPr>
          <w:rFonts w:ascii="仿宋" w:hAnsi="仿宋" w:eastAsia="仿宋" w:cs="仿宋"/>
          <w:color w:val="auto"/>
          <w:highlight w:val="none"/>
        </w:rPr>
      </w:pPr>
      <w:bookmarkStart w:id="23" w:name="_Toc487204776"/>
      <w:bookmarkStart w:id="24" w:name="_Toc24666"/>
      <w:r>
        <w:rPr>
          <w:rFonts w:hint="eastAsia" w:ascii="仿宋" w:hAnsi="仿宋" w:eastAsia="仿宋" w:cs="仿宋"/>
          <w:color w:val="auto"/>
          <w:highlight w:val="none"/>
        </w:rPr>
        <w:t>本次采购不设置。</w:t>
      </w:r>
    </w:p>
    <w:p>
      <w:pPr>
        <w:pStyle w:val="6"/>
        <w:spacing w:before="0" w:after="0" w:line="240" w:lineRule="auto"/>
        <w:rPr>
          <w:rFonts w:ascii="仿宋" w:hAnsi="仿宋" w:eastAsia="仿宋" w:cs="仿宋"/>
          <w:color w:val="auto"/>
          <w:sz w:val="24"/>
          <w:szCs w:val="24"/>
          <w:highlight w:val="none"/>
        </w:rPr>
      </w:pPr>
      <w:bookmarkStart w:id="25" w:name="_Toc10308"/>
      <w:r>
        <w:rPr>
          <w:rFonts w:hint="eastAsia" w:ascii="仿宋" w:hAnsi="仿宋" w:eastAsia="仿宋" w:cs="仿宋"/>
          <w:color w:val="auto"/>
          <w:sz w:val="24"/>
          <w:szCs w:val="24"/>
          <w:highlight w:val="none"/>
        </w:rPr>
        <w:t>六、比选有关规定</w:t>
      </w:r>
      <w:bookmarkEnd w:id="23"/>
      <w:bookmarkEnd w:id="24"/>
      <w:bookmarkEnd w:id="2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（一）单位负责人为同一人或者存在直接控股、管理关系的不同供应商，不得参加同一合同项下的采购活动，否则均为无效响应。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（二）为采购项目提供整体设计、规范编制或者项目管理、监理、检测等服务的供应商，不得再参加该采购项目的其他采购活动，否则均为无效响应。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（三）同一项目的货物，制造商参与比选的，不得再委托代理商参与比选，否则均为无效响应。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（四）本项目的补遗文件（如果有）一律在“行采家(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）”上发布，请各供应商注意下载或到代理机构处领取；无论供应商下载或领取与否，均视同供应商已知晓本项目补遗文件（如果有）的内容。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（五）超过响应文件截止时间递交的响应文件，恕不接收。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（六）比选费用：无论比选结果如何，供应商参与本项目比选的所有费用均应由供应商自行承担。</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6"/>
        <w:spacing w:before="0" w:after="0" w:line="240" w:lineRule="auto"/>
        <w:rPr>
          <w:rFonts w:ascii="仿宋" w:hAnsi="仿宋" w:eastAsia="仿宋" w:cs="仿宋"/>
          <w:color w:val="auto"/>
          <w:sz w:val="24"/>
          <w:szCs w:val="24"/>
          <w:highlight w:val="none"/>
        </w:rPr>
      </w:pPr>
      <w:bookmarkStart w:id="26" w:name="_Toc76462321"/>
      <w:bookmarkStart w:id="27" w:name="_Toc373860294"/>
      <w:bookmarkStart w:id="28" w:name="_Toc12918"/>
      <w:r>
        <w:rPr>
          <w:rFonts w:hint="eastAsia" w:ascii="仿宋" w:hAnsi="仿宋" w:eastAsia="仿宋" w:cs="仿宋"/>
          <w:color w:val="auto"/>
          <w:sz w:val="24"/>
          <w:szCs w:val="24"/>
          <w:highlight w:val="none"/>
        </w:rPr>
        <w:t>七</w:t>
      </w:r>
      <w:bookmarkEnd w:id="26"/>
      <w:bookmarkEnd w:id="27"/>
      <w:r>
        <w:rPr>
          <w:rFonts w:hint="eastAsia" w:ascii="仿宋" w:hAnsi="仿宋" w:eastAsia="仿宋" w:cs="仿宋"/>
          <w:color w:val="auto"/>
          <w:sz w:val="24"/>
          <w:szCs w:val="24"/>
          <w:highlight w:val="none"/>
        </w:rPr>
        <w:t>、联系方式</w:t>
      </w:r>
      <w:bookmarkEnd w:id="28"/>
    </w:p>
    <w:p>
      <w:pPr>
        <w:snapToGrid w:val="0"/>
        <w:spacing w:after="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（一）采购人：</w:t>
      </w:r>
      <w:r>
        <w:rPr>
          <w:rFonts w:hint="eastAsia" w:ascii="仿宋" w:hAnsi="仿宋" w:eastAsia="仿宋" w:cs="仿宋"/>
          <w:color w:val="auto"/>
          <w:highlight w:val="none"/>
          <w:lang w:eastAsia="zh-CN"/>
        </w:rPr>
        <w:t>重庆市第一〇四中学校</w:t>
      </w:r>
    </w:p>
    <w:p>
      <w:pPr>
        <w:snapToGrid w:val="0"/>
        <w:spacing w:after="0"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陈老师</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联系方式：</w:t>
      </w:r>
      <w:r>
        <w:rPr>
          <w:rFonts w:hint="eastAsia" w:ascii="仿宋" w:hAnsi="仿宋" w:eastAsia="仿宋" w:cs="仿宋"/>
          <w:color w:val="auto"/>
          <w:highlight w:val="none"/>
          <w:lang w:val="en-US" w:eastAsia="zh-CN"/>
        </w:rPr>
        <w:t>19923707328</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  址：重庆市綦江区</w:t>
      </w:r>
      <w:r>
        <w:rPr>
          <w:rFonts w:hint="eastAsia" w:ascii="仿宋" w:hAnsi="仿宋" w:eastAsia="仿宋" w:cs="仿宋"/>
          <w:color w:val="auto"/>
          <w:highlight w:val="none"/>
          <w:lang w:val="en-US" w:eastAsia="zh-CN"/>
        </w:rPr>
        <w:t>东林和平二村60号</w:t>
      </w:r>
    </w:p>
    <w:p>
      <w:pPr>
        <w:snapToGrid w:val="0"/>
        <w:spacing w:after="0" w:line="360" w:lineRule="auto"/>
        <w:ind w:firstLine="480" w:firstLineChars="200"/>
        <w:rPr>
          <w:rFonts w:hint="eastAsia"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（二）采购代理机构：坤博工程咨询（重庆）有限公司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联系人：张先生</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电  话：15523597576</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地  址：重庆市渝北区仙桃街道锦熙街88号1幢18-9（龙湖天街1号楼1809）</w:t>
      </w:r>
    </w:p>
    <w:bookmarkEnd w:id="14"/>
    <w:p>
      <w:pPr>
        <w:pStyle w:val="4"/>
        <w:spacing w:after="0"/>
        <w:rPr>
          <w:rFonts w:ascii="仿宋" w:hAnsi="仿宋" w:eastAsia="仿宋" w:cs="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9" w:name="_Toc102227313"/>
      <w:bookmarkStart w:id="30" w:name="_Toc376349875"/>
      <w:bookmarkStart w:id="31" w:name="_Toc152480141"/>
    </w:p>
    <w:bookmarkEnd w:id="8"/>
    <w:bookmarkEnd w:id="9"/>
    <w:bookmarkEnd w:id="10"/>
    <w:bookmarkEnd w:id="29"/>
    <w:bookmarkEnd w:id="30"/>
    <w:bookmarkEnd w:id="31"/>
    <w:p>
      <w:pPr>
        <w:pStyle w:val="5"/>
        <w:spacing w:before="0" w:after="0"/>
        <w:jc w:val="center"/>
        <w:rPr>
          <w:rFonts w:ascii="仿宋" w:hAnsi="仿宋" w:eastAsia="仿宋" w:cs="仿宋"/>
          <w:b w:val="0"/>
          <w:bCs w:val="0"/>
          <w:color w:val="auto"/>
          <w:highlight w:val="none"/>
        </w:rPr>
      </w:pPr>
      <w:bookmarkStart w:id="32" w:name="_Toc487204778"/>
      <w:bookmarkStart w:id="33" w:name="_Toc6453"/>
      <w:bookmarkStart w:id="34" w:name="_Toc9470"/>
      <w:bookmarkStart w:id="35" w:name="_Toc128744991"/>
      <w:r>
        <w:rPr>
          <w:rStyle w:val="35"/>
          <w:rFonts w:hint="eastAsia" w:ascii="仿宋" w:hAnsi="仿宋" w:eastAsia="仿宋" w:cs="仿宋"/>
          <w:b/>
          <w:bCs/>
          <w:color w:val="auto"/>
          <w:highlight w:val="none"/>
        </w:rPr>
        <w:t>第二篇  供应商须知</w:t>
      </w:r>
      <w:bookmarkEnd w:id="32"/>
      <w:bookmarkEnd w:id="33"/>
      <w:bookmarkEnd w:id="34"/>
    </w:p>
    <w:p>
      <w:pPr>
        <w:pStyle w:val="6"/>
        <w:spacing w:before="0" w:after="0" w:line="240" w:lineRule="auto"/>
        <w:rPr>
          <w:rFonts w:ascii="仿宋" w:hAnsi="仿宋" w:eastAsia="仿宋" w:cs="仿宋"/>
          <w:color w:val="auto"/>
          <w:sz w:val="24"/>
          <w:szCs w:val="24"/>
          <w:highlight w:val="none"/>
        </w:rPr>
      </w:pPr>
      <w:bookmarkStart w:id="36" w:name="_Toc1975"/>
      <w:bookmarkStart w:id="37" w:name="_Toc20643"/>
      <w:bookmarkStart w:id="38" w:name="_Toc426965630"/>
      <w:bookmarkStart w:id="39" w:name="_Toc487204779"/>
      <w:bookmarkStart w:id="40" w:name="_Toc342913389"/>
      <w:r>
        <w:rPr>
          <w:rFonts w:hint="eastAsia" w:ascii="仿宋" w:hAnsi="仿宋" w:eastAsia="仿宋" w:cs="仿宋"/>
          <w:color w:val="auto"/>
          <w:sz w:val="24"/>
          <w:szCs w:val="24"/>
          <w:highlight w:val="none"/>
        </w:rPr>
        <w:t>一、比选费用</w:t>
      </w:r>
      <w:bookmarkEnd w:id="36"/>
      <w:bookmarkEnd w:id="37"/>
      <w:bookmarkEnd w:id="38"/>
      <w:bookmarkEnd w:id="39"/>
      <w:bookmarkEnd w:id="4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参与比选的供应商应承担其编制响应文件与递交响应文件所涉及的一切费用，不论比选结果如何，采购人和采购代理机构在任何情况下无义务也无责任承担这些费用。</w:t>
      </w:r>
    </w:p>
    <w:p>
      <w:pPr>
        <w:pStyle w:val="6"/>
        <w:spacing w:before="0" w:after="0" w:line="240" w:lineRule="auto"/>
        <w:rPr>
          <w:rFonts w:ascii="仿宋" w:hAnsi="仿宋" w:eastAsia="仿宋" w:cs="仿宋"/>
          <w:color w:val="auto"/>
          <w:sz w:val="24"/>
          <w:szCs w:val="24"/>
          <w:highlight w:val="none"/>
        </w:rPr>
      </w:pPr>
      <w:bookmarkStart w:id="41" w:name="_Toc342913391"/>
      <w:bookmarkStart w:id="42" w:name="_Toc487204780"/>
      <w:bookmarkStart w:id="43" w:name="_Toc426965631"/>
      <w:bookmarkStart w:id="44" w:name="_Toc7850"/>
      <w:bookmarkStart w:id="45" w:name="_Toc10122"/>
      <w:r>
        <w:rPr>
          <w:rFonts w:hint="eastAsia" w:ascii="仿宋" w:hAnsi="仿宋" w:eastAsia="仿宋" w:cs="仿宋"/>
          <w:color w:val="auto"/>
          <w:sz w:val="24"/>
          <w:szCs w:val="24"/>
          <w:highlight w:val="none"/>
        </w:rPr>
        <w:t>二、</w:t>
      </w:r>
      <w:bookmarkEnd w:id="41"/>
      <w:bookmarkEnd w:id="42"/>
      <w:bookmarkEnd w:id="43"/>
      <w:r>
        <w:rPr>
          <w:rFonts w:hint="eastAsia" w:ascii="仿宋" w:hAnsi="仿宋" w:eastAsia="仿宋" w:cs="仿宋"/>
          <w:color w:val="auto"/>
          <w:sz w:val="24"/>
          <w:szCs w:val="24"/>
          <w:highlight w:val="none"/>
        </w:rPr>
        <w:t>比选通知书</w:t>
      </w:r>
      <w:bookmarkEnd w:id="44"/>
      <w:bookmarkEnd w:id="45"/>
      <w:r>
        <w:rPr>
          <w:rFonts w:hint="eastAsia" w:ascii="仿宋" w:hAnsi="仿宋" w:eastAsia="仿宋" w:cs="仿宋"/>
          <w:color w:val="auto"/>
          <w:sz w:val="24"/>
          <w:szCs w:val="24"/>
          <w:highlight w:val="none"/>
        </w:rPr>
        <w:tab/>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（一）比选通知书由比选邀请书、供应商须知、比选项目技术需求、比选项目商务需求、响应文件格式要求五部分组成。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（二）采购人（或采购代理机构）所作的一切有效的书面通知、修改及补充，都是比选通知书不可分割的部分。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（三）比选通知书的解释</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66429"/>
      <w:bookmarkStart w:id="47" w:name="_Toc318159780"/>
      <w:bookmarkStart w:id="48" w:name="_Toc318159160"/>
      <w:bookmarkStart w:id="49" w:name="_Toc318159349"/>
    </w:p>
    <w:bookmarkEnd w:id="46"/>
    <w:bookmarkEnd w:id="47"/>
    <w:bookmarkEnd w:id="48"/>
    <w:bookmarkEnd w:id="49"/>
    <w:p>
      <w:pPr>
        <w:pStyle w:val="6"/>
        <w:spacing w:before="0" w:after="0" w:line="240" w:lineRule="auto"/>
        <w:rPr>
          <w:rFonts w:ascii="仿宋" w:hAnsi="仿宋" w:eastAsia="仿宋" w:cs="仿宋"/>
          <w:color w:val="auto"/>
          <w:sz w:val="24"/>
          <w:szCs w:val="24"/>
          <w:highlight w:val="none"/>
        </w:rPr>
      </w:pPr>
      <w:bookmarkStart w:id="50" w:name="_Toc487204781"/>
      <w:bookmarkStart w:id="51" w:name="_Toc19275"/>
      <w:bookmarkStart w:id="52" w:name="_Toc26774"/>
      <w:bookmarkStart w:id="53" w:name="_Toc179714297"/>
      <w:bookmarkStart w:id="54" w:name="_Toc102227318"/>
      <w:bookmarkStart w:id="55" w:name="_Toc342913392"/>
      <w:bookmarkStart w:id="56" w:name="_Toc426965632"/>
      <w:r>
        <w:rPr>
          <w:rFonts w:hint="eastAsia" w:ascii="仿宋" w:hAnsi="仿宋" w:eastAsia="仿宋" w:cs="仿宋"/>
          <w:color w:val="auto"/>
          <w:sz w:val="24"/>
          <w:szCs w:val="24"/>
          <w:highlight w:val="none"/>
        </w:rPr>
        <w:t>三、比选要求</w:t>
      </w:r>
      <w:bookmarkEnd w:id="50"/>
      <w:bookmarkEnd w:id="51"/>
      <w:bookmarkEnd w:id="52"/>
      <w:bookmarkEnd w:id="53"/>
      <w:bookmarkEnd w:id="54"/>
      <w:bookmarkEnd w:id="55"/>
      <w:bookmarkEnd w:id="5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（一）响应文件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供应商应当按照比选通知书的要求编制响应文件，并对比选通知书提出的要求和条件作出实质性响应，响应文件原则上采用软面订本，同时应编制完整的页码、目录。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1、响应文件组成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2、联合体</w:t>
      </w:r>
    </w:p>
    <w:p>
      <w:pPr>
        <w:snapToGrid w:val="0"/>
        <w:spacing w:after="0" w:line="360" w:lineRule="auto"/>
        <w:ind w:firstLine="480" w:firstLineChars="200"/>
        <w:rPr>
          <w:rFonts w:ascii="仿宋" w:hAnsi="仿宋" w:eastAsia="仿宋" w:cs="仿宋"/>
          <w:b/>
          <w:bCs/>
          <w:color w:val="auto"/>
          <w:highlight w:val="none"/>
        </w:rPr>
      </w:pPr>
      <w:r>
        <w:rPr>
          <w:rFonts w:hint="eastAsia" w:ascii="仿宋" w:hAnsi="仿宋" w:eastAsia="仿宋" w:cs="仿宋"/>
          <w:b/>
          <w:bCs/>
          <w:color w:val="auto"/>
          <w:highlight w:val="none"/>
        </w:rPr>
        <w:t>本项目不接受联合体竞标。</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3、比选有效期：响应文件及有关承诺文件有效期为比选开始时间起90天。</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（二）保证金：</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1、供应商提交保证金金额和方式详见“</w:t>
      </w:r>
      <w:r>
        <w:rPr>
          <w:rFonts w:hint="eastAsia" w:ascii="仿宋" w:hAnsi="仿宋" w:eastAsia="仿宋" w:cs="仿宋"/>
          <w:b/>
          <w:color w:val="auto"/>
          <w:highlight w:val="none"/>
        </w:rPr>
        <w:t>第一篇</w:t>
      </w:r>
      <w:r>
        <w:rPr>
          <w:rFonts w:hint="eastAsia" w:ascii="仿宋" w:hAnsi="仿宋" w:eastAsia="仿宋" w:cs="仿宋"/>
          <w:color w:val="auto"/>
          <w:highlight w:val="none"/>
        </w:rPr>
        <w:t>”；</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2、发生以下情况之一者，保证金不予退还：</w:t>
      </w:r>
    </w:p>
    <w:p>
      <w:pPr>
        <w:snapToGrid w:val="0"/>
        <w:spacing w:after="0" w:line="360" w:lineRule="auto"/>
        <w:ind w:left="480" w:leftChars="200"/>
        <w:rPr>
          <w:rFonts w:ascii="仿宋" w:hAnsi="仿宋" w:eastAsia="仿宋" w:cs="仿宋"/>
          <w:color w:val="auto"/>
          <w:highlight w:val="none"/>
        </w:rPr>
      </w:pPr>
      <w:r>
        <w:rPr>
          <w:rFonts w:hint="eastAsia" w:ascii="仿宋" w:hAnsi="仿宋" w:eastAsia="仿宋" w:cs="仿宋"/>
          <w:color w:val="auto"/>
          <w:highlight w:val="none"/>
        </w:rPr>
        <w:t>2.1供应商在提交响应文件截止时间后撤回响应文件的；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2.2供应商在响应文件中提供虚假材料的；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2.3除因不可抗力或比选通知书认可的情形以外，成交供应商不与采购人签订合同的；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2.4供应商与采购人、其他供应商或者采购代理机构恶意串通的；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2.5比选通知书规定的其他情形。</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（三）修正错误</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若响应文件出现计算或表达上的错误，修正错误的原则如下：</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1.响应文件中报价函的内容与响应文件中相应内容不一致的，以报价函为准；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3.单价金额小数点或者百分比有明显错位的，以报价函总价为准，并修改单价；</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after="0" w:line="360" w:lineRule="auto"/>
        <w:ind w:firstLine="360" w:firstLineChars="150"/>
        <w:rPr>
          <w:rFonts w:ascii="仿宋" w:hAnsi="仿宋" w:eastAsia="仿宋" w:cs="仿宋"/>
          <w:color w:val="auto"/>
          <w:highlight w:val="none"/>
        </w:rPr>
      </w:pPr>
      <w:r>
        <w:rPr>
          <w:rFonts w:hint="eastAsia" w:ascii="仿宋" w:hAnsi="仿宋" w:eastAsia="仿宋" w:cs="仿宋"/>
          <w:color w:val="auto"/>
          <w:highlight w:val="none"/>
        </w:rPr>
        <w:t>（四）提交响应文件的份数和签署和递交</w:t>
      </w:r>
    </w:p>
    <w:p>
      <w:pPr>
        <w:snapToGrid w:val="0"/>
        <w:spacing w:after="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供应商须同时在“行采家(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）”平台上传签字盖章后的电子文档一份，格式为PDF</w:t>
      </w:r>
      <w:r>
        <w:rPr>
          <w:rFonts w:hint="eastAsia" w:ascii="仿宋" w:hAnsi="仿宋" w:eastAsia="仿宋" w:cs="仿宋"/>
          <w:color w:val="auto"/>
          <w:highlight w:val="none"/>
          <w:lang w:eastAsia="zh-CN"/>
        </w:rPr>
        <w:t>。</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（五）响应文件语言：简体中文</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（六）供应商参与人员</w:t>
      </w:r>
    </w:p>
    <w:p>
      <w:pPr>
        <w:snapToGrid w:val="0"/>
        <w:spacing w:after="0" w:line="360" w:lineRule="auto"/>
        <w:ind w:firstLine="480" w:firstLineChars="20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本项目为线上评审，供应商无需到现场参与。</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（七）无效响应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供应商发生以下条款情况之一者，视为无效响应，其响应文件将被拒绝：</w:t>
      </w:r>
    </w:p>
    <w:p>
      <w:pPr>
        <w:snapToGrid w:val="0"/>
        <w:spacing w:after="0" w:line="360" w:lineRule="auto"/>
        <w:ind w:firstLine="480" w:firstLineChars="200"/>
        <w:rPr>
          <w:rFonts w:ascii="仿宋" w:hAnsi="仿宋" w:eastAsia="仿宋" w:cs="仿宋"/>
          <w:color w:val="auto"/>
          <w:highlight w:val="none"/>
        </w:rPr>
      </w:pPr>
      <w:bookmarkStart w:id="57" w:name="_Toc493506302"/>
      <w:bookmarkStart w:id="58" w:name="_Toc492721019"/>
      <w:r>
        <w:rPr>
          <w:rFonts w:hint="eastAsia" w:ascii="仿宋" w:hAnsi="仿宋" w:eastAsia="仿宋" w:cs="仿宋"/>
          <w:color w:val="auto"/>
          <w:highlight w:val="none"/>
        </w:rPr>
        <w:t>1、供应商不符合资格要求的；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2、供应商未按照比选通知书的要求缴纳保证金的；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3、供应商所提交的响应文件不按规定签字、盖章的；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4、供应商的报价超过采购预算（若有采购预算单价，则含采购预算单价）的；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5、供应商响应文件附有采购人无法接受的条件的；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6、供应商串通投标的；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7、供应商组成联合体投标的；</w:t>
      </w:r>
    </w:p>
    <w:p>
      <w:pPr>
        <w:snapToGrid w:val="0"/>
        <w:spacing w:after="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u w:val="single"/>
        </w:rPr>
        <w:t>8、供应商网上报价和线下报价不一致的；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9、法律、法规和比选通知书规定的其他无效情形。</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（八）废标条款</w:t>
      </w:r>
      <w:bookmarkEnd w:id="57"/>
      <w:bookmarkEnd w:id="58"/>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出现下列情形之一的，采购人或者采购代理机构应当终止比选采购活动，发布项目终止公告并说明原因，重新开展采购活动：</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1、因情况变化，不再符合规定的比选采购方式适用情形的；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3、在采购过程中符合竞争要求的供应商或者报价未超过采购预算的供应商不足3家的。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（九）采购代理服务费</w:t>
      </w:r>
      <w:bookmarkStart w:id="59" w:name="_Toc179714298"/>
      <w:bookmarkStart w:id="60" w:name="_Toc342913393"/>
      <w:bookmarkStart w:id="61" w:name="_Toc102227319"/>
      <w:bookmarkStart w:id="62" w:name="_Toc487204782"/>
      <w:bookmarkStart w:id="63" w:name="_Toc426965633"/>
      <w:bookmarkStart w:id="64" w:name="_Toc31741"/>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1、成交供应商在领取成交通知书的同时，需向采购代理机构缴纳采购代理服务费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00元（大写：</w:t>
      </w:r>
      <w:r>
        <w:rPr>
          <w:rFonts w:hint="eastAsia" w:ascii="仿宋" w:hAnsi="仿宋" w:eastAsia="仿宋" w:cs="仿宋"/>
          <w:color w:val="auto"/>
          <w:highlight w:val="none"/>
          <w:lang w:val="en-US" w:eastAsia="zh-CN"/>
        </w:rPr>
        <w:t>叁仟</w:t>
      </w:r>
      <w:r>
        <w:rPr>
          <w:rFonts w:hint="eastAsia" w:ascii="仿宋" w:hAnsi="仿宋" w:eastAsia="仿宋" w:cs="仿宋"/>
          <w:color w:val="auto"/>
          <w:highlight w:val="none"/>
        </w:rPr>
        <w:t>元整）。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2、代理服务费以转帐或者现金形式支付。</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3、费用缴纳账号：</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_GB2312"/>
          <w:color w:val="auto"/>
          <w:highlight w:val="none"/>
        </w:rPr>
        <w:t>（十）</w:t>
      </w:r>
      <w:r>
        <w:rPr>
          <w:rFonts w:ascii="仿宋" w:hAnsi="仿宋" w:eastAsia="仿宋" w:cs="仿宋_GB2312"/>
          <w:color w:val="auto"/>
          <w:highlight w:val="none"/>
        </w:rPr>
        <w:t>技术服务费</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该费用由行采家平台（</w:t>
      </w:r>
      <w:r>
        <w:rPr>
          <w:rFonts w:ascii="仿宋" w:hAnsi="仿宋" w:eastAsia="仿宋" w:cs="仿宋"/>
          <w:color w:val="auto"/>
          <w:highlight w:val="none"/>
        </w:rPr>
        <w:t>www.gec123.com</w:t>
      </w:r>
      <w:r>
        <w:rPr>
          <w:rFonts w:hint="eastAsia" w:ascii="仿宋" w:hAnsi="仿宋" w:eastAsia="仿宋" w:cs="仿宋"/>
          <w:color w:val="auto"/>
          <w:highlight w:val="none"/>
        </w:rPr>
        <w:t>）收取，成</w:t>
      </w:r>
      <w:r>
        <w:rPr>
          <w:rFonts w:ascii="仿宋" w:hAnsi="仿宋" w:eastAsia="仿宋" w:cs="仿宋"/>
          <w:color w:val="auto"/>
          <w:highlight w:val="none"/>
        </w:rPr>
        <w:t>交供应商需向</w:t>
      </w:r>
      <w:r>
        <w:rPr>
          <w:rFonts w:hint="eastAsia" w:ascii="仿宋" w:hAnsi="仿宋" w:eastAsia="仿宋" w:cs="仿宋"/>
          <w:color w:val="auto"/>
          <w:highlight w:val="none"/>
        </w:rPr>
        <w:t>行采家平台</w:t>
      </w:r>
      <w:r>
        <w:rPr>
          <w:rFonts w:ascii="仿宋" w:hAnsi="仿宋" w:eastAsia="仿宋" w:cs="仿宋"/>
          <w:color w:val="auto"/>
          <w:highlight w:val="none"/>
        </w:rPr>
        <w:t>缴纳</w:t>
      </w:r>
      <w:r>
        <w:rPr>
          <w:rFonts w:hint="eastAsia" w:ascii="仿宋" w:hAnsi="仿宋" w:eastAsia="仿宋" w:cs="仿宋"/>
          <w:color w:val="auto"/>
          <w:highlight w:val="none"/>
        </w:rPr>
        <w:t>技术</w:t>
      </w:r>
      <w:r>
        <w:rPr>
          <w:rFonts w:ascii="仿宋" w:hAnsi="仿宋" w:eastAsia="仿宋" w:cs="仿宋"/>
          <w:color w:val="auto"/>
          <w:highlight w:val="none"/>
        </w:rPr>
        <w:t>服务费</w:t>
      </w:r>
      <w:r>
        <w:rPr>
          <w:rFonts w:hint="eastAsia" w:ascii="仿宋" w:hAnsi="仿宋" w:eastAsia="仿宋" w:cs="仿宋"/>
          <w:color w:val="auto"/>
          <w:highlight w:val="none"/>
        </w:rPr>
        <w:t>。</w:t>
      </w:r>
      <w:r>
        <w:rPr>
          <w:rFonts w:ascii="仿宋" w:hAnsi="仿宋" w:eastAsia="仿宋" w:cs="仿宋"/>
          <w:color w:val="auto"/>
          <w:highlight w:val="none"/>
        </w:rPr>
        <w:t>具体收费标准</w:t>
      </w:r>
      <w:r>
        <w:rPr>
          <w:rFonts w:hint="eastAsia" w:ascii="仿宋" w:hAnsi="仿宋" w:eastAsia="仿宋" w:cs="仿宋"/>
          <w:color w:val="auto"/>
          <w:highlight w:val="none"/>
        </w:rPr>
        <w:t>、收费方式等，请咨询网站服务支持电话</w:t>
      </w:r>
      <w:r>
        <w:rPr>
          <w:rFonts w:ascii="仿宋" w:hAnsi="仿宋" w:eastAsia="仿宋" w:cs="仿宋"/>
          <w:color w:val="auto"/>
          <w:highlight w:val="none"/>
        </w:rPr>
        <w:t>023-88158017 (工作日)</w:t>
      </w:r>
      <w:r>
        <w:rPr>
          <w:rFonts w:hint="eastAsia" w:ascii="仿宋" w:hAnsi="仿宋" w:eastAsia="仿宋" w:cs="仿宋"/>
          <w:color w:val="auto"/>
          <w:highlight w:val="none"/>
        </w:rPr>
        <w:t>、</w:t>
      </w:r>
      <w:r>
        <w:rPr>
          <w:rFonts w:ascii="仿宋" w:hAnsi="仿宋" w:eastAsia="仿宋" w:cs="仿宋"/>
          <w:color w:val="auto"/>
          <w:highlight w:val="none"/>
        </w:rPr>
        <w:t>18183107831 (节假日)。</w:t>
      </w:r>
    </w:p>
    <w:p>
      <w:pPr>
        <w:pStyle w:val="6"/>
        <w:spacing w:before="0" w:after="0" w:line="240" w:lineRule="auto"/>
        <w:rPr>
          <w:rFonts w:ascii="仿宋" w:hAnsi="仿宋" w:eastAsia="仿宋" w:cs="仿宋"/>
          <w:color w:val="auto"/>
          <w:sz w:val="24"/>
          <w:szCs w:val="24"/>
          <w:highlight w:val="none"/>
        </w:rPr>
      </w:pPr>
      <w:bookmarkStart w:id="65" w:name="_Toc1228"/>
      <w:r>
        <w:rPr>
          <w:rFonts w:hint="eastAsia" w:ascii="仿宋" w:hAnsi="仿宋" w:eastAsia="仿宋" w:cs="仿宋"/>
          <w:color w:val="auto"/>
          <w:sz w:val="24"/>
          <w:szCs w:val="24"/>
          <w:highlight w:val="none"/>
        </w:rPr>
        <w:t>四、</w:t>
      </w:r>
      <w:bookmarkEnd w:id="59"/>
      <w:bookmarkEnd w:id="60"/>
      <w:bookmarkEnd w:id="61"/>
      <w:bookmarkEnd w:id="62"/>
      <w:bookmarkEnd w:id="63"/>
      <w:r>
        <w:rPr>
          <w:rFonts w:hint="eastAsia" w:ascii="仿宋" w:hAnsi="仿宋" w:eastAsia="仿宋" w:cs="仿宋"/>
          <w:color w:val="auto"/>
          <w:sz w:val="24"/>
          <w:szCs w:val="24"/>
          <w:highlight w:val="none"/>
        </w:rPr>
        <w:t>比选程序及成交标准</w:t>
      </w:r>
      <w:bookmarkEnd w:id="64"/>
      <w:bookmarkEnd w:id="6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（一）本项目比选按照比选通知书规定的时间和地点进行。供应商须有法定代表人或其授权代表参加并签到。</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（二）资格性符合性检查</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1.资格性检查。依据法律法规和比选通知书的规定，对响应文件中的资格证明、保证金等进行审查，以确定供应商是否具备比选资格。资格性检查资料表如下：</w:t>
      </w:r>
    </w:p>
    <w:tbl>
      <w:tblPr>
        <w:tblStyle w:val="2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800" w:type="dxa"/>
            <w:gridSpan w:val="2"/>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检查因素</w:t>
            </w:r>
          </w:p>
        </w:tc>
        <w:tc>
          <w:tcPr>
            <w:tcW w:w="5812" w:type="dxa"/>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65" w:type="dxa"/>
            <w:vMerge w:val="restart"/>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应符合的基本资格条件</w:t>
            </w:r>
          </w:p>
        </w:tc>
        <w:tc>
          <w:tcPr>
            <w:tcW w:w="2835"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5812" w:type="dxa"/>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color w:val="auto"/>
                <w:highlight w:val="none"/>
              </w:rPr>
              <w:sym w:font="Wingdings" w:char="F081"/>
            </w:r>
            <w:r>
              <w:rPr>
                <w:rFonts w:hint="eastAsia" w:ascii="仿宋" w:hAnsi="仿宋" w:eastAsia="仿宋" w:cs="仿宋"/>
                <w:color w:val="auto"/>
                <w:sz w:val="21"/>
                <w:szCs w:val="21"/>
                <w:highlight w:val="none"/>
              </w:rPr>
              <w:t xml:space="preserve">）； </w:t>
            </w:r>
          </w:p>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5812" w:type="dxa"/>
            <w:vMerge w:val="restart"/>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5812" w:type="dxa"/>
            <w:vMerge w:val="continue"/>
            <w:vAlign w:val="center"/>
          </w:tcPr>
          <w:p>
            <w:pPr>
              <w:spacing w:after="0" w:line="380" w:lineRule="exac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5812" w:type="dxa"/>
            <w:vMerge w:val="continue"/>
            <w:vAlign w:val="center"/>
          </w:tcPr>
          <w:p>
            <w:pPr>
              <w:spacing w:after="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after="0" w:line="380" w:lineRule="exact"/>
              <w:jc w:val="center"/>
              <w:rPr>
                <w:rFonts w:ascii="仿宋" w:hAnsi="仿宋" w:eastAsia="仿宋" w:cs="仿宋"/>
                <w:color w:val="auto"/>
                <w:sz w:val="21"/>
                <w:szCs w:val="21"/>
                <w:highlight w:val="none"/>
              </w:rPr>
            </w:pPr>
          </w:p>
        </w:tc>
        <w:tc>
          <w:tcPr>
            <w:tcW w:w="965" w:type="dxa"/>
            <w:vMerge w:val="continue"/>
            <w:vAlign w:val="center"/>
          </w:tcPr>
          <w:p>
            <w:pPr>
              <w:spacing w:after="0" w:line="380" w:lineRule="exact"/>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（5）参加政府采购活动前三年内，在经营活动中没有重大违法记录（注②）</w:t>
            </w:r>
          </w:p>
        </w:tc>
        <w:tc>
          <w:tcPr>
            <w:tcW w:w="5812" w:type="dxa"/>
            <w:vMerge w:val="continue"/>
            <w:vAlign w:val="center"/>
          </w:tcPr>
          <w:p>
            <w:pPr>
              <w:spacing w:after="0" w:line="380" w:lineRule="exac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5812" w:type="dxa"/>
            <w:vAlign w:val="center"/>
          </w:tcPr>
          <w:p>
            <w:pPr>
              <w:keepNext/>
              <w:keepLines/>
              <w:spacing w:after="0"/>
              <w:outlineLvl w:val="2"/>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800" w:type="dxa"/>
            <w:gridSpan w:val="2"/>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5812" w:type="dxa"/>
            <w:vAlign w:val="center"/>
          </w:tcPr>
          <w:p>
            <w:pPr>
              <w:spacing w:after="0"/>
              <w:rPr>
                <w:rFonts w:ascii="仿宋" w:hAnsi="仿宋" w:eastAsia="仿宋" w:cs="仿宋"/>
                <w:color w:val="auto"/>
                <w:sz w:val="21"/>
                <w:szCs w:val="21"/>
                <w:highlight w:val="none"/>
              </w:rPr>
            </w:pPr>
            <w:bookmarkStart w:id="66" w:name="_Toc11965"/>
            <w:bookmarkStart w:id="67" w:name="_Toc13413"/>
            <w:r>
              <w:rPr>
                <w:rFonts w:hint="eastAsia" w:ascii="仿宋" w:hAnsi="仿宋" w:eastAsia="仿宋" w:cs="仿宋"/>
                <w:color w:val="auto"/>
                <w:sz w:val="22"/>
                <w:szCs w:val="22"/>
                <w:highlight w:val="none"/>
              </w:rPr>
              <w:t>按第一篇“比选邀请书（三）特定资格条件”的要求提交证明文件复印件并加盖供应商公章。</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800" w:type="dxa"/>
            <w:gridSpan w:val="2"/>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比选保证金</w:t>
            </w:r>
          </w:p>
        </w:tc>
        <w:tc>
          <w:tcPr>
            <w:tcW w:w="5812"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保证金到账截止时间前提交足额缴纳保证金，且满足比选通知书第一篇五、竞标保证金中的相关规定。</w:t>
            </w:r>
          </w:p>
        </w:tc>
      </w:tr>
    </w:tbl>
    <w:p>
      <w:pPr>
        <w:snapToGrid w:val="0"/>
        <w:spacing w:after="0" w:line="380" w:lineRule="exact"/>
        <w:rPr>
          <w:rFonts w:ascii="仿宋" w:hAnsi="仿宋" w:eastAsia="仿宋" w:cs="仿宋"/>
          <w:color w:val="auto"/>
          <w:highlight w:val="none"/>
        </w:rPr>
      </w:pPr>
      <w:r>
        <w:rPr>
          <w:rFonts w:hint="eastAsia" w:ascii="仿宋" w:hAnsi="仿宋" w:eastAsia="仿宋" w:cs="仿宋"/>
          <w:color w:val="auto"/>
          <w:highlight w:val="none"/>
        </w:rPr>
        <w:t>注：</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sym w:font="Wingdings" w:char="F081"/>
      </w:r>
      <w:r>
        <w:rPr>
          <w:rFonts w:hint="eastAsia" w:ascii="仿宋" w:hAnsi="仿宋" w:eastAsia="仿宋" w:cs="仿宋"/>
          <w:color w:val="auto"/>
          <w:highlight w:val="none"/>
        </w:rPr>
        <w:t>供应商按“五证合一”登记制度办理营业执照的，组织机构代码证、税务登记证（副本）和社会保险登记证以供应商所提供的营业执照（副本）复印件为准。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sym w:font="Wingdings" w:char="F082"/>
      </w:r>
      <w:r>
        <w:rPr>
          <w:rFonts w:hint="eastAsia" w:ascii="仿宋" w:hAnsi="仿宋" w:eastAsia="仿宋" w:cs="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③根据重庆市财政局文件 渝财规〔2022〕4号重庆市财政局关于实施政府采购供应商基本资格条件承诺制的通知：供应商只需以书面形式提供规定格式的《基本资格条件承诺函》，即可替代以下材料： </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1、财务状况报告（表）或其基本开户银行出具的资信证明材料；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2、依法缴纳税收的证明材料；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3、缴纳社会保障金的证明材料；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4、具有履行合同所必需的设备和专业技术能力的证明材料；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6、未被列入失信被执行人、重大税收违法案件当事人名单及政府采购严重违法失信行为记录名单的证明材料。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每个分包只能有一个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3"/>
              <w:widowControl w:val="0"/>
              <w:spacing w:after="0" w:line="380" w:lineRule="exact"/>
              <w:jc w:val="both"/>
              <w:rPr>
                <w:rFonts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对比选通知书第三篇、第四篇带</w:t>
            </w:r>
            <w:r>
              <w:rPr>
                <w:rFonts w:hint="eastAsia" w:ascii="仿宋" w:hAnsi="仿宋" w:eastAsia="仿宋" w:cs="仿宋"/>
                <w:color w:val="auto"/>
                <w:sz w:val="21"/>
                <w:szCs w:val="21"/>
                <w:highlight w:val="none"/>
              </w:rPr>
              <w:t>“</w:t>
            </w:r>
            <w:r>
              <w:rPr>
                <w:rFonts w:hint="eastAsia" w:ascii="仿宋" w:hAnsi="仿宋" w:eastAsia="仿宋" w:cs="仿宋"/>
                <w:color w:val="auto"/>
                <w:kern w:val="2"/>
                <w:highlight w:val="none"/>
              </w:rPr>
              <w:t>※</w:t>
            </w:r>
            <w:r>
              <w:rPr>
                <w:rFonts w:hint="eastAsia" w:ascii="仿宋" w:hAnsi="仿宋" w:eastAsia="仿宋" w:cs="仿宋"/>
                <w:color w:val="auto"/>
                <w:sz w:val="21"/>
                <w:szCs w:val="21"/>
                <w:highlight w:val="none"/>
              </w:rPr>
              <w:t>”标注部分</w:t>
            </w:r>
            <w:r>
              <w:rPr>
                <w:rFonts w:hint="eastAsia" w:ascii="仿宋" w:hAnsi="仿宋" w:eastAsia="仿宋" w:cs="仿宋"/>
                <w:color w:val="auto"/>
                <w:kern w:val="2"/>
                <w:sz w:val="21"/>
                <w:szCs w:val="21"/>
                <w:highlight w:val="none"/>
                <w:lang w:val="en-US"/>
              </w:rPr>
              <w:t>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满足比选通知书</w:t>
            </w:r>
            <w:r>
              <w:rPr>
                <w:rFonts w:hint="eastAsia" w:ascii="仿宋" w:hAnsi="仿宋" w:eastAsia="仿宋" w:cs="仿宋"/>
                <w:color w:val="auto"/>
                <w:sz w:val="21"/>
                <w:szCs w:val="21"/>
                <w:highlight w:val="none"/>
                <w:lang w:val="zh-CN"/>
              </w:rPr>
              <w:t>规定。</w:t>
            </w:r>
          </w:p>
        </w:tc>
      </w:tr>
    </w:tbl>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（3）在比选过程中比选的任何一方不得向他人透露与比选有关的技术资料、价格或其他信息。</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（4）比选小组采用</w:t>
      </w:r>
      <w:r>
        <w:rPr>
          <w:rFonts w:hint="eastAsia" w:ascii="仿宋" w:hAnsi="仿宋" w:eastAsia="仿宋" w:cs="仿宋"/>
          <w:b/>
          <w:bCs/>
          <w:color w:val="auto"/>
          <w:highlight w:val="none"/>
        </w:rPr>
        <w:t>综合评分法</w:t>
      </w:r>
      <w:r>
        <w:rPr>
          <w:rFonts w:hint="eastAsia" w:ascii="仿宋" w:hAnsi="仿宋" w:eastAsia="仿宋" w:cs="仿宋"/>
          <w:color w:val="auto"/>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比选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pStyle w:val="6"/>
        <w:spacing w:before="0" w:after="0" w:line="240" w:lineRule="auto"/>
        <w:rPr>
          <w:rFonts w:ascii="仿宋" w:hAnsi="仿宋" w:eastAsia="仿宋" w:cs="仿宋"/>
          <w:color w:val="auto"/>
          <w:sz w:val="24"/>
          <w:szCs w:val="24"/>
          <w:highlight w:val="none"/>
        </w:rPr>
      </w:pPr>
      <w:bookmarkStart w:id="68" w:name="_Toc7851"/>
      <w:bookmarkStart w:id="69" w:name="_Toc11594"/>
      <w:r>
        <w:rPr>
          <w:rFonts w:hint="eastAsia" w:ascii="仿宋" w:hAnsi="仿宋" w:eastAsia="仿宋" w:cs="仿宋"/>
          <w:color w:val="auto"/>
          <w:sz w:val="24"/>
          <w:szCs w:val="24"/>
          <w:highlight w:val="none"/>
        </w:rPr>
        <w:t>五、评审标准</w:t>
      </w:r>
      <w:bookmarkEnd w:id="68"/>
      <w:bookmarkEnd w:id="69"/>
    </w:p>
    <w:tbl>
      <w:tblPr>
        <w:tblStyle w:val="2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40"/>
        <w:gridCol w:w="1120"/>
        <w:gridCol w:w="487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投标报价（30%）</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30</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有效的投标报价中的最低价为评标基准价，按照下列公式计算每个投标人的投标价格得分。</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8" w:hRule="atLeast"/>
          <w:jc w:val="center"/>
        </w:trPr>
        <w:tc>
          <w:tcPr>
            <w:tcW w:w="446" w:type="dxa"/>
            <w:vMerge w:val="restart"/>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140" w:type="dxa"/>
            <w:vMerge w:val="restart"/>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技术部分</w:t>
            </w:r>
          </w:p>
          <w:p>
            <w:pPr>
              <w:widowControl w:val="0"/>
              <w:spacing w:after="0" w:line="300" w:lineRule="exact"/>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lang w:val="zh-CN"/>
              </w:rPr>
              <w:t>%）</w:t>
            </w: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总体实施方案、工期及规划（20分）</w:t>
            </w:r>
          </w:p>
        </w:tc>
        <w:tc>
          <w:tcPr>
            <w:tcW w:w="4876"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根据供应商提供的总体实施方案、工期及规划方案打分</w:t>
            </w:r>
          </w:p>
          <w:p>
            <w:pPr>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编制要点：①总体实施组织架构，②人员安排，③进度把控，④到场货物损坏件更换计划。</w:t>
            </w:r>
          </w:p>
          <w:p>
            <w:pPr>
              <w:widowControl w:val="0"/>
              <w:spacing w:after="0" w:line="300" w:lineRule="exact"/>
              <w:ind w:firstLine="42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1"/>
                <w:szCs w:val="21"/>
                <w:highlight w:val="none"/>
              </w:rPr>
              <w:t>本项共4个要点，每一要点满分为5分，存在不足的为2.5分，存在缺陷的为0分，未提供相关要点内容为0分</w:t>
            </w:r>
            <w:r>
              <w:rPr>
                <w:rFonts w:hint="eastAsia" w:ascii="仿宋" w:hAnsi="仿宋" w:eastAsia="仿宋" w:cs="仿宋"/>
                <w:color w:val="auto"/>
                <w:sz w:val="22"/>
                <w:szCs w:val="22"/>
                <w:highlight w:val="none"/>
              </w:rPr>
              <w:t>。</w:t>
            </w:r>
          </w:p>
        </w:tc>
        <w:tc>
          <w:tcPr>
            <w:tcW w:w="1998" w:type="dxa"/>
            <w:vMerge w:val="restart"/>
            <w:tcBorders>
              <w:top w:val="single" w:color="auto" w:sz="4" w:space="0"/>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注：</w:t>
            </w:r>
          </w:p>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不足是指未明显违背有关法律、法规和技术依据，但相关内容与项目实际情况有偏差或不合理或认识不全面、方案内容缺项、内容表述不完整或缺少关键分析点。</w:t>
            </w:r>
          </w:p>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缺陷是指违背有关法律、法规和技术依据；存在与服务项目实际情况不相符；地点区域错误、不符合采购需求；方案内容表述前后矛盾、无连贯性；内容存在逻辑漏洞或常识错误；思路不科学、不实用，不利于本项目目标的实现。与本项目无实际关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lang w:val="zh-CN"/>
              </w:rPr>
            </w:pP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质量保证措施</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4876" w:type="dxa"/>
            <w:tcBorders>
              <w:top w:val="single" w:color="auto" w:sz="4" w:space="0"/>
              <w:left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供应商提供符合本项目的质量保证措施，包含但不限于①服务质量保障措施、②产品质量保障措施、③到场货物存储保护措施。</w:t>
            </w:r>
          </w:p>
          <w:p>
            <w:pPr>
              <w:widowControl w:val="0"/>
              <w:spacing w:after="0" w:line="300" w:lineRule="exact"/>
              <w:ind w:firstLine="44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本项共3个要点，每一要点满分为5分，存在不足的为2.5分，存在缺陷的为0分，未提供相关要点内容为0分。</w:t>
            </w:r>
          </w:p>
        </w:tc>
        <w:tc>
          <w:tcPr>
            <w:tcW w:w="1998"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c>
          <w:tcPr>
            <w:tcW w:w="1120" w:type="dxa"/>
            <w:tcBorders>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环境保护及垃圾及时清理措施</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根供应商提供环境保护及建筑垃圾及时清理措施方案，包括但不限于①周边环境保护措施、②环境破坏补救措施、③拆除垃圾及时清理措施</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本项共3个要点，每一要点满分为5分，存在不足的为2.5分，存在缺陷的为0分，未提供相关要点内容为0分。</w:t>
            </w:r>
          </w:p>
        </w:tc>
        <w:tc>
          <w:tcPr>
            <w:tcW w:w="1998" w:type="dxa"/>
            <w:vMerge w:val="continue"/>
            <w:tcBorders>
              <w:left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3" w:hRule="atLeast"/>
          <w:jc w:val="center"/>
        </w:trPr>
        <w:tc>
          <w:tcPr>
            <w:tcW w:w="446"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140" w:type="dxa"/>
            <w:vMerge w:val="restart"/>
            <w:tcBorders>
              <w:top w:val="single" w:color="auto" w:sz="4" w:space="0"/>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商务部分（20%）</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售后服务（15%）</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提供符合本项目的售后服务方案，包含但不限于①售后人员的组成、②售后响应时效保障、③售后服务方案。</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本项共3个要点，每一要点满分为5分，存在不足的为2.5分，存在缺陷的为0分，未提供相关要点内容为0分。</w:t>
            </w:r>
          </w:p>
        </w:tc>
        <w:tc>
          <w:tcPr>
            <w:tcW w:w="1998" w:type="dxa"/>
            <w:vMerge w:val="continue"/>
            <w:tcBorders>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工期进度</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（5分）</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20" w:firstLineChars="200"/>
              <w:jc w:val="both"/>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供应商在20天的基础上，每提前1天完成安装得1分，最多得5分。</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提供承诺函加盖供应商公章，格式自拟。</w:t>
            </w:r>
          </w:p>
        </w:tc>
      </w:tr>
    </w:tbl>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得分最高的供应商为成交供应商。采购人也可以授权比选小组直接确定成交供应商。</w:t>
      </w:r>
    </w:p>
    <w:p>
      <w:pPr>
        <w:pStyle w:val="6"/>
        <w:spacing w:before="0" w:after="0" w:line="240" w:lineRule="auto"/>
        <w:rPr>
          <w:rFonts w:ascii="仿宋" w:hAnsi="仿宋" w:eastAsia="仿宋" w:cs="仿宋"/>
          <w:color w:val="auto"/>
          <w:sz w:val="24"/>
          <w:szCs w:val="24"/>
          <w:highlight w:val="none"/>
        </w:rPr>
      </w:pPr>
      <w:bookmarkStart w:id="70" w:name="_Toc1719"/>
      <w:bookmarkStart w:id="71" w:name="_Toc8158"/>
      <w:r>
        <w:rPr>
          <w:rFonts w:hint="eastAsia" w:ascii="仿宋" w:hAnsi="仿宋" w:eastAsia="仿宋" w:cs="仿宋"/>
          <w:color w:val="auto"/>
          <w:sz w:val="24"/>
          <w:szCs w:val="24"/>
          <w:highlight w:val="none"/>
        </w:rPr>
        <w:t>六、评审依据</w:t>
      </w:r>
      <w:bookmarkEnd w:id="70"/>
      <w:bookmarkEnd w:id="71"/>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评审的依据为比选通知书和响应文件（含有效的补充文件）。比选小组判断响应文件对比选通知书的响应，仅基于响应文件本身而不靠外部证据。</w:t>
      </w:r>
    </w:p>
    <w:p>
      <w:pPr>
        <w:pStyle w:val="6"/>
        <w:spacing w:before="0" w:after="0" w:line="240" w:lineRule="auto"/>
        <w:rPr>
          <w:rFonts w:ascii="仿宋" w:hAnsi="仿宋" w:eastAsia="仿宋" w:cs="仿宋"/>
          <w:color w:val="auto"/>
          <w:sz w:val="24"/>
          <w:szCs w:val="24"/>
          <w:highlight w:val="none"/>
          <w:lang w:val="en-US"/>
        </w:rPr>
      </w:pPr>
      <w:bookmarkStart w:id="72" w:name="_Toc426965636"/>
      <w:bookmarkStart w:id="73" w:name="_Toc342913395"/>
      <w:bookmarkStart w:id="74" w:name="_Toc102227321"/>
      <w:bookmarkStart w:id="75" w:name="_Toc2561"/>
      <w:bookmarkStart w:id="76" w:name="_Toc487204785"/>
      <w:r>
        <w:rPr>
          <w:rFonts w:hint="eastAsia" w:ascii="仿宋" w:hAnsi="仿宋" w:eastAsia="仿宋" w:cs="仿宋"/>
          <w:color w:val="auto"/>
          <w:sz w:val="24"/>
          <w:szCs w:val="24"/>
          <w:highlight w:val="none"/>
        </w:rPr>
        <w:t>七、成交通知</w:t>
      </w:r>
      <w:bookmarkEnd w:id="72"/>
      <w:bookmarkEnd w:id="73"/>
      <w:bookmarkEnd w:id="74"/>
      <w:bookmarkEnd w:id="75"/>
      <w:bookmarkEnd w:id="7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（一）成交供应商确定后，采购代理机构将在“行采家(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r>
        <w:rPr>
          <w:color w:val="auto"/>
          <w:highlight w:val="none"/>
        </w:rPr>
        <w:fldChar w:fldCharType="begin"/>
      </w:r>
      <w:r>
        <w:rPr>
          <w:color w:val="auto"/>
          <w:highlight w:val="none"/>
        </w:rPr>
        <w:instrText xml:space="preserve"> HYPERLINK "http://www.cqgp.gov.cn）上发布成交结果公示。" </w:instrText>
      </w:r>
      <w:r>
        <w:rPr>
          <w:color w:val="auto"/>
          <w:highlight w:val="none"/>
        </w:rPr>
        <w:fldChar w:fldCharType="separate"/>
      </w:r>
      <w:r>
        <w:rPr>
          <w:rFonts w:hint="eastAsia" w:ascii="仿宋" w:hAnsi="仿宋" w:eastAsia="仿宋" w:cs="仿宋"/>
          <w:color w:val="auto"/>
          <w:highlight w:val="none"/>
        </w:rPr>
        <w:t>上发布成交结果公示。</w:t>
      </w:r>
      <w:r>
        <w:rPr>
          <w:rFonts w:hint="eastAsia" w:ascii="仿宋" w:hAnsi="仿宋" w:eastAsia="仿宋" w:cs="仿宋"/>
          <w:color w:val="auto"/>
          <w:highlight w:val="none"/>
        </w:rPr>
        <w:fldChar w:fldCharType="end"/>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（二）结果公告发出同时，采购代理机构将以书面形式发出《成交通知书》。《成交通知书》一经发出即发生法律效力。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（三）《成交通知书》将作为签订合同的依据。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（四）如有供应商对成交结果提出质疑的，在质疑处理完毕后发出成交通知书。</w:t>
      </w:r>
    </w:p>
    <w:p>
      <w:pPr>
        <w:pStyle w:val="6"/>
        <w:spacing w:before="0" w:after="0" w:line="240" w:lineRule="auto"/>
        <w:rPr>
          <w:rFonts w:ascii="仿宋" w:hAnsi="仿宋" w:eastAsia="仿宋" w:cs="仿宋"/>
          <w:color w:val="auto"/>
          <w:sz w:val="24"/>
          <w:szCs w:val="24"/>
          <w:highlight w:val="none"/>
        </w:rPr>
      </w:pPr>
      <w:bookmarkStart w:id="77" w:name="_Toc426965637"/>
      <w:bookmarkStart w:id="78" w:name="_Toc13265"/>
      <w:bookmarkStart w:id="79" w:name="_Toc487204786"/>
      <w:bookmarkStart w:id="80" w:name="_Toc3695"/>
      <w:r>
        <w:rPr>
          <w:rFonts w:hint="eastAsia" w:ascii="仿宋" w:hAnsi="仿宋" w:eastAsia="仿宋" w:cs="仿宋"/>
          <w:color w:val="auto"/>
          <w:sz w:val="24"/>
          <w:szCs w:val="24"/>
          <w:highlight w:val="none"/>
        </w:rPr>
        <w:t>八、关于质疑和投诉</w:t>
      </w:r>
      <w:bookmarkEnd w:id="77"/>
      <w:bookmarkEnd w:id="78"/>
      <w:bookmarkEnd w:id="79"/>
      <w:bookmarkEnd w:id="8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（一）质疑内容、时限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1、供应商对成交结果有异议的，应当在结果预公示发布之日起七个工作日内以书面形式向采购人、采购代理机构提出质疑，并附相关证明材料。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2、供应商对比选通知书中供应商特定资格条件、技术质量和商务要求、评审标准及评审细则有异议的，应主要向采购人提出质疑，其他问题可向采购代理机构提出质疑。</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（二）质疑答复</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采购人、采购代理机构将参照《重庆市政府采购供应商质疑投诉处理暂行规定》的相关规定对质疑内容作出答复和处理。</w:t>
      </w:r>
    </w:p>
    <w:p>
      <w:pPr>
        <w:pStyle w:val="6"/>
        <w:spacing w:before="0" w:after="0" w:line="240" w:lineRule="auto"/>
        <w:rPr>
          <w:rFonts w:ascii="仿宋" w:hAnsi="仿宋" w:eastAsia="仿宋" w:cs="仿宋"/>
          <w:color w:val="auto"/>
          <w:sz w:val="24"/>
          <w:szCs w:val="24"/>
          <w:highlight w:val="none"/>
        </w:rPr>
      </w:pPr>
      <w:bookmarkStart w:id="81" w:name="_Toc102227322"/>
      <w:bookmarkStart w:id="82" w:name="_Toc10603"/>
      <w:bookmarkStart w:id="83" w:name="_Toc342913396"/>
      <w:bookmarkStart w:id="84" w:name="_Toc23427"/>
      <w:bookmarkStart w:id="85" w:name="_Toc487204787"/>
      <w:bookmarkStart w:id="86" w:name="_Toc426965638"/>
      <w:r>
        <w:rPr>
          <w:rFonts w:hint="eastAsia" w:ascii="仿宋" w:hAnsi="仿宋" w:eastAsia="仿宋" w:cs="仿宋"/>
          <w:color w:val="auto"/>
          <w:sz w:val="24"/>
          <w:szCs w:val="24"/>
          <w:highlight w:val="none"/>
        </w:rPr>
        <w:t>九、签订</w:t>
      </w:r>
      <w:bookmarkEnd w:id="81"/>
      <w:r>
        <w:rPr>
          <w:rFonts w:hint="eastAsia" w:ascii="仿宋" w:hAnsi="仿宋" w:eastAsia="仿宋" w:cs="仿宋"/>
          <w:color w:val="auto"/>
          <w:sz w:val="24"/>
          <w:szCs w:val="24"/>
          <w:highlight w:val="none"/>
        </w:rPr>
        <w:t>合同</w:t>
      </w:r>
      <w:bookmarkEnd w:id="82"/>
      <w:bookmarkEnd w:id="83"/>
      <w:bookmarkEnd w:id="84"/>
      <w:bookmarkEnd w:id="85"/>
      <w:bookmarkEnd w:id="8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（一）采购人与成交供应商应当在成交通知书发出之日起</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0日内，按照比选文件确定的合同文本以及采购标的、规格型号、采购金额、采购数量、技术和服务要求等事项签订采购合同。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（二）比选通知书、成交供应商的响应文件及有效承诺文件等，均为签订合同的依据。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（三）成交供应商未按照比选通知书确定的事项签订合同，或者与采购人另行订立背离合同实质性内容协议的，将承担相关法律责任。</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（五）除不可抗力等因素外，成交通知书发出后，采购人改变成交结果，或者成交供应商无正当理由拒绝签订采购合同的，应当承担相应的法律责任。</w:t>
      </w:r>
    </w:p>
    <w:p>
      <w:pPr>
        <w:spacing w:after="0"/>
        <w:ind w:firstLine="720" w:firstLineChars="300"/>
        <w:rPr>
          <w:rFonts w:ascii="仿宋" w:hAnsi="仿宋" w:eastAsia="仿宋" w:cs="仿宋"/>
          <w:color w:val="auto"/>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spacing w:after="0"/>
        <w:rPr>
          <w:rStyle w:val="35"/>
          <w:rFonts w:ascii="仿宋" w:hAnsi="仿宋" w:eastAsia="仿宋" w:cs="仿宋"/>
          <w:bCs w:val="0"/>
          <w:color w:val="auto"/>
          <w:highlight w:val="none"/>
        </w:rPr>
      </w:pPr>
      <w:r>
        <w:rPr>
          <w:rStyle w:val="35"/>
          <w:rFonts w:hint="eastAsia" w:ascii="仿宋" w:hAnsi="仿宋" w:eastAsia="仿宋" w:cs="仿宋"/>
          <w:bCs w:val="0"/>
          <w:color w:val="auto"/>
          <w:highlight w:val="none"/>
        </w:rPr>
        <w:br w:type="page"/>
      </w:r>
    </w:p>
    <w:p>
      <w:pPr>
        <w:pStyle w:val="5"/>
        <w:spacing w:before="0" w:after="0"/>
        <w:jc w:val="center"/>
        <w:rPr>
          <w:rStyle w:val="35"/>
          <w:rFonts w:ascii="仿宋" w:hAnsi="仿宋" w:eastAsia="仿宋" w:cs="仿宋"/>
          <w:b/>
          <w:bCs w:val="0"/>
          <w:color w:val="auto"/>
          <w:highlight w:val="none"/>
        </w:rPr>
      </w:pPr>
      <w:bookmarkStart w:id="87" w:name="_Toc11372"/>
      <w:r>
        <w:rPr>
          <w:rStyle w:val="35"/>
          <w:rFonts w:hint="eastAsia" w:ascii="仿宋" w:hAnsi="仿宋" w:eastAsia="仿宋" w:cs="仿宋"/>
          <w:b/>
          <w:bCs w:val="0"/>
          <w:color w:val="auto"/>
          <w:highlight w:val="none"/>
        </w:rPr>
        <w:t>第三篇  比选采购服务</w:t>
      </w:r>
      <w:bookmarkEnd w:id="35"/>
      <w:r>
        <w:rPr>
          <w:rStyle w:val="35"/>
          <w:rFonts w:hint="eastAsia" w:ascii="仿宋" w:hAnsi="仿宋" w:eastAsia="仿宋" w:cs="仿宋"/>
          <w:b/>
          <w:bCs w:val="0"/>
          <w:color w:val="auto"/>
          <w:highlight w:val="none"/>
        </w:rPr>
        <w:t>需求</w:t>
      </w:r>
      <w:bookmarkEnd w:id="87"/>
    </w:p>
    <w:p>
      <w:pPr>
        <w:snapToGrid w:val="0"/>
        <w:spacing w:after="0"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“※”标注的</w:t>
      </w:r>
      <w:r>
        <w:rPr>
          <w:rFonts w:hint="eastAsia" w:ascii="仿宋" w:hAnsi="仿宋" w:eastAsia="仿宋" w:cs="仿宋"/>
          <w:color w:val="auto"/>
          <w:highlight w:val="none"/>
        </w:rPr>
        <w:t>条款</w:t>
      </w:r>
      <w:r>
        <w:rPr>
          <w:rFonts w:ascii="仿宋" w:hAnsi="仿宋" w:eastAsia="仿宋" w:cs="仿宋"/>
          <w:color w:val="auto"/>
          <w:highlight w:val="none"/>
        </w:rPr>
        <w:t>为符合性审查中的实质性要求，响应文件若不满足按无效响应处理。</w:t>
      </w:r>
    </w:p>
    <w:p>
      <w:pPr>
        <w:pStyle w:val="6"/>
        <w:spacing w:before="0" w:after="0" w:line="240" w:lineRule="auto"/>
        <w:rPr>
          <w:rFonts w:ascii="仿宋" w:hAnsi="仿宋" w:eastAsia="仿宋" w:cs="仿宋"/>
          <w:color w:val="auto"/>
          <w:sz w:val="24"/>
          <w:szCs w:val="24"/>
          <w:highlight w:val="none"/>
          <w:lang w:val="en-US"/>
        </w:rPr>
      </w:pPr>
      <w:bookmarkStart w:id="88" w:name="_Toc120894139"/>
      <w:bookmarkStart w:id="89" w:name="_Toc149579017"/>
      <w:bookmarkStart w:id="90" w:name="_Toc148521461"/>
      <w:bookmarkStart w:id="91" w:name="_Toc297"/>
      <w:bookmarkStart w:id="92" w:name="_Toc83805584"/>
      <w:bookmarkStart w:id="93" w:name="_Toc9220"/>
      <w:bookmarkStart w:id="94" w:name="_Toc54879127"/>
      <w:bookmarkStart w:id="95" w:name="_Toc49960014"/>
      <w:bookmarkStart w:id="96" w:name="_Toc37860275"/>
      <w:bookmarkStart w:id="97" w:name="_Toc78793920"/>
      <w:bookmarkStart w:id="98" w:name="_Toc91171606"/>
      <w:bookmarkStart w:id="99" w:name="_Toc11115"/>
      <w:bookmarkStart w:id="100" w:name="_Toc55403968"/>
      <w:bookmarkStart w:id="101" w:name="_Toc12789058"/>
      <w:bookmarkStart w:id="102" w:name="_Toc128744993"/>
      <w:r>
        <w:rPr>
          <w:rFonts w:hint="eastAsia" w:ascii="仿宋" w:hAnsi="仿宋" w:eastAsia="仿宋" w:cs="仿宋"/>
          <w:color w:val="auto"/>
          <w:sz w:val="24"/>
          <w:szCs w:val="24"/>
          <w:highlight w:val="none"/>
        </w:rPr>
        <w:t>※一、</w:t>
      </w:r>
      <w:bookmarkEnd w:id="88"/>
      <w:bookmarkEnd w:id="89"/>
      <w:bookmarkEnd w:id="90"/>
      <w:r>
        <w:rPr>
          <w:rFonts w:hint="eastAsia" w:ascii="仿宋" w:hAnsi="仿宋" w:eastAsia="仿宋" w:cs="Times New Roman"/>
          <w:color w:val="auto"/>
          <w:sz w:val="24"/>
          <w:szCs w:val="24"/>
        </w:rPr>
        <w:t>采购项目一览表</w:t>
      </w:r>
      <w:bookmarkEnd w:id="91"/>
    </w:p>
    <w:tbl>
      <w:tblPr>
        <w:tblStyle w:val="26"/>
        <w:tblW w:w="998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128"/>
        <w:gridCol w:w="112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0" w:type="dxa"/>
            <w:vAlign w:val="center"/>
          </w:tcPr>
          <w:p>
            <w:pPr>
              <w:snapToGrid w:val="0"/>
              <w:spacing w:after="0" w:line="360" w:lineRule="auto"/>
              <w:jc w:val="center"/>
              <w:rPr>
                <w:rFonts w:ascii="仿宋" w:hAnsi="仿宋" w:eastAsia="仿宋" w:cs="仿宋"/>
                <w:color w:val="auto"/>
                <w:highlight w:val="none"/>
              </w:rPr>
            </w:pPr>
            <w:bookmarkStart w:id="103" w:name="_Toc55403966"/>
            <w:bookmarkStart w:id="104" w:name="_Toc149579019"/>
            <w:bookmarkStart w:id="105" w:name="_Toc54879125"/>
            <w:bookmarkStart w:id="106" w:name="_Toc120894141"/>
            <w:bookmarkStart w:id="107" w:name="_Toc148521463"/>
            <w:r>
              <w:rPr>
                <w:rFonts w:hint="eastAsia" w:ascii="仿宋" w:hAnsi="仿宋" w:eastAsia="仿宋" w:cs="仿宋"/>
                <w:color w:val="auto"/>
                <w:highlight w:val="none"/>
              </w:rPr>
              <w:t>序号</w:t>
            </w:r>
          </w:p>
        </w:tc>
        <w:tc>
          <w:tcPr>
            <w:tcW w:w="6128" w:type="dxa"/>
            <w:vAlign w:val="center"/>
          </w:tcPr>
          <w:p>
            <w:pPr>
              <w:snapToGrid w:val="0"/>
              <w:spacing w:after="0" w:line="360" w:lineRule="auto"/>
              <w:ind w:firstLine="480" w:firstLineChars="200"/>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1124"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2018" w:type="dxa"/>
            <w:vAlign w:val="center"/>
          </w:tcPr>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vAlign w:val="center"/>
          </w:tcPr>
          <w:p>
            <w:pPr>
              <w:snapToGrid w:val="0"/>
              <w:spacing w:after="0" w:line="360" w:lineRule="auto"/>
              <w:jc w:val="center"/>
              <w:rPr>
                <w:rFonts w:ascii="仿宋" w:hAnsi="仿宋" w:eastAsia="仿宋" w:cs="仿宋"/>
                <w:color w:val="auto"/>
                <w:highlight w:val="none"/>
              </w:rPr>
            </w:pPr>
            <w:bookmarkStart w:id="108" w:name="_Toc429553109"/>
            <w:bookmarkStart w:id="109" w:name="_Toc429559924"/>
            <w:bookmarkStart w:id="110" w:name="_Toc429558950"/>
            <w:bookmarkStart w:id="111" w:name="_Toc476231644"/>
            <w:r>
              <w:rPr>
                <w:rFonts w:hint="eastAsia" w:ascii="仿宋" w:hAnsi="仿宋" w:eastAsia="仿宋" w:cs="仿宋"/>
                <w:color w:val="auto"/>
                <w:highlight w:val="none"/>
              </w:rPr>
              <w:t>1</w:t>
            </w:r>
            <w:bookmarkEnd w:id="108"/>
            <w:bookmarkEnd w:id="109"/>
            <w:bookmarkEnd w:id="110"/>
            <w:bookmarkEnd w:id="111"/>
          </w:p>
        </w:tc>
        <w:tc>
          <w:tcPr>
            <w:tcW w:w="6128" w:type="dxa"/>
            <w:vAlign w:val="center"/>
          </w:tcPr>
          <w:p>
            <w:pPr>
              <w:snapToGrid w:val="0"/>
              <w:spacing w:after="0" w:line="360" w:lineRule="auto"/>
              <w:ind w:firstLine="480" w:firstLineChars="20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重庆市第一〇四中学校教室门采购项目</w:t>
            </w:r>
          </w:p>
        </w:tc>
        <w:tc>
          <w:tcPr>
            <w:tcW w:w="1124"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项</w:t>
            </w:r>
          </w:p>
        </w:tc>
        <w:tc>
          <w:tcPr>
            <w:tcW w:w="2018"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r>
    </w:tbl>
    <w:p>
      <w:pPr>
        <w:pStyle w:val="6"/>
        <w:spacing w:before="0" w:after="0" w:line="240" w:lineRule="auto"/>
        <w:rPr>
          <w:rFonts w:hint="eastAsia" w:ascii="仿宋" w:hAnsi="仿宋" w:eastAsia="仿宋" w:cs="仿宋"/>
          <w:color w:val="auto"/>
          <w:sz w:val="24"/>
          <w:szCs w:val="24"/>
          <w:highlight w:val="none"/>
          <w:lang w:val="en-US"/>
        </w:rPr>
      </w:pPr>
      <w:bookmarkStart w:id="112" w:name="_Toc3622"/>
      <w:r>
        <w:rPr>
          <w:rFonts w:hint="eastAsia" w:ascii="仿宋" w:hAnsi="仿宋" w:eastAsia="仿宋" w:cs="仿宋"/>
          <w:color w:val="auto"/>
          <w:sz w:val="24"/>
          <w:szCs w:val="24"/>
          <w:highlight w:val="none"/>
        </w:rPr>
        <w:t>※</w:t>
      </w:r>
      <w:bookmarkStart w:id="113" w:name="_Toc4763"/>
      <w:r>
        <w:rPr>
          <w:rFonts w:hint="eastAsia" w:ascii="仿宋" w:hAnsi="仿宋" w:eastAsia="仿宋" w:cs="仿宋"/>
          <w:color w:val="auto"/>
          <w:sz w:val="24"/>
          <w:szCs w:val="24"/>
          <w:highlight w:val="none"/>
          <w:lang w:val="en-US"/>
        </w:rPr>
        <w:t>二、</w:t>
      </w:r>
      <w:r>
        <w:rPr>
          <w:rFonts w:hint="eastAsia" w:ascii="仿宋" w:hAnsi="仿宋" w:eastAsia="仿宋" w:cs="仿宋"/>
          <w:color w:val="auto"/>
          <w:sz w:val="24"/>
          <w:szCs w:val="24"/>
          <w:highlight w:val="none"/>
        </w:rPr>
        <w:t>采购项目</w:t>
      </w:r>
      <w:bookmarkEnd w:id="113"/>
      <w:r>
        <w:rPr>
          <w:rFonts w:hint="eastAsia" w:ascii="仿宋" w:hAnsi="仿宋" w:eastAsia="仿宋" w:cs="仿宋"/>
          <w:color w:val="auto"/>
          <w:sz w:val="24"/>
          <w:szCs w:val="24"/>
          <w:highlight w:val="none"/>
          <w:lang w:val="en-US"/>
        </w:rPr>
        <w:t>清单</w:t>
      </w:r>
      <w:bookmarkEnd w:id="112"/>
    </w:p>
    <w:tbl>
      <w:tblPr>
        <w:tblW w:w="10000" w:type="dxa"/>
        <w:tblInd w:w="0" w:type="dxa"/>
        <w:shd w:val="clear"/>
        <w:tblLayout w:type="autofit"/>
        <w:tblCellMar>
          <w:top w:w="0" w:type="dxa"/>
          <w:left w:w="0" w:type="dxa"/>
          <w:bottom w:w="0" w:type="dxa"/>
          <w:right w:w="0" w:type="dxa"/>
        </w:tblCellMar>
      </w:tblPr>
      <w:tblGrid>
        <w:gridCol w:w="374"/>
        <w:gridCol w:w="1893"/>
        <w:gridCol w:w="2836"/>
        <w:gridCol w:w="375"/>
        <w:gridCol w:w="380"/>
        <w:gridCol w:w="617"/>
        <w:gridCol w:w="740"/>
        <w:gridCol w:w="2785"/>
      </w:tblGrid>
      <w:tr>
        <w:tblPrEx>
          <w:shd w:val="clear"/>
          <w:tblCellMar>
            <w:top w:w="0" w:type="dxa"/>
            <w:left w:w="0" w:type="dxa"/>
            <w:bottom w:w="0" w:type="dxa"/>
            <w:right w:w="0" w:type="dxa"/>
          </w:tblCellMar>
        </w:tblPrEx>
        <w:trPr>
          <w:trHeight w:val="582" w:hRule="atLeast"/>
        </w:trPr>
        <w:tc>
          <w:tcPr>
            <w:tcW w:w="10000" w:type="dxa"/>
            <w:gridSpan w:val="8"/>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104中学采购教室门统计表</w:t>
            </w:r>
          </w:p>
        </w:tc>
      </w:tr>
      <w:tr>
        <w:tblPrEx>
          <w:tblCellMar>
            <w:top w:w="0" w:type="dxa"/>
            <w:left w:w="0" w:type="dxa"/>
            <w:bottom w:w="0" w:type="dxa"/>
            <w:right w:w="0" w:type="dxa"/>
          </w:tblCellMar>
        </w:tblPrEx>
        <w:trPr>
          <w:trHeight w:val="524" w:hRule="atLeast"/>
        </w:trPr>
        <w:tc>
          <w:tcPr>
            <w:tcW w:w="377"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1918"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名称</w:t>
            </w:r>
          </w:p>
        </w:tc>
        <w:tc>
          <w:tcPr>
            <w:tcW w:w="2874"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项目特征</w:t>
            </w:r>
          </w:p>
        </w:tc>
        <w:tc>
          <w:tcPr>
            <w:tcW w:w="378"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378"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c>
          <w:tcPr>
            <w:tcW w:w="12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金额（元）</w:t>
            </w:r>
          </w:p>
        </w:tc>
        <w:tc>
          <w:tcPr>
            <w:tcW w:w="2840" w:type="dxa"/>
            <w:vMerge w:val="restart"/>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shd w:val="clear"/>
          <w:tblCellMar>
            <w:top w:w="0" w:type="dxa"/>
            <w:left w:w="0" w:type="dxa"/>
            <w:bottom w:w="0" w:type="dxa"/>
            <w:right w:w="0" w:type="dxa"/>
          </w:tblCellMar>
        </w:tblPrEx>
        <w:trPr>
          <w:trHeight w:val="874" w:hRule="atLeast"/>
        </w:trPr>
        <w:tc>
          <w:tcPr>
            <w:tcW w:w="377"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8"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874"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378"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378"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含税单价</w:t>
            </w:r>
          </w:p>
        </w:tc>
        <w:tc>
          <w:tcPr>
            <w:tcW w:w="6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总价</w:t>
            </w:r>
          </w:p>
        </w:tc>
        <w:tc>
          <w:tcPr>
            <w:tcW w:w="2840" w:type="dxa"/>
            <w:vMerge w:val="continue"/>
            <w:tcBorders>
              <w:top w:val="single" w:color="000000" w:sz="4" w:space="0"/>
              <w:left w:val="single" w:color="000000" w:sz="4" w:space="0"/>
              <w:bottom w:val="nil"/>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2535" w:hRule="atLeast"/>
        </w:trPr>
        <w:tc>
          <w:tcPr>
            <w:tcW w:w="37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9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钢质单开门（M1024）有亮窗无观察窗</w:t>
            </w:r>
          </w:p>
        </w:tc>
        <w:tc>
          <w:tcPr>
            <w:tcW w:w="28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1.门代号及洞口尺寸:M1000*2400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2.门框、扇材质:钢质门 门框厚度1.5mm，门板厚度0.8mm，有亮窗，无观察窗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2.五金安装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3.旧门拆除及场内转运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4、门洞修补</w:t>
            </w:r>
          </w:p>
        </w:tc>
        <w:tc>
          <w:tcPr>
            <w:tcW w:w="3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樘</w:t>
            </w:r>
          </w:p>
        </w:tc>
        <w:tc>
          <w:tcPr>
            <w:tcW w:w="3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2050</w:t>
            </w:r>
          </w:p>
        </w:tc>
        <w:tc>
          <w:tcPr>
            <w:tcW w:w="6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47150</w:t>
            </w:r>
          </w:p>
        </w:tc>
        <w:tc>
          <w:tcPr>
            <w:tcW w:w="284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此价格包含新门采购、安装、运输；旧门拆除场内转运；门洞修补；税金</w:t>
            </w:r>
          </w:p>
        </w:tc>
      </w:tr>
      <w:tr>
        <w:tblPrEx>
          <w:tblCellMar>
            <w:top w:w="0" w:type="dxa"/>
            <w:left w:w="0" w:type="dxa"/>
            <w:bottom w:w="0" w:type="dxa"/>
            <w:right w:w="0" w:type="dxa"/>
          </w:tblCellMar>
        </w:tblPrEx>
        <w:trPr>
          <w:trHeight w:val="2535" w:hRule="atLeast"/>
        </w:trPr>
        <w:tc>
          <w:tcPr>
            <w:tcW w:w="37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9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钢质单开门（M1024）有亮窗有观察窗</w:t>
            </w:r>
          </w:p>
        </w:tc>
        <w:tc>
          <w:tcPr>
            <w:tcW w:w="28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1.门代号及洞口尺寸:M1000*2400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2.门框、扇材质:钢质门 门框厚度1.5mm，门板厚度0.8mm，有亮窗，有观察窗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2.五金安装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3.旧门拆除及场内转运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4、门洞修补</w:t>
            </w:r>
          </w:p>
        </w:tc>
        <w:tc>
          <w:tcPr>
            <w:tcW w:w="3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樘</w:t>
            </w:r>
          </w:p>
        </w:tc>
        <w:tc>
          <w:tcPr>
            <w:tcW w:w="3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w:t>
            </w:r>
          </w:p>
        </w:tc>
        <w:tc>
          <w:tcPr>
            <w:tcW w:w="6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w:t>
            </w:r>
          </w:p>
        </w:tc>
        <w:tc>
          <w:tcPr>
            <w:tcW w:w="6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182700</w:t>
            </w:r>
          </w:p>
        </w:tc>
        <w:tc>
          <w:tcPr>
            <w:tcW w:w="284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此价格包含新门采购、安装、运输；旧门拆除场内转运；门洞修补；税金</w:t>
            </w:r>
          </w:p>
        </w:tc>
      </w:tr>
      <w:tr>
        <w:tblPrEx>
          <w:shd w:val="clear"/>
          <w:tblCellMar>
            <w:top w:w="0" w:type="dxa"/>
            <w:left w:w="0" w:type="dxa"/>
            <w:bottom w:w="0" w:type="dxa"/>
            <w:right w:w="0" w:type="dxa"/>
          </w:tblCellMar>
        </w:tblPrEx>
        <w:trPr>
          <w:trHeight w:val="2535" w:hRule="atLeast"/>
        </w:trPr>
        <w:tc>
          <w:tcPr>
            <w:tcW w:w="377" w:type="dxa"/>
            <w:tcBorders>
              <w:top w:val="single" w:color="000000" w:sz="4" w:space="0"/>
              <w:left w:val="single" w:color="000000" w:sz="4" w:space="0"/>
              <w:bottom w:val="single" w:color="auto"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1918" w:type="dxa"/>
            <w:tcBorders>
              <w:top w:val="single" w:color="000000" w:sz="4" w:space="0"/>
              <w:left w:val="single" w:color="000000" w:sz="4" w:space="0"/>
              <w:bottom w:val="single" w:color="auto"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钢质子母门（M1224）有亮窗有观察窗</w:t>
            </w:r>
          </w:p>
        </w:tc>
        <w:tc>
          <w:tcPr>
            <w:tcW w:w="2874" w:type="dxa"/>
            <w:tcBorders>
              <w:top w:val="single" w:color="000000" w:sz="4" w:space="0"/>
              <w:left w:val="single" w:color="000000" w:sz="4" w:space="0"/>
              <w:bottom w:val="single" w:color="auto"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1.门代号及洞口尺寸:M1200*2400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2.门框、扇材质:钢质门 门框厚度1.5mm，门板厚度0.8mm，有亮窗，有观察窗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2.五金安装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3.旧门拆除及场内转运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4、门洞修补</w:t>
            </w:r>
          </w:p>
        </w:tc>
        <w:tc>
          <w:tcPr>
            <w:tcW w:w="378" w:type="dxa"/>
            <w:tcBorders>
              <w:top w:val="single" w:color="000000" w:sz="4" w:space="0"/>
              <w:left w:val="single" w:color="000000" w:sz="4" w:space="0"/>
              <w:bottom w:val="single" w:color="auto"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樘</w:t>
            </w:r>
          </w:p>
        </w:tc>
        <w:tc>
          <w:tcPr>
            <w:tcW w:w="3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2440</w:t>
            </w:r>
          </w:p>
        </w:tc>
        <w:tc>
          <w:tcPr>
            <w:tcW w:w="6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29280</w:t>
            </w:r>
          </w:p>
        </w:tc>
        <w:tc>
          <w:tcPr>
            <w:tcW w:w="284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此价格包含新门采购、安装、运输；旧门拆除场内转运；门洞修补；税金</w:t>
            </w:r>
          </w:p>
        </w:tc>
      </w:tr>
      <w:tr>
        <w:tblPrEx>
          <w:shd w:val="clear"/>
          <w:tblCellMar>
            <w:top w:w="0" w:type="dxa"/>
            <w:left w:w="0" w:type="dxa"/>
            <w:bottom w:w="0" w:type="dxa"/>
            <w:right w:w="0" w:type="dxa"/>
          </w:tblCellMar>
        </w:tblPrEx>
        <w:trPr>
          <w:trHeight w:val="2273" w:hRule="atLeast"/>
        </w:trPr>
        <w:tc>
          <w:tcPr>
            <w:tcW w:w="377" w:type="dxa"/>
            <w:tcBorders>
              <w:top w:val="single" w:color="auto" w:sz="4" w:space="0"/>
              <w:left w:val="single" w:color="auto"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918" w:type="dxa"/>
            <w:tcBorders>
              <w:top w:val="single" w:color="auto"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钢质双开防火门（M2424）</w:t>
            </w:r>
          </w:p>
        </w:tc>
        <w:tc>
          <w:tcPr>
            <w:tcW w:w="2874" w:type="dxa"/>
            <w:tcBorders>
              <w:top w:val="single" w:color="auto"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1.门代号及洞口尺寸:M2400*2400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2.门框、扇材质:钢质防火门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[工作内容]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1.门安装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2.五金安装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3.旧门拆除及场内转运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4、门洞修补</w:t>
            </w:r>
          </w:p>
        </w:tc>
        <w:tc>
          <w:tcPr>
            <w:tcW w:w="378" w:type="dxa"/>
            <w:tcBorders>
              <w:top w:val="single" w:color="auto" w:sz="4" w:space="0"/>
              <w:left w:val="single" w:color="000000" w:sz="4" w:space="0"/>
              <w:bottom w:val="single" w:color="000000"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樘</w:t>
            </w:r>
          </w:p>
        </w:tc>
        <w:tc>
          <w:tcPr>
            <w:tcW w:w="378" w:type="dxa"/>
            <w:tcBorders>
              <w:top w:val="single" w:color="000000" w:sz="4" w:space="0"/>
              <w:left w:val="single" w:color="auto"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4350 </w:t>
            </w:r>
          </w:p>
        </w:tc>
        <w:tc>
          <w:tcPr>
            <w:tcW w:w="6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47850</w:t>
            </w:r>
          </w:p>
        </w:tc>
        <w:tc>
          <w:tcPr>
            <w:tcW w:w="284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此价格包含新门采购、安装、运输；旧门拆除场内转运；门洞修补；税金</w:t>
            </w:r>
          </w:p>
        </w:tc>
      </w:tr>
      <w:tr>
        <w:tblPrEx>
          <w:tblCellMar>
            <w:top w:w="0" w:type="dxa"/>
            <w:left w:w="0" w:type="dxa"/>
            <w:bottom w:w="0" w:type="dxa"/>
            <w:right w:w="0" w:type="dxa"/>
          </w:tblCellMar>
        </w:tblPrEx>
        <w:trPr>
          <w:trHeight w:val="941" w:hRule="atLeast"/>
        </w:trPr>
        <w:tc>
          <w:tcPr>
            <w:tcW w:w="5547" w:type="dxa"/>
            <w:gridSpan w:val="4"/>
            <w:tcBorders>
              <w:top w:val="single" w:color="000000"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合计（元）</w:t>
            </w:r>
          </w:p>
        </w:tc>
        <w:tc>
          <w:tcPr>
            <w:tcW w:w="378" w:type="dxa"/>
            <w:tcBorders>
              <w:top w:val="single" w:color="000000" w:sz="4" w:space="0"/>
              <w:left w:val="single" w:color="auto"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133 </w:t>
            </w:r>
          </w:p>
        </w:tc>
        <w:tc>
          <w:tcPr>
            <w:tcW w:w="622"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rPr>
                <w:rFonts w:hint="eastAsia" w:ascii="宋体" w:hAnsi="宋体" w:eastAsia="宋体" w:cs="宋体"/>
                <w:i w:val="0"/>
                <w:color w:val="000000"/>
                <w:sz w:val="24"/>
                <w:szCs w:val="24"/>
                <w:u w:val="none"/>
              </w:rPr>
            </w:pPr>
          </w:p>
        </w:tc>
        <w:tc>
          <w:tcPr>
            <w:tcW w:w="613" w:type="dxa"/>
            <w:tcBorders>
              <w:top w:val="single" w:color="000000" w:sz="4" w:space="0"/>
              <w:left w:val="single" w:color="000000" w:sz="4" w:space="0"/>
              <w:bottom w:val="single" w:color="000000" w:sz="4" w:space="0"/>
              <w:right w:val="nil"/>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306980 </w:t>
            </w:r>
          </w:p>
        </w:tc>
        <w:tc>
          <w:tcPr>
            <w:tcW w:w="284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32"/>
                <w:szCs w:val="32"/>
                <w:u w:val="none"/>
              </w:rPr>
            </w:pPr>
          </w:p>
        </w:tc>
      </w:tr>
    </w:tbl>
    <w:p>
      <w:pPr>
        <w:rPr>
          <w:color w:val="auto"/>
          <w:highlight w:val="none"/>
          <w:lang w:val="en-US"/>
        </w:rPr>
      </w:pPr>
    </w:p>
    <w:p>
      <w:pPr>
        <w:pStyle w:val="6"/>
        <w:spacing w:before="0" w:after="0" w:line="240" w:lineRule="auto"/>
        <w:rPr>
          <w:rFonts w:ascii="仿宋" w:hAnsi="仿宋" w:eastAsia="仿宋" w:cs="仿宋"/>
          <w:color w:val="auto"/>
          <w:sz w:val="24"/>
          <w:szCs w:val="24"/>
          <w:highlight w:val="none"/>
        </w:rPr>
      </w:pPr>
      <w:bookmarkStart w:id="114" w:name="_Toc6210"/>
      <w:r>
        <w:rPr>
          <w:rFonts w:hint="eastAsia" w:ascii="仿宋" w:hAnsi="仿宋" w:eastAsia="仿宋" w:cs="仿宋"/>
          <w:color w:val="auto"/>
          <w:sz w:val="24"/>
          <w:szCs w:val="24"/>
          <w:highlight w:val="none"/>
        </w:rPr>
        <w:t>※三、</w:t>
      </w:r>
      <w:bookmarkEnd w:id="103"/>
      <w:bookmarkEnd w:id="104"/>
      <w:bookmarkEnd w:id="105"/>
      <w:bookmarkEnd w:id="106"/>
      <w:bookmarkEnd w:id="107"/>
      <w:r>
        <w:rPr>
          <w:rFonts w:hint="eastAsia" w:ascii="仿宋" w:hAnsi="仿宋" w:eastAsia="仿宋" w:cs="仿宋"/>
          <w:color w:val="auto"/>
          <w:sz w:val="24"/>
          <w:szCs w:val="24"/>
          <w:highlight w:val="none"/>
        </w:rPr>
        <w:t>踏勘现场</w:t>
      </w:r>
      <w:bookmarkEnd w:id="114"/>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不组织。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bookmarkStart w:id="115" w:name="_Toc54879126"/>
      <w:bookmarkStart w:id="116" w:name="_Toc149579020"/>
      <w:bookmarkStart w:id="117" w:name="_Toc55403967"/>
      <w:bookmarkStart w:id="118" w:name="_Toc148521464"/>
      <w:bookmarkStart w:id="119" w:name="_Toc120894142"/>
    </w:p>
    <w:p>
      <w:pPr>
        <w:pStyle w:val="6"/>
        <w:spacing w:before="0" w:after="0" w:line="240" w:lineRule="auto"/>
        <w:rPr>
          <w:rFonts w:ascii="仿宋" w:hAnsi="仿宋" w:eastAsia="仿宋" w:cs="仿宋"/>
          <w:color w:val="auto"/>
          <w:sz w:val="24"/>
          <w:szCs w:val="24"/>
          <w:highlight w:val="none"/>
        </w:rPr>
      </w:pPr>
      <w:bookmarkStart w:id="120" w:name="_Toc11945"/>
      <w:r>
        <w:rPr>
          <w:rFonts w:hint="eastAsia" w:ascii="仿宋" w:hAnsi="仿宋" w:eastAsia="仿宋" w:cs="仿宋"/>
          <w:color w:val="auto"/>
          <w:sz w:val="24"/>
          <w:szCs w:val="24"/>
          <w:highlight w:val="none"/>
        </w:rPr>
        <w:t>※四、其他要求</w:t>
      </w:r>
      <w:bookmarkEnd w:id="12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1.供应商的工作人员在为采购人的服务期间因疾病、工伤、意外伤害、劳动保护等所产生的一切费用，均由成交供应商自行负责。</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在履约服务期限内，供应商自行组织人员完成合同约定事务，并按国家法律法规的要求完善用工制度，供应商为完成合同约定事务自行聘请的人员工资、福利、社保等用工责任由成交供应商自行承担，因供应商未完善而引起的劳动争议由成交供应商自行负责。</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3.供应商人员因自身工作失误造成设备、现场、人员及其他损失由成交供应商自行负责，采购人不承担责任。</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4.供应商在主要材料进场前需提供主要材料的明细清单，明确品牌等信息。经过采购人确认无误后方可进场施工。如采购人对供应商所提供的材料品牌不满意，采购人可要求供应商无条件更换。</w:t>
      </w:r>
    </w:p>
    <w:p>
      <w:pPr>
        <w:pStyle w:val="23"/>
        <w:spacing w:after="0"/>
        <w:rPr>
          <w:rFonts w:ascii="仿宋" w:hAnsi="仿宋" w:eastAsia="仿宋" w:cs="仿宋"/>
          <w:color w:val="auto"/>
          <w:highlight w:val="none"/>
        </w:rPr>
      </w:pPr>
    </w:p>
    <w:bookmarkEnd w:id="92"/>
    <w:bookmarkEnd w:id="93"/>
    <w:bookmarkEnd w:id="94"/>
    <w:bookmarkEnd w:id="95"/>
    <w:bookmarkEnd w:id="96"/>
    <w:bookmarkEnd w:id="97"/>
    <w:bookmarkEnd w:id="98"/>
    <w:bookmarkEnd w:id="99"/>
    <w:bookmarkEnd w:id="100"/>
    <w:bookmarkEnd w:id="115"/>
    <w:bookmarkEnd w:id="116"/>
    <w:bookmarkEnd w:id="117"/>
    <w:bookmarkEnd w:id="118"/>
    <w:bookmarkEnd w:id="119"/>
    <w:p>
      <w:pPr>
        <w:spacing w:after="0"/>
        <w:rPr>
          <w:rFonts w:ascii="仿宋" w:hAnsi="仿宋" w:eastAsia="仿宋" w:cs="仿宋"/>
          <w:color w:val="auto"/>
          <w:highlight w:val="none"/>
        </w:rPr>
      </w:pPr>
      <w:r>
        <w:rPr>
          <w:rFonts w:hint="eastAsia" w:ascii="仿宋" w:hAnsi="仿宋" w:eastAsia="仿宋" w:cs="仿宋"/>
          <w:color w:val="auto"/>
          <w:highlight w:val="none"/>
        </w:rPr>
        <w:br w:type="page"/>
      </w:r>
    </w:p>
    <w:p>
      <w:pPr>
        <w:pStyle w:val="5"/>
        <w:spacing w:before="0" w:after="0"/>
        <w:jc w:val="center"/>
        <w:rPr>
          <w:rStyle w:val="35"/>
          <w:rFonts w:ascii="仿宋" w:hAnsi="仿宋" w:eastAsia="仿宋" w:cs="仿宋"/>
          <w:b/>
          <w:bCs/>
          <w:color w:val="auto"/>
          <w:highlight w:val="none"/>
        </w:rPr>
      </w:pPr>
      <w:bookmarkStart w:id="121" w:name="_Toc13680"/>
      <w:r>
        <w:rPr>
          <w:rStyle w:val="35"/>
          <w:rFonts w:hint="eastAsia" w:ascii="仿宋" w:hAnsi="仿宋" w:eastAsia="仿宋" w:cs="仿宋"/>
          <w:b/>
          <w:bCs/>
          <w:color w:val="auto"/>
          <w:highlight w:val="none"/>
        </w:rPr>
        <w:t>第四篇  商务要求</w:t>
      </w:r>
      <w:bookmarkEnd w:id="121"/>
    </w:p>
    <w:p>
      <w:pPr>
        <w:snapToGrid w:val="0"/>
        <w:spacing w:after="0"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“※”标注的</w:t>
      </w:r>
      <w:r>
        <w:rPr>
          <w:rFonts w:hint="eastAsia" w:ascii="仿宋" w:hAnsi="仿宋" w:eastAsia="仿宋" w:cs="仿宋"/>
          <w:color w:val="auto"/>
          <w:highlight w:val="none"/>
        </w:rPr>
        <w:t>条款</w:t>
      </w:r>
      <w:r>
        <w:rPr>
          <w:rFonts w:ascii="仿宋" w:hAnsi="仿宋" w:eastAsia="仿宋" w:cs="仿宋"/>
          <w:color w:val="auto"/>
          <w:highlight w:val="none"/>
        </w:rPr>
        <w:t>为符合性审查中的实质性要求，响应文件若不满足按无效响应处理。</w:t>
      </w:r>
    </w:p>
    <w:p>
      <w:pPr>
        <w:pStyle w:val="6"/>
        <w:spacing w:before="0" w:after="0" w:line="240" w:lineRule="auto"/>
        <w:rPr>
          <w:rFonts w:ascii="仿宋" w:hAnsi="仿宋" w:eastAsia="仿宋" w:cs="仿宋"/>
          <w:color w:val="auto"/>
          <w:sz w:val="24"/>
          <w:szCs w:val="24"/>
          <w:highlight w:val="none"/>
        </w:rPr>
      </w:pPr>
      <w:bookmarkStart w:id="122" w:name="_Toc344475120"/>
      <w:bookmarkStart w:id="123" w:name="_Toc149579024"/>
      <w:bookmarkStart w:id="124" w:name="_Toc120894146"/>
      <w:bookmarkStart w:id="125" w:name="_Toc19097"/>
      <w:bookmarkStart w:id="126" w:name="_Toc62484881"/>
      <w:bookmarkStart w:id="127" w:name="_Toc148521468"/>
      <w:bookmarkStart w:id="128" w:name="_Toc344475121"/>
      <w:bookmarkStart w:id="129" w:name="_Toc22463"/>
      <w:bookmarkStart w:id="130" w:name="_Toc487204790"/>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rPr>
        <w:t>工期</w:t>
      </w:r>
      <w:r>
        <w:rPr>
          <w:rFonts w:hint="eastAsia" w:ascii="仿宋" w:hAnsi="仿宋" w:eastAsia="仿宋" w:cs="仿宋"/>
          <w:color w:val="auto"/>
          <w:sz w:val="24"/>
          <w:szCs w:val="24"/>
          <w:highlight w:val="none"/>
        </w:rPr>
        <w:t>时间、地点及验收方式</w:t>
      </w:r>
      <w:bookmarkEnd w:id="122"/>
      <w:bookmarkEnd w:id="123"/>
      <w:bookmarkEnd w:id="124"/>
      <w:bookmarkEnd w:id="125"/>
      <w:bookmarkEnd w:id="126"/>
      <w:bookmarkEnd w:id="127"/>
    </w:p>
    <w:p>
      <w:pPr>
        <w:snapToGrid w:val="0"/>
        <w:spacing w:after="0" w:line="360" w:lineRule="auto"/>
        <w:ind w:firstLine="480" w:firstLineChars="200"/>
        <w:rPr>
          <w:rFonts w:ascii="仿宋" w:hAnsi="仿宋" w:eastAsia="仿宋" w:cs="仿宋"/>
          <w:color w:val="auto"/>
          <w:highlight w:val="none"/>
        </w:rPr>
      </w:pPr>
      <w:bookmarkStart w:id="131" w:name="_Toc120894147"/>
      <w:bookmarkStart w:id="132" w:name="_Toc148521469"/>
      <w:bookmarkStart w:id="133" w:name="_Toc149579025"/>
      <w:r>
        <w:rPr>
          <w:rFonts w:hint="eastAsia" w:ascii="仿宋" w:hAnsi="仿宋" w:eastAsia="仿宋" w:cs="仿宋"/>
          <w:color w:val="auto"/>
          <w:highlight w:val="none"/>
        </w:rPr>
        <w:t>（一）工期时间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工期：成交供应商应在采购合同签订之日起2个工作日内组织人员进场施工，采购合同签订后20个日历日内完成工作。（不可抗拒因素除外，每逾期一天按1000元/天扣除签订合同价款金额，逾期5日后采购人有权利取消合同，供应商需赔偿给采购人带来的损失。）</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（二）服务地点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重庆市第一〇四中学校</w:t>
      </w:r>
      <w:r>
        <w:rPr>
          <w:rFonts w:hint="eastAsia" w:ascii="仿宋" w:hAnsi="仿宋" w:eastAsia="仿宋" w:cs="仿宋"/>
          <w:color w:val="auto"/>
          <w:highlight w:val="none"/>
        </w:rPr>
        <w:t>（采购人指定地点）。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（三）验收方式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由采购人按照制作需求自行验收，达到采购文件规定服务标准和要求。</w:t>
      </w:r>
    </w:p>
    <w:p>
      <w:pPr>
        <w:pStyle w:val="6"/>
        <w:spacing w:before="0" w:after="0" w:line="240" w:lineRule="auto"/>
        <w:rPr>
          <w:rFonts w:ascii="仿宋" w:hAnsi="仿宋" w:eastAsia="仿宋" w:cs="仿宋"/>
          <w:color w:val="auto"/>
          <w:sz w:val="24"/>
          <w:szCs w:val="24"/>
          <w:highlight w:val="none"/>
        </w:rPr>
      </w:pPr>
      <w:bookmarkStart w:id="134" w:name="_Toc14417"/>
      <w:r>
        <w:rPr>
          <w:rFonts w:hint="eastAsia" w:ascii="仿宋" w:hAnsi="仿宋" w:eastAsia="仿宋" w:cs="仿宋"/>
          <w:color w:val="auto"/>
          <w:sz w:val="24"/>
          <w:szCs w:val="24"/>
          <w:highlight w:val="none"/>
        </w:rPr>
        <w:t>※二、报价要求</w:t>
      </w:r>
      <w:bookmarkEnd w:id="131"/>
      <w:bookmarkEnd w:id="132"/>
      <w:bookmarkEnd w:id="133"/>
      <w:bookmarkEnd w:id="134"/>
    </w:p>
    <w:p>
      <w:pPr>
        <w:snapToGrid w:val="0"/>
        <w:spacing w:after="0" w:line="360" w:lineRule="auto"/>
        <w:ind w:firstLine="480" w:firstLineChars="200"/>
        <w:rPr>
          <w:rFonts w:ascii="仿宋" w:hAnsi="仿宋" w:eastAsia="仿宋" w:cs="仿宋"/>
          <w:color w:val="auto"/>
          <w:highlight w:val="none"/>
        </w:rPr>
      </w:pPr>
      <w:bookmarkStart w:id="135" w:name="_Toc148521470"/>
      <w:bookmarkStart w:id="136" w:name="_Toc149579026"/>
      <w:bookmarkStart w:id="137" w:name="_Toc54879131"/>
      <w:bookmarkStart w:id="138" w:name="_Toc62484882"/>
      <w:bookmarkStart w:id="139" w:name="_Toc120894148"/>
      <w:bookmarkStart w:id="140" w:name="_Toc49960018"/>
      <w:bookmarkStart w:id="141" w:name="_Toc344475122"/>
      <w:r>
        <w:rPr>
          <w:rFonts w:hint="eastAsia" w:ascii="仿宋" w:hAnsi="仿宋" w:eastAsia="仿宋" w:cs="仿宋"/>
          <w:color w:val="auto"/>
          <w:highlight w:val="none"/>
        </w:rPr>
        <w:t>本次报价为人民币报价。报价包含项目所有费用：如设备费、利润、管理费、风险费、人工费、搬运费、转运费、税费、安装调试费、培训费、劳务费、运输费、安装吊装费、安全费等费用。认真填写各项单价报价明细，响应报价超过最高限价，报价无效。因成交供应商自身原因造成漏报、少报皆由其自行承担责任，采购人不再补偿。</w:t>
      </w:r>
    </w:p>
    <w:bookmarkEnd w:id="135"/>
    <w:bookmarkEnd w:id="136"/>
    <w:bookmarkEnd w:id="137"/>
    <w:bookmarkEnd w:id="138"/>
    <w:bookmarkEnd w:id="139"/>
    <w:bookmarkEnd w:id="140"/>
    <w:p>
      <w:pPr>
        <w:pStyle w:val="6"/>
        <w:spacing w:before="0" w:after="0" w:line="240" w:lineRule="auto"/>
        <w:rPr>
          <w:rFonts w:ascii="仿宋" w:hAnsi="仿宋" w:eastAsia="仿宋" w:cs="仿宋"/>
          <w:color w:val="auto"/>
          <w:sz w:val="24"/>
          <w:szCs w:val="24"/>
          <w:highlight w:val="none"/>
        </w:rPr>
      </w:pPr>
      <w:bookmarkStart w:id="142" w:name="_Toc132705337"/>
      <w:bookmarkStart w:id="143" w:name="_Toc29128"/>
      <w:bookmarkStart w:id="144" w:name="_Toc10878"/>
      <w:bookmarkStart w:id="145" w:name="_Toc62484883"/>
      <w:r>
        <w:rPr>
          <w:rFonts w:hint="eastAsia" w:ascii="仿宋" w:hAnsi="仿宋" w:eastAsia="仿宋" w:cs="仿宋"/>
          <w:color w:val="auto"/>
          <w:sz w:val="24"/>
          <w:szCs w:val="24"/>
          <w:highlight w:val="none"/>
        </w:rPr>
        <w:t>※三、质量保证及售后服务</w:t>
      </w:r>
      <w:bookmarkEnd w:id="142"/>
      <w:bookmarkEnd w:id="143"/>
      <w:bookmarkEnd w:id="144"/>
    </w:p>
    <w:p>
      <w:pPr>
        <w:snapToGrid w:val="0"/>
        <w:spacing w:after="0" w:line="360" w:lineRule="auto"/>
        <w:ind w:firstLine="480" w:firstLineChars="200"/>
        <w:rPr>
          <w:rFonts w:hint="eastAsia" w:ascii="仿宋" w:hAnsi="仿宋" w:eastAsia="仿宋" w:cs="仿宋"/>
          <w:color w:val="auto"/>
          <w:highlight w:val="none"/>
          <w:lang w:val="en-US" w:eastAsia="zh-CN"/>
        </w:rPr>
      </w:pPr>
      <w:bookmarkStart w:id="146" w:name="_Toc9526"/>
      <w:bookmarkStart w:id="147" w:name="_Toc26740"/>
      <w:bookmarkStart w:id="148" w:name="_Toc20684"/>
      <w:bookmarkStart w:id="149" w:name="_Toc267320051"/>
      <w:bookmarkStart w:id="150" w:name="_Toc76373880"/>
      <w:bookmarkStart w:id="151" w:name="_Toc15085"/>
      <w:r>
        <w:rPr>
          <w:rFonts w:hint="eastAsia" w:ascii="仿宋" w:hAnsi="仿宋" w:eastAsia="仿宋" w:cs="仿宋"/>
          <w:color w:val="auto"/>
          <w:highlight w:val="none"/>
          <w:lang w:val="en-US" w:eastAsia="zh-CN"/>
        </w:rPr>
        <w:t>1、质量保证</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（1）供应商应明确承诺：其投标产品质量保证期为1年（自验收合格之日起计算）。</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（2）投标产品属于国家规定“三包”范围的，其产品质量保证期不得低于“三包”规定。</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（3）供应商的质量保证期承诺优于国家“三包”规定的，按供应商实际承诺执行。</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（4）投标产品由制造商（指产品生产制造商，或其负责销售、售后服务机构，以下同）负责标准售后服务的，应当在投标文件中予以明确说明。</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2、售后服务内容</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供应商和制造商在质量保证期内应当为采购人提供以下技术支持和服务：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①在线咨询</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中标人和制造商应当为采购人提供7×24小时的服务支持。在接到用户的服务要求时，电话响应时间不得超过30分钟，通过电话、QQ、微信等方式解答采购人在使用中遇到的问题，及时为采购人提出解决问题的建议。</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②现场响应时间要求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人遇到使用问题，在线咨询不能解决的，中标人和制造商应在5小时内到达现场进行处理，免费更换一切在正常情况下（非人为）损坏的零配件，确保产品正常工作。若现场无法排除故障需返厂维修，供应商应提供同规格备用产品。故障排除周期不得超过5个工作日。超过5个工作日无法修复的，供应商应更换同类型新品（若同类型产品停产应更换规格不低于投标产品的新品）。</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故障排除周期计算方法为：自产品出现故障到故障排除之间的工作日。</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3、其他服务要求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成交供应商应在履行合同的过程中，对所有货物和服务的质量负责。必须保证提供的货物和服务符合合同中有关型号、生产厂家、技术、交付、验收等要求。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4、质保期外服务要求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（1）质量保证期过后，供应商和制造商应同样提供免费电话咨询服务。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（2）质量保证期过后，采购人需要继续由原供应商和制造商提供售后服务的，该供应商和制造商应以优惠价格提供售后服务。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（三）备品备件及易损件</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中标人和制造商售后服务中，维修使用的备品备件及易损件应为原厂配件，未经采购人同意不得使用非原厂配件。</w:t>
      </w:r>
    </w:p>
    <w:bookmarkEnd w:id="146"/>
    <w:bookmarkEnd w:id="147"/>
    <w:bookmarkEnd w:id="148"/>
    <w:bookmarkEnd w:id="149"/>
    <w:bookmarkEnd w:id="150"/>
    <w:bookmarkEnd w:id="151"/>
    <w:p>
      <w:pPr>
        <w:pStyle w:val="6"/>
        <w:spacing w:before="0" w:after="0" w:line="240" w:lineRule="auto"/>
        <w:rPr>
          <w:rFonts w:ascii="仿宋" w:hAnsi="仿宋" w:eastAsia="仿宋" w:cs="仿宋"/>
          <w:color w:val="auto"/>
          <w:sz w:val="24"/>
          <w:szCs w:val="24"/>
          <w:highlight w:val="none"/>
        </w:rPr>
      </w:pPr>
      <w:bookmarkStart w:id="152" w:name="_Toc644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四</w:t>
      </w:r>
      <w:r>
        <w:rPr>
          <w:rFonts w:hint="eastAsia" w:ascii="仿宋" w:hAnsi="仿宋" w:eastAsia="仿宋" w:cs="仿宋"/>
          <w:color w:val="auto"/>
          <w:sz w:val="24"/>
          <w:szCs w:val="24"/>
          <w:highlight w:val="none"/>
        </w:rPr>
        <w:t>、付款方式</w:t>
      </w:r>
      <w:bookmarkEnd w:id="141"/>
      <w:bookmarkEnd w:id="145"/>
      <w:bookmarkEnd w:id="152"/>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项目完工并经采购人验收合格后，采购人将依据实际结算金额向成交供应商支付款项。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注：采购人付款前，供应商应向采购人开具等额法定税务发票，且开票方需与乙方名称一致，如乙方未开具发票，甲方有权延迟付款而不承担任何责任。</w:t>
      </w:r>
    </w:p>
    <w:p>
      <w:pPr>
        <w:pStyle w:val="6"/>
        <w:spacing w:before="0" w:after="0" w:line="240" w:lineRule="auto"/>
        <w:rPr>
          <w:rFonts w:ascii="仿宋" w:hAnsi="仿宋" w:eastAsia="仿宋" w:cs="仿宋"/>
          <w:color w:val="auto"/>
          <w:sz w:val="24"/>
          <w:szCs w:val="24"/>
          <w:highlight w:val="none"/>
        </w:rPr>
      </w:pPr>
      <w:bookmarkStart w:id="153" w:name="_Toc2251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五</w:t>
      </w:r>
      <w:r>
        <w:rPr>
          <w:rFonts w:hint="eastAsia" w:ascii="仿宋" w:hAnsi="仿宋" w:eastAsia="仿宋" w:cs="仿宋"/>
          <w:color w:val="auto"/>
          <w:sz w:val="24"/>
          <w:szCs w:val="24"/>
          <w:highlight w:val="none"/>
        </w:rPr>
        <w:t>、转包、分包</w:t>
      </w:r>
      <w:bookmarkEnd w:id="153"/>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pPr>
        <w:pStyle w:val="6"/>
        <w:spacing w:before="0" w:after="0" w:line="240" w:lineRule="auto"/>
        <w:rPr>
          <w:rFonts w:ascii="仿宋" w:hAnsi="仿宋" w:eastAsia="仿宋" w:cs="仿宋"/>
          <w:color w:val="auto"/>
          <w:sz w:val="24"/>
          <w:szCs w:val="24"/>
          <w:highlight w:val="none"/>
        </w:rPr>
      </w:pPr>
      <w:bookmarkStart w:id="154" w:name="_Toc344475124"/>
      <w:bookmarkStart w:id="155" w:name="_Toc149579029"/>
      <w:bookmarkStart w:id="156" w:name="_Toc148521473"/>
      <w:bookmarkStart w:id="157" w:name="_Toc120894151"/>
      <w:bookmarkStart w:id="158" w:name="_Toc62484885"/>
      <w:bookmarkStart w:id="159" w:name="_Toc54879135"/>
      <w:bookmarkStart w:id="160" w:name="_Toc1120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六</w:t>
      </w:r>
      <w:r>
        <w:rPr>
          <w:rFonts w:hint="eastAsia" w:ascii="仿宋" w:hAnsi="仿宋" w:eastAsia="仿宋" w:cs="仿宋"/>
          <w:color w:val="auto"/>
          <w:sz w:val="24"/>
          <w:szCs w:val="24"/>
          <w:highlight w:val="none"/>
        </w:rPr>
        <w:t>、</w:t>
      </w:r>
      <w:bookmarkEnd w:id="154"/>
      <w:bookmarkStart w:id="161" w:name="_Toc344475125"/>
      <w:r>
        <w:rPr>
          <w:rFonts w:hint="eastAsia" w:ascii="仿宋" w:hAnsi="仿宋" w:eastAsia="仿宋" w:cs="仿宋"/>
          <w:color w:val="auto"/>
          <w:sz w:val="24"/>
          <w:szCs w:val="24"/>
          <w:highlight w:val="none"/>
        </w:rPr>
        <w:t>其他</w:t>
      </w:r>
      <w:bookmarkEnd w:id="155"/>
      <w:bookmarkEnd w:id="156"/>
      <w:bookmarkEnd w:id="157"/>
      <w:bookmarkEnd w:id="158"/>
      <w:bookmarkEnd w:id="159"/>
      <w:bookmarkEnd w:id="160"/>
    </w:p>
    <w:bookmarkEnd w:id="161"/>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（一）其他未尽事宜由供需双方在采购合同中详细约定。</w:t>
      </w:r>
    </w:p>
    <w:p>
      <w:pPr>
        <w:pStyle w:val="8"/>
        <w:spacing w:after="0"/>
        <w:rPr>
          <w:rFonts w:ascii="仿宋" w:hAnsi="仿宋" w:eastAsia="仿宋" w:cs="仿宋"/>
          <w:color w:val="auto"/>
          <w:highlight w:val="none"/>
        </w:rPr>
      </w:pPr>
      <w:r>
        <w:rPr>
          <w:rFonts w:hint="eastAsia" w:ascii="仿宋" w:hAnsi="仿宋" w:eastAsia="仿宋" w:cs="仿宋"/>
          <w:color w:val="auto"/>
          <w:highlight w:val="none"/>
        </w:rPr>
        <w:br w:type="page"/>
      </w:r>
    </w:p>
    <w:p>
      <w:pPr>
        <w:pStyle w:val="5"/>
        <w:spacing w:before="0" w:after="0" w:line="360" w:lineRule="auto"/>
        <w:jc w:val="center"/>
        <w:rPr>
          <w:rFonts w:ascii="仿宋" w:hAnsi="仿宋" w:eastAsia="仿宋" w:cs="仿宋"/>
          <w:b w:val="0"/>
          <w:color w:val="auto"/>
          <w:highlight w:val="none"/>
        </w:rPr>
      </w:pPr>
      <w:bookmarkStart w:id="162" w:name="_Toc11688"/>
      <w:r>
        <w:rPr>
          <w:rFonts w:hint="eastAsia" w:ascii="仿宋" w:hAnsi="仿宋" w:eastAsia="仿宋" w:cs="仿宋"/>
          <w:bCs w:val="0"/>
          <w:color w:val="auto"/>
          <w:highlight w:val="none"/>
        </w:rPr>
        <w:t>第五篇  合同草案</w:t>
      </w:r>
      <w:bookmarkEnd w:id="162"/>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一、合同说明</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本篇为合同草案，最终以双方实际签订的合同为准。</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二、合同部分</w:t>
      </w:r>
    </w:p>
    <w:p>
      <w:pPr>
        <w:overflowPunct w:val="0"/>
        <w:autoSpaceDE w:val="0"/>
        <w:autoSpaceDN w:val="0"/>
        <w:adjustRightInd w:val="0"/>
        <w:snapToGrid w:val="0"/>
        <w:spacing w:after="0"/>
        <w:textAlignment w:val="baseline"/>
        <w:rPr>
          <w:rFonts w:ascii="仿宋" w:hAnsi="仿宋" w:eastAsia="仿宋" w:cs="仿宋"/>
          <w:color w:val="auto"/>
          <w:sz w:val="21"/>
          <w:highlight w:val="none"/>
        </w:rPr>
      </w:pPr>
    </w:p>
    <w:p>
      <w:pPr>
        <w:spacing w:after="0" w:line="500" w:lineRule="exact"/>
        <w:jc w:val="center"/>
        <w:rPr>
          <w:rFonts w:ascii="仿宋" w:hAnsi="仿宋" w:eastAsia="仿宋" w:cs="仿宋"/>
          <w:color w:val="auto"/>
          <w:highlight w:val="none"/>
        </w:rPr>
      </w:pPr>
      <w:r>
        <w:rPr>
          <w:rFonts w:hint="eastAsia" w:ascii="仿宋" w:hAnsi="仿宋" w:eastAsia="仿宋" w:cs="仿宋"/>
          <w:b/>
          <w:color w:val="auto"/>
          <w:sz w:val="44"/>
          <w:highlight w:val="none"/>
        </w:rPr>
        <w:t>采购合同</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甲方（需方）：___________________________      计价单位：____________</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乙方（供方）：___________________________      计量单位：_____________</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经双方协商一致，达成以下购销合同：</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134"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567"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p>
        </w:tc>
        <w:tc>
          <w:tcPr>
            <w:tcW w:w="984" w:type="dxa"/>
            <w:vAlign w:val="center"/>
          </w:tcPr>
          <w:p>
            <w:pPr>
              <w:spacing w:after="0" w:line="240" w:lineRule="atLeast"/>
              <w:jc w:val="center"/>
              <w:rPr>
                <w:rFonts w:ascii="仿宋" w:hAnsi="仿宋" w:eastAsia="仿宋" w:cs="仿宋"/>
                <w:color w:val="auto"/>
                <w:sz w:val="21"/>
                <w:szCs w:val="21"/>
                <w:highlight w:val="none"/>
              </w:rPr>
            </w:pP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p>
        </w:tc>
        <w:tc>
          <w:tcPr>
            <w:tcW w:w="1134" w:type="dxa"/>
            <w:vAlign w:val="center"/>
          </w:tcPr>
          <w:p>
            <w:pPr>
              <w:spacing w:after="0" w:line="240" w:lineRule="atLeast"/>
              <w:jc w:val="center"/>
              <w:rPr>
                <w:rFonts w:ascii="仿宋" w:hAnsi="仿宋" w:eastAsia="仿宋" w:cs="仿宋"/>
                <w:color w:val="auto"/>
                <w:sz w:val="21"/>
                <w:szCs w:val="21"/>
                <w:highlight w:val="none"/>
              </w:rPr>
            </w:pPr>
          </w:p>
        </w:tc>
        <w:tc>
          <w:tcPr>
            <w:tcW w:w="1559" w:type="dxa"/>
            <w:vAlign w:val="center"/>
          </w:tcPr>
          <w:p>
            <w:pPr>
              <w:spacing w:after="0" w:line="240" w:lineRule="atLeast"/>
              <w:jc w:val="center"/>
              <w:rPr>
                <w:rFonts w:ascii="仿宋" w:hAnsi="仿宋" w:eastAsia="仿宋" w:cs="仿宋"/>
                <w:color w:val="auto"/>
                <w:sz w:val="21"/>
                <w:szCs w:val="21"/>
                <w:highlight w:val="none"/>
              </w:rPr>
            </w:pPr>
          </w:p>
        </w:tc>
        <w:tc>
          <w:tcPr>
            <w:tcW w:w="1567" w:type="dxa"/>
            <w:vAlign w:val="center"/>
          </w:tcPr>
          <w:p>
            <w:pPr>
              <w:spacing w:after="0"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p>
        </w:tc>
        <w:tc>
          <w:tcPr>
            <w:tcW w:w="984" w:type="dxa"/>
            <w:vAlign w:val="center"/>
          </w:tcPr>
          <w:p>
            <w:pPr>
              <w:spacing w:after="0" w:line="240" w:lineRule="atLeast"/>
              <w:jc w:val="center"/>
              <w:rPr>
                <w:rFonts w:ascii="仿宋" w:hAnsi="仿宋" w:eastAsia="仿宋" w:cs="仿宋"/>
                <w:color w:val="auto"/>
                <w:sz w:val="21"/>
                <w:szCs w:val="21"/>
                <w:highlight w:val="none"/>
              </w:rPr>
            </w:pP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p>
        </w:tc>
        <w:tc>
          <w:tcPr>
            <w:tcW w:w="1134" w:type="dxa"/>
            <w:vAlign w:val="center"/>
          </w:tcPr>
          <w:p>
            <w:pPr>
              <w:spacing w:after="0" w:line="240" w:lineRule="atLeast"/>
              <w:jc w:val="center"/>
              <w:rPr>
                <w:rFonts w:ascii="仿宋" w:hAnsi="仿宋" w:eastAsia="仿宋" w:cs="仿宋"/>
                <w:color w:val="auto"/>
                <w:sz w:val="21"/>
                <w:szCs w:val="21"/>
                <w:highlight w:val="none"/>
              </w:rPr>
            </w:pPr>
          </w:p>
        </w:tc>
        <w:tc>
          <w:tcPr>
            <w:tcW w:w="1559" w:type="dxa"/>
            <w:vAlign w:val="center"/>
          </w:tcPr>
          <w:p>
            <w:pPr>
              <w:spacing w:after="0" w:line="240" w:lineRule="atLeast"/>
              <w:jc w:val="center"/>
              <w:rPr>
                <w:rFonts w:ascii="仿宋" w:hAnsi="仿宋" w:eastAsia="仿宋" w:cs="仿宋"/>
                <w:color w:val="auto"/>
                <w:sz w:val="21"/>
                <w:szCs w:val="21"/>
                <w:highlight w:val="none"/>
              </w:rPr>
            </w:pPr>
          </w:p>
        </w:tc>
        <w:tc>
          <w:tcPr>
            <w:tcW w:w="1567" w:type="dxa"/>
            <w:vAlign w:val="center"/>
          </w:tcPr>
          <w:p>
            <w:pPr>
              <w:spacing w:after="0"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spacing w:after="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1.采购文件及其澄清文件、响应文件和承诺是本合同不可分割的部分。</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2.本合同如发生争议由双方协商解决，协商不成向需方所在人民法院提请诉讼。</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需方__份，供方__份，具同等法律效力。</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4984" w:type="dxa"/>
            <w:gridSpan w:val="5"/>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spacing w:after="0" w:line="240" w:lineRule="atLeast"/>
              <w:rPr>
                <w:rFonts w:ascii="仿宋" w:hAnsi="仿宋" w:eastAsia="仿宋" w:cs="仿宋"/>
                <w:color w:val="auto"/>
                <w:sz w:val="21"/>
                <w:szCs w:val="21"/>
                <w:highlight w:val="none"/>
              </w:rPr>
            </w:pPr>
          </w:p>
          <w:p>
            <w:pPr>
              <w:spacing w:after="0" w:line="240" w:lineRule="atLeast"/>
              <w:rPr>
                <w:rFonts w:ascii="仿宋" w:hAnsi="仿宋" w:eastAsia="仿宋" w:cs="仿宋"/>
                <w:color w:val="auto"/>
                <w:sz w:val="21"/>
                <w:szCs w:val="21"/>
                <w:highlight w:val="none"/>
              </w:rPr>
            </w:pPr>
          </w:p>
        </w:tc>
      </w:tr>
    </w:tbl>
    <w:p>
      <w:pPr>
        <w:overflowPunct w:val="0"/>
        <w:autoSpaceDE w:val="0"/>
        <w:autoSpaceDN w:val="0"/>
        <w:adjustRightInd w:val="0"/>
        <w:snapToGrid w:val="0"/>
        <w:spacing w:after="0" w:line="360" w:lineRule="auto"/>
        <w:textAlignment w:val="baseline"/>
        <w:rPr>
          <w:rFonts w:ascii="仿宋" w:hAnsi="仿宋" w:eastAsia="仿宋" w:cs="仿宋"/>
          <w:snapToGrid w:val="0"/>
          <w:color w:val="auto"/>
          <w:sz w:val="15"/>
          <w:szCs w:val="15"/>
          <w:highlight w:val="none"/>
        </w:rPr>
      </w:pPr>
      <w:r>
        <w:rPr>
          <w:rFonts w:hint="eastAsia" w:ascii="仿宋" w:hAnsi="仿宋" w:eastAsia="仿宋" w:cs="仿宋"/>
          <w:color w:val="auto"/>
          <w:highlight w:val="none"/>
        </w:rPr>
        <w:t>签约时间：           年   月   日      签约地点：</w:t>
      </w:r>
    </w:p>
    <w:bookmarkEnd w:id="101"/>
    <w:bookmarkEnd w:id="102"/>
    <w:bookmarkEnd w:id="128"/>
    <w:bookmarkEnd w:id="129"/>
    <w:bookmarkEnd w:id="130"/>
    <w:p>
      <w:pPr>
        <w:spacing w:after="0"/>
        <w:rPr>
          <w:rFonts w:ascii="仿宋" w:hAnsi="仿宋" w:eastAsia="仿宋" w:cs="仿宋"/>
          <w:color w:val="auto"/>
          <w:highlight w:val="none"/>
        </w:rPr>
      </w:pPr>
      <w:bookmarkStart w:id="163" w:name="_Toc487204796"/>
      <w:bookmarkStart w:id="164" w:name="_Toc12942"/>
      <w:r>
        <w:rPr>
          <w:rFonts w:hint="eastAsia" w:ascii="仿宋" w:hAnsi="仿宋" w:eastAsia="仿宋" w:cs="仿宋"/>
          <w:color w:val="auto"/>
          <w:highlight w:val="none"/>
        </w:rPr>
        <w:br w:type="page"/>
      </w:r>
    </w:p>
    <w:p>
      <w:pPr>
        <w:pStyle w:val="5"/>
        <w:spacing w:before="0" w:after="0" w:line="360" w:lineRule="auto"/>
        <w:jc w:val="center"/>
        <w:rPr>
          <w:rFonts w:ascii="仿宋" w:hAnsi="仿宋" w:eastAsia="仿宋" w:cs="仿宋"/>
          <w:b w:val="0"/>
          <w:color w:val="auto"/>
          <w:highlight w:val="none"/>
        </w:rPr>
      </w:pPr>
      <w:bookmarkStart w:id="165" w:name="_Toc26164"/>
      <w:r>
        <w:rPr>
          <w:rFonts w:hint="eastAsia" w:ascii="仿宋" w:hAnsi="仿宋" w:eastAsia="仿宋" w:cs="仿宋"/>
          <w:bCs w:val="0"/>
          <w:color w:val="auto"/>
          <w:highlight w:val="none"/>
        </w:rPr>
        <w:t>第六篇  响应文件格式要求</w:t>
      </w:r>
      <w:bookmarkEnd w:id="163"/>
      <w:bookmarkEnd w:id="164"/>
      <w:bookmarkEnd w:id="165"/>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一、经济部分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（一）报价函</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（二）明细报价表</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二、技术部分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（一）技术应答</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（二）技术响应偏离表</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三、商务部分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（一）服务要求响应情况：交货时间、交货地点、质量保证期、售后服务条款等。</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（一）商务响应偏离表</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（二）其它优惠承诺</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四、资格条件及其他</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（二）法定代表人身份证明书（格式）</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（三）法定代表人授权委托书（格式）</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（四）基本资格条件承诺函（格式）</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五、其他应提供的资料</w:t>
      </w:r>
    </w:p>
    <w:p>
      <w:pPr>
        <w:spacing w:after="0" w:line="360" w:lineRule="auto"/>
        <w:ind w:firstLine="480" w:firstLineChars="200"/>
        <w:rPr>
          <w:rFonts w:ascii="仿宋" w:hAnsi="仿宋" w:eastAsia="仿宋" w:cs="仿宋"/>
          <w:color w:val="auto"/>
          <w:highlight w:val="none"/>
          <w:bdr w:val="single" w:color="auto" w:sz="4" w:space="0"/>
        </w:rPr>
        <w:sectPr>
          <w:headerReference r:id="rId10" w:type="default"/>
          <w:footerReference r:id="rId11" w:type="default"/>
          <w:type w:val="continuous"/>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color w:val="auto"/>
          <w:highlight w:val="none"/>
        </w:rPr>
        <w:t>（一）其他与项目有关的资料（自附）</w:t>
      </w:r>
    </w:p>
    <w:p>
      <w:pPr>
        <w:pStyle w:val="6"/>
        <w:spacing w:before="0" w:after="0" w:line="360" w:lineRule="auto"/>
        <w:rPr>
          <w:rFonts w:ascii="仿宋" w:hAnsi="仿宋" w:eastAsia="仿宋" w:cs="仿宋"/>
          <w:color w:val="auto"/>
          <w:sz w:val="24"/>
          <w:szCs w:val="24"/>
          <w:highlight w:val="none"/>
        </w:rPr>
      </w:pPr>
      <w:bookmarkStart w:id="166" w:name="_Toc486585240"/>
      <w:bookmarkStart w:id="167" w:name="_Toc487204797"/>
      <w:bookmarkStart w:id="168" w:name="_Toc486608277"/>
      <w:bookmarkStart w:id="169" w:name="_Toc8070"/>
      <w:bookmarkStart w:id="170" w:name="_Toc14854"/>
      <w:r>
        <w:rPr>
          <w:rFonts w:hint="eastAsia" w:ascii="仿宋" w:hAnsi="仿宋" w:eastAsia="仿宋" w:cs="仿宋"/>
          <w:color w:val="auto"/>
          <w:sz w:val="24"/>
          <w:szCs w:val="24"/>
          <w:highlight w:val="none"/>
        </w:rPr>
        <w:t>一、经济部分</w:t>
      </w:r>
      <w:bookmarkEnd w:id="166"/>
      <w:bookmarkEnd w:id="167"/>
      <w:bookmarkEnd w:id="168"/>
      <w:bookmarkEnd w:id="169"/>
      <w:bookmarkEnd w:id="170"/>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（一）报价函</w:t>
      </w:r>
    </w:p>
    <w:p>
      <w:pPr>
        <w:tabs>
          <w:tab w:val="left" w:pos="6300"/>
        </w:tabs>
        <w:snapToGrid w:val="0"/>
        <w:spacing w:after="0" w:line="360" w:lineRule="auto"/>
        <w:ind w:firstLine="480" w:firstLineChars="200"/>
        <w:jc w:val="center"/>
        <w:rPr>
          <w:rFonts w:ascii="仿宋" w:hAnsi="仿宋" w:eastAsia="仿宋" w:cs="仿宋"/>
          <w:color w:val="auto"/>
          <w:highlight w:val="none"/>
        </w:rPr>
      </w:pPr>
      <w:r>
        <w:rPr>
          <w:rFonts w:hint="eastAsia" w:ascii="仿宋" w:hAnsi="仿宋" w:eastAsia="仿宋" w:cs="仿宋"/>
          <w:color w:val="auto"/>
          <w:highlight w:val="none"/>
        </w:rPr>
        <w:t>报价函</w:t>
      </w:r>
    </w:p>
    <w:p>
      <w:pPr>
        <w:tabs>
          <w:tab w:val="left" w:pos="6300"/>
        </w:tabs>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我方收到____________________________（比选项目名称）的比选通知书，经详细研究，决定参加该项目的比选。</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1.愿意按照比选通知书中的一切要求，提供本项目的交货及技术服务，报价为人民币大写：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；人民币小写：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2.我方现提交的响应文件为：响应文件正本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3.我方承诺：本次比选的有效期为90天。</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4.我方完全理解和接受贵方比选通知书的一切规定和要求及比选评审办法。</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5.在整个比选过程中，我方若有违规行为，接受按照《中华人民共和国政府采购法》和《比选通知书》之规定给予惩罚。</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8.我方未为采购项目提供整体设计、规范编制或者项目管理、监理、检测等服务。</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地址：</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电话：                   传真：</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网址：                   邮编：</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联系人：</w:t>
      </w:r>
    </w:p>
    <w:p>
      <w:pPr>
        <w:snapToGrid w:val="0"/>
        <w:spacing w:after="0" w:line="360" w:lineRule="auto"/>
        <w:ind w:right="480"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after="0" w:line="380" w:lineRule="exact"/>
        <w:rPr>
          <w:rFonts w:ascii="仿宋" w:hAnsi="仿宋" w:eastAsia="仿宋" w:cs="仿宋"/>
          <w:color w:val="auto"/>
          <w:highlight w:val="none"/>
        </w:rPr>
        <w:sectPr>
          <w:pgSz w:w="11907" w:h="16840"/>
          <w:pgMar w:top="1134" w:right="1191" w:bottom="1134" w:left="1304" w:header="454" w:footer="567" w:gutter="0"/>
          <w:pgNumType w:fmt="numberInDash"/>
          <w:cols w:space="720" w:num="1"/>
          <w:docGrid w:linePitch="326" w:charSpace="0"/>
        </w:sectPr>
      </w:pPr>
    </w:p>
    <w:p>
      <w:pPr>
        <w:tabs>
          <w:tab w:val="left" w:pos="2895"/>
        </w:tabs>
        <w:spacing w:after="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（二）明细报价表</w:t>
      </w:r>
    </w:p>
    <w:p>
      <w:pPr>
        <w:spacing w:after="0"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明细报价表</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项目编号：</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项目名称：</w:t>
      </w: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序号</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名称</w:t>
            </w:r>
          </w:p>
        </w:tc>
        <w:tc>
          <w:tcPr>
            <w:tcW w:w="340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相关信息</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数量</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单价</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2</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3</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4</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5</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6</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7</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8</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9</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10</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11</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12</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总计</w:t>
            </w:r>
          </w:p>
        </w:tc>
        <w:tc>
          <w:tcPr>
            <w:tcW w:w="7436" w:type="dxa"/>
            <w:gridSpan w:val="4"/>
          </w:tcPr>
          <w:p>
            <w:pPr>
              <w:spacing w:after="0"/>
              <w:rPr>
                <w:rFonts w:ascii="仿宋" w:hAnsi="仿宋" w:eastAsia="仿宋" w:cs="仿宋"/>
                <w:color w:val="auto"/>
                <w:highlight w:val="none"/>
              </w:rPr>
            </w:pPr>
          </w:p>
          <w:p>
            <w:pPr>
              <w:pStyle w:val="58"/>
              <w:widowControl w:val="0"/>
              <w:spacing w:after="0"/>
              <w:ind w:firstLine="0" w:firstLineChars="0"/>
              <w:jc w:val="both"/>
              <w:rPr>
                <w:rFonts w:ascii="仿宋" w:hAnsi="仿宋" w:eastAsia="仿宋" w:cs="仿宋"/>
                <w:b/>
                <w:bCs/>
                <w:color w:val="auto"/>
                <w:highlight w:val="none"/>
              </w:rPr>
            </w:pPr>
          </w:p>
        </w:tc>
      </w:tr>
    </w:tbl>
    <w:p>
      <w:pPr>
        <w:pStyle w:val="8"/>
        <w:spacing w:after="0"/>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注：1、该表可扩展</w:t>
      </w:r>
      <w:bookmarkStart w:id="171" w:name="OLE_LINK1"/>
      <w:bookmarkStart w:id="172" w:name="OLE_LINK2"/>
      <w:r>
        <w:rPr>
          <w:rFonts w:hint="eastAsia" w:ascii="仿宋" w:hAnsi="仿宋" w:eastAsia="仿宋" w:cs="仿宋"/>
          <w:color w:val="auto"/>
          <w:highlight w:val="none"/>
        </w:rPr>
        <w:t>，并逐页签字或盖章</w:t>
      </w:r>
      <w:bookmarkEnd w:id="171"/>
      <w:bookmarkEnd w:id="172"/>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2、该表可根据项目实际情况调整。</w:t>
      </w:r>
    </w:p>
    <w:p>
      <w:pPr>
        <w:snapToGrid w:val="0"/>
        <w:spacing w:after="0" w:line="380" w:lineRule="exact"/>
        <w:rPr>
          <w:rFonts w:ascii="仿宋" w:hAnsi="仿宋" w:eastAsia="仿宋" w:cs="仿宋"/>
          <w:color w:val="auto"/>
          <w:highlight w:val="none"/>
        </w:rPr>
      </w:pPr>
    </w:p>
    <w:p>
      <w:pPr>
        <w:pStyle w:val="18"/>
        <w:spacing w:after="0" w:line="380" w:lineRule="exact"/>
        <w:rPr>
          <w:rFonts w:ascii="仿宋" w:hAnsi="仿宋" w:eastAsia="仿宋" w:cs="仿宋"/>
          <w:color w:val="auto"/>
          <w:highlight w:val="none"/>
        </w:rPr>
      </w:pPr>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 xml:space="preserve">                                                    供应商名称（公章）：</w:t>
      </w:r>
    </w:p>
    <w:p>
      <w:pPr>
        <w:spacing w:after="0" w:line="380" w:lineRule="exact"/>
        <w:ind w:right="480" w:firstLine="6480" w:firstLineChars="2700"/>
        <w:rPr>
          <w:rFonts w:ascii="仿宋" w:hAnsi="仿宋" w:eastAsia="仿宋" w:cs="仿宋"/>
          <w:color w:val="auto"/>
          <w:highlight w:val="none"/>
        </w:rPr>
      </w:pPr>
      <w:r>
        <w:rPr>
          <w:rFonts w:hint="eastAsia" w:ascii="仿宋" w:hAnsi="仿宋" w:eastAsia="仿宋" w:cs="仿宋"/>
          <w:color w:val="auto"/>
          <w:highlight w:val="none"/>
        </w:rPr>
        <w:t>年    月    日</w:t>
      </w:r>
    </w:p>
    <w:p>
      <w:pPr>
        <w:spacing w:after="0" w:line="380" w:lineRule="exact"/>
        <w:rPr>
          <w:rFonts w:ascii="仿宋" w:hAnsi="仿宋" w:eastAsia="仿宋" w:cs="仿宋"/>
          <w:color w:val="auto"/>
          <w:highlight w:val="none"/>
          <w:bdr w:val="single" w:color="auto" w:sz="4" w:space="0"/>
        </w:rPr>
        <w:sectPr>
          <w:pgSz w:w="11907" w:h="16840"/>
          <w:pgMar w:top="1134" w:right="1191" w:bottom="1134" w:left="1304" w:header="454" w:footer="992" w:gutter="0"/>
          <w:pgNumType w:fmt="numberInDash"/>
          <w:cols w:space="720" w:num="1"/>
          <w:docGrid w:linePitch="326" w:charSpace="0"/>
        </w:sectPr>
      </w:pPr>
    </w:p>
    <w:p>
      <w:pPr>
        <w:pStyle w:val="6"/>
        <w:spacing w:before="0" w:after="0" w:line="360" w:lineRule="auto"/>
        <w:rPr>
          <w:rFonts w:ascii="仿宋" w:hAnsi="仿宋" w:eastAsia="仿宋" w:cs="仿宋"/>
          <w:color w:val="auto"/>
          <w:sz w:val="24"/>
          <w:szCs w:val="24"/>
          <w:highlight w:val="none"/>
        </w:rPr>
      </w:pPr>
      <w:bookmarkStart w:id="173" w:name="_Toc3192"/>
      <w:bookmarkStart w:id="174" w:name="_Toc486608278"/>
      <w:bookmarkStart w:id="175" w:name="_Toc12894"/>
      <w:bookmarkStart w:id="176" w:name="_Toc487204798"/>
      <w:bookmarkStart w:id="177" w:name="_Toc486585241"/>
      <w:r>
        <w:rPr>
          <w:rFonts w:hint="eastAsia" w:ascii="仿宋" w:hAnsi="仿宋" w:eastAsia="仿宋" w:cs="仿宋"/>
          <w:color w:val="auto"/>
          <w:sz w:val="24"/>
          <w:szCs w:val="24"/>
          <w:highlight w:val="none"/>
        </w:rPr>
        <w:t>二、技术部分</w:t>
      </w:r>
      <w:bookmarkEnd w:id="173"/>
      <w:bookmarkEnd w:id="174"/>
      <w:bookmarkEnd w:id="175"/>
      <w:bookmarkEnd w:id="176"/>
      <w:bookmarkEnd w:id="177"/>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（一）技术应答（格式自拟）</w:t>
      </w: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（二）技术响应偏离表</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tbl>
      <w:tblPr>
        <w:tblStyle w:val="2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after="0" w:line="500" w:lineRule="exact"/>
              <w:rPr>
                <w:rFonts w:ascii="仿宋" w:hAnsi="仿宋" w:eastAsia="仿宋" w:cs="仿宋"/>
                <w:color w:val="auto"/>
                <w:highlight w:val="none"/>
              </w:rPr>
            </w:pPr>
            <w:r>
              <w:rPr>
                <w:rFonts w:hint="eastAsia" w:ascii="仿宋" w:hAnsi="仿宋" w:eastAsia="仿宋" w:cs="仿宋"/>
                <w:color w:val="auto"/>
                <w:highlight w:val="none"/>
              </w:rPr>
              <w:t>序号</w:t>
            </w:r>
          </w:p>
        </w:tc>
        <w:tc>
          <w:tcPr>
            <w:tcW w:w="2658"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采购需求</w:t>
            </w:r>
          </w:p>
        </w:tc>
        <w:tc>
          <w:tcPr>
            <w:tcW w:w="2759"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响应情况</w:t>
            </w:r>
          </w:p>
        </w:tc>
        <w:tc>
          <w:tcPr>
            <w:tcW w:w="2067"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bl>
    <w:p>
      <w:pPr>
        <w:spacing w:after="0" w:line="50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after="0" w:line="500" w:lineRule="exact"/>
        <w:rPr>
          <w:rFonts w:ascii="仿宋" w:hAnsi="仿宋" w:eastAsia="仿宋" w:cs="仿宋"/>
          <w:color w:val="auto"/>
          <w:highlight w:val="none"/>
        </w:rPr>
      </w:pPr>
    </w:p>
    <w:p>
      <w:pPr>
        <w:spacing w:after="0" w:line="50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after="0" w:line="500" w:lineRule="exact"/>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1.本表即为对本项目“第三篇  比选项目技术需求”中所列技术要求进行比较和响应；</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2.该表必须按照比选文件要求逐条如实填写，根据响应情况在“差异说明”项填写正偏离或负偏离及原因，完全符合的填写“无差异”；</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4.可附相关技术支撑材料。（格式自定）</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5.若“响应情况”栏中仅填写“无偏离”或“有偏离”等内容而未作实质性参数描述，该供应商将失去成为成交供应商的资格，仅保留其合格供应商的身份。</w:t>
      </w:r>
    </w:p>
    <w:p>
      <w:pPr>
        <w:pStyle w:val="6"/>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178" w:name="_Toc486585242"/>
      <w:bookmarkStart w:id="179" w:name="_Toc486608279"/>
      <w:bookmarkStart w:id="180" w:name="_Toc487204799"/>
      <w:bookmarkStart w:id="181" w:name="_Toc18015"/>
      <w:bookmarkStart w:id="182" w:name="_Toc17029"/>
      <w:r>
        <w:rPr>
          <w:rFonts w:hint="eastAsia" w:ascii="仿宋" w:hAnsi="仿宋" w:eastAsia="仿宋" w:cs="仿宋"/>
          <w:color w:val="auto"/>
          <w:sz w:val="24"/>
          <w:szCs w:val="24"/>
          <w:highlight w:val="none"/>
        </w:rPr>
        <w:t>三、商务部分</w:t>
      </w:r>
      <w:bookmarkEnd w:id="178"/>
      <w:bookmarkEnd w:id="179"/>
      <w:bookmarkEnd w:id="180"/>
      <w:bookmarkEnd w:id="181"/>
      <w:bookmarkEnd w:id="182"/>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（一）按照商务要求进行响应，包括：工期时间、交货地点、付款方式等。</w:t>
      </w: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（二）商务响应偏离表</w:t>
      </w:r>
    </w:p>
    <w:p>
      <w:pPr>
        <w:snapToGrid w:val="0"/>
        <w:spacing w:after="0"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商务响应偏离表</w:t>
      </w:r>
    </w:p>
    <w:p>
      <w:pPr>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对于比选通知书的商务要求，如有任何偏离请如实填写下表：</w:t>
      </w:r>
    </w:p>
    <w:tbl>
      <w:tblPr>
        <w:tblStyle w:val="26"/>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179"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比选项目需求</w:t>
            </w:r>
          </w:p>
        </w:tc>
        <w:tc>
          <w:tcPr>
            <w:tcW w:w="2434"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bl>
    <w:p>
      <w:pPr>
        <w:snapToGrid w:val="0"/>
        <w:spacing w:after="0" w:line="360" w:lineRule="auto"/>
        <w:rPr>
          <w:rFonts w:ascii="仿宋" w:hAnsi="仿宋" w:eastAsia="仿宋" w:cs="仿宋"/>
          <w:color w:val="auto"/>
          <w:highlight w:val="none"/>
        </w:rPr>
      </w:pPr>
    </w:p>
    <w:p>
      <w:pPr>
        <w:spacing w:after="0" w:line="50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after="0" w:line="500" w:lineRule="exact"/>
        <w:ind w:firstLine="360" w:firstLineChars="150"/>
        <w:rPr>
          <w:rFonts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after="0" w:line="500" w:lineRule="exact"/>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1.本表即为对本项目“第四篇 商务要求”中所列服务要求进行比较和响应；</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2.该表必须按照比选要求逐条如实填写，根据响应情况在“差异说明”项填写正偏离或负偏离及原因，完全符合的填写“无差异”；</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after="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4.若“响应情况”栏中仅填写“无偏离”或“有偏离”等内容而未作实质性参数描述，该供应商将失去成为成交供应商的资格，仅保留其合格供应商的身份。</w:t>
      </w:r>
    </w:p>
    <w:p>
      <w:pPr>
        <w:spacing w:after="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（三）其它优惠承诺（格式自定）</w:t>
      </w:r>
    </w:p>
    <w:p>
      <w:pPr>
        <w:pStyle w:val="6"/>
        <w:spacing w:before="0" w:after="0" w:line="360" w:lineRule="auto"/>
        <w:rPr>
          <w:rFonts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183" w:name="_Toc18933"/>
      <w:bookmarkStart w:id="184" w:name="_Toc486585243"/>
      <w:bookmarkStart w:id="185" w:name="_Toc486608280"/>
      <w:bookmarkStart w:id="186" w:name="_Toc8290"/>
      <w:bookmarkStart w:id="187" w:name="_Toc487204800"/>
      <w:bookmarkStart w:id="188" w:name="_Toc23557"/>
      <w:r>
        <w:rPr>
          <w:rFonts w:hint="eastAsia" w:ascii="仿宋" w:hAnsi="仿宋" w:eastAsia="仿宋" w:cs="仿宋"/>
          <w:color w:val="auto"/>
          <w:sz w:val="24"/>
          <w:szCs w:val="24"/>
          <w:highlight w:val="none"/>
        </w:rPr>
        <w:t>四、资格条件及其他</w:t>
      </w:r>
      <w:bookmarkEnd w:id="183"/>
      <w:bookmarkEnd w:id="184"/>
      <w:bookmarkEnd w:id="185"/>
      <w:bookmarkEnd w:id="186"/>
      <w:bookmarkEnd w:id="187"/>
      <w:bookmarkEnd w:id="188"/>
    </w:p>
    <w:p>
      <w:pPr>
        <w:spacing w:after="0"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（二）法定代表人身份证明书（格式）</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u w:val="single"/>
        </w:rPr>
        <w:t>（法定代表人姓名）</w:t>
      </w:r>
      <w:r>
        <w:rPr>
          <w:rFonts w:hint="eastAsia" w:ascii="仿宋" w:hAnsi="仿宋" w:eastAsia="仿宋" w:cs="仿宋"/>
          <w:color w:val="auto"/>
          <w:highlight w:val="none"/>
        </w:rPr>
        <w:t>在</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任</w:t>
      </w:r>
      <w:r>
        <w:rPr>
          <w:rFonts w:hint="eastAsia" w:ascii="仿宋" w:hAnsi="仿宋" w:eastAsia="仿宋" w:cs="仿宋"/>
          <w:color w:val="auto"/>
          <w:highlight w:val="none"/>
          <w:u w:val="single"/>
        </w:rPr>
        <w:t>（职务名称）</w:t>
      </w:r>
      <w:r>
        <w:rPr>
          <w:rFonts w:hint="eastAsia" w:ascii="仿宋" w:hAnsi="仿宋" w:eastAsia="仿宋" w:cs="仿宋"/>
          <w:color w:val="auto"/>
          <w:highlight w:val="none"/>
        </w:rPr>
        <w:t>职务，是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特此证明。</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 xml:space="preserve">                                             （供应商公章）</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（三）法定代表人授权委托书（格式）</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u w:val="single"/>
        </w:rPr>
        <w:t>（供应商法定代表人名称）</w:t>
      </w:r>
      <w:r>
        <w:rPr>
          <w:rFonts w:hint="eastAsia" w:ascii="仿宋" w:hAnsi="仿宋" w:eastAsia="仿宋" w:cs="仿宋"/>
          <w:color w:val="auto"/>
          <w:highlight w:val="none"/>
        </w:rPr>
        <w:t>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的法定代表人，特授权</w:t>
      </w:r>
      <w:r>
        <w:rPr>
          <w:rFonts w:hint="eastAsia" w:ascii="仿宋" w:hAnsi="仿宋" w:eastAsia="仿宋" w:cs="仿宋"/>
          <w:color w:val="auto"/>
          <w:highlight w:val="none"/>
          <w:u w:val="single"/>
        </w:rPr>
        <w:t>（被授权人姓名及身份证代码）</w:t>
      </w:r>
      <w:r>
        <w:rPr>
          <w:rFonts w:hint="eastAsia" w:ascii="仿宋" w:hAnsi="仿宋" w:eastAsia="仿宋" w:cs="仿宋"/>
          <w:color w:val="auto"/>
          <w:highlight w:val="none"/>
        </w:rPr>
        <w:t>代表我单位全权办理上述项目的比选、签约等具体工作，并签署全部有关文件、协议及合同。</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我单位对被授权人的签字负全部责任。</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在撤消授权的书面通知以前，本授权书一直有效。被授权人在授权书有效期内签署的所有文件不因授权的撤消而失效。</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被授权人：                                   供应商法定代表人：</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（签字或盖章）                              （签字或盖章）</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（附：被授权人身份证正反面复印件）</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right="480" w:firstLine="570"/>
        <w:jc w:val="right"/>
        <w:rPr>
          <w:rFonts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after="0" w:line="360" w:lineRule="auto"/>
        <w:ind w:right="480" w:firstLine="570"/>
        <w:jc w:val="right"/>
        <w:rPr>
          <w:rFonts w:ascii="仿宋" w:hAnsi="仿宋" w:eastAsia="仿宋" w:cs="仿宋"/>
          <w:color w:val="auto"/>
          <w:highlight w:val="none"/>
        </w:rPr>
      </w:pPr>
      <w:r>
        <w:rPr>
          <w:rFonts w:hint="eastAsia" w:ascii="仿宋" w:hAnsi="仿宋" w:eastAsia="仿宋" w:cs="仿宋"/>
          <w:color w:val="auto"/>
          <w:highlight w:val="none"/>
        </w:rPr>
        <w:t>年   月   日</w:t>
      </w: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（四）基本资格条件承诺函</w:t>
      </w:r>
    </w:p>
    <w:p>
      <w:pPr>
        <w:tabs>
          <w:tab w:val="left" w:pos="6300"/>
        </w:tabs>
        <w:snapToGrid w:val="0"/>
        <w:spacing w:after="0" w:line="500" w:lineRule="exact"/>
        <w:rPr>
          <w:rFonts w:ascii="仿宋" w:hAnsi="仿宋" w:eastAsia="仿宋" w:cs="仿宋"/>
          <w:color w:val="auto"/>
          <w:highlight w:val="none"/>
        </w:rPr>
      </w:pPr>
    </w:p>
    <w:p>
      <w:pPr>
        <w:tabs>
          <w:tab w:val="left" w:pos="6300"/>
        </w:tabs>
        <w:snapToGrid w:val="0"/>
        <w:spacing w:after="0" w:line="50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基本资格条件承诺函</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致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（采购代理机构名称）：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（投标人名称）郑重承诺：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8"/>
        <w:spacing w:after="0"/>
        <w:rPr>
          <w:rFonts w:ascii="仿宋" w:hAnsi="仿宋" w:eastAsia="仿宋" w:cs="仿宋"/>
          <w:color w:val="auto"/>
          <w:highlight w:val="none"/>
        </w:rPr>
      </w:pP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（投标人公章）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rPr>
          <w:rFonts w:ascii="仿宋" w:hAnsi="仿宋" w:eastAsia="仿宋" w:cs="仿宋"/>
          <w:color w:val="auto"/>
          <w:highlight w:val="none"/>
        </w:rPr>
      </w:pPr>
      <w:r>
        <w:rPr>
          <w:rFonts w:hint="eastAsia" w:ascii="仿宋" w:hAnsi="仿宋" w:eastAsia="仿宋" w:cs="仿宋"/>
          <w:color w:val="auto"/>
          <w:highlight w:val="none"/>
        </w:rPr>
        <w:br w:type="page"/>
      </w:r>
    </w:p>
    <w:p>
      <w:pPr>
        <w:pStyle w:val="6"/>
        <w:spacing w:before="0" w:after="0"/>
        <w:rPr>
          <w:rFonts w:ascii="仿宋" w:hAnsi="仿宋" w:eastAsia="仿宋" w:cs="仿宋"/>
          <w:color w:val="auto"/>
          <w:sz w:val="24"/>
          <w:szCs w:val="24"/>
          <w:highlight w:val="none"/>
        </w:rPr>
      </w:pPr>
      <w:bookmarkStart w:id="189" w:name="_Toc486608281"/>
      <w:bookmarkStart w:id="190" w:name="_Toc487204801"/>
      <w:bookmarkStart w:id="191" w:name="_Toc11824"/>
      <w:bookmarkStart w:id="192" w:name="_Toc29032"/>
      <w:bookmarkStart w:id="193" w:name="_Toc486585244"/>
      <w:bookmarkStart w:id="194" w:name="_Toc20694"/>
      <w:r>
        <w:rPr>
          <w:rFonts w:hint="eastAsia" w:ascii="仿宋" w:hAnsi="仿宋" w:eastAsia="仿宋" w:cs="仿宋"/>
          <w:color w:val="auto"/>
          <w:sz w:val="24"/>
          <w:szCs w:val="24"/>
          <w:highlight w:val="none"/>
        </w:rPr>
        <w:t>五、其他应提供的资料</w:t>
      </w:r>
      <w:bookmarkEnd w:id="189"/>
      <w:bookmarkEnd w:id="190"/>
      <w:bookmarkEnd w:id="191"/>
      <w:bookmarkEnd w:id="192"/>
      <w:bookmarkEnd w:id="193"/>
      <w:bookmarkEnd w:id="194"/>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（一）其他与项目有关的资料（如有）</w:t>
      </w:r>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其他与项目有关的资料（自附）：供应商总体情况介绍、其他与本项目有关的资料等。</w:t>
      </w:r>
    </w:p>
    <w:p>
      <w:pPr>
        <w:spacing w:after="0" w:line="380" w:lineRule="exact"/>
        <w:rPr>
          <w:rFonts w:ascii="仿宋" w:hAnsi="仿宋" w:eastAsia="仿宋" w:cs="仿宋"/>
          <w:color w:val="auto"/>
          <w:highlight w:val="none"/>
        </w:rPr>
      </w:pPr>
    </w:p>
    <w:p>
      <w:pPr>
        <w:spacing w:after="0" w:line="380" w:lineRule="exact"/>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r>
        <w:rPr>
          <w:rFonts w:hint="eastAsia" w:ascii="仿宋" w:hAnsi="仿宋" w:eastAsia="仿宋" w:cs="仿宋"/>
          <w:color w:val="auto"/>
          <w:highlight w:val="none"/>
        </w:rPr>
        <w:t>（结束）</w:t>
      </w: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spacing w:after="0"/>
        <w:rPr>
          <w:rFonts w:ascii="仿宋" w:hAnsi="仿宋" w:eastAsia="仿宋" w:cs="仿宋"/>
          <w:color w:val="auto"/>
          <w:highlight w:val="none"/>
          <w:lang w:val="zh-CN"/>
        </w:rPr>
      </w:pPr>
    </w:p>
    <w:p>
      <w:pPr>
        <w:pStyle w:val="72"/>
        <w:spacing w:after="0"/>
        <w:jc w:val="both"/>
        <w:rPr>
          <w:rFonts w:ascii="仿宋" w:hAnsi="仿宋" w:eastAsia="仿宋" w:cs="仿宋"/>
          <w:color w:val="auto"/>
          <w:sz w:val="36"/>
          <w:szCs w:val="36"/>
          <w:highlight w:val="none"/>
        </w:rPr>
      </w:pPr>
      <w:bookmarkStart w:id="195" w:name="_Toc3096"/>
      <w:bookmarkStart w:id="196" w:name="_Toc22008"/>
      <w:bookmarkStart w:id="197" w:name="_Toc23244"/>
      <w:r>
        <w:rPr>
          <w:rFonts w:hint="eastAsia" w:ascii="仿宋" w:hAnsi="仿宋" w:eastAsia="仿宋" w:cs="仿宋"/>
          <w:color w:val="auto"/>
          <w:sz w:val="36"/>
          <w:szCs w:val="36"/>
          <w:highlight w:val="none"/>
        </w:rPr>
        <w:t>附件：</w:t>
      </w:r>
      <w:bookmarkEnd w:id="195"/>
      <w:bookmarkEnd w:id="196"/>
      <w:bookmarkEnd w:id="197"/>
    </w:p>
    <w:p>
      <w:pPr>
        <w:spacing w:after="0"/>
        <w:jc w:val="center"/>
        <w:rPr>
          <w:rFonts w:ascii="仿宋" w:hAnsi="仿宋" w:eastAsia="仿宋" w:cs="仿宋"/>
          <w:color w:val="auto"/>
          <w:highlight w:val="none"/>
        </w:rPr>
      </w:pPr>
    </w:p>
    <w:p>
      <w:pPr>
        <w:spacing w:after="0"/>
        <w:jc w:val="center"/>
        <w:rPr>
          <w:rFonts w:ascii="仿宋" w:hAnsi="仿宋" w:eastAsia="仿宋" w:cs="仿宋"/>
          <w:b/>
          <w:bCs/>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sz w:val="44"/>
          <w:szCs w:val="44"/>
          <w:highlight w:val="none"/>
        </w:rPr>
        <w:t>比选文件发售登记表</w:t>
      </w:r>
    </w:p>
    <w:p>
      <w:pPr>
        <w:spacing w:after="0"/>
        <w:jc w:val="center"/>
        <w:rPr>
          <w:rFonts w:ascii="仿宋" w:hAnsi="仿宋" w:eastAsia="仿宋" w:cs="仿宋"/>
          <w:b/>
          <w:bCs/>
          <w:color w:val="auto"/>
          <w:sz w:val="44"/>
          <w:szCs w:val="44"/>
          <w:highlight w:val="none"/>
        </w:rPr>
      </w:pPr>
      <w:r>
        <w:rPr>
          <w:rFonts w:hint="eastAsia" w:ascii="仿宋" w:hAnsi="仿宋" w:eastAsia="仿宋" w:cs="仿宋"/>
          <w:b/>
          <w:bCs/>
          <w:color w:val="auto"/>
          <w:szCs w:val="21"/>
          <w:highlight w:val="none"/>
        </w:rPr>
        <w:t>（坤博工程咨询（重庆）有限公司）</w:t>
      </w:r>
    </w:p>
    <w:p>
      <w:pPr>
        <w:spacing w:after="0"/>
        <w:rPr>
          <w:rFonts w:ascii="仿宋" w:hAnsi="仿宋" w:eastAsia="仿宋" w:cs="仿宋"/>
          <w:b/>
          <w:bCs/>
          <w:color w:val="auto"/>
          <w:spacing w:val="40"/>
          <w:highlight w:val="none"/>
        </w:rPr>
      </w:pPr>
    </w:p>
    <w:tbl>
      <w:tblPr>
        <w:tblStyle w:val="26"/>
        <w:tblW w:w="91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项目号</w:t>
            </w:r>
          </w:p>
        </w:tc>
        <w:tc>
          <w:tcPr>
            <w:tcW w:w="7226" w:type="dxa"/>
            <w:gridSpan w:val="3"/>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KB00250807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7226" w:type="dxa"/>
            <w:gridSpan w:val="3"/>
            <w:vAlign w:val="center"/>
          </w:tcPr>
          <w:p>
            <w:pPr>
              <w:spacing w:after="0" w:line="36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重庆市第一〇四中学校教室门采购项目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投标人名称</w:t>
            </w:r>
          </w:p>
        </w:tc>
        <w:tc>
          <w:tcPr>
            <w:tcW w:w="7226" w:type="dxa"/>
            <w:gridSpan w:val="3"/>
            <w:vAlign w:val="bottom"/>
          </w:tcPr>
          <w:p>
            <w:pPr>
              <w:spacing w:after="0" w:line="360" w:lineRule="exact"/>
              <w:jc w:val="right"/>
              <w:rPr>
                <w:rFonts w:ascii="仿宋" w:hAnsi="仿宋" w:eastAsia="仿宋" w:cs="仿宋"/>
                <w:color w:val="auto"/>
                <w:highlight w:val="none"/>
              </w:rPr>
            </w:pPr>
            <w:r>
              <w:rPr>
                <w:rFonts w:hint="eastAsia" w:ascii="仿宋" w:hAnsi="仿宋" w:eastAsia="仿宋" w:cs="仿宋"/>
                <w:color w:val="auto"/>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联系人</w:t>
            </w:r>
          </w:p>
        </w:tc>
        <w:tc>
          <w:tcPr>
            <w:tcW w:w="2573" w:type="dxa"/>
            <w:vAlign w:val="center"/>
          </w:tcPr>
          <w:p>
            <w:pPr>
              <w:spacing w:after="0" w:line="360" w:lineRule="exact"/>
              <w:rPr>
                <w:rFonts w:ascii="仿宋" w:hAnsi="仿宋" w:eastAsia="仿宋" w:cs="仿宋"/>
                <w:color w:val="auto"/>
                <w:highlight w:val="none"/>
              </w:rPr>
            </w:pPr>
          </w:p>
        </w:tc>
        <w:tc>
          <w:tcPr>
            <w:tcW w:w="1084"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手机</w:t>
            </w:r>
          </w:p>
        </w:tc>
        <w:tc>
          <w:tcPr>
            <w:tcW w:w="3569" w:type="dxa"/>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办公电话</w:t>
            </w:r>
          </w:p>
        </w:tc>
        <w:tc>
          <w:tcPr>
            <w:tcW w:w="2573" w:type="dxa"/>
            <w:vAlign w:val="center"/>
          </w:tcPr>
          <w:p>
            <w:pPr>
              <w:spacing w:after="0" w:line="360" w:lineRule="exact"/>
              <w:rPr>
                <w:rFonts w:ascii="仿宋" w:hAnsi="仿宋" w:eastAsia="仿宋" w:cs="仿宋"/>
                <w:color w:val="auto"/>
                <w:highlight w:val="none"/>
              </w:rPr>
            </w:pPr>
          </w:p>
        </w:tc>
        <w:tc>
          <w:tcPr>
            <w:tcW w:w="1084"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传真</w:t>
            </w:r>
          </w:p>
        </w:tc>
        <w:tc>
          <w:tcPr>
            <w:tcW w:w="3569" w:type="dxa"/>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E-mail</w:t>
            </w:r>
          </w:p>
        </w:tc>
        <w:tc>
          <w:tcPr>
            <w:tcW w:w="7226" w:type="dxa"/>
            <w:gridSpan w:val="3"/>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226" w:type="dxa"/>
            <w:gridSpan w:val="3"/>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spacing w:after="0"/>
              <w:jc w:val="center"/>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spacing w:after="0"/>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pPr>
              <w:spacing w:after="0"/>
              <w:rPr>
                <w:rFonts w:ascii="仿宋" w:hAnsi="仿宋" w:eastAsia="仿宋" w:cs="仿宋"/>
                <w:color w:val="auto"/>
                <w:highlight w:val="none"/>
              </w:rPr>
            </w:pPr>
            <w:r>
              <w:rPr>
                <w:rFonts w:hint="eastAsia" w:ascii="仿宋" w:hAnsi="仿宋" w:eastAsia="仿宋" w:cs="仿宋"/>
                <w:color w:val="auto"/>
                <w:highlight w:val="none"/>
              </w:rPr>
              <w:t>招标文件售价：人民币300.00元/份</w:t>
            </w:r>
          </w:p>
        </w:tc>
      </w:tr>
    </w:tbl>
    <w:p>
      <w:pPr>
        <w:spacing w:after="0"/>
        <w:rPr>
          <w:rFonts w:ascii="仿宋" w:hAnsi="仿宋" w:eastAsia="仿宋" w:cs="仿宋"/>
          <w:color w:val="auto"/>
          <w:highlight w:val="none"/>
        </w:rPr>
      </w:pPr>
      <w:r>
        <w:rPr>
          <w:rFonts w:hint="eastAsia" w:ascii="仿宋" w:hAnsi="仿宋" w:eastAsia="仿宋" w:cs="仿宋"/>
          <w:color w:val="auto"/>
          <w:highlight w:val="none"/>
        </w:rPr>
        <w:t xml:space="preserve">   发售人：                财务：                    日期：</w:t>
      </w: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说明：</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现金购买招标文件的投标人，在招标文件发售期内到代理机构处递交发售登记表（加盖投标人公章），由发售人签字后购买招标文件，联系人：张先生</w:t>
      </w:r>
    </w:p>
    <w:p>
      <w:pPr>
        <w:spacing w:after="0"/>
        <w:rPr>
          <w:rFonts w:ascii="仿宋" w:hAnsi="仿宋" w:eastAsia="仿宋" w:cs="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839D24-1849-4095-9CAA-827719CB35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auto"/>
    <w:pitch w:val="default"/>
    <w:sig w:usb0="00000000" w:usb1="00000000" w:usb2="00000000" w:usb3="00000000" w:csb0="00040000" w:csb1="00000000"/>
    <w:embedRegular r:id="rId2" w:fontKey="{A6EC321C-BD0C-43C1-AC22-B54CD9AD9DF6}"/>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仿宋_GBK">
    <w:altName w:val="微软雅黑"/>
    <w:panose1 w:val="02000000000000000000"/>
    <w:charset w:val="86"/>
    <w:family w:val="script"/>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F2ADD90-1805-4673-BD2F-7D3B23556BA4}"/>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1905"/>
              <wp:wrapNone/>
              <wp:docPr id="1576629793" name="4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90500" cy="131445"/>
                      </a:xfrm>
                      <a:prstGeom prst="rect">
                        <a:avLst/>
                      </a:prstGeom>
                      <a:noFill/>
                      <a:ln>
                        <a:noFill/>
                      </a:ln>
                    </wps:spPr>
                    <wps:txbx>
                      <w:txbxContent>
                        <w:p>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4102"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H7KrWEPAgAAJgQAAA4AAAAAAAAAAQAgAAAA&#10;HwEAAGRycy9lMm9Eb2MueG1sUEsFBgAAAAAGAAYAWQEAAKAFA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1905"/>
              <wp:wrapNone/>
              <wp:docPr id="543458286" name="4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90500" cy="131445"/>
                      </a:xfrm>
                      <a:prstGeom prst="rect">
                        <a:avLst/>
                      </a:prstGeom>
                      <a:noFill/>
                      <a:ln>
                        <a:noFill/>
                      </a:ln>
                    </wps:spPr>
                    <wps:txbx>
                      <w:txbxContent>
                        <w:p>
                          <w:pPr>
                            <w:pStyle w:val="16"/>
                          </w:pPr>
                          <w:r>
                            <w:fldChar w:fldCharType="begin"/>
                          </w:r>
                          <w:r>
                            <w:instrText xml:space="preserve"> PAGE  \* MERGEFORMAT </w:instrText>
                          </w:r>
                          <w:r>
                            <w:fldChar w:fldCharType="separate"/>
                          </w:r>
                          <w:r>
                            <w:t>- 3 -</w:t>
                          </w:r>
                          <w:r>
                            <w:fldChar w:fldCharType="end"/>
                          </w:r>
                        </w:p>
                      </w:txbxContent>
                    </wps:txbx>
                    <wps:bodyPr rot="0" vert="horz" wrap="none" lIns="0" tIns="0" rIns="0" bIns="0" anchor="t" anchorCtr="0" upright="1">
                      <a:spAutoFit/>
                    </wps:bodyPr>
                  </wps:wsp>
                </a:graphicData>
              </a:graphic>
            </wp:anchor>
          </w:drawing>
        </mc:Choice>
        <mc:Fallback>
          <w:pict>
            <v:shape id="410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&#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vpHHYQ4CAAAlBAAADgAAAAAAAAABACAAAAAf&#10;AQAAZHJzL2Uyb0RvYy54bWxQSwUGAAAAAAYABgBZAQAAnwU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8255"/>
              <wp:wrapNone/>
              <wp:docPr id="4106" name="文本框 5"/>
              <wp:cNvGraphicFramePr/>
              <a:graphic xmlns:a="http://schemas.openxmlformats.org/drawingml/2006/main">
                <a:graphicData uri="http://schemas.microsoft.com/office/word/2010/wordprocessingShape">
                  <wps:wsp>
                    <wps:cNvSpPr/>
                    <wps:spPr>
                      <a:xfrm>
                        <a:off x="0" y="0"/>
                        <a:ext cx="247650" cy="131445"/>
                      </a:xfrm>
                      <a:prstGeom prst="rect">
                        <a:avLst/>
                      </a:prstGeom>
                      <a:ln>
                        <a:noFill/>
                      </a:ln>
                    </wps:spPr>
                    <wps:txbx>
                      <w:txbxContent>
                        <w:p>
                          <w:pPr>
                            <w:pStyle w:val="16"/>
                          </w:pPr>
                          <w:r>
                            <w:fldChar w:fldCharType="begin"/>
                          </w:r>
                          <w:r>
                            <w:instrText xml:space="preserve"> PAGE  \* MERGEFORMAT </w:instrText>
                          </w:r>
                          <w:r>
                            <w:fldChar w:fldCharType="separate"/>
                          </w:r>
                          <w:r>
                            <w:t>- 26 -</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6+Rr0QAAAAMBAAAPAAAAAAAAAAEAIAAAACIA&#10;AABkcnMvZG93bnJldi54bWxQSwECFAAUAAAACACHTuJA5dF859cBAACcAwAADgAAAAAAAAABACAA&#10;AAAgAQAAZHJzL2Uyb0RvYy54bWxQSwUGAAAAAAYABgBZAQAAa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- 26 -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1905"/>
              <wp:wrapNone/>
              <wp:docPr id="31677004" name="4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247650" cy="131445"/>
                      </a:xfrm>
                      <a:prstGeom prst="rect">
                        <a:avLst/>
                      </a:prstGeom>
                      <a:noFill/>
                      <a:ln>
                        <a:noFill/>
                      </a:ln>
                    </wps:spPr>
                    <wps:txbx>
                      <w:txbxContent>
                        <w:p>
                          <w:pPr>
                            <w:pStyle w:val="16"/>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 id="4108"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sUjg0AAAAAMBAAAPAAAAAAAAAAEAIAAAACIAAABk&#10;cnMvZG93bnJldi54bWxQSwECFAAUAAAACACHTuJANCsphg4CAAAkBAAADgAAAAAAAAABACAAAAAf&#10;AQAAZHJzL2Uyb0RvYy54bWxQSwUGAAAAAAYABgBZAQAAnwU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ascii="宋体" w:hAnsi="宋体"/>
        <w:lang w:val="en-US"/>
      </w:rPr>
      <w:drawing>
        <wp:inline distT="0" distB="0" distL="0" distR="0">
          <wp:extent cx="1282700" cy="52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仿宋" w:hAnsi="仿宋" w:eastAsia="仿宋"/>
        <w:b/>
        <w:bCs/>
      </w:rPr>
      <w:t xml:space="preserve">           </w:t>
    </w:r>
    <w:r>
      <w:rPr>
        <w:rFonts w:hint="eastAsia" w:ascii="仿宋" w:hAnsi="仿宋" w:eastAsia="仿宋"/>
        <w:b/>
        <w:bCs/>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477836602" name="图片 47783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6602" name="图片 47783660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108316198" name="图片 110831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16198" name="图片 1108316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051192412" name="图片 105119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92412" name="图片 10511924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50714728" name="图片 1507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4728" name="图片 1507147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pStyle w:val="7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ThjZGZiZTc3MDk0OGZlOWUyYmNiY2IxNjhhNzkifQ=="/>
  </w:docVars>
  <w:rsids>
    <w:rsidRoot w:val="002D17D4"/>
    <w:rsid w:val="00003C79"/>
    <w:rsid w:val="0005403E"/>
    <w:rsid w:val="00063C3C"/>
    <w:rsid w:val="00067DBF"/>
    <w:rsid w:val="00080BCA"/>
    <w:rsid w:val="00086023"/>
    <w:rsid w:val="000A195B"/>
    <w:rsid w:val="000C3133"/>
    <w:rsid w:val="000D0136"/>
    <w:rsid w:val="000F6ADF"/>
    <w:rsid w:val="00102511"/>
    <w:rsid w:val="00131112"/>
    <w:rsid w:val="00133A06"/>
    <w:rsid w:val="00165490"/>
    <w:rsid w:val="001A06AD"/>
    <w:rsid w:val="001A1AD6"/>
    <w:rsid w:val="001E400D"/>
    <w:rsid w:val="001F0643"/>
    <w:rsid w:val="00214642"/>
    <w:rsid w:val="00234A54"/>
    <w:rsid w:val="00244773"/>
    <w:rsid w:val="0025446B"/>
    <w:rsid w:val="00272013"/>
    <w:rsid w:val="00276324"/>
    <w:rsid w:val="002D17D4"/>
    <w:rsid w:val="002F4892"/>
    <w:rsid w:val="00300BCD"/>
    <w:rsid w:val="00304400"/>
    <w:rsid w:val="00315B73"/>
    <w:rsid w:val="00322B33"/>
    <w:rsid w:val="00343CE6"/>
    <w:rsid w:val="00365F68"/>
    <w:rsid w:val="00375C41"/>
    <w:rsid w:val="0037698A"/>
    <w:rsid w:val="003D7136"/>
    <w:rsid w:val="00421ADB"/>
    <w:rsid w:val="004413ED"/>
    <w:rsid w:val="00442481"/>
    <w:rsid w:val="00452D9F"/>
    <w:rsid w:val="004661E9"/>
    <w:rsid w:val="004A0F2D"/>
    <w:rsid w:val="004A4CB6"/>
    <w:rsid w:val="004A661C"/>
    <w:rsid w:val="004B0DD7"/>
    <w:rsid w:val="004C4EB5"/>
    <w:rsid w:val="00511953"/>
    <w:rsid w:val="00531AD3"/>
    <w:rsid w:val="00580DFE"/>
    <w:rsid w:val="005B58FA"/>
    <w:rsid w:val="0065303D"/>
    <w:rsid w:val="006573FD"/>
    <w:rsid w:val="00663928"/>
    <w:rsid w:val="0069154B"/>
    <w:rsid w:val="00693D49"/>
    <w:rsid w:val="006C6ADE"/>
    <w:rsid w:val="006C7A2E"/>
    <w:rsid w:val="006C7C13"/>
    <w:rsid w:val="006F2EDB"/>
    <w:rsid w:val="0071108E"/>
    <w:rsid w:val="007748A3"/>
    <w:rsid w:val="007763D9"/>
    <w:rsid w:val="0078434F"/>
    <w:rsid w:val="007907DB"/>
    <w:rsid w:val="00796B13"/>
    <w:rsid w:val="007A4085"/>
    <w:rsid w:val="007B2919"/>
    <w:rsid w:val="007C4634"/>
    <w:rsid w:val="007E4D33"/>
    <w:rsid w:val="007F0CCC"/>
    <w:rsid w:val="00801F6F"/>
    <w:rsid w:val="00855ED3"/>
    <w:rsid w:val="008569DC"/>
    <w:rsid w:val="008700AF"/>
    <w:rsid w:val="0088149E"/>
    <w:rsid w:val="00883ED0"/>
    <w:rsid w:val="00886247"/>
    <w:rsid w:val="0089258F"/>
    <w:rsid w:val="008C1F7E"/>
    <w:rsid w:val="008C5C53"/>
    <w:rsid w:val="008C7407"/>
    <w:rsid w:val="008C7FD5"/>
    <w:rsid w:val="008D1BC1"/>
    <w:rsid w:val="008F6822"/>
    <w:rsid w:val="00907B00"/>
    <w:rsid w:val="00950ECE"/>
    <w:rsid w:val="00965F7E"/>
    <w:rsid w:val="00972AA0"/>
    <w:rsid w:val="009A19A0"/>
    <w:rsid w:val="009A68CD"/>
    <w:rsid w:val="009A6C5D"/>
    <w:rsid w:val="009D4636"/>
    <w:rsid w:val="009E0ED9"/>
    <w:rsid w:val="009E2E44"/>
    <w:rsid w:val="00A13894"/>
    <w:rsid w:val="00A52119"/>
    <w:rsid w:val="00AD169E"/>
    <w:rsid w:val="00AE73F0"/>
    <w:rsid w:val="00B3115B"/>
    <w:rsid w:val="00B42112"/>
    <w:rsid w:val="00B95994"/>
    <w:rsid w:val="00BB17CF"/>
    <w:rsid w:val="00BF41FF"/>
    <w:rsid w:val="00C22D78"/>
    <w:rsid w:val="00C40865"/>
    <w:rsid w:val="00C6447F"/>
    <w:rsid w:val="00C710E1"/>
    <w:rsid w:val="00C8243E"/>
    <w:rsid w:val="00CB5A9F"/>
    <w:rsid w:val="00CE6E12"/>
    <w:rsid w:val="00CF31F2"/>
    <w:rsid w:val="00D00DD2"/>
    <w:rsid w:val="00D15DBE"/>
    <w:rsid w:val="00D44A08"/>
    <w:rsid w:val="00D6067F"/>
    <w:rsid w:val="00D622EA"/>
    <w:rsid w:val="00D64A8F"/>
    <w:rsid w:val="00D820EB"/>
    <w:rsid w:val="00DA69E9"/>
    <w:rsid w:val="00E11D84"/>
    <w:rsid w:val="00E13307"/>
    <w:rsid w:val="00E30161"/>
    <w:rsid w:val="00E60EA5"/>
    <w:rsid w:val="00E64408"/>
    <w:rsid w:val="00E83059"/>
    <w:rsid w:val="00E9637C"/>
    <w:rsid w:val="00EF19A1"/>
    <w:rsid w:val="00F01632"/>
    <w:rsid w:val="00F3578E"/>
    <w:rsid w:val="00F51327"/>
    <w:rsid w:val="00F52F14"/>
    <w:rsid w:val="00F84396"/>
    <w:rsid w:val="015B6F40"/>
    <w:rsid w:val="024912E2"/>
    <w:rsid w:val="02E2016A"/>
    <w:rsid w:val="03290C67"/>
    <w:rsid w:val="047B77B9"/>
    <w:rsid w:val="05020246"/>
    <w:rsid w:val="064B4DCD"/>
    <w:rsid w:val="08C90A4F"/>
    <w:rsid w:val="0989581C"/>
    <w:rsid w:val="0D617C90"/>
    <w:rsid w:val="0DA52D55"/>
    <w:rsid w:val="0EC34EFB"/>
    <w:rsid w:val="106C2A9B"/>
    <w:rsid w:val="123974F1"/>
    <w:rsid w:val="12ED7A68"/>
    <w:rsid w:val="17A15A61"/>
    <w:rsid w:val="193F08F1"/>
    <w:rsid w:val="1DBF442E"/>
    <w:rsid w:val="1DF95513"/>
    <w:rsid w:val="2011268D"/>
    <w:rsid w:val="204328F8"/>
    <w:rsid w:val="2230018D"/>
    <w:rsid w:val="22A5612D"/>
    <w:rsid w:val="243B09FD"/>
    <w:rsid w:val="247B3CA7"/>
    <w:rsid w:val="25043FE7"/>
    <w:rsid w:val="25090731"/>
    <w:rsid w:val="27107166"/>
    <w:rsid w:val="297D278B"/>
    <w:rsid w:val="2A607343"/>
    <w:rsid w:val="2B9615F3"/>
    <w:rsid w:val="2BB522CE"/>
    <w:rsid w:val="2C5C731D"/>
    <w:rsid w:val="2CF2448D"/>
    <w:rsid w:val="2EE707BE"/>
    <w:rsid w:val="319D71FF"/>
    <w:rsid w:val="32334BA7"/>
    <w:rsid w:val="34A95CF4"/>
    <w:rsid w:val="353A4937"/>
    <w:rsid w:val="375547A0"/>
    <w:rsid w:val="377773B6"/>
    <w:rsid w:val="37BFE496"/>
    <w:rsid w:val="37FA1570"/>
    <w:rsid w:val="386D08D6"/>
    <w:rsid w:val="38926838"/>
    <w:rsid w:val="3B072BD8"/>
    <w:rsid w:val="3C6D2E25"/>
    <w:rsid w:val="3EFE60C9"/>
    <w:rsid w:val="3F9B4224"/>
    <w:rsid w:val="40FC5250"/>
    <w:rsid w:val="427832D7"/>
    <w:rsid w:val="449746A0"/>
    <w:rsid w:val="44A44845"/>
    <w:rsid w:val="45DC43AC"/>
    <w:rsid w:val="47040901"/>
    <w:rsid w:val="485C538A"/>
    <w:rsid w:val="48C52312"/>
    <w:rsid w:val="49A35E18"/>
    <w:rsid w:val="4A082885"/>
    <w:rsid w:val="4A6A7768"/>
    <w:rsid w:val="4ADD209C"/>
    <w:rsid w:val="4BD32848"/>
    <w:rsid w:val="4DE012CC"/>
    <w:rsid w:val="4EF46546"/>
    <w:rsid w:val="519F7BA4"/>
    <w:rsid w:val="529945F3"/>
    <w:rsid w:val="52B117E5"/>
    <w:rsid w:val="535B5D4C"/>
    <w:rsid w:val="53E94B8B"/>
    <w:rsid w:val="57871C26"/>
    <w:rsid w:val="5A1D742D"/>
    <w:rsid w:val="5AECE554"/>
    <w:rsid w:val="5B291641"/>
    <w:rsid w:val="5CAA564F"/>
    <w:rsid w:val="5CC87D1E"/>
    <w:rsid w:val="5DB37248"/>
    <w:rsid w:val="5E42193B"/>
    <w:rsid w:val="5F7FB311"/>
    <w:rsid w:val="5FDA7D99"/>
    <w:rsid w:val="60010145"/>
    <w:rsid w:val="60B16E66"/>
    <w:rsid w:val="615A6FD4"/>
    <w:rsid w:val="62AC5D58"/>
    <w:rsid w:val="66CA75F7"/>
    <w:rsid w:val="677118AE"/>
    <w:rsid w:val="695232F6"/>
    <w:rsid w:val="69EB40B7"/>
    <w:rsid w:val="6AB56444"/>
    <w:rsid w:val="6B2322C4"/>
    <w:rsid w:val="6B6A6F30"/>
    <w:rsid w:val="6BE06E1A"/>
    <w:rsid w:val="6BE4659C"/>
    <w:rsid w:val="6E874BC4"/>
    <w:rsid w:val="6EAD5049"/>
    <w:rsid w:val="6EB051FA"/>
    <w:rsid w:val="6F814220"/>
    <w:rsid w:val="6FA2779B"/>
    <w:rsid w:val="73463ECB"/>
    <w:rsid w:val="755448D5"/>
    <w:rsid w:val="75BB2AB9"/>
    <w:rsid w:val="76B612A0"/>
    <w:rsid w:val="76E35F56"/>
    <w:rsid w:val="773554ED"/>
    <w:rsid w:val="77795AAB"/>
    <w:rsid w:val="79A30365"/>
    <w:rsid w:val="7A5770CC"/>
    <w:rsid w:val="7BA11262"/>
    <w:rsid w:val="7BAF2F67"/>
    <w:rsid w:val="7C1422CB"/>
    <w:rsid w:val="7CAC5115"/>
    <w:rsid w:val="7CB97D01"/>
    <w:rsid w:val="7D511C00"/>
    <w:rsid w:val="7D7E78B8"/>
    <w:rsid w:val="7DAB19A7"/>
    <w:rsid w:val="7DD27883"/>
    <w:rsid w:val="7E7D0549"/>
    <w:rsid w:val="DFBDD956"/>
    <w:rsid w:val="EBA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宋体" w:hAnsi="宋体" w:eastAsia="宋体" w:cs="宋体"/>
      <w:sz w:val="24"/>
      <w:szCs w:val="24"/>
      <w:lang w:val="en-US" w:eastAsia="zh-CN" w:bidi="ar-SA"/>
    </w:rPr>
  </w:style>
  <w:style w:type="paragraph" w:styleId="4">
    <w:name w:val="heading 1"/>
    <w:basedOn w:val="1"/>
    <w:next w:val="1"/>
    <w:link w:val="36"/>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5">
    <w:name w:val="heading 2"/>
    <w:basedOn w:val="1"/>
    <w:next w:val="1"/>
    <w:link w:val="35"/>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6">
    <w:name w:val="heading 3"/>
    <w:basedOn w:val="1"/>
    <w:next w:val="1"/>
    <w:link w:val="37"/>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next w:val="1"/>
    <w:link w:val="41"/>
    <w:qFormat/>
    <w:uiPriority w:val="99"/>
    <w:pPr>
      <w:spacing w:line="700" w:lineRule="exact"/>
      <w:ind w:left="960"/>
    </w:pPr>
    <w:rPr>
      <w:rFonts w:ascii="Times New Roman" w:hAnsi="Times New Roman" w:cs="Times New Roman"/>
      <w:sz w:val="20"/>
      <w:szCs w:val="20"/>
      <w:lang w:val="zh-CN"/>
    </w:rPr>
  </w:style>
  <w:style w:type="paragraph" w:styleId="7">
    <w:name w:val="Normal Indent"/>
    <w:basedOn w:val="1"/>
    <w:next w:val="8"/>
    <w:qFormat/>
    <w:uiPriority w:val="99"/>
    <w:pPr>
      <w:adjustRightInd w:val="0"/>
      <w:snapToGrid w:val="0"/>
      <w:spacing w:line="360" w:lineRule="auto"/>
      <w:ind w:firstLine="420"/>
    </w:pPr>
    <w:rPr>
      <w:szCs w:val="20"/>
    </w:rPr>
  </w:style>
  <w:style w:type="paragraph" w:styleId="8">
    <w:name w:val="Body Text"/>
    <w:basedOn w:val="1"/>
    <w:next w:val="1"/>
    <w:link w:val="38"/>
    <w:qFormat/>
    <w:uiPriority w:val="99"/>
    <w:pPr>
      <w:spacing w:after="120"/>
    </w:pPr>
    <w:rPr>
      <w:rFonts w:ascii="Times New Roman" w:hAnsi="Times New Roman" w:cs="Times New Roman"/>
      <w:kern w:val="2"/>
      <w:sz w:val="28"/>
      <w:szCs w:val="28"/>
      <w:lang w:val="zh-CN"/>
    </w:rPr>
  </w:style>
  <w:style w:type="paragraph" w:styleId="9">
    <w:name w:val="Document Map"/>
    <w:basedOn w:val="1"/>
    <w:link w:val="39"/>
    <w:qFormat/>
    <w:uiPriority w:val="99"/>
    <w:pPr>
      <w:shd w:val="clear" w:color="auto" w:fill="000080"/>
    </w:pPr>
    <w:rPr>
      <w:rFonts w:ascii="Times New Roman" w:hAnsi="Times New Roman" w:cs="Times New Roman"/>
      <w:sz w:val="2"/>
      <w:szCs w:val="2"/>
      <w:lang w:val="zh-CN"/>
    </w:rPr>
  </w:style>
  <w:style w:type="paragraph" w:styleId="10">
    <w:name w:val="annotation text"/>
    <w:basedOn w:val="1"/>
    <w:link w:val="40"/>
    <w:qFormat/>
    <w:uiPriority w:val="0"/>
    <w:rPr>
      <w:rFonts w:ascii="Times New Roman" w:hAnsi="Times New Roman" w:cs="Times New Roman"/>
      <w:kern w:val="2"/>
      <w:sz w:val="28"/>
      <w:szCs w:val="28"/>
      <w:lang w:val="zh-CN"/>
    </w:rPr>
  </w:style>
  <w:style w:type="paragraph" w:styleId="11">
    <w:name w:val="toc 3"/>
    <w:basedOn w:val="1"/>
    <w:next w:val="1"/>
    <w:qFormat/>
    <w:uiPriority w:val="39"/>
    <w:pPr>
      <w:tabs>
        <w:tab w:val="right" w:leader="dot" w:pos="8303"/>
      </w:tabs>
      <w:spacing w:line="540" w:lineRule="exact"/>
      <w:ind w:left="1120" w:leftChars="400"/>
    </w:pPr>
  </w:style>
  <w:style w:type="paragraph" w:styleId="12">
    <w:name w:val="Plain Text"/>
    <w:basedOn w:val="1"/>
    <w:link w:val="42"/>
    <w:qFormat/>
    <w:uiPriority w:val="99"/>
    <w:rPr>
      <w:rFonts w:hAnsi="Courier New" w:cs="Times New Roman"/>
      <w:sz w:val="21"/>
      <w:szCs w:val="21"/>
      <w:lang w:val="zh-CN"/>
    </w:rPr>
  </w:style>
  <w:style w:type="paragraph" w:styleId="13">
    <w:name w:val="Date"/>
    <w:basedOn w:val="1"/>
    <w:next w:val="1"/>
    <w:link w:val="43"/>
    <w:qFormat/>
    <w:uiPriority w:val="99"/>
    <w:rPr>
      <w:rFonts w:ascii="Times New Roman" w:hAnsi="Times New Roman" w:cs="Times New Roman"/>
      <w:sz w:val="20"/>
      <w:szCs w:val="20"/>
      <w:lang w:val="zh-CN"/>
    </w:rPr>
  </w:style>
  <w:style w:type="paragraph" w:styleId="14">
    <w:name w:val="Body Text Indent 2"/>
    <w:basedOn w:val="1"/>
    <w:link w:val="44"/>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5"/>
    <w:qFormat/>
    <w:uiPriority w:val="99"/>
    <w:rPr>
      <w:rFonts w:ascii="Times New Roman" w:hAnsi="Times New Roman" w:cs="Times New Roman"/>
      <w:sz w:val="2"/>
      <w:szCs w:val="2"/>
      <w:lang w:val="zh-CN"/>
    </w:rPr>
  </w:style>
  <w:style w:type="paragraph" w:styleId="16">
    <w:name w:val="footer"/>
    <w:basedOn w:val="1"/>
    <w:link w:val="46"/>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9">
    <w:name w:val="Subtitle"/>
    <w:basedOn w:val="1"/>
    <w:next w:val="1"/>
    <w:qFormat/>
    <w:uiPriority w:val="0"/>
    <w:pPr>
      <w:spacing w:before="240" w:after="60" w:line="312" w:lineRule="auto"/>
      <w:jc w:val="center"/>
      <w:outlineLvl w:val="1"/>
    </w:pPr>
    <w:rPr>
      <w:rFonts w:ascii="Cambria" w:hAnsi="Cambria" w:cs="Arial Unicode MS"/>
      <w:b/>
      <w:bCs/>
      <w:kern w:val="28"/>
      <w:sz w:val="32"/>
      <w:szCs w:val="32"/>
      <w:lang w:bidi="bo-CN"/>
    </w:rPr>
  </w:style>
  <w:style w:type="paragraph" w:styleId="20">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1">
    <w:name w:val="Body Text 2"/>
    <w:basedOn w:val="1"/>
    <w:link w:val="48"/>
    <w:qFormat/>
    <w:uiPriority w:val="99"/>
    <w:pPr>
      <w:spacing w:after="120" w:line="480" w:lineRule="auto"/>
    </w:pPr>
    <w:rPr>
      <w:rFonts w:cs="Times New Roman"/>
      <w:lang w:val="zh-CN"/>
    </w:rPr>
  </w:style>
  <w:style w:type="paragraph" w:styleId="22">
    <w:name w:val="Normal (Web)"/>
    <w:basedOn w:val="1"/>
    <w:qFormat/>
    <w:uiPriority w:val="0"/>
    <w:pPr>
      <w:spacing w:before="100" w:beforeAutospacing="1" w:after="100" w:afterAutospacing="1"/>
    </w:pPr>
    <w:rPr>
      <w:color w:val="000000"/>
    </w:rPr>
  </w:style>
  <w:style w:type="paragraph" w:styleId="23">
    <w:name w:val="Title"/>
    <w:basedOn w:val="1"/>
    <w:qFormat/>
    <w:uiPriority w:val="0"/>
    <w:pPr>
      <w:jc w:val="center"/>
      <w:outlineLvl w:val="0"/>
    </w:pPr>
    <w:rPr>
      <w:rFonts w:ascii="Cambria" w:hAnsi="Cambria"/>
      <w:b/>
      <w:bCs/>
      <w:sz w:val="36"/>
      <w:szCs w:val="32"/>
    </w:rPr>
  </w:style>
  <w:style w:type="paragraph" w:styleId="24">
    <w:name w:val="annotation subject"/>
    <w:basedOn w:val="10"/>
    <w:next w:val="10"/>
    <w:link w:val="49"/>
    <w:qFormat/>
    <w:uiPriority w:val="99"/>
    <w:rPr>
      <w:b/>
      <w:bCs/>
    </w:rPr>
  </w:style>
  <w:style w:type="paragraph" w:styleId="25">
    <w:name w:val="Body Text First Indent"/>
    <w:basedOn w:val="1"/>
    <w:link w:val="50"/>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qFormat/>
    <w:uiPriority w:val="0"/>
    <w:rPr>
      <w:rFonts w:cs="Times New Roman"/>
    </w:rPr>
  </w:style>
  <w:style w:type="character" w:styleId="31">
    <w:name w:val="Hyperlink"/>
    <w:qFormat/>
    <w:uiPriority w:val="99"/>
    <w:rPr>
      <w:rFonts w:cs="Times New Roman"/>
      <w:color w:val="0000FF"/>
      <w:u w:val="single"/>
    </w:rPr>
  </w:style>
  <w:style w:type="character" w:styleId="32">
    <w:name w:val="annotation reference"/>
    <w:qFormat/>
    <w:uiPriority w:val="99"/>
    <w:rPr>
      <w:sz w:val="21"/>
      <w:szCs w:val="21"/>
    </w:rPr>
  </w:style>
  <w:style w:type="paragraph" w:customStyle="1" w:styleId="33">
    <w:name w:val="目录 53"/>
    <w:next w:val="1"/>
    <w:qFormat/>
    <w:uiPriority w:val="0"/>
    <w:pPr>
      <w:wordWrap w:val="0"/>
      <w:spacing w:after="160" w:line="278" w:lineRule="auto"/>
      <w:ind w:left="1275"/>
      <w:jc w:val="both"/>
    </w:pPr>
    <w:rPr>
      <w:rFonts w:ascii="Calibri" w:hAnsi="Calibri" w:eastAsia="宋体" w:cs="Times New Roman"/>
      <w:sz w:val="21"/>
      <w:lang w:val="en-US" w:eastAsia="zh-CN" w:bidi="ar-SA"/>
    </w:rPr>
  </w:style>
  <w:style w:type="character" w:customStyle="1" w:styleId="34">
    <w:name w:val="NormalCharacter"/>
    <w:qFormat/>
    <w:uiPriority w:val="0"/>
    <w:rPr>
      <w:rFonts w:ascii="Calibri" w:hAnsi="Calibri" w:eastAsia="宋体"/>
    </w:rPr>
  </w:style>
  <w:style w:type="character" w:customStyle="1" w:styleId="35">
    <w:name w:val="标题 2 字符"/>
    <w:basedOn w:val="28"/>
    <w:link w:val="5"/>
    <w:qFormat/>
    <w:uiPriority w:val="99"/>
    <w:rPr>
      <w:rFonts w:ascii="Cambria" w:hAnsi="Cambria" w:eastAsia="宋体" w:cs="Times New Roman"/>
      <w:b/>
      <w:bCs/>
      <w:kern w:val="0"/>
      <w:sz w:val="32"/>
      <w:szCs w:val="32"/>
      <w:lang w:val="zh-CN" w:eastAsia="zh-CN"/>
    </w:rPr>
  </w:style>
  <w:style w:type="character" w:customStyle="1" w:styleId="36">
    <w:name w:val="标题 1 字符"/>
    <w:basedOn w:val="28"/>
    <w:link w:val="4"/>
    <w:qFormat/>
    <w:uiPriority w:val="99"/>
    <w:rPr>
      <w:rFonts w:ascii="Times New Roman" w:hAnsi="Times New Roman" w:eastAsia="宋体" w:cs="Times New Roman"/>
      <w:b/>
      <w:bCs/>
      <w:kern w:val="44"/>
      <w:sz w:val="44"/>
      <w:szCs w:val="44"/>
      <w:lang w:val="zh-CN" w:eastAsia="zh-CN"/>
    </w:rPr>
  </w:style>
  <w:style w:type="character" w:customStyle="1" w:styleId="37">
    <w:name w:val="标题 3 字符"/>
    <w:basedOn w:val="28"/>
    <w:link w:val="6"/>
    <w:qFormat/>
    <w:uiPriority w:val="0"/>
    <w:rPr>
      <w:rFonts w:ascii="Times New Roman" w:hAnsi="Times New Roman" w:eastAsia="宋体" w:cs="Times New Roman"/>
      <w:b/>
      <w:bCs/>
      <w:kern w:val="0"/>
      <w:sz w:val="32"/>
      <w:szCs w:val="32"/>
      <w:lang w:val="zh-CN" w:eastAsia="zh-CN"/>
    </w:rPr>
  </w:style>
  <w:style w:type="character" w:customStyle="1" w:styleId="38">
    <w:name w:val="正文文本 字符"/>
    <w:basedOn w:val="28"/>
    <w:link w:val="8"/>
    <w:qFormat/>
    <w:uiPriority w:val="99"/>
    <w:rPr>
      <w:rFonts w:ascii="Times New Roman" w:hAnsi="Times New Roman" w:eastAsia="宋体" w:cs="Times New Roman"/>
      <w:sz w:val="28"/>
      <w:szCs w:val="28"/>
      <w:lang w:val="zh-CN" w:eastAsia="zh-CN"/>
    </w:rPr>
  </w:style>
  <w:style w:type="character" w:customStyle="1" w:styleId="39">
    <w:name w:val="文档结构图 字符"/>
    <w:basedOn w:val="28"/>
    <w:link w:val="9"/>
    <w:qFormat/>
    <w:uiPriority w:val="99"/>
    <w:rPr>
      <w:rFonts w:ascii="Times New Roman" w:hAnsi="Times New Roman" w:eastAsia="宋体" w:cs="Times New Roman"/>
      <w:kern w:val="0"/>
      <w:sz w:val="2"/>
      <w:szCs w:val="2"/>
      <w:shd w:val="clear" w:color="auto" w:fill="000080"/>
      <w:lang w:val="zh-CN" w:eastAsia="zh-CN"/>
    </w:rPr>
  </w:style>
  <w:style w:type="character" w:customStyle="1" w:styleId="40">
    <w:name w:val="批注文字 字符"/>
    <w:basedOn w:val="28"/>
    <w:link w:val="10"/>
    <w:qFormat/>
    <w:uiPriority w:val="0"/>
    <w:rPr>
      <w:rFonts w:ascii="Times New Roman" w:hAnsi="Times New Roman" w:eastAsia="宋体" w:cs="Times New Roman"/>
      <w:sz w:val="28"/>
      <w:szCs w:val="28"/>
      <w:lang w:val="zh-CN" w:eastAsia="zh-CN"/>
    </w:rPr>
  </w:style>
  <w:style w:type="character" w:customStyle="1" w:styleId="41">
    <w:name w:val="正文文本缩进 字符"/>
    <w:basedOn w:val="28"/>
    <w:link w:val="3"/>
    <w:qFormat/>
    <w:uiPriority w:val="99"/>
    <w:rPr>
      <w:rFonts w:ascii="Times New Roman" w:hAnsi="Times New Roman" w:eastAsia="宋体" w:cs="Times New Roman"/>
      <w:kern w:val="0"/>
      <w:sz w:val="20"/>
      <w:szCs w:val="20"/>
      <w:lang w:val="zh-CN" w:eastAsia="zh-CN"/>
    </w:rPr>
  </w:style>
  <w:style w:type="character" w:customStyle="1" w:styleId="42">
    <w:name w:val="纯文本 字符"/>
    <w:basedOn w:val="28"/>
    <w:link w:val="12"/>
    <w:qFormat/>
    <w:uiPriority w:val="99"/>
    <w:rPr>
      <w:rFonts w:ascii="宋体" w:hAnsi="Courier New" w:eastAsia="宋体" w:cs="Times New Roman"/>
      <w:kern w:val="0"/>
      <w:szCs w:val="21"/>
      <w:lang w:val="zh-CN" w:eastAsia="zh-CN"/>
    </w:rPr>
  </w:style>
  <w:style w:type="character" w:customStyle="1" w:styleId="43">
    <w:name w:val="日期 字符"/>
    <w:basedOn w:val="28"/>
    <w:link w:val="13"/>
    <w:qFormat/>
    <w:uiPriority w:val="99"/>
    <w:rPr>
      <w:rFonts w:ascii="Times New Roman" w:hAnsi="Times New Roman" w:eastAsia="宋体" w:cs="Times New Roman"/>
      <w:kern w:val="0"/>
      <w:sz w:val="20"/>
      <w:szCs w:val="20"/>
      <w:lang w:val="zh-CN" w:eastAsia="zh-CN"/>
    </w:rPr>
  </w:style>
  <w:style w:type="character" w:customStyle="1" w:styleId="44">
    <w:name w:val="正文文本缩进 2 字符"/>
    <w:basedOn w:val="28"/>
    <w:link w:val="14"/>
    <w:qFormat/>
    <w:uiPriority w:val="99"/>
    <w:rPr>
      <w:rFonts w:ascii="Times New Roman" w:hAnsi="Times New Roman" w:eastAsia="宋体" w:cs="Times New Roman"/>
      <w:sz w:val="28"/>
      <w:szCs w:val="28"/>
      <w:lang w:val="zh-CN" w:eastAsia="zh-CN"/>
    </w:rPr>
  </w:style>
  <w:style w:type="character" w:customStyle="1" w:styleId="45">
    <w:name w:val="批注框文本 字符"/>
    <w:basedOn w:val="28"/>
    <w:link w:val="15"/>
    <w:qFormat/>
    <w:uiPriority w:val="99"/>
    <w:rPr>
      <w:rFonts w:ascii="Times New Roman" w:hAnsi="Times New Roman" w:eastAsia="宋体" w:cs="Times New Roman"/>
      <w:kern w:val="0"/>
      <w:sz w:val="2"/>
      <w:szCs w:val="2"/>
      <w:lang w:val="zh-CN" w:eastAsia="zh-CN"/>
    </w:rPr>
  </w:style>
  <w:style w:type="character" w:customStyle="1" w:styleId="46">
    <w:name w:val="页脚 字符"/>
    <w:basedOn w:val="28"/>
    <w:link w:val="16"/>
    <w:qFormat/>
    <w:uiPriority w:val="99"/>
    <w:rPr>
      <w:rFonts w:ascii="Times New Roman" w:hAnsi="Times New Roman" w:eastAsia="宋体" w:cs="Times New Roman"/>
      <w:kern w:val="0"/>
      <w:sz w:val="18"/>
      <w:szCs w:val="18"/>
      <w:lang w:val="zh-CN" w:eastAsia="zh-CN"/>
    </w:rPr>
  </w:style>
  <w:style w:type="character" w:customStyle="1" w:styleId="47">
    <w:name w:val="页眉 字符"/>
    <w:basedOn w:val="28"/>
    <w:link w:val="17"/>
    <w:qFormat/>
    <w:uiPriority w:val="0"/>
    <w:rPr>
      <w:rFonts w:ascii="Times New Roman" w:hAnsi="Times New Roman" w:eastAsia="宋体" w:cs="Times New Roman"/>
      <w:kern w:val="0"/>
      <w:sz w:val="18"/>
      <w:szCs w:val="18"/>
      <w:lang w:val="zh-CN" w:eastAsia="zh-CN"/>
    </w:rPr>
  </w:style>
  <w:style w:type="character" w:customStyle="1" w:styleId="48">
    <w:name w:val="正文文本 2 字符"/>
    <w:basedOn w:val="28"/>
    <w:link w:val="21"/>
    <w:qFormat/>
    <w:uiPriority w:val="99"/>
    <w:rPr>
      <w:rFonts w:ascii="宋体" w:hAnsi="宋体" w:eastAsia="宋体" w:cs="Times New Roman"/>
      <w:kern w:val="0"/>
      <w:sz w:val="24"/>
      <w:lang w:val="zh-CN" w:eastAsia="zh-CN"/>
    </w:rPr>
  </w:style>
  <w:style w:type="character" w:customStyle="1" w:styleId="49">
    <w:name w:val="批注主题 字符"/>
    <w:basedOn w:val="40"/>
    <w:link w:val="24"/>
    <w:qFormat/>
    <w:uiPriority w:val="99"/>
    <w:rPr>
      <w:rFonts w:ascii="Times New Roman" w:hAnsi="Times New Roman" w:eastAsia="宋体" w:cs="Times New Roman"/>
      <w:b/>
      <w:bCs/>
      <w:sz w:val="28"/>
      <w:szCs w:val="28"/>
      <w:lang w:val="zh-CN" w:eastAsia="zh-CN"/>
    </w:rPr>
  </w:style>
  <w:style w:type="character" w:customStyle="1" w:styleId="50">
    <w:name w:val="正文文本首行缩进 字符"/>
    <w:basedOn w:val="38"/>
    <w:link w:val="25"/>
    <w:qFormat/>
    <w:uiPriority w:val="0"/>
    <w:rPr>
      <w:rFonts w:ascii="宋体" w:hAnsi="宋体" w:eastAsia="宋体" w:cs="宋体"/>
      <w:kern w:val="0"/>
      <w:sz w:val="24"/>
      <w:szCs w:val="28"/>
      <w:lang w:val="zh-CN" w:eastAsia="zh-CN"/>
    </w:rPr>
  </w:style>
  <w:style w:type="paragraph" w:customStyle="1" w:styleId="51">
    <w:name w:val="正文文本 21"/>
    <w:basedOn w:val="1"/>
    <w:qFormat/>
    <w:uiPriority w:val="0"/>
    <w:pPr>
      <w:snapToGrid w:val="0"/>
      <w:spacing w:line="540" w:lineRule="exact"/>
    </w:pPr>
    <w:rPr>
      <w:rFonts w:eastAsia="方正仿宋_GBK"/>
      <w:color w:val="000000"/>
    </w:rPr>
  </w:style>
  <w:style w:type="paragraph" w:customStyle="1" w:styleId="52">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character" w:customStyle="1" w:styleId="53">
    <w:name w:val="emphasizedtitle1"/>
    <w:qFormat/>
    <w:uiPriority w:val="99"/>
    <w:rPr>
      <w:rFonts w:ascii="Arial" w:hAnsi="Arial"/>
      <w:b/>
      <w:sz w:val="27"/>
    </w:rPr>
  </w:style>
  <w:style w:type="character" w:customStyle="1" w:styleId="54">
    <w:name w:val="font21"/>
    <w:qFormat/>
    <w:uiPriority w:val="0"/>
    <w:rPr>
      <w:rFonts w:ascii="宋体" w:eastAsia="宋体" w:cs="宋体"/>
      <w:color w:val="000000"/>
      <w:sz w:val="20"/>
      <w:szCs w:val="20"/>
      <w:u w:val="none"/>
    </w:rPr>
  </w:style>
  <w:style w:type="character" w:customStyle="1" w:styleId="55">
    <w:name w:val="apple-converted-space"/>
    <w:qFormat/>
    <w:uiPriority w:val="99"/>
    <w:rPr>
      <w:rFonts w:cs="Times New Roman"/>
    </w:rPr>
  </w:style>
  <w:style w:type="character" w:customStyle="1" w:styleId="56">
    <w:name w:val="active"/>
    <w:qFormat/>
    <w:uiPriority w:val="0"/>
    <w:rPr>
      <w:shd w:val="clear" w:color="auto" w:fill="EC3535"/>
    </w:rPr>
  </w:style>
  <w:style w:type="character" w:customStyle="1" w:styleId="57">
    <w:name w:val="样式 (中文) 仿宋_GB2312 小四 行距: 固定值 22 磅 Char"/>
    <w:link w:val="58"/>
    <w:qFormat/>
    <w:uiPriority w:val="0"/>
    <w:rPr>
      <w:rFonts w:eastAsia="仿宋_GB2312"/>
      <w:sz w:val="24"/>
    </w:rPr>
  </w:style>
  <w:style w:type="paragraph" w:customStyle="1" w:styleId="58">
    <w:name w:val="样式 (中文) 仿宋_GB2312 小四 行距: 固定值 22 磅"/>
    <w:basedOn w:val="1"/>
    <w:link w:val="57"/>
    <w:qFormat/>
    <w:uiPriority w:val="0"/>
    <w:pPr>
      <w:spacing w:line="400" w:lineRule="exact"/>
      <w:ind w:firstLine="150" w:firstLineChars="150"/>
    </w:pPr>
    <w:rPr>
      <w:rFonts w:ascii="等线" w:hAnsi="等线" w:eastAsia="仿宋_GB2312"/>
      <w:kern w:val="2"/>
    </w:rPr>
  </w:style>
  <w:style w:type="character" w:customStyle="1" w:styleId="59">
    <w:name w:val="maincontenttable"/>
    <w:qFormat/>
    <w:uiPriority w:val="99"/>
    <w:rPr>
      <w:rFonts w:cs="Times New Roman"/>
    </w:rPr>
  </w:style>
  <w:style w:type="paragraph" w:customStyle="1" w:styleId="60">
    <w:name w:val="Char1 Char Char Char"/>
    <w:basedOn w:val="1"/>
    <w:qFormat/>
    <w:uiPriority w:val="99"/>
    <w:rPr>
      <w:rFonts w:ascii="Tahoma" w:hAnsi="Tahoma" w:cs="Tahoma"/>
      <w:sz w:val="30"/>
      <w:szCs w:val="30"/>
    </w:rPr>
  </w:style>
  <w:style w:type="paragraph" w:customStyle="1" w:styleId="61">
    <w:name w:val="Char Char Char Char Char Char Char Char Char Char"/>
    <w:basedOn w:val="1"/>
    <w:qFormat/>
    <w:uiPriority w:val="99"/>
    <w:pPr>
      <w:tabs>
        <w:tab w:val="left" w:pos="360"/>
      </w:tabs>
      <w:ind w:left="360" w:hanging="360" w:hangingChars="200"/>
    </w:pPr>
  </w:style>
  <w:style w:type="paragraph" w:customStyle="1" w:styleId="62">
    <w:name w:val="op_exactqa_s_prop"/>
    <w:basedOn w:val="1"/>
    <w:qFormat/>
    <w:uiPriority w:val="99"/>
  </w:style>
  <w:style w:type="paragraph" w:customStyle="1" w:styleId="63">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64">
    <w:name w:val="Char"/>
    <w:basedOn w:val="1"/>
    <w:qFormat/>
    <w:uiPriority w:val="99"/>
    <w:pPr>
      <w:spacing w:line="240" w:lineRule="exact"/>
    </w:pPr>
    <w:rPr>
      <w:rFonts w:ascii="Verdana" w:hAnsi="Verdana" w:eastAsia="仿宋_GB2312" w:cs="Verdana"/>
      <w:lang w:eastAsia="en-US"/>
    </w:rPr>
  </w:style>
  <w:style w:type="paragraph" w:customStyle="1" w:styleId="65">
    <w:name w:val="图例"/>
    <w:basedOn w:val="1"/>
    <w:qFormat/>
    <w:uiPriority w:val="0"/>
    <w:pPr>
      <w:spacing w:before="120" w:after="120" w:line="360" w:lineRule="auto"/>
      <w:jc w:val="center"/>
    </w:pPr>
    <w:rPr>
      <w:rFonts w:eastAsia="仿宋_GB2312"/>
      <w:b/>
    </w:rPr>
  </w:style>
  <w:style w:type="paragraph" w:customStyle="1" w:styleId="66">
    <w:name w:val="Char Char Char Char"/>
    <w:basedOn w:val="1"/>
    <w:qFormat/>
    <w:uiPriority w:val="99"/>
    <w:pPr>
      <w:spacing w:line="240" w:lineRule="exact"/>
    </w:pPr>
    <w:rPr>
      <w:rFonts w:ascii="Verdana" w:hAnsi="Verdana" w:cs="Verdana"/>
      <w:sz w:val="20"/>
      <w:szCs w:val="20"/>
      <w:lang w:eastAsia="en-US"/>
    </w:rPr>
  </w:style>
  <w:style w:type="paragraph" w:customStyle="1" w:styleId="67">
    <w:name w:val="_Style 7"/>
    <w:basedOn w:val="1"/>
    <w:qFormat/>
    <w:uiPriority w:val="0"/>
    <w:pPr>
      <w:ind w:firstLine="200" w:firstLineChars="200"/>
    </w:pPr>
    <w:rPr>
      <w:rFonts w:ascii="等线" w:eastAsia="等线" w:cs="Times New Roman"/>
      <w:sz w:val="21"/>
      <w:szCs w:val="22"/>
    </w:rPr>
  </w:style>
  <w:style w:type="paragraph" w:customStyle="1" w:styleId="68">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9">
    <w:name w:val="列表段落1"/>
    <w:basedOn w:val="1"/>
    <w:qFormat/>
    <w:uiPriority w:val="99"/>
    <w:pPr>
      <w:ind w:firstLine="420" w:firstLineChars="200"/>
    </w:pPr>
  </w:style>
  <w:style w:type="paragraph" w:customStyle="1" w:styleId="70">
    <w:name w:val="1"/>
    <w:basedOn w:val="1"/>
    <w:next w:val="12"/>
    <w:qFormat/>
    <w:uiPriority w:val="0"/>
    <w:rPr>
      <w:rFonts w:hAnsi="Courier New"/>
      <w:sz w:val="21"/>
      <w:szCs w:val="21"/>
    </w:rPr>
  </w:style>
  <w:style w:type="paragraph" w:customStyle="1" w:styleId="71">
    <w:name w:val="列出段落2"/>
    <w:basedOn w:val="1"/>
    <w:qFormat/>
    <w:uiPriority w:val="99"/>
    <w:pPr>
      <w:ind w:firstLine="420" w:firstLineChars="200"/>
    </w:pPr>
  </w:style>
  <w:style w:type="paragraph" w:customStyle="1" w:styleId="72">
    <w:name w:val="附件"/>
    <w:next w:val="1"/>
    <w:qFormat/>
    <w:uiPriority w:val="0"/>
    <w:pPr>
      <w:tabs>
        <w:tab w:val="right" w:leader="dot" w:pos="9402"/>
      </w:tabs>
      <w:spacing w:after="160"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3">
    <w:name w:val="列出段落1"/>
    <w:basedOn w:val="1"/>
    <w:qFormat/>
    <w:uiPriority w:val="99"/>
    <w:pPr>
      <w:ind w:firstLine="420" w:firstLineChars="200"/>
    </w:pPr>
    <w:rPr>
      <w:rFonts w:ascii="Calibri" w:hAnsi="Calibri"/>
      <w:sz w:val="21"/>
      <w:szCs w:val="22"/>
    </w:rPr>
  </w:style>
  <w:style w:type="paragraph" w:customStyle="1" w:styleId="74">
    <w:name w:val="无间隔1"/>
    <w:qFormat/>
    <w:uiPriority w:val="99"/>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customStyle="1" w:styleId="75">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6">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paragraph" w:styleId="77">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8">
    <w:name w:val="Normal_6b1eb2b1-915e-4520-a4ad-e896fdd76176"/>
    <w:next w:val="4"/>
    <w:qFormat/>
    <w:uiPriority w:val="0"/>
    <w:pPr>
      <w:spacing w:after="160" w:line="278" w:lineRule="auto"/>
    </w:pPr>
    <w:rPr>
      <w:rFonts w:ascii="Times New Roman" w:hAnsi="Times New Roman" w:eastAsia="宋体" w:cs="Times New Roman"/>
      <w:sz w:val="21"/>
      <w:lang w:val="en-US" w:eastAsia="zh-CN" w:bidi="ar-SA"/>
    </w:rPr>
  </w:style>
  <w:style w:type="character" w:customStyle="1" w:styleId="79">
    <w:name w:val="未处理的提及1"/>
    <w:basedOn w:val="28"/>
    <w:semiHidden/>
    <w:unhideWhenUsed/>
    <w:qFormat/>
    <w:uiPriority w:val="99"/>
    <w:rPr>
      <w:color w:val="605E5C"/>
      <w:shd w:val="clear" w:color="auto" w:fill="E1DFDD"/>
    </w:rPr>
  </w:style>
  <w:style w:type="paragraph" w:customStyle="1" w:styleId="80">
    <w:name w:val="_Style 6"/>
    <w:basedOn w:val="1"/>
    <w:qFormat/>
    <w:uiPriority w:val="34"/>
    <w:pPr>
      <w:widowControl w:val="0"/>
      <w:ind w:firstLine="420" w:firstLineChars="200"/>
      <w:jc w:val="both"/>
    </w:pPr>
    <w:rPr>
      <w:rFonts w:ascii="Calibri" w:hAnsi="Calibri" w:cs="Times New Roman"/>
      <w:kern w:val="2"/>
      <w:sz w:val="21"/>
      <w:szCs w:val="22"/>
    </w:rPr>
  </w:style>
  <w:style w:type="character" w:customStyle="1" w:styleId="81">
    <w:name w:val="font41"/>
    <w:basedOn w:val="28"/>
    <w:qFormat/>
    <w:uiPriority w:val="0"/>
    <w:rPr>
      <w:rFonts w:hint="eastAsia" w:ascii="宋体" w:hAnsi="宋体" w:eastAsia="宋体" w:cs="宋体"/>
      <w:color w:val="000000"/>
      <w:sz w:val="18"/>
      <w:szCs w:val="18"/>
      <w:u w:val="none"/>
    </w:rPr>
  </w:style>
  <w:style w:type="character" w:customStyle="1" w:styleId="82">
    <w:name w:val="font71"/>
    <w:basedOn w:val="28"/>
    <w:qFormat/>
    <w:uiPriority w:val="0"/>
    <w:rPr>
      <w:rFonts w:hint="eastAsia" w:ascii="宋体" w:hAnsi="宋体" w:eastAsia="宋体" w:cs="宋体"/>
      <w:color w:val="000000"/>
      <w:sz w:val="22"/>
      <w:szCs w:val="22"/>
      <w:u w:val="none"/>
      <w:vertAlign w:val="superscript"/>
    </w:rPr>
  </w:style>
  <w:style w:type="character" w:customStyle="1" w:styleId="83">
    <w:name w:val="font5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78657-6A2B-DD43-9D24-E4B7380DDF0B}">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36</Pages>
  <Words>9246</Words>
  <Characters>9616</Characters>
  <Lines>565</Lines>
  <Paragraphs>538</Paragraphs>
  <TotalTime>19</TotalTime>
  <ScaleCrop>false</ScaleCrop>
  <LinksUpToDate>false</LinksUpToDate>
  <CharactersWithSpaces>18324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2025-05-19T03:38:00Z</dcterms:created>
  <dc:creator>xb21cn</dc:creator>
  <cp:lastModifiedBy>Administrator</cp:lastModifiedBy>
  <dcterms:modified xsi:type="dcterms:W3CDTF">2025-08-09T14:08:50Z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DB8F5A118FC64D29B59EA2DA54399BF3_13</vt:lpwstr>
  </property>
  <property fmtid="{D5CDD505-2E9C-101B-9397-08002B2CF9AE}" pid="4" name="KSOTemplateDocerSaveRecord">
    <vt:lpwstr>eyJoZGlkIjoiNmFhMmM5ZjJhMDQ5ZTZjNTE2YzkyY2RmMGE1OTFkNzkiLCJ1c2VySWQiOiIxNjAwMTk4Mzg4In0=</vt:lpwstr>
  </property>
</Properties>
</file>