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D0CCBE">
      <w:pPr>
        <w:jc w:val="center"/>
        <w:rPr>
          <w:rFonts w:hint="eastAsia" w:ascii="微软雅黑" w:hAnsi="微软雅黑" w:eastAsia="微软雅黑" w:cs="微软雅黑"/>
          <w:color w:val="auto"/>
          <w:highlight w:val="none"/>
        </w:rPr>
      </w:pPr>
    </w:p>
    <w:p w14:paraId="5050BC31">
      <w:pPr>
        <w:jc w:val="center"/>
        <w:rPr>
          <w:rFonts w:hint="eastAsia" w:ascii="微软雅黑" w:hAnsi="微软雅黑" w:eastAsia="微软雅黑" w:cs="微软雅黑"/>
          <w:color w:val="auto"/>
          <w:highlight w:val="none"/>
        </w:rPr>
      </w:pPr>
    </w:p>
    <w:p w14:paraId="7803427D">
      <w:pPr>
        <w:jc w:val="center"/>
        <w:rPr>
          <w:rFonts w:hint="eastAsia" w:ascii="微软雅黑" w:hAnsi="微软雅黑" w:eastAsia="微软雅黑" w:cs="微软雅黑"/>
          <w:color w:val="auto"/>
          <w:highlight w:val="none"/>
        </w:rPr>
      </w:pPr>
    </w:p>
    <w:p w14:paraId="669D7B65">
      <w:pPr>
        <w:pStyle w:val="2"/>
        <w:rPr>
          <w:rFonts w:hint="eastAsia" w:ascii="微软雅黑" w:hAnsi="微软雅黑" w:eastAsia="微软雅黑" w:cs="微软雅黑"/>
          <w:color w:val="auto"/>
          <w:highlight w:val="none"/>
        </w:rPr>
      </w:pPr>
    </w:p>
    <w:p w14:paraId="5DB70AD1">
      <w:pPr>
        <w:pStyle w:val="2"/>
        <w:rPr>
          <w:rFonts w:hint="eastAsia" w:ascii="微软雅黑" w:hAnsi="微软雅黑" w:eastAsia="微软雅黑" w:cs="微软雅黑"/>
          <w:color w:val="auto"/>
          <w:highlight w:val="none"/>
        </w:rPr>
      </w:pPr>
    </w:p>
    <w:p w14:paraId="014A9DDF">
      <w:pPr>
        <w:jc w:val="center"/>
        <w:outlineLvl w:val="0"/>
        <w:rPr>
          <w:rFonts w:hint="eastAsia" w:ascii="微软雅黑" w:hAnsi="微软雅黑" w:eastAsia="微软雅黑" w:cs="微软雅黑"/>
          <w:b/>
          <w:color w:val="auto"/>
          <w:spacing w:val="80"/>
          <w:sz w:val="112"/>
          <w:szCs w:val="112"/>
          <w:highlight w:val="none"/>
        </w:rPr>
      </w:pPr>
      <w:r>
        <w:rPr>
          <w:rFonts w:hint="eastAsia" w:ascii="微软雅黑" w:hAnsi="微软雅黑" w:eastAsia="微软雅黑" w:cs="微软雅黑"/>
          <w:b w:val="0"/>
          <w:bCs/>
          <w:color w:val="auto"/>
          <w:spacing w:val="80"/>
          <w:sz w:val="96"/>
          <w:szCs w:val="96"/>
          <w:highlight w:val="none"/>
        </w:rPr>
        <w:t>竞争性</w:t>
      </w:r>
      <w:r>
        <w:rPr>
          <w:rFonts w:hint="eastAsia" w:ascii="微软雅黑" w:hAnsi="微软雅黑" w:eastAsia="微软雅黑" w:cs="微软雅黑"/>
          <w:b w:val="0"/>
          <w:bCs/>
          <w:color w:val="auto"/>
          <w:spacing w:val="80"/>
          <w:sz w:val="96"/>
          <w:szCs w:val="96"/>
          <w:highlight w:val="none"/>
          <w:lang w:eastAsia="zh-CN"/>
        </w:rPr>
        <w:t>磋商</w:t>
      </w:r>
      <w:bookmarkStart w:id="108" w:name="_GoBack"/>
      <w:bookmarkEnd w:id="108"/>
      <w:r>
        <w:rPr>
          <w:rFonts w:hint="eastAsia" w:ascii="微软雅黑" w:hAnsi="微软雅黑" w:eastAsia="微软雅黑" w:cs="微软雅黑"/>
          <w:b w:val="0"/>
          <w:bCs/>
          <w:color w:val="auto"/>
          <w:spacing w:val="80"/>
          <w:sz w:val="96"/>
          <w:szCs w:val="96"/>
          <w:highlight w:val="none"/>
        </w:rPr>
        <w:t>文件</w:t>
      </w:r>
    </w:p>
    <w:p w14:paraId="5F506B6D">
      <w:pPr>
        <w:jc w:val="center"/>
        <w:rPr>
          <w:rFonts w:hint="eastAsia" w:ascii="微软雅黑" w:hAnsi="微软雅黑" w:eastAsia="微软雅黑" w:cs="微软雅黑"/>
          <w:color w:val="auto"/>
          <w:sz w:val="32"/>
          <w:highlight w:val="none"/>
        </w:rPr>
      </w:pPr>
    </w:p>
    <w:p w14:paraId="7FBF2312">
      <w:pPr>
        <w:jc w:val="center"/>
        <w:rPr>
          <w:rFonts w:hint="eastAsia" w:ascii="微软雅黑" w:hAnsi="微软雅黑" w:eastAsia="微软雅黑" w:cs="微软雅黑"/>
          <w:color w:val="auto"/>
          <w:sz w:val="32"/>
          <w:highlight w:val="none"/>
        </w:rPr>
      </w:pPr>
    </w:p>
    <w:p w14:paraId="2AAF8D18">
      <w:pPr>
        <w:jc w:val="center"/>
        <w:rPr>
          <w:rFonts w:hint="eastAsia" w:ascii="微软雅黑" w:hAnsi="微软雅黑" w:eastAsia="微软雅黑" w:cs="微软雅黑"/>
          <w:color w:val="auto"/>
          <w:sz w:val="32"/>
          <w:highlight w:val="none"/>
        </w:rPr>
      </w:pPr>
    </w:p>
    <w:p w14:paraId="7C5F24F2">
      <w:pPr>
        <w:ind w:firstLine="1280" w:firstLineChars="400"/>
        <w:jc w:val="both"/>
        <w:rPr>
          <w:rFonts w:hint="eastAsia" w:ascii="微软雅黑" w:hAnsi="微软雅黑" w:eastAsia="微软雅黑" w:cs="微软雅黑"/>
          <w:color w:val="auto"/>
          <w:sz w:val="32"/>
          <w:highlight w:val="none"/>
          <w:lang w:val="en-US" w:eastAsia="zh-CN"/>
        </w:rPr>
      </w:pPr>
      <w:r>
        <w:rPr>
          <w:rFonts w:hint="eastAsia" w:ascii="微软雅黑" w:hAnsi="微软雅黑" w:eastAsia="微软雅黑" w:cs="微软雅黑"/>
          <w:color w:val="auto"/>
          <w:sz w:val="32"/>
          <w:highlight w:val="none"/>
          <w:lang w:val="en-US" w:eastAsia="zh-CN"/>
        </w:rPr>
        <w:t>项 目 号：YM-2026-18</w:t>
      </w:r>
    </w:p>
    <w:p w14:paraId="4E461CF5">
      <w:pPr>
        <w:jc w:val="center"/>
        <w:rPr>
          <w:rFonts w:hint="eastAsia" w:ascii="微软雅黑" w:hAnsi="微软雅黑" w:eastAsia="微软雅黑" w:cs="微软雅黑"/>
          <w:color w:val="auto"/>
          <w:sz w:val="32"/>
          <w:highlight w:val="none"/>
        </w:rPr>
      </w:pPr>
    </w:p>
    <w:p w14:paraId="0947D611">
      <w:pPr>
        <w:spacing w:line="700" w:lineRule="exact"/>
        <w:ind w:left="2875" w:leftChars="384" w:hanging="1800" w:hangingChars="500"/>
        <w:jc w:val="left"/>
        <w:rPr>
          <w:rFonts w:hint="eastAsia" w:ascii="方正小标宋_GBK" w:hAnsi="宋体" w:eastAsia="方正小标宋_GBK" w:cs="Times New Roman"/>
          <w:color w:val="auto"/>
          <w:sz w:val="36"/>
          <w:szCs w:val="30"/>
          <w:highlight w:val="none"/>
          <w:lang w:eastAsia="zh-CN"/>
        </w:rPr>
      </w:pPr>
      <w:r>
        <w:rPr>
          <w:rFonts w:hint="eastAsia" w:ascii="微软雅黑" w:hAnsi="微软雅黑" w:eastAsia="微软雅黑" w:cs="微软雅黑"/>
          <w:color w:val="auto"/>
          <w:sz w:val="36"/>
          <w:szCs w:val="30"/>
          <w:highlight w:val="none"/>
        </w:rPr>
        <w:t>项目名称：</w:t>
      </w:r>
      <w:r>
        <w:rPr>
          <w:rFonts w:hint="eastAsia" w:ascii="方正小标宋_GBK" w:hAnsi="宋体" w:eastAsia="方正小标宋_GBK"/>
          <w:color w:val="auto"/>
          <w:sz w:val="36"/>
          <w:szCs w:val="30"/>
          <w:highlight w:val="none"/>
          <w:lang w:eastAsia="zh-CN"/>
        </w:rPr>
        <w:t>重庆市食品药品检验检测研究院</w:t>
      </w:r>
      <w:r>
        <w:rPr>
          <w:rFonts w:hint="eastAsia" w:ascii="方正小标宋_GBK" w:hAnsi="宋体" w:eastAsia="方正小标宋_GBK"/>
          <w:color w:val="auto"/>
          <w:sz w:val="36"/>
          <w:szCs w:val="30"/>
          <w:highlight w:val="none"/>
          <w:lang w:eastAsia="zh-CN"/>
        </w:rPr>
        <w:t>一分院</w:t>
      </w:r>
      <w:r>
        <w:rPr>
          <w:rFonts w:hint="eastAsia" w:ascii="方正小标宋_GBK" w:hAnsi="宋体" w:eastAsia="方正小标宋_GBK" w:cs="Times New Roman"/>
          <w:color w:val="auto"/>
          <w:sz w:val="36"/>
          <w:szCs w:val="30"/>
          <w:highlight w:val="none"/>
          <w:lang w:val="en-US" w:eastAsia="zh-CN"/>
        </w:rPr>
        <w:t>2026年</w:t>
      </w:r>
      <w:r>
        <w:rPr>
          <w:rFonts w:hint="eastAsia" w:ascii="方正小标宋_GBK" w:hAnsi="宋体" w:eastAsia="方正小标宋_GBK" w:cs="Times New Roman"/>
          <w:color w:val="auto"/>
          <w:sz w:val="36"/>
          <w:szCs w:val="30"/>
          <w:highlight w:val="none"/>
          <w:lang w:eastAsia="zh-CN"/>
        </w:rPr>
        <w:t>物业管理服务</w:t>
      </w:r>
    </w:p>
    <w:p w14:paraId="606200B5">
      <w:pPr>
        <w:jc w:val="center"/>
        <w:rPr>
          <w:rFonts w:hint="eastAsia" w:ascii="微软雅黑" w:hAnsi="微软雅黑" w:eastAsia="微软雅黑" w:cs="微软雅黑"/>
          <w:b/>
          <w:color w:val="auto"/>
          <w:sz w:val="30"/>
          <w:szCs w:val="30"/>
          <w:highlight w:val="none"/>
        </w:rPr>
      </w:pPr>
    </w:p>
    <w:p w14:paraId="5F931321">
      <w:pPr>
        <w:jc w:val="center"/>
        <w:rPr>
          <w:rFonts w:hint="eastAsia" w:ascii="微软雅黑" w:hAnsi="微软雅黑" w:eastAsia="微软雅黑" w:cs="微软雅黑"/>
          <w:b/>
          <w:color w:val="auto"/>
          <w:sz w:val="30"/>
          <w:szCs w:val="30"/>
          <w:highlight w:val="none"/>
        </w:rPr>
      </w:pPr>
    </w:p>
    <w:p w14:paraId="34046C87">
      <w:pPr>
        <w:jc w:val="both"/>
        <w:rPr>
          <w:rFonts w:hint="eastAsia" w:ascii="微软雅黑" w:hAnsi="微软雅黑" w:eastAsia="微软雅黑" w:cs="微软雅黑"/>
          <w:b/>
          <w:color w:val="auto"/>
          <w:sz w:val="30"/>
          <w:szCs w:val="30"/>
          <w:highlight w:val="none"/>
        </w:rPr>
      </w:pPr>
    </w:p>
    <w:p w14:paraId="7DBB9AC0">
      <w:pPr>
        <w:pStyle w:val="2"/>
        <w:rPr>
          <w:rFonts w:hint="eastAsia" w:ascii="微软雅黑" w:hAnsi="微软雅黑" w:eastAsia="微软雅黑" w:cs="微软雅黑"/>
          <w:b/>
          <w:color w:val="auto"/>
          <w:sz w:val="30"/>
          <w:szCs w:val="30"/>
          <w:highlight w:val="none"/>
        </w:rPr>
      </w:pPr>
    </w:p>
    <w:p w14:paraId="1C0A7CAC">
      <w:pPr>
        <w:pStyle w:val="2"/>
        <w:rPr>
          <w:rFonts w:hint="eastAsia" w:ascii="微软雅黑" w:hAnsi="微软雅黑" w:eastAsia="微软雅黑" w:cs="微软雅黑"/>
          <w:b/>
          <w:color w:val="auto"/>
          <w:sz w:val="30"/>
          <w:szCs w:val="30"/>
          <w:highlight w:val="none"/>
        </w:rPr>
      </w:pPr>
    </w:p>
    <w:p w14:paraId="5DE45FF1">
      <w:pPr>
        <w:ind w:firstLine="1440" w:firstLineChars="400"/>
        <w:rPr>
          <w:rFonts w:hint="default"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采 购 人：</w:t>
      </w:r>
      <w:r>
        <w:rPr>
          <w:rFonts w:hint="eastAsia" w:ascii="微软雅黑" w:hAnsi="微软雅黑" w:eastAsia="微软雅黑" w:cs="微软雅黑"/>
          <w:color w:val="auto"/>
          <w:sz w:val="36"/>
          <w:szCs w:val="30"/>
          <w:highlight w:val="none"/>
          <w:lang w:eastAsia="zh-CN"/>
        </w:rPr>
        <w:t>重庆市食品药品检验检测研究院</w:t>
      </w:r>
    </w:p>
    <w:p w14:paraId="0F098D9B">
      <w:pPr>
        <w:pStyle w:val="2"/>
        <w:ind w:firstLine="1411" w:firstLineChars="392"/>
        <w:rPr>
          <w:rFonts w:hint="eastAsia"/>
          <w:color w:val="auto"/>
          <w:highlight w:val="none"/>
        </w:rPr>
      </w:pPr>
      <w:r>
        <w:rPr>
          <w:rFonts w:hint="eastAsia" w:ascii="微软雅黑" w:hAnsi="微软雅黑" w:eastAsia="微软雅黑" w:cs="微软雅黑"/>
          <w:color w:val="auto"/>
          <w:sz w:val="36"/>
          <w:szCs w:val="30"/>
          <w:highlight w:val="none"/>
        </w:rPr>
        <w:t>采购代理机构：</w:t>
      </w:r>
      <w:r>
        <w:rPr>
          <w:rFonts w:hint="eastAsia" w:ascii="微软雅黑" w:hAnsi="微软雅黑" w:eastAsia="微软雅黑" w:cs="微软雅黑"/>
          <w:color w:val="auto"/>
          <w:sz w:val="36"/>
          <w:szCs w:val="30"/>
          <w:highlight w:val="none"/>
          <w:lang w:eastAsia="zh-CN"/>
        </w:rPr>
        <w:t>重庆渝盟工程管理有限公司</w:t>
      </w:r>
    </w:p>
    <w:p w14:paraId="5708C213">
      <w:pPr>
        <w:jc w:val="center"/>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36"/>
          <w:szCs w:val="30"/>
          <w:highlight w:val="none"/>
        </w:rPr>
        <w:t>二〇二</w:t>
      </w:r>
      <w:r>
        <w:rPr>
          <w:rFonts w:hint="eastAsia" w:ascii="微软雅黑" w:hAnsi="微软雅黑" w:eastAsia="微软雅黑" w:cs="微软雅黑"/>
          <w:color w:val="auto"/>
          <w:sz w:val="36"/>
          <w:szCs w:val="30"/>
          <w:highlight w:val="none"/>
          <w:lang w:eastAsia="zh-CN"/>
        </w:rPr>
        <w:t>六</w:t>
      </w:r>
      <w:r>
        <w:rPr>
          <w:rFonts w:hint="eastAsia" w:ascii="微软雅黑" w:hAnsi="微软雅黑" w:eastAsia="微软雅黑" w:cs="微软雅黑"/>
          <w:color w:val="auto"/>
          <w:sz w:val="36"/>
          <w:szCs w:val="30"/>
          <w:highlight w:val="none"/>
        </w:rPr>
        <w:t>年</w:t>
      </w:r>
      <w:r>
        <w:rPr>
          <w:rFonts w:hint="eastAsia" w:ascii="微软雅黑" w:hAnsi="微软雅黑" w:eastAsia="微软雅黑" w:cs="微软雅黑"/>
          <w:color w:val="auto"/>
          <w:sz w:val="36"/>
          <w:szCs w:val="30"/>
          <w:highlight w:val="none"/>
          <w:lang w:eastAsia="zh-CN"/>
        </w:rPr>
        <w:t>三</w:t>
      </w:r>
      <w:r>
        <w:rPr>
          <w:rFonts w:hint="eastAsia" w:ascii="微软雅黑" w:hAnsi="微软雅黑" w:eastAsia="微软雅黑" w:cs="微软雅黑"/>
          <w:color w:val="auto"/>
          <w:sz w:val="36"/>
          <w:szCs w:val="30"/>
          <w:highlight w:val="none"/>
        </w:rPr>
        <w:t>月</w:t>
      </w:r>
    </w:p>
    <w:p w14:paraId="28361DBD">
      <w:pPr>
        <w:jc w:val="center"/>
        <w:outlineLvl w:val="0"/>
        <w:rPr>
          <w:rFonts w:hint="eastAsia" w:ascii="微软雅黑" w:hAnsi="微软雅黑" w:eastAsia="微软雅黑" w:cs="微软雅黑"/>
          <w:color w:val="auto"/>
          <w:sz w:val="44"/>
          <w:szCs w:val="28"/>
          <w:highlight w:val="none"/>
        </w:rPr>
      </w:pPr>
    </w:p>
    <w:p w14:paraId="1A8FB82C">
      <w:pPr>
        <w:jc w:val="center"/>
        <w:outlineLvl w:val="0"/>
        <w:rPr>
          <w:rFonts w:hint="eastAsia" w:ascii="微软雅黑" w:hAnsi="微软雅黑" w:eastAsia="微软雅黑" w:cs="微软雅黑"/>
          <w:color w:val="auto"/>
          <w:sz w:val="44"/>
          <w:szCs w:val="28"/>
          <w:highlight w:val="none"/>
        </w:rPr>
      </w:pPr>
    </w:p>
    <w:p w14:paraId="213B3DF3">
      <w:pPr>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595A2B48">
      <w:pPr>
        <w:pStyle w:val="45"/>
        <w:tabs>
          <w:tab w:val="right" w:leader="dot" w:pos="9412"/>
        </w:tabs>
        <w:rPr>
          <w:color w:val="auto"/>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_Toc11332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第一篇  竞争性</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_Toc11332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FC2B0FF">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_Toc13469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一、竞争性</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_Toc13469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1CBB05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_Toc9141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_Toc9141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9A462B8">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_Toc27959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资格</w:t>
      </w:r>
      <w:r>
        <w:rPr>
          <w:color w:val="auto"/>
          <w:highlight w:val="none"/>
        </w:rPr>
        <w:tab/>
      </w:r>
      <w:r>
        <w:rPr>
          <w:color w:val="auto"/>
          <w:highlight w:val="none"/>
        </w:rPr>
        <w:fldChar w:fldCharType="begin"/>
      </w:r>
      <w:r>
        <w:rPr>
          <w:color w:val="auto"/>
          <w:highlight w:val="none"/>
        </w:rPr>
        <w:instrText xml:space="preserve"> PAGEREF _Toc27959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6E73F1B">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_Toc32452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_Toc32452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214DAA9">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_Toc10388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lang w:val="en-US" w:eastAsia="zh-CN"/>
        </w:rPr>
        <w:t>无。</w:t>
      </w:r>
      <w:r>
        <w:rPr>
          <w:color w:val="auto"/>
          <w:highlight w:val="none"/>
        </w:rPr>
        <w:tab/>
      </w:r>
      <w:r>
        <w:rPr>
          <w:color w:val="auto"/>
          <w:highlight w:val="none"/>
        </w:rPr>
        <w:fldChar w:fldCharType="begin"/>
      </w:r>
      <w:r>
        <w:rPr>
          <w:color w:val="auto"/>
          <w:highlight w:val="none"/>
        </w:rPr>
        <w:instrText xml:space="preserve"> PAGEREF _Toc10388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59C7D7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_Toc21929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eastAsia="zh-CN"/>
        </w:rPr>
        <w:t>六</w:t>
      </w:r>
      <w:r>
        <w:rPr>
          <w:rFonts w:hint="eastAsia" w:ascii="微软雅黑" w:hAnsi="微软雅黑" w:eastAsia="微软雅黑" w:cs="微软雅黑"/>
          <w:color w:val="auto"/>
          <w:szCs w:val="24"/>
          <w:highlight w:val="none"/>
        </w:rPr>
        <w:t>、采购项目需落实的政府采购政策</w:t>
      </w:r>
      <w:r>
        <w:rPr>
          <w:color w:val="auto"/>
          <w:highlight w:val="none"/>
        </w:rPr>
        <w:tab/>
      </w:r>
      <w:r>
        <w:rPr>
          <w:color w:val="auto"/>
          <w:highlight w:val="none"/>
        </w:rPr>
        <w:fldChar w:fldCharType="begin"/>
      </w:r>
      <w:r>
        <w:rPr>
          <w:color w:val="auto"/>
          <w:highlight w:val="none"/>
        </w:rPr>
        <w:instrText xml:space="preserve"> PAGEREF _Toc21929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6139FD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_Toc15626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eastAsia="zh-CN"/>
        </w:rPr>
        <w:t>七</w:t>
      </w:r>
      <w:r>
        <w:rPr>
          <w:rFonts w:hint="eastAsia" w:ascii="微软雅黑" w:hAnsi="微软雅黑" w:eastAsia="微软雅黑" w:cs="微软雅黑"/>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_Toc15626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EB12D2A">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_Toc12411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八、联系方式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C498098">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_Toc14620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6"/>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_Toc14620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47BD83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_Toc5966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_Toc5966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8E3F90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_Toc29095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二、竞争性</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_Toc29095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D2A961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_Toc11328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_Toc11328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0A7B9E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_Toc26175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程序</w:t>
      </w:r>
      <w:r>
        <w:rPr>
          <w:color w:val="auto"/>
          <w:highlight w:val="none"/>
        </w:rPr>
        <w:tab/>
      </w:r>
      <w:r>
        <w:rPr>
          <w:color w:val="auto"/>
          <w:highlight w:val="none"/>
        </w:rPr>
        <w:fldChar w:fldCharType="begin"/>
      </w:r>
      <w:r>
        <w:rPr>
          <w:color w:val="auto"/>
          <w:highlight w:val="none"/>
        </w:rPr>
        <w:instrText xml:space="preserve"> PAGEREF _Toc26175 \h </w:instrText>
      </w:r>
      <w:r>
        <w:rPr>
          <w:color w:val="auto"/>
          <w:highlight w:val="none"/>
        </w:rPr>
        <w:fldChar w:fldCharType="separate"/>
      </w:r>
      <w:r>
        <w:rPr>
          <w:color w:val="auto"/>
          <w:highlight w:val="none"/>
        </w:rPr>
        <w:t>- 9 -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113E5A1">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_Toc26323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五、评审依据及标准</w:t>
      </w:r>
      <w:r>
        <w:rPr>
          <w:color w:val="auto"/>
          <w:highlight w:val="none"/>
        </w:rPr>
        <w:tab/>
      </w:r>
      <w:r>
        <w:rPr>
          <w:color w:val="auto"/>
          <w:highlight w:val="none"/>
        </w:rPr>
        <w:fldChar w:fldCharType="begin"/>
      </w:r>
      <w:r>
        <w:rPr>
          <w:color w:val="auto"/>
          <w:highlight w:val="none"/>
        </w:rPr>
        <w:instrText xml:space="preserve"> PAGEREF _Toc26323 \h </w:instrText>
      </w:r>
      <w:r>
        <w:rPr>
          <w:color w:val="auto"/>
          <w:highlight w:val="none"/>
        </w:rPr>
        <w:fldChar w:fldCharType="separate"/>
      </w:r>
      <w:r>
        <w:rPr>
          <w:color w:val="auto"/>
          <w:highlight w:val="none"/>
        </w:rPr>
        <w:t>- 10 -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DF18D0F">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_Toc21906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六、成交原则</w:t>
      </w:r>
      <w:r>
        <w:rPr>
          <w:color w:val="auto"/>
          <w:highlight w:val="none"/>
        </w:rPr>
        <w:tab/>
      </w:r>
      <w:r>
        <w:rPr>
          <w:color w:val="auto"/>
          <w:highlight w:val="none"/>
        </w:rPr>
        <w:fldChar w:fldCharType="begin"/>
      </w:r>
      <w:r>
        <w:rPr>
          <w:color w:val="auto"/>
          <w:highlight w:val="none"/>
        </w:rPr>
        <w:instrText xml:space="preserve"> PAGEREF _Toc21906 \h </w:instrText>
      </w:r>
      <w:r>
        <w:rPr>
          <w:color w:val="auto"/>
          <w:highlight w:val="none"/>
        </w:rPr>
        <w:fldChar w:fldCharType="separate"/>
      </w:r>
      <w:r>
        <w:rPr>
          <w:color w:val="auto"/>
          <w:highlight w:val="none"/>
        </w:rPr>
        <w:t>- 13 -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35939FA">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_Toc848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七、成交通知</w:t>
      </w:r>
      <w:r>
        <w:rPr>
          <w:color w:val="auto"/>
          <w:highlight w:val="none"/>
        </w:rPr>
        <w:tab/>
      </w:r>
      <w:r>
        <w:rPr>
          <w:color w:val="auto"/>
          <w:highlight w:val="none"/>
        </w:rPr>
        <w:fldChar w:fldCharType="begin"/>
      </w:r>
      <w:r>
        <w:rPr>
          <w:color w:val="auto"/>
          <w:highlight w:val="none"/>
        </w:rPr>
        <w:instrText xml:space="preserve"> PAGEREF _Toc848 \h </w:instrText>
      </w:r>
      <w:r>
        <w:rPr>
          <w:color w:val="auto"/>
          <w:highlight w:val="none"/>
        </w:rPr>
        <w:fldChar w:fldCharType="separate"/>
      </w:r>
      <w:r>
        <w:rPr>
          <w:color w:val="auto"/>
          <w:highlight w:val="none"/>
        </w:rPr>
        <w:t>- 14 -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3EB0C81">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_Toc27090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八、关于质疑和投诉</w:t>
      </w:r>
      <w:r>
        <w:rPr>
          <w:color w:val="auto"/>
          <w:highlight w:val="none"/>
        </w:rPr>
        <w:tab/>
      </w:r>
      <w:r>
        <w:rPr>
          <w:color w:val="auto"/>
          <w:highlight w:val="none"/>
        </w:rPr>
        <w:fldChar w:fldCharType="begin"/>
      </w:r>
      <w:r>
        <w:rPr>
          <w:color w:val="auto"/>
          <w:highlight w:val="none"/>
        </w:rPr>
        <w:instrText xml:space="preserve"> PAGEREF _Toc27090 \h </w:instrText>
      </w:r>
      <w:r>
        <w:rPr>
          <w:color w:val="auto"/>
          <w:highlight w:val="none"/>
        </w:rPr>
        <w:fldChar w:fldCharType="separate"/>
      </w:r>
      <w:r>
        <w:rPr>
          <w:color w:val="auto"/>
          <w:highlight w:val="none"/>
        </w:rPr>
        <w:t>- 14 -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D7AA5A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_Toc3590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val="en-US" w:eastAsia="zh-CN"/>
        </w:rPr>
        <w:t>九、采购代理服务费</w:t>
      </w:r>
      <w:r>
        <w:rPr>
          <w:color w:val="auto"/>
          <w:highlight w:val="none"/>
        </w:rPr>
        <w:tab/>
      </w:r>
      <w:r>
        <w:rPr>
          <w:color w:val="auto"/>
          <w:highlight w:val="none"/>
        </w:rPr>
        <w:fldChar w:fldCharType="begin"/>
      </w:r>
      <w:r>
        <w:rPr>
          <w:color w:val="auto"/>
          <w:highlight w:val="none"/>
        </w:rPr>
        <w:instrText xml:space="preserve"> PAGEREF _Toc3590 \h </w:instrText>
      </w:r>
      <w:r>
        <w:rPr>
          <w:color w:val="auto"/>
          <w:highlight w:val="none"/>
        </w:rPr>
        <w:fldChar w:fldCharType="separate"/>
      </w:r>
      <w:r>
        <w:rPr>
          <w:color w:val="auto"/>
          <w:highlight w:val="none"/>
        </w:rPr>
        <w:t>- 15 -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F01B1B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_Toc25967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val="en-US" w:eastAsia="zh-CN"/>
        </w:rPr>
        <w:t>十</w:t>
      </w:r>
      <w:r>
        <w:rPr>
          <w:rFonts w:hint="eastAsia" w:ascii="微软雅黑" w:hAnsi="微软雅黑" w:eastAsia="微软雅黑" w:cs="微软雅黑"/>
          <w:color w:val="auto"/>
          <w:szCs w:val="24"/>
          <w:highlight w:val="none"/>
        </w:rPr>
        <w:t>、签订合同</w:t>
      </w:r>
      <w:r>
        <w:rPr>
          <w:color w:val="auto"/>
          <w:highlight w:val="none"/>
        </w:rPr>
        <w:tab/>
      </w:r>
      <w:r>
        <w:rPr>
          <w:color w:val="auto"/>
          <w:highlight w:val="none"/>
        </w:rPr>
        <w:fldChar w:fldCharType="begin"/>
      </w:r>
      <w:r>
        <w:rPr>
          <w:color w:val="auto"/>
          <w:highlight w:val="none"/>
        </w:rPr>
        <w:instrText xml:space="preserve"> PAGEREF _Toc25967 \h </w:instrText>
      </w:r>
      <w:r>
        <w:rPr>
          <w:color w:val="auto"/>
          <w:highlight w:val="none"/>
        </w:rPr>
        <w:fldChar w:fldCharType="separate"/>
      </w:r>
      <w:r>
        <w:rPr>
          <w:color w:val="auto"/>
          <w:highlight w:val="none"/>
        </w:rPr>
        <w:t>- 16 -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8024BA7">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十</w:t>
      </w:r>
      <w:r>
        <w:rPr>
          <w:rFonts w:hint="eastAsia" w:ascii="微软雅黑" w:hAnsi="微软雅黑" w:eastAsia="微软雅黑" w:cs="微软雅黑"/>
          <w:color w:val="auto"/>
          <w:szCs w:val="24"/>
          <w:highlight w:val="none"/>
          <w:lang w:val="en-US" w:eastAsia="zh-CN"/>
        </w:rPr>
        <w:t>一</w:t>
      </w: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highlight w:val="none"/>
        </w:rPr>
        <w:t>政府采购信用融资</w:t>
      </w:r>
      <w:r>
        <w:rPr>
          <w:color w:val="auto"/>
          <w:highlight w:val="none"/>
        </w:rPr>
        <w:tab/>
      </w:r>
      <w:r>
        <w:rPr>
          <w:color w:val="auto"/>
          <w:highlight w:val="none"/>
        </w:rPr>
        <w:fldChar w:fldCharType="begin"/>
      </w:r>
      <w:r>
        <w:rPr>
          <w:color w:val="auto"/>
          <w:highlight w:val="none"/>
        </w:rPr>
        <w:instrText xml:space="preserve"> PAGEREF _Toc29079 \h </w:instrText>
      </w:r>
      <w:r>
        <w:rPr>
          <w:color w:val="auto"/>
          <w:highlight w:val="none"/>
        </w:rPr>
        <w:fldChar w:fldCharType="separate"/>
      </w:r>
      <w:r>
        <w:rPr>
          <w:color w:val="auto"/>
          <w:highlight w:val="none"/>
        </w:rPr>
        <w:t>- 16 -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99AECF7">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_Toc15018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 xml:space="preserve">第三篇  </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项目服务需求</w:t>
      </w:r>
      <w:r>
        <w:rPr>
          <w:color w:val="auto"/>
          <w:highlight w:val="none"/>
        </w:rPr>
        <w:tab/>
      </w:r>
      <w:r>
        <w:rPr>
          <w:color w:val="auto"/>
          <w:highlight w:val="none"/>
        </w:rPr>
        <w:fldChar w:fldCharType="begin"/>
      </w:r>
      <w:r>
        <w:rPr>
          <w:color w:val="auto"/>
          <w:highlight w:val="none"/>
        </w:rPr>
        <w:instrText xml:space="preserve"> PAGEREF _Toc15018 \h </w:instrText>
      </w:r>
      <w:r>
        <w:rPr>
          <w:color w:val="auto"/>
          <w:highlight w:val="none"/>
        </w:rPr>
        <w:fldChar w:fldCharType="separate"/>
      </w:r>
      <w:r>
        <w:rPr>
          <w:color w:val="auto"/>
          <w:highlight w:val="none"/>
        </w:rPr>
        <w:t>- 17 -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842F40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_Toc26813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一、服务及质量要求</w:t>
      </w:r>
      <w:r>
        <w:rPr>
          <w:color w:val="auto"/>
          <w:highlight w:val="none"/>
        </w:rPr>
        <w:tab/>
      </w:r>
      <w:r>
        <w:rPr>
          <w:color w:val="auto"/>
          <w:highlight w:val="none"/>
        </w:rPr>
        <w:fldChar w:fldCharType="begin"/>
      </w:r>
      <w:r>
        <w:rPr>
          <w:color w:val="auto"/>
          <w:highlight w:val="none"/>
        </w:rPr>
        <w:instrText xml:space="preserve"> PAGEREF _Toc26813 \h </w:instrText>
      </w:r>
      <w:r>
        <w:rPr>
          <w:color w:val="auto"/>
          <w:highlight w:val="none"/>
        </w:rPr>
        <w:fldChar w:fldCharType="separate"/>
      </w:r>
      <w:r>
        <w:rPr>
          <w:color w:val="auto"/>
          <w:highlight w:val="none"/>
        </w:rPr>
        <w:t>- 17 -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E78584D">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 xml:space="preserve">第四篇  </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_Toc3279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AE9FBD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_Toc30507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一、服务期、地点及考核方式</w:t>
      </w:r>
      <w:r>
        <w:rPr>
          <w:color w:val="auto"/>
          <w:highlight w:val="none"/>
        </w:rPr>
        <w:tab/>
      </w:r>
      <w:r>
        <w:rPr>
          <w:color w:val="auto"/>
          <w:highlight w:val="none"/>
        </w:rPr>
        <w:fldChar w:fldCharType="begin"/>
      </w:r>
      <w:r>
        <w:rPr>
          <w:color w:val="auto"/>
          <w:highlight w:val="none"/>
        </w:rPr>
        <w:instrText xml:space="preserve"> PAGEREF _Toc30507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4A8CAC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_Toc20493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_Toc20493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D945A55">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_Toc27252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_Toc27252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15F628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_Toc9546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_Toc9546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3411B3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_Toc11034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六、其它</w:t>
      </w:r>
      <w:r>
        <w:rPr>
          <w:color w:val="auto"/>
          <w:highlight w:val="none"/>
        </w:rPr>
        <w:tab/>
      </w:r>
      <w:r>
        <w:rPr>
          <w:color w:val="auto"/>
          <w:highlight w:val="none"/>
        </w:rPr>
        <w:fldChar w:fldCharType="begin"/>
      </w:r>
      <w:r>
        <w:rPr>
          <w:color w:val="auto"/>
          <w:highlight w:val="none"/>
        </w:rPr>
        <w:instrText xml:space="preserve"> PAGEREF _Toc11034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3E6E25D">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_Toc14695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第五篇  合同主要条款和格式合同（样本）</w:t>
      </w:r>
      <w:r>
        <w:rPr>
          <w:color w:val="auto"/>
          <w:highlight w:val="none"/>
        </w:rPr>
        <w:tab/>
      </w:r>
      <w:r>
        <w:rPr>
          <w:color w:val="auto"/>
          <w:highlight w:val="none"/>
        </w:rPr>
        <w:fldChar w:fldCharType="begin"/>
      </w:r>
      <w:r>
        <w:rPr>
          <w:color w:val="auto"/>
          <w:highlight w:val="none"/>
        </w:rPr>
        <w:instrText xml:space="preserve"> PAGEREF _Toc14695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A62EA31">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_Toc10039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第六篇  响应文件格式要求</w:t>
      </w:r>
      <w:r>
        <w:rPr>
          <w:color w:val="auto"/>
          <w:highlight w:val="none"/>
        </w:rPr>
        <w:tab/>
      </w:r>
      <w:r>
        <w:rPr>
          <w:color w:val="auto"/>
          <w:highlight w:val="none"/>
        </w:rPr>
        <w:fldChar w:fldCharType="begin"/>
      </w:r>
      <w:r>
        <w:rPr>
          <w:color w:val="auto"/>
          <w:highlight w:val="none"/>
        </w:rPr>
        <w:instrText xml:space="preserve"> PAGEREF _Toc10039 \h </w:instrText>
      </w:r>
      <w:r>
        <w:rPr>
          <w:color w:val="auto"/>
          <w:highlight w:val="none"/>
        </w:rPr>
        <w:fldChar w:fldCharType="separate"/>
      </w:r>
      <w:r>
        <w:rPr>
          <w:color w:val="auto"/>
          <w:highlight w:val="none"/>
        </w:rPr>
        <w:t>- 31 -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B56E3B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_Toc27598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_Toc27598 \h </w:instrText>
      </w:r>
      <w:r>
        <w:rPr>
          <w:color w:val="auto"/>
          <w:highlight w:val="none"/>
        </w:rPr>
        <w:fldChar w:fldCharType="separate"/>
      </w:r>
      <w:r>
        <w:rPr>
          <w:color w:val="auto"/>
          <w:highlight w:val="none"/>
        </w:rPr>
        <w:t>- 32 -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94F5A6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_Toc11109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二、技术部分</w:t>
      </w:r>
      <w:r>
        <w:rPr>
          <w:color w:val="auto"/>
          <w:highlight w:val="none"/>
        </w:rPr>
        <w:tab/>
      </w:r>
      <w:r>
        <w:rPr>
          <w:color w:val="auto"/>
          <w:highlight w:val="none"/>
        </w:rPr>
        <w:fldChar w:fldCharType="begin"/>
      </w:r>
      <w:r>
        <w:rPr>
          <w:color w:val="auto"/>
          <w:highlight w:val="none"/>
        </w:rPr>
        <w:instrText xml:space="preserve"> PAGEREF _Toc11109 \h </w:instrText>
      </w:r>
      <w:r>
        <w:rPr>
          <w:color w:val="auto"/>
          <w:highlight w:val="none"/>
        </w:rPr>
        <w:fldChar w:fldCharType="separate"/>
      </w:r>
      <w:r>
        <w:rPr>
          <w:color w:val="auto"/>
          <w:highlight w:val="none"/>
        </w:rPr>
        <w:t>- 34 -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08B946C">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_Toc24126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三、服务部分</w:t>
      </w:r>
      <w:r>
        <w:rPr>
          <w:color w:val="auto"/>
          <w:highlight w:val="none"/>
        </w:rPr>
        <w:tab/>
      </w:r>
      <w:r>
        <w:rPr>
          <w:color w:val="auto"/>
          <w:highlight w:val="none"/>
        </w:rPr>
        <w:fldChar w:fldCharType="begin"/>
      </w:r>
      <w:r>
        <w:rPr>
          <w:color w:val="auto"/>
          <w:highlight w:val="none"/>
        </w:rPr>
        <w:instrText xml:space="preserve"> PAGEREF _Toc24126 \h </w:instrText>
      </w:r>
      <w:r>
        <w:rPr>
          <w:color w:val="auto"/>
          <w:highlight w:val="none"/>
        </w:rPr>
        <w:fldChar w:fldCharType="separate"/>
      </w:r>
      <w:r>
        <w:rPr>
          <w:color w:val="auto"/>
          <w:highlight w:val="none"/>
        </w:rPr>
        <w:t>- 36 -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3CF343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_Toc25539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四、资格条件及其</w:t>
      </w:r>
      <w:r>
        <w:rPr>
          <w:rFonts w:hint="eastAsia" w:ascii="微软雅黑" w:hAnsi="微软雅黑" w:eastAsia="微软雅黑" w:cs="微软雅黑"/>
          <w:color w:val="auto"/>
          <w:szCs w:val="24"/>
          <w:highlight w:val="none"/>
          <w:lang w:eastAsia="zh-CN"/>
        </w:rPr>
        <w:t>它</w:t>
      </w:r>
      <w:r>
        <w:rPr>
          <w:color w:val="auto"/>
          <w:highlight w:val="none"/>
        </w:rPr>
        <w:tab/>
      </w:r>
      <w:r>
        <w:rPr>
          <w:color w:val="auto"/>
          <w:highlight w:val="none"/>
        </w:rPr>
        <w:fldChar w:fldCharType="begin"/>
      </w:r>
      <w:r>
        <w:rPr>
          <w:color w:val="auto"/>
          <w:highlight w:val="none"/>
        </w:rPr>
        <w:instrText xml:space="preserve"> PAGEREF _Toc25539 \h </w:instrText>
      </w:r>
      <w:r>
        <w:rPr>
          <w:color w:val="auto"/>
          <w:highlight w:val="none"/>
        </w:rPr>
        <w:fldChar w:fldCharType="separate"/>
      </w:r>
      <w:r>
        <w:rPr>
          <w:color w:val="auto"/>
          <w:highlight w:val="none"/>
        </w:rPr>
        <w:t>- 37 -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0B2BCE4">
      <w:pPr>
        <w:pStyle w:val="45"/>
        <w:tabs>
          <w:tab w:val="right" w:leader="dot" w:pos="9402"/>
        </w:tabs>
        <w:ind w:left="560" w:firstLine="56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r>
        <w:rPr>
          <w:rFonts w:hint="eastAsia" w:ascii="微软雅黑" w:hAnsi="微软雅黑" w:eastAsia="微软雅黑" w:cs="微软雅黑"/>
          <w:color w:val="auto"/>
          <w:kern w:val="2"/>
          <w:sz w:val="28"/>
          <w:szCs w:val="24"/>
          <w:highlight w:val="none"/>
          <w:lang w:val="en-US" w:eastAsia="zh-CN" w:bidi="ar-SA"/>
        </w:rPr>
        <w:t>五、其它应提供的资料</w:t>
      </w:r>
      <w:r>
        <w:rPr>
          <w:rFonts w:hint="eastAsia" w:ascii="微软雅黑" w:hAnsi="微软雅黑" w:eastAsia="微软雅黑" w:cs="微软雅黑"/>
          <w:color w:val="auto"/>
          <w:kern w:val="2"/>
          <w:sz w:val="28"/>
          <w:szCs w:val="24"/>
          <w:highlight w:val="none"/>
          <w:lang w:val="en-US" w:eastAsia="zh-CN" w:bidi="ar-SA"/>
        </w:rPr>
        <w:tab/>
      </w:r>
      <w:r>
        <w:rPr>
          <w:color w:val="auto"/>
          <w:highlight w:val="none"/>
        </w:rPr>
        <w:fldChar w:fldCharType="begin"/>
      </w:r>
      <w:r>
        <w:rPr>
          <w:color w:val="auto"/>
          <w:highlight w:val="none"/>
        </w:rPr>
        <w:instrText xml:space="preserve"> PAGEREF _Toc11281 \h </w:instrText>
      </w:r>
      <w:r>
        <w:rPr>
          <w:color w:val="auto"/>
          <w:highlight w:val="none"/>
        </w:rPr>
        <w:fldChar w:fldCharType="separate"/>
      </w:r>
      <w:r>
        <w:rPr>
          <w:color w:val="auto"/>
          <w:highlight w:val="none"/>
        </w:rPr>
        <w:t xml:space="preserve">- </w:t>
      </w:r>
      <w:r>
        <w:rPr>
          <w:rFonts w:hint="eastAsia"/>
          <w:color w:val="auto"/>
          <w:highlight w:val="none"/>
          <w:lang w:val="en-US" w:eastAsia="zh-CN"/>
        </w:rPr>
        <w:t>44</w:t>
      </w:r>
      <w:r>
        <w:rPr>
          <w:color w:val="auto"/>
          <w:highlight w:val="none"/>
        </w:rPr>
        <w:t xml:space="preserve"> -</w:t>
      </w:r>
      <w:r>
        <w:rPr>
          <w:color w:val="auto"/>
          <w:highlight w:val="none"/>
        </w:rPr>
        <w:fldChar w:fldCharType="end"/>
      </w:r>
      <w:r>
        <w:rPr>
          <w:rFonts w:hint="eastAsia" w:ascii="微软雅黑" w:hAnsi="微软雅黑" w:eastAsia="微软雅黑" w:cs="微软雅黑"/>
          <w:color w:val="auto"/>
          <w:kern w:val="2"/>
          <w:sz w:val="28"/>
          <w:szCs w:val="24"/>
          <w:highlight w:val="none"/>
          <w:lang w:val="en-US" w:eastAsia="zh-CN" w:bidi="ar-SA"/>
        </w:rPr>
        <w:t xml:space="preserve">  </w:t>
      </w:r>
      <w:r>
        <w:rPr>
          <w:rFonts w:eastAsia="微软雅黑"/>
          <w:color w:val="auto"/>
          <w:szCs w:val="21"/>
          <w:highlight w:val="none"/>
        </w:rPr>
        <w:t xml:space="preserve">  </w:t>
      </w:r>
      <w:r>
        <w:rPr>
          <w:rFonts w:hint="eastAsia" w:ascii="微软雅黑" w:hAnsi="微软雅黑" w:eastAsia="微软雅黑" w:cs="微软雅黑"/>
          <w:color w:val="auto"/>
          <w:szCs w:val="21"/>
          <w:highlight w:val="none"/>
        </w:rPr>
        <w:t xml:space="preserve"> </w:t>
      </w:r>
    </w:p>
    <w:p w14:paraId="221956DD">
      <w:pPr>
        <w:pStyle w:val="2"/>
        <w:rPr>
          <w:rFonts w:hint="default" w:eastAsia="微软雅黑"/>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highlight w:val="none"/>
          <w:lang w:val="en-US" w:eastAsia="zh-CN"/>
        </w:rPr>
        <w:t xml:space="preserve">  </w:t>
      </w:r>
    </w:p>
    <w:p w14:paraId="053322C8">
      <w:pPr>
        <w:pStyle w:val="4"/>
        <w:spacing w:line="240" w:lineRule="auto"/>
        <w:jc w:val="center"/>
        <w:rPr>
          <w:rFonts w:hint="eastAsia" w:ascii="微软雅黑" w:hAnsi="微软雅黑" w:eastAsia="微软雅黑" w:cs="微软雅黑"/>
          <w:b w:val="0"/>
          <w:color w:val="auto"/>
          <w:szCs w:val="30"/>
          <w:highlight w:val="none"/>
        </w:rPr>
      </w:pPr>
      <w:bookmarkStart w:id="0" w:name="_Toc11641050"/>
      <w:bookmarkStart w:id="1" w:name="_Toc12789052"/>
      <w:bookmarkStart w:id="2" w:name="_Toc11332"/>
      <w:r>
        <w:rPr>
          <w:rFonts w:hint="eastAsia" w:ascii="微软雅黑" w:hAnsi="微软雅黑" w:eastAsia="微软雅黑" w:cs="微软雅黑"/>
          <w:b w:val="0"/>
          <w:color w:val="auto"/>
          <w:sz w:val="36"/>
          <w:szCs w:val="30"/>
          <w:highlight w:val="none"/>
        </w:rPr>
        <w:t>第一篇  竞争性</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邀请书</w:t>
      </w:r>
      <w:bookmarkEnd w:id="0"/>
      <w:bookmarkEnd w:id="1"/>
      <w:bookmarkEnd w:id="2"/>
    </w:p>
    <w:p w14:paraId="116348F1">
      <w:pPr>
        <w:pStyle w:val="23"/>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重庆渝盟工程管理有限公司</w:t>
      </w:r>
      <w:r>
        <w:rPr>
          <w:rFonts w:hint="eastAsia" w:ascii="微软雅黑" w:hAnsi="微软雅黑" w:eastAsia="微软雅黑" w:cs="微软雅黑"/>
          <w:color w:val="auto"/>
          <w:sz w:val="24"/>
          <w:szCs w:val="24"/>
          <w:highlight w:val="none"/>
        </w:rPr>
        <w:t>接受</w:t>
      </w:r>
      <w:r>
        <w:rPr>
          <w:rFonts w:hint="eastAsia" w:ascii="微软雅黑" w:hAnsi="微软雅黑" w:eastAsia="微软雅黑" w:cs="微软雅黑"/>
          <w:color w:val="auto"/>
          <w:sz w:val="24"/>
          <w:szCs w:val="24"/>
          <w:highlight w:val="none"/>
          <w:lang w:eastAsia="zh-CN"/>
        </w:rPr>
        <w:t>重庆市食品药品检验检测研究院</w:t>
      </w:r>
      <w:r>
        <w:rPr>
          <w:rFonts w:hint="eastAsia" w:ascii="微软雅黑" w:hAnsi="微软雅黑" w:eastAsia="微软雅黑" w:cs="微软雅黑"/>
          <w:color w:val="auto"/>
          <w:sz w:val="24"/>
          <w:szCs w:val="24"/>
          <w:highlight w:val="none"/>
        </w:rPr>
        <w:t>的委托，对</w:t>
      </w:r>
      <w:r>
        <w:rPr>
          <w:rFonts w:hint="eastAsia" w:ascii="微软雅黑" w:hAnsi="微软雅黑" w:eastAsia="微软雅黑" w:cs="微软雅黑"/>
          <w:color w:val="auto"/>
          <w:sz w:val="24"/>
          <w:szCs w:val="24"/>
          <w:highlight w:val="none"/>
          <w:u w:val="single"/>
          <w:lang w:eastAsia="zh-CN"/>
        </w:rPr>
        <w:t>重庆市食品药品检验检测研究院一分院</w:t>
      </w:r>
      <w:r>
        <w:rPr>
          <w:rFonts w:hint="eastAsia" w:ascii="微软雅黑" w:hAnsi="微软雅黑" w:eastAsia="微软雅黑" w:cs="微软雅黑"/>
          <w:color w:val="auto"/>
          <w:sz w:val="24"/>
          <w:szCs w:val="24"/>
          <w:highlight w:val="none"/>
          <w:u w:val="single"/>
          <w:lang w:eastAsia="zh-CN"/>
        </w:rPr>
        <w:t>2026年</w:t>
      </w:r>
      <w:r>
        <w:rPr>
          <w:rFonts w:hint="eastAsia" w:ascii="微软雅黑" w:hAnsi="微软雅黑" w:eastAsia="微软雅黑" w:cs="微软雅黑"/>
          <w:color w:val="auto"/>
          <w:sz w:val="24"/>
          <w:szCs w:val="24"/>
          <w:highlight w:val="none"/>
          <w:u w:val="single"/>
          <w:lang w:eastAsia="zh-CN"/>
        </w:rPr>
        <w:t>物业管理服务</w:t>
      </w:r>
      <w:r>
        <w:rPr>
          <w:rFonts w:hint="eastAsia" w:ascii="微软雅黑" w:hAnsi="微软雅黑" w:eastAsia="微软雅黑" w:cs="微软雅黑"/>
          <w:color w:val="auto"/>
          <w:sz w:val="24"/>
          <w:szCs w:val="24"/>
          <w:highlight w:val="none"/>
        </w:rPr>
        <w:t>项目进行竞争性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采购。欢迎有资格的供应商前来参加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70C10184">
      <w:pPr>
        <w:pStyle w:val="5"/>
        <w:spacing w:before="0" w:after="0" w:line="240" w:lineRule="auto"/>
        <w:rPr>
          <w:rFonts w:hint="eastAsia" w:ascii="微软雅黑" w:hAnsi="微软雅黑" w:eastAsia="微软雅黑" w:cs="微软雅黑"/>
          <w:color w:val="auto"/>
          <w:sz w:val="24"/>
          <w:szCs w:val="24"/>
          <w:highlight w:val="none"/>
        </w:rPr>
      </w:pPr>
      <w:bookmarkStart w:id="3" w:name="_Toc317775175"/>
      <w:bookmarkStart w:id="4" w:name="_Toc313893526"/>
      <w:bookmarkStart w:id="5" w:name="_Toc13469"/>
      <w:r>
        <w:rPr>
          <w:rFonts w:hint="eastAsia" w:ascii="微软雅黑" w:hAnsi="微软雅黑" w:eastAsia="微软雅黑" w:cs="微软雅黑"/>
          <w:color w:val="auto"/>
          <w:sz w:val="24"/>
          <w:szCs w:val="24"/>
          <w:highlight w:val="none"/>
        </w:rPr>
        <w:t>一、竞争性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内容</w:t>
      </w:r>
      <w:bookmarkEnd w:id="3"/>
      <w:bookmarkEnd w:id="4"/>
      <w:bookmarkEnd w:id="5"/>
    </w:p>
    <w:tbl>
      <w:tblPr>
        <w:tblStyle w:val="57"/>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609"/>
        <w:gridCol w:w="1188"/>
        <w:gridCol w:w="1438"/>
        <w:gridCol w:w="1437"/>
        <w:gridCol w:w="987"/>
      </w:tblGrid>
      <w:tr w14:paraId="3AE6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880" w:type="dxa"/>
            <w:tcBorders>
              <w:top w:val="single" w:color="auto" w:sz="4" w:space="0"/>
              <w:left w:val="single" w:color="auto" w:sz="4" w:space="0"/>
              <w:right w:val="single" w:color="auto" w:sz="4" w:space="0"/>
            </w:tcBorders>
            <w:noWrap w:val="0"/>
            <w:vAlign w:val="top"/>
          </w:tcPr>
          <w:p w14:paraId="5CA0C683">
            <w:pPr>
              <w:widowControl/>
              <w:ind w:firstLine="630" w:firstLineChars="3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品目号及品目名称</w:t>
            </w:r>
          </w:p>
        </w:tc>
        <w:tc>
          <w:tcPr>
            <w:tcW w:w="1609" w:type="dxa"/>
            <w:tcBorders>
              <w:top w:val="single" w:color="auto" w:sz="4" w:space="0"/>
              <w:left w:val="single" w:color="auto" w:sz="4" w:space="0"/>
              <w:right w:val="single" w:color="auto" w:sz="4" w:space="0"/>
            </w:tcBorders>
            <w:noWrap w:val="0"/>
            <w:vAlign w:val="top"/>
          </w:tcPr>
          <w:p w14:paraId="70B7BD8E">
            <w:pPr>
              <w:pStyle w:val="24"/>
              <w:spacing w:line="240" w:lineRule="auto"/>
              <w:ind w:left="0"/>
              <w:jc w:val="center"/>
              <w:outlineLvl w:val="0"/>
              <w:rPr>
                <w:rFonts w:hint="eastAsia"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b/>
                <w:color w:val="auto"/>
                <w:sz w:val="21"/>
                <w:szCs w:val="21"/>
                <w:highlight w:val="none"/>
                <w:lang w:val="en-US" w:eastAsia="zh-CN"/>
              </w:rPr>
              <w:t>预算金额</w:t>
            </w:r>
          </w:p>
          <w:p w14:paraId="12D410B0">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sz w:val="21"/>
                <w:szCs w:val="21"/>
                <w:highlight w:val="none"/>
              </w:rPr>
              <w:t>（万元/年）</w:t>
            </w:r>
          </w:p>
        </w:tc>
        <w:tc>
          <w:tcPr>
            <w:tcW w:w="1188" w:type="dxa"/>
            <w:tcBorders>
              <w:top w:val="single" w:color="auto" w:sz="4" w:space="0"/>
              <w:left w:val="single" w:color="auto" w:sz="4" w:space="0"/>
              <w:right w:val="single" w:color="auto" w:sz="4" w:space="0"/>
            </w:tcBorders>
            <w:noWrap w:val="0"/>
            <w:vAlign w:val="top"/>
          </w:tcPr>
          <w:p w14:paraId="7955E40E">
            <w:pPr>
              <w:widowControl/>
              <w:jc w:val="both"/>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lang w:eastAsia="zh-CN"/>
              </w:rPr>
              <w:t>投标</w:t>
            </w:r>
            <w:r>
              <w:rPr>
                <w:rFonts w:hint="eastAsia" w:ascii="微软雅黑" w:hAnsi="微软雅黑" w:eastAsia="微软雅黑" w:cs="微软雅黑"/>
                <w:b/>
                <w:bCs/>
                <w:color w:val="auto"/>
                <w:kern w:val="0"/>
                <w:sz w:val="21"/>
                <w:szCs w:val="21"/>
                <w:highlight w:val="none"/>
              </w:rPr>
              <w:t>保证金（万元）</w:t>
            </w:r>
          </w:p>
        </w:tc>
        <w:tc>
          <w:tcPr>
            <w:tcW w:w="1438" w:type="dxa"/>
            <w:tcBorders>
              <w:top w:val="single" w:color="auto" w:sz="4" w:space="0"/>
              <w:left w:val="single" w:color="auto" w:sz="4" w:space="0"/>
              <w:right w:val="single" w:color="auto" w:sz="4" w:space="0"/>
            </w:tcBorders>
            <w:noWrap w:val="0"/>
            <w:vAlign w:val="top"/>
          </w:tcPr>
          <w:p w14:paraId="64E8D48E">
            <w:pPr>
              <w:widowControl/>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lang w:eastAsia="zh-CN"/>
              </w:rPr>
              <w:t>履约</w:t>
            </w:r>
            <w:r>
              <w:rPr>
                <w:rFonts w:hint="eastAsia" w:ascii="微软雅黑" w:hAnsi="微软雅黑" w:eastAsia="微软雅黑" w:cs="微软雅黑"/>
                <w:b/>
                <w:bCs/>
                <w:color w:val="auto"/>
                <w:kern w:val="0"/>
                <w:sz w:val="21"/>
                <w:szCs w:val="21"/>
                <w:highlight w:val="none"/>
              </w:rPr>
              <w:t>保证金</w:t>
            </w:r>
          </w:p>
          <w:p w14:paraId="78CF9121">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（万元）</w:t>
            </w:r>
          </w:p>
        </w:tc>
        <w:tc>
          <w:tcPr>
            <w:tcW w:w="1437" w:type="dxa"/>
            <w:tcBorders>
              <w:top w:val="single" w:color="auto" w:sz="4" w:space="0"/>
              <w:left w:val="single" w:color="auto" w:sz="4" w:space="0"/>
              <w:right w:val="single" w:color="auto" w:sz="4" w:space="0"/>
            </w:tcBorders>
            <w:noWrap w:val="0"/>
            <w:vAlign w:val="top"/>
          </w:tcPr>
          <w:p w14:paraId="4B70BB72">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宋体"/>
                <w:b/>
                <w:bCs/>
                <w:color w:val="auto"/>
                <w:kern w:val="0"/>
                <w:sz w:val="21"/>
                <w:szCs w:val="24"/>
                <w:highlight w:val="none"/>
              </w:rPr>
              <w:t>成交供应商数量（名）</w:t>
            </w:r>
          </w:p>
        </w:tc>
        <w:tc>
          <w:tcPr>
            <w:tcW w:w="987" w:type="dxa"/>
            <w:tcBorders>
              <w:top w:val="single" w:color="auto" w:sz="4" w:space="0"/>
              <w:left w:val="single" w:color="auto" w:sz="4" w:space="0"/>
              <w:right w:val="single" w:color="auto" w:sz="4" w:space="0"/>
            </w:tcBorders>
            <w:noWrap w:val="0"/>
            <w:vAlign w:val="top"/>
          </w:tcPr>
          <w:p w14:paraId="243C5E63">
            <w:pPr>
              <w:jc w:val="both"/>
              <w:rPr>
                <w:rFonts w:hint="eastAsia" w:ascii="微软雅黑" w:hAnsi="微软雅黑" w:eastAsia="微软雅黑" w:cs="宋体"/>
                <w:b/>
                <w:bCs/>
                <w:color w:val="auto"/>
                <w:kern w:val="0"/>
                <w:sz w:val="21"/>
                <w:szCs w:val="24"/>
                <w:highlight w:val="none"/>
              </w:rPr>
            </w:pPr>
            <w:r>
              <w:rPr>
                <w:rFonts w:hint="eastAsia" w:ascii="微软雅黑" w:hAnsi="微软雅黑" w:eastAsia="微软雅黑" w:cs="宋体"/>
                <w:b/>
                <w:bCs/>
                <w:color w:val="auto"/>
                <w:kern w:val="0"/>
                <w:sz w:val="21"/>
                <w:szCs w:val="24"/>
                <w:highlight w:val="none"/>
              </w:rPr>
              <w:t>服务期（年）</w:t>
            </w:r>
          </w:p>
        </w:tc>
      </w:tr>
      <w:tr w14:paraId="294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880" w:type="dxa"/>
            <w:tcBorders>
              <w:top w:val="single" w:color="auto" w:sz="4" w:space="0"/>
              <w:left w:val="single" w:color="auto" w:sz="4" w:space="0"/>
              <w:bottom w:val="single" w:color="auto" w:sz="4" w:space="0"/>
              <w:right w:val="single" w:color="auto" w:sz="4" w:space="0"/>
            </w:tcBorders>
            <w:noWrap w:val="0"/>
            <w:vAlign w:val="top"/>
          </w:tcPr>
          <w:p w14:paraId="5CF33EC0">
            <w:pPr>
              <w:snapToGrid w:val="0"/>
              <w:ind w:left="480" w:hanging="480" w:hangingChars="200"/>
              <w:rPr>
                <w:rFonts w:hint="eastAsia" w:ascii="微软雅黑" w:hAnsi="微软雅黑" w:eastAsia="微软雅黑" w:cs="微软雅黑"/>
                <w:color w:val="auto"/>
                <w:sz w:val="21"/>
                <w:szCs w:val="21"/>
                <w:highlight w:val="none"/>
              </w:rPr>
            </w:pPr>
            <w:bookmarkStart w:id="6" w:name="_Hlk344477914"/>
            <w:r>
              <w:rPr>
                <w:rFonts w:hint="eastAsia" w:ascii="微软雅黑" w:hAnsi="微软雅黑" w:eastAsia="微软雅黑" w:cs="微软雅黑"/>
                <w:color w:val="auto"/>
                <w:sz w:val="24"/>
                <w:szCs w:val="24"/>
                <w:highlight w:val="none"/>
                <w:u w:val="none"/>
                <w:lang w:eastAsia="zh-CN"/>
              </w:rPr>
              <w:t>重庆市食品药品检验检测研究院一分院2026年物业管理服务</w:t>
            </w:r>
          </w:p>
        </w:tc>
        <w:tc>
          <w:tcPr>
            <w:tcW w:w="1609" w:type="dxa"/>
            <w:tcBorders>
              <w:top w:val="single" w:color="auto" w:sz="4" w:space="0"/>
              <w:left w:val="single" w:color="auto" w:sz="4" w:space="0"/>
              <w:right w:val="single" w:color="auto" w:sz="4" w:space="0"/>
            </w:tcBorders>
            <w:noWrap w:val="0"/>
            <w:vAlign w:val="center"/>
          </w:tcPr>
          <w:p w14:paraId="79AA8D9C">
            <w:pPr>
              <w:snapToGrid w:val="0"/>
              <w:jc w:val="center"/>
              <w:rPr>
                <w:rFonts w:hint="default"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eastAsia="zh-CN"/>
              </w:rPr>
              <w:t>32.5</w:t>
            </w:r>
          </w:p>
        </w:tc>
        <w:tc>
          <w:tcPr>
            <w:tcW w:w="1188" w:type="dxa"/>
            <w:tcBorders>
              <w:top w:val="single" w:color="auto" w:sz="4" w:space="0"/>
              <w:left w:val="single" w:color="auto" w:sz="4" w:space="0"/>
              <w:right w:val="single" w:color="auto" w:sz="4" w:space="0"/>
            </w:tcBorders>
            <w:noWrap w:val="0"/>
            <w:vAlign w:val="center"/>
          </w:tcPr>
          <w:p w14:paraId="73279244">
            <w:pPr>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w:t>
            </w:r>
          </w:p>
        </w:tc>
        <w:tc>
          <w:tcPr>
            <w:tcW w:w="1438" w:type="dxa"/>
            <w:tcBorders>
              <w:top w:val="single" w:color="auto" w:sz="4" w:space="0"/>
              <w:left w:val="single" w:color="auto" w:sz="4" w:space="0"/>
              <w:right w:val="single" w:color="auto" w:sz="4" w:space="0"/>
            </w:tcBorders>
            <w:noWrap w:val="0"/>
            <w:vAlign w:val="center"/>
          </w:tcPr>
          <w:p w14:paraId="404A9698">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1.5</w:t>
            </w:r>
          </w:p>
        </w:tc>
        <w:tc>
          <w:tcPr>
            <w:tcW w:w="1437" w:type="dxa"/>
            <w:tcBorders>
              <w:top w:val="single" w:color="auto" w:sz="4" w:space="0"/>
              <w:left w:val="single" w:color="auto" w:sz="4" w:space="0"/>
              <w:right w:val="single" w:color="auto" w:sz="4" w:space="0"/>
            </w:tcBorders>
            <w:noWrap w:val="0"/>
            <w:vAlign w:val="center"/>
          </w:tcPr>
          <w:p w14:paraId="7B1B1A7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987" w:type="dxa"/>
            <w:tcBorders>
              <w:top w:val="single" w:color="auto" w:sz="4" w:space="0"/>
              <w:left w:val="single" w:color="auto" w:sz="4" w:space="0"/>
              <w:right w:val="single" w:color="auto" w:sz="4" w:space="0"/>
            </w:tcBorders>
            <w:noWrap w:val="0"/>
            <w:vAlign w:val="center"/>
          </w:tcPr>
          <w:p w14:paraId="50AD65F6">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1</w:t>
            </w:r>
          </w:p>
        </w:tc>
      </w:tr>
      <w:bookmarkEnd w:id="6"/>
    </w:tbl>
    <w:p w14:paraId="69CA6058">
      <w:pPr>
        <w:pStyle w:val="5"/>
        <w:spacing w:before="0" w:after="0" w:line="240" w:lineRule="auto"/>
        <w:rPr>
          <w:rFonts w:hint="eastAsia" w:ascii="微软雅黑" w:hAnsi="微软雅黑" w:eastAsia="微软雅黑" w:cs="微软雅黑"/>
          <w:color w:val="auto"/>
          <w:sz w:val="24"/>
          <w:szCs w:val="24"/>
          <w:highlight w:val="none"/>
        </w:rPr>
      </w:pPr>
      <w:bookmarkStart w:id="7" w:name="_Toc9141"/>
      <w:bookmarkStart w:id="8" w:name="_Toc373860293"/>
      <w:bookmarkStart w:id="9" w:name="_Toc317775178"/>
      <w:r>
        <w:rPr>
          <w:rFonts w:hint="eastAsia" w:ascii="微软雅黑" w:hAnsi="微软雅黑" w:eastAsia="微软雅黑" w:cs="微软雅黑"/>
          <w:color w:val="auto"/>
          <w:sz w:val="24"/>
          <w:szCs w:val="24"/>
          <w:highlight w:val="none"/>
        </w:rPr>
        <w:t>二、资金来源</w:t>
      </w:r>
      <w:bookmarkEnd w:id="7"/>
    </w:p>
    <w:p w14:paraId="715B224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财政预算内单位自付，预算金额</w:t>
      </w:r>
      <w:r>
        <w:rPr>
          <w:rFonts w:hint="eastAsia" w:ascii="微软雅黑" w:hAnsi="微软雅黑" w:eastAsia="微软雅黑" w:cs="微软雅黑"/>
          <w:color w:val="auto"/>
          <w:sz w:val="24"/>
          <w:szCs w:val="24"/>
          <w:highlight w:val="none"/>
          <w:lang w:eastAsia="zh-CN"/>
        </w:rPr>
        <w:t>（最高限价）</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32.5</w:t>
      </w:r>
      <w:r>
        <w:rPr>
          <w:rFonts w:hint="eastAsia" w:ascii="微软雅黑" w:hAnsi="微软雅黑" w:eastAsia="微软雅黑" w:cs="微软雅黑"/>
          <w:color w:val="auto"/>
          <w:sz w:val="24"/>
          <w:szCs w:val="24"/>
          <w:highlight w:val="none"/>
        </w:rPr>
        <w:t>万元/年。</w:t>
      </w:r>
    </w:p>
    <w:p w14:paraId="79AFF359">
      <w:pPr>
        <w:pStyle w:val="5"/>
        <w:spacing w:before="0" w:after="0" w:line="240" w:lineRule="auto"/>
        <w:rPr>
          <w:rFonts w:hint="eastAsia" w:ascii="微软雅黑" w:hAnsi="微软雅黑" w:eastAsia="微软雅黑" w:cs="微软雅黑"/>
          <w:color w:val="auto"/>
          <w:sz w:val="24"/>
          <w:szCs w:val="24"/>
          <w:highlight w:val="none"/>
        </w:rPr>
      </w:pPr>
      <w:bookmarkStart w:id="10" w:name="_Toc27959"/>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资格</w:t>
      </w:r>
      <w:bookmarkEnd w:id="10"/>
    </w:p>
    <w:p w14:paraId="17C8B1D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6A257F2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一般资格条件</w:t>
      </w:r>
    </w:p>
    <w:p w14:paraId="039D820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57E542E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4445283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1A84D9B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6D1F399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6E905A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50E96DDD">
      <w:pPr>
        <w:pStyle w:val="5"/>
        <w:spacing w:before="0" w:after="0" w:line="240" w:lineRule="auto"/>
        <w:rPr>
          <w:rFonts w:hint="eastAsia" w:ascii="微软雅黑" w:hAnsi="微软雅黑" w:eastAsia="微软雅黑" w:cs="微软雅黑"/>
          <w:color w:val="auto"/>
          <w:sz w:val="24"/>
          <w:szCs w:val="24"/>
          <w:highlight w:val="none"/>
        </w:rPr>
      </w:pPr>
      <w:bookmarkStart w:id="11" w:name="_Toc32452"/>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有关说明</w:t>
      </w:r>
      <w:bookmarkEnd w:id="8"/>
      <w:bookmarkEnd w:id="11"/>
    </w:p>
    <w:p w14:paraId="52996D6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（一）供应商需通过“行采家”平台</w:t>
      </w:r>
      <w:bookmarkStart w:id="12" w:name="OLE_LINK9"/>
      <w:r>
        <w:rPr>
          <w:rFonts w:hint="eastAsia" w:ascii="微软雅黑" w:hAnsi="微软雅黑" w:eastAsia="微软雅黑" w:cs="微软雅黑"/>
          <w:color w:val="auto"/>
          <w:sz w:val="24"/>
          <w:szCs w:val="24"/>
          <w:highlight w:val="none"/>
        </w:rPr>
        <w:t>（http://www.gec123.com）</w:t>
      </w:r>
      <w:bookmarkEnd w:id="12"/>
      <w:r>
        <w:rPr>
          <w:rFonts w:hint="eastAsia" w:ascii="微软雅黑" w:hAnsi="微软雅黑" w:eastAsia="微软雅黑" w:cs="微软雅黑"/>
          <w:color w:val="auto"/>
          <w:sz w:val="24"/>
          <w:szCs w:val="24"/>
          <w:highlight w:val="none"/>
        </w:rPr>
        <w:t>进行注册，成为正式供应商方能参与采购活动。</w:t>
      </w:r>
    </w:p>
    <w:p w14:paraId="5DFB23F6">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（二）凡有意参加的供应商，请在“行采家”平台下载本项目竞争性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发售登记表、补遗等开标前公布的所有项目资料，无论供应商领取或下载与否，均视为已知晓所有招标内容。</w:t>
      </w:r>
    </w:p>
    <w:p w14:paraId="6B762C9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（三）本项目采用线上报价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线上</w:t>
      </w:r>
      <w:r>
        <w:rPr>
          <w:rFonts w:hint="eastAsia" w:ascii="微软雅黑" w:hAnsi="微软雅黑" w:eastAsia="微软雅黑" w:cs="微软雅黑"/>
          <w:color w:val="auto"/>
          <w:sz w:val="24"/>
          <w:szCs w:val="24"/>
          <w:highlight w:val="none"/>
          <w:lang w:eastAsia="zh-CN"/>
        </w:rPr>
        <w:t>报价时间：按本项目网上公告规定的报价截止时间为准）</w:t>
      </w:r>
      <w:r>
        <w:rPr>
          <w:rFonts w:hint="eastAsia" w:ascii="微软雅黑" w:hAnsi="微软雅黑" w:eastAsia="微软雅黑" w:cs="微软雅黑"/>
          <w:color w:val="auto"/>
          <w:sz w:val="24"/>
          <w:szCs w:val="24"/>
          <w:highlight w:val="none"/>
        </w:rPr>
        <w:t>，线下开标的方式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线下需递交纸质版响应文件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要求进行线上报价。线上报价时上传加盖公章后的完整的响应文件电子档一份（建议以pdf格式的文档的上传），文件内容应清晰、无涂改，若因文件内容模糊导致无法进行评审，由此造成的后果由供应商自行承担。注：纸质</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文件与上传的电子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w:t>
      </w:r>
      <w:r>
        <w:rPr>
          <w:rFonts w:hint="eastAsia" w:ascii="微软雅黑" w:hAnsi="微软雅黑" w:eastAsia="微软雅黑" w:cs="微软雅黑"/>
          <w:color w:val="auto"/>
          <w:sz w:val="24"/>
          <w:szCs w:val="24"/>
          <w:highlight w:val="none"/>
          <w:lang w:val="en-US" w:eastAsia="zh-CN"/>
        </w:rPr>
        <w:t>内容须一致，否则</w:t>
      </w:r>
      <w:r>
        <w:rPr>
          <w:rFonts w:hint="eastAsia" w:ascii="微软雅黑" w:hAnsi="微软雅黑" w:eastAsia="微软雅黑" w:cs="微软雅黑"/>
          <w:color w:val="auto"/>
          <w:sz w:val="24"/>
          <w:szCs w:val="24"/>
          <w:highlight w:val="none"/>
        </w:rPr>
        <w:t>将失去成交供应商资格。</w:t>
      </w:r>
    </w:p>
    <w:p w14:paraId="0981EB91">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rPr>
        <w:t>（三）竞争性</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公告期限：自采购公告发布之日</w:t>
      </w:r>
      <w:r>
        <w:rPr>
          <w:rFonts w:hint="eastAsia" w:ascii="微软雅黑" w:hAnsi="微软雅黑" w:eastAsia="微软雅黑" w:cs="宋体"/>
          <w:color w:val="auto"/>
          <w:sz w:val="24"/>
          <w:szCs w:val="24"/>
          <w:highlight w:val="none"/>
        </w:rPr>
        <w:t>（202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3</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27</w:t>
      </w:r>
      <w:r>
        <w:rPr>
          <w:rFonts w:hint="eastAsia" w:ascii="微软雅黑" w:hAnsi="微软雅黑" w:eastAsia="微软雅黑" w:cs="宋体"/>
          <w:color w:val="auto"/>
          <w:sz w:val="24"/>
          <w:szCs w:val="24"/>
          <w:highlight w:val="none"/>
        </w:rPr>
        <w:t>日）</w:t>
      </w:r>
      <w:r>
        <w:rPr>
          <w:rFonts w:hint="eastAsia" w:ascii="微软雅黑" w:hAnsi="微软雅黑" w:eastAsia="微软雅黑" w:cs="宋体"/>
          <w:color w:val="auto"/>
          <w:sz w:val="24"/>
          <w:szCs w:val="24"/>
          <w:highlight w:val="none"/>
        </w:rPr>
        <w:t>起</w:t>
      </w:r>
      <w:r>
        <w:rPr>
          <w:rFonts w:hint="eastAsia" w:ascii="微软雅黑" w:hAnsi="微软雅黑" w:eastAsia="微软雅黑" w:cs="宋体"/>
          <w:color w:val="auto"/>
          <w:sz w:val="24"/>
          <w:szCs w:val="24"/>
          <w:highlight w:val="none"/>
          <w:lang w:val="en-US" w:eastAsia="zh-CN"/>
        </w:rPr>
        <w:t>5</w:t>
      </w:r>
      <w:r>
        <w:rPr>
          <w:rFonts w:hint="eastAsia" w:ascii="微软雅黑" w:hAnsi="微软雅黑" w:eastAsia="微软雅黑" w:cs="宋体"/>
          <w:color w:val="auto"/>
          <w:sz w:val="24"/>
          <w:szCs w:val="24"/>
          <w:highlight w:val="none"/>
        </w:rPr>
        <w:t>个工作日。</w:t>
      </w:r>
    </w:p>
    <w:p w14:paraId="56187545">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rPr>
        <w:t>（四）报名方式：</w:t>
      </w:r>
    </w:p>
    <w:p w14:paraId="5589FA5E">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1.</w:t>
      </w:r>
      <w:r>
        <w:rPr>
          <w:rFonts w:hint="eastAsia" w:ascii="微软雅黑" w:hAnsi="微软雅黑" w:eastAsia="微软雅黑" w:cs="宋体"/>
          <w:color w:val="auto"/>
          <w:sz w:val="24"/>
          <w:szCs w:val="24"/>
          <w:highlight w:val="none"/>
          <w:lang w:eastAsia="zh-CN"/>
        </w:rPr>
        <w:t>报名</w:t>
      </w:r>
      <w:r>
        <w:rPr>
          <w:rFonts w:hint="eastAsia" w:ascii="微软雅黑" w:hAnsi="微软雅黑" w:eastAsia="微软雅黑" w:cs="宋体"/>
          <w:color w:val="auto"/>
          <w:sz w:val="24"/>
          <w:szCs w:val="24"/>
          <w:highlight w:val="none"/>
          <w:lang w:val="en-US" w:eastAsia="zh-CN"/>
        </w:rPr>
        <w:t>时间</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sz w:val="24"/>
          <w:szCs w:val="24"/>
          <w:highlight w:val="none"/>
          <w:lang w:val="en-US" w:eastAsia="zh-CN"/>
        </w:rPr>
        <w:t>2</w:t>
      </w:r>
      <w:r>
        <w:rPr>
          <w:rFonts w:hint="eastAsia" w:ascii="微软雅黑" w:hAnsi="微软雅黑" w:eastAsia="微软雅黑" w:cs="宋体"/>
          <w:color w:val="auto"/>
          <w:sz w:val="24"/>
          <w:szCs w:val="24"/>
          <w:highlight w:val="none"/>
        </w:rPr>
        <w:t>02</w:t>
      </w:r>
      <w:r>
        <w:rPr>
          <w:rFonts w:hint="eastAsia" w:ascii="微软雅黑" w:hAnsi="微软雅黑" w:eastAsia="微软雅黑" w:cs="宋体"/>
          <w:color w:val="auto"/>
          <w:sz w:val="24"/>
          <w:szCs w:val="24"/>
          <w:highlight w:val="none"/>
          <w:lang w:val="en-US" w:eastAsia="zh-CN"/>
        </w:rPr>
        <w:t>6年3</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27</w:t>
      </w:r>
      <w:r>
        <w:rPr>
          <w:rFonts w:hint="eastAsia" w:ascii="微软雅黑" w:hAnsi="微软雅黑" w:eastAsia="微软雅黑" w:cs="宋体"/>
          <w:color w:val="auto"/>
          <w:sz w:val="24"/>
          <w:szCs w:val="24"/>
          <w:highlight w:val="none"/>
        </w:rPr>
        <w:t>日至202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w:t>
      </w:r>
      <w:r>
        <w:rPr>
          <w:rFonts w:hint="eastAsia" w:ascii="微软雅黑" w:hAnsi="微软雅黑" w:eastAsia="微软雅黑" w:cs="宋体"/>
          <w:color w:val="auto"/>
          <w:sz w:val="24"/>
          <w:szCs w:val="24"/>
          <w:highlight w:val="none"/>
        </w:rPr>
        <w:t>日上午9:30-12:00</w:t>
      </w:r>
      <w:r>
        <w:rPr>
          <w:rFonts w:hint="eastAsia" w:ascii="微软雅黑" w:hAnsi="微软雅黑" w:eastAsia="微软雅黑" w:cs="宋体"/>
          <w:color w:val="auto"/>
          <w:sz w:val="24"/>
          <w:szCs w:val="24"/>
          <w:highlight w:val="none"/>
        </w:rPr>
        <w:t>，下午14:30-17:00（工作时间）。</w:t>
      </w:r>
    </w:p>
    <w:p w14:paraId="7BC60AD4">
      <w:pPr>
        <w:ind w:firstLine="480" w:firstLineChars="200"/>
        <w:rPr>
          <w:rFonts w:hint="eastAsia" w:ascii="微软雅黑" w:hAnsi="微软雅黑" w:eastAsia="微软雅黑" w:cs="宋体"/>
          <w:color w:val="auto"/>
          <w:kern w:val="2"/>
          <w:sz w:val="24"/>
          <w:szCs w:val="24"/>
          <w:highlight w:val="none"/>
          <w:lang w:val="en-US" w:eastAsia="zh-CN" w:bidi="ar-SA"/>
        </w:rPr>
      </w:pPr>
      <w:r>
        <w:rPr>
          <w:rFonts w:hint="eastAsia" w:ascii="微软雅黑" w:hAnsi="微软雅黑" w:eastAsia="微软雅黑" w:cs="宋体"/>
          <w:color w:val="auto"/>
          <w:kern w:val="2"/>
          <w:sz w:val="24"/>
          <w:szCs w:val="24"/>
          <w:highlight w:val="none"/>
          <w:lang w:val="en-US" w:eastAsia="zh-CN" w:bidi="ar-SA"/>
        </w:rPr>
        <w:t>2.在竞争性磋商文件获取期限（</w:t>
      </w:r>
      <w:r>
        <w:rPr>
          <w:rFonts w:hint="eastAsia" w:ascii="微软雅黑" w:hAnsi="微软雅黑" w:eastAsia="微软雅黑" w:cs="宋体"/>
          <w:color w:val="auto"/>
          <w:sz w:val="24"/>
          <w:szCs w:val="24"/>
          <w:highlight w:val="none"/>
          <w:lang w:eastAsia="zh-CN"/>
        </w:rPr>
        <w:t>报名</w:t>
      </w:r>
      <w:r>
        <w:rPr>
          <w:rFonts w:hint="eastAsia" w:ascii="微软雅黑" w:hAnsi="微软雅黑" w:eastAsia="微软雅黑" w:cs="宋体"/>
          <w:color w:val="auto"/>
          <w:sz w:val="24"/>
          <w:szCs w:val="24"/>
          <w:highlight w:val="none"/>
          <w:lang w:val="en-US" w:eastAsia="zh-CN"/>
        </w:rPr>
        <w:t>时间</w:t>
      </w:r>
      <w:r>
        <w:rPr>
          <w:rFonts w:hint="eastAsia" w:ascii="微软雅黑" w:hAnsi="微软雅黑" w:eastAsia="微软雅黑" w:cs="宋体"/>
          <w:color w:val="auto"/>
          <w:kern w:val="2"/>
          <w:sz w:val="24"/>
          <w:szCs w:val="24"/>
          <w:highlight w:val="none"/>
          <w:lang w:val="en-US" w:eastAsia="zh-CN" w:bidi="ar-SA"/>
        </w:rPr>
        <w:t>）内缴纳了文件购买费，</w:t>
      </w:r>
      <w:r>
        <w:rPr>
          <w:rFonts w:hint="eastAsia" w:ascii="微软雅黑" w:hAnsi="微软雅黑" w:eastAsia="微软雅黑" w:cs="宋体"/>
          <w:color w:val="auto"/>
          <w:sz w:val="24"/>
          <w:szCs w:val="24"/>
          <w:highlight w:val="none"/>
        </w:rPr>
        <w:t>将《</w:t>
      </w:r>
      <w:r>
        <w:rPr>
          <w:rFonts w:hint="eastAsia" w:ascii="微软雅黑" w:hAnsi="微软雅黑" w:eastAsia="微软雅黑" w:cs="宋体"/>
          <w:color w:val="auto"/>
          <w:sz w:val="24"/>
          <w:szCs w:val="24"/>
          <w:highlight w:val="none"/>
          <w:lang w:val="en-US" w:eastAsia="zh-CN"/>
        </w:rPr>
        <w:t>竞争性磋商发售登记</w:t>
      </w:r>
      <w:r>
        <w:rPr>
          <w:rFonts w:hint="eastAsia" w:ascii="微软雅黑" w:hAnsi="微软雅黑" w:eastAsia="微软雅黑" w:cs="宋体"/>
          <w:color w:val="auto"/>
          <w:sz w:val="24"/>
          <w:szCs w:val="24"/>
          <w:highlight w:val="none"/>
        </w:rPr>
        <w:t>表》（加盖供应商公章）扫描后发送至代理公司的邮箱</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sz w:val="24"/>
          <w:szCs w:val="24"/>
          <w:highlight w:val="none"/>
        </w:rPr>
        <w:t>yumeng2i</w:t>
      </w:r>
      <w:r>
        <w:rPr>
          <w:rFonts w:hint="eastAsia" w:ascii="微软雅黑" w:hAnsi="微软雅黑" w:eastAsia="微软雅黑" w:cs="宋体"/>
          <w:color w:val="auto"/>
          <w:sz w:val="24"/>
          <w:szCs w:val="24"/>
          <w:highlight w:val="none"/>
          <w:lang w:val="en-US" w:eastAsia="zh-CN"/>
        </w:rPr>
        <w:t>2826</w:t>
      </w:r>
      <w:r>
        <w:rPr>
          <w:rFonts w:hint="eastAsia" w:ascii="微软雅黑" w:hAnsi="微软雅黑" w:eastAsia="微软雅黑" w:cs="宋体"/>
          <w:color w:val="auto"/>
          <w:sz w:val="24"/>
          <w:szCs w:val="24"/>
          <w:highlight w:val="none"/>
        </w:rPr>
        <w:t>@qq.com</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kern w:val="2"/>
          <w:sz w:val="24"/>
          <w:szCs w:val="24"/>
          <w:highlight w:val="none"/>
          <w:lang w:val="en-US" w:eastAsia="zh-CN" w:bidi="ar-SA"/>
        </w:rPr>
        <w:t>其递交响应文件时才能被接收。</w:t>
      </w:r>
    </w:p>
    <w:p w14:paraId="48788948">
      <w:pPr>
        <w:pStyle w:val="23"/>
        <w:ind w:firstLine="480" w:firstLineChars="200"/>
        <w:rPr>
          <w:rFonts w:hint="eastAsia" w:ascii="微软雅黑" w:hAnsi="微软雅黑" w:eastAsia="微软雅黑" w:cs="宋体"/>
          <w:color w:val="auto"/>
          <w:kern w:val="2"/>
          <w:sz w:val="24"/>
          <w:szCs w:val="24"/>
          <w:highlight w:val="none"/>
          <w:lang w:val="en-US" w:eastAsia="zh-CN" w:bidi="ar-SA"/>
        </w:rPr>
      </w:pPr>
      <w:r>
        <w:rPr>
          <w:rFonts w:hint="eastAsia" w:ascii="微软雅黑" w:hAnsi="微软雅黑" w:eastAsia="微软雅黑" w:cs="宋体"/>
          <w:color w:val="auto"/>
          <w:kern w:val="2"/>
          <w:sz w:val="24"/>
          <w:szCs w:val="24"/>
          <w:highlight w:val="none"/>
          <w:lang w:val="en-US" w:eastAsia="zh-CN" w:bidi="ar-SA"/>
        </w:rPr>
        <w:t>3. 竞争性磋商文件购买费：人民币500元/分包（售后不退）。</w:t>
      </w:r>
    </w:p>
    <w:p w14:paraId="44C3580B">
      <w:pPr>
        <w:numPr>
          <w:ilvl w:val="0"/>
          <w:numId w:val="13"/>
        </w:num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rPr>
        <w:t>提交响应文件时间：</w:t>
      </w:r>
      <w:r>
        <w:rPr>
          <w:rFonts w:hint="eastAsia" w:ascii="微软雅黑" w:hAnsi="微软雅黑" w:eastAsia="微软雅黑" w:cs="宋体"/>
          <w:color w:val="auto"/>
          <w:sz w:val="24"/>
          <w:szCs w:val="24"/>
          <w:highlight w:val="none"/>
        </w:rPr>
        <w:t>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 xml:space="preserve">8 </w:t>
      </w:r>
      <w:r>
        <w:rPr>
          <w:rFonts w:hint="eastAsia" w:ascii="微软雅黑" w:hAnsi="微软雅黑" w:eastAsia="微软雅黑" w:cs="宋体"/>
          <w:color w:val="auto"/>
          <w:sz w:val="24"/>
          <w:szCs w:val="24"/>
          <w:highlight w:val="none"/>
        </w:rPr>
        <w:t>日</w:t>
      </w:r>
      <w:r>
        <w:rPr>
          <w:rFonts w:hint="eastAsia" w:ascii="微软雅黑" w:hAnsi="微软雅黑" w:eastAsia="微软雅黑" w:cs="宋体"/>
          <w:color w:val="auto"/>
          <w:sz w:val="24"/>
          <w:szCs w:val="24"/>
          <w:highlight w:val="none"/>
        </w:rPr>
        <w:t>北京时间</w:t>
      </w:r>
      <w:r>
        <w:rPr>
          <w:rFonts w:hint="eastAsia" w:ascii="微软雅黑" w:hAnsi="微软雅黑" w:eastAsia="微软雅黑" w:cs="宋体"/>
          <w:color w:val="auto"/>
          <w:sz w:val="24"/>
          <w:szCs w:val="24"/>
          <w:highlight w:val="none"/>
          <w:lang w:val="en-US" w:eastAsia="zh-CN"/>
        </w:rPr>
        <w:t>09:30-10</w:t>
      </w:r>
      <w:r>
        <w:rPr>
          <w:rFonts w:hint="eastAsia" w:ascii="微软雅黑" w:hAnsi="微软雅黑" w:eastAsia="微软雅黑" w:cs="宋体"/>
          <w:color w:val="auto"/>
          <w:sz w:val="24"/>
          <w:szCs w:val="24"/>
          <w:highlight w:val="none"/>
        </w:rPr>
        <w:t>:</w:t>
      </w:r>
      <w:r>
        <w:rPr>
          <w:rFonts w:hint="eastAsia" w:ascii="微软雅黑" w:hAnsi="微软雅黑" w:eastAsia="微软雅黑" w:cs="宋体"/>
          <w:color w:val="auto"/>
          <w:sz w:val="24"/>
          <w:szCs w:val="24"/>
          <w:highlight w:val="none"/>
          <w:lang w:val="en-US" w:eastAsia="zh-CN"/>
        </w:rPr>
        <w:t>00止。</w:t>
      </w:r>
    </w:p>
    <w:p w14:paraId="3748C83D">
      <w:pPr>
        <w:numPr>
          <w:ilvl w:val="0"/>
          <w:numId w:val="13"/>
        </w:numPr>
        <w:ind w:firstLine="480" w:firstLineChars="200"/>
        <w:rPr>
          <w:rFonts w:hint="default" w:ascii="微软雅黑" w:hAnsi="微软雅黑" w:eastAsia="微软雅黑" w:cs="宋体"/>
          <w:color w:val="auto"/>
          <w:sz w:val="24"/>
          <w:szCs w:val="24"/>
          <w:highlight w:val="none"/>
          <w:lang w:val="en-US"/>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开始时间：202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8</w:t>
      </w:r>
      <w:r>
        <w:rPr>
          <w:rFonts w:hint="eastAsia" w:ascii="微软雅黑" w:hAnsi="微软雅黑" w:eastAsia="微软雅黑" w:cs="宋体"/>
          <w:color w:val="auto"/>
          <w:sz w:val="24"/>
          <w:szCs w:val="24"/>
          <w:highlight w:val="none"/>
        </w:rPr>
        <w:t>日北京时间</w:t>
      </w:r>
      <w:r>
        <w:rPr>
          <w:rFonts w:hint="eastAsia" w:ascii="微软雅黑" w:hAnsi="微软雅黑" w:eastAsia="微软雅黑" w:cs="宋体"/>
          <w:color w:val="auto"/>
          <w:sz w:val="24"/>
          <w:szCs w:val="24"/>
          <w:highlight w:val="none"/>
          <w:lang w:val="en-US" w:eastAsia="zh-CN"/>
        </w:rPr>
        <w:t>10</w:t>
      </w:r>
      <w:r>
        <w:rPr>
          <w:rFonts w:hint="eastAsia" w:ascii="微软雅黑" w:hAnsi="微软雅黑" w:eastAsia="微软雅黑" w:cs="宋体"/>
          <w:color w:val="auto"/>
          <w:sz w:val="24"/>
          <w:szCs w:val="24"/>
          <w:highlight w:val="none"/>
        </w:rPr>
        <w:t>:</w:t>
      </w:r>
      <w:r>
        <w:rPr>
          <w:rFonts w:hint="eastAsia" w:ascii="微软雅黑" w:hAnsi="微软雅黑" w:eastAsia="微软雅黑" w:cs="宋体"/>
          <w:color w:val="auto"/>
          <w:sz w:val="24"/>
          <w:szCs w:val="24"/>
          <w:highlight w:val="none"/>
          <w:lang w:val="en-US" w:eastAsia="zh-CN"/>
        </w:rPr>
        <w:t>00</w:t>
      </w:r>
    </w:p>
    <w:p w14:paraId="21093F89">
      <w:pPr>
        <w:numPr>
          <w:ilvl w:val="0"/>
          <w:numId w:val="13"/>
        </w:numPr>
        <w:ind w:left="0" w:leftChars="0"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地点：</w:t>
      </w:r>
      <w:r>
        <w:rPr>
          <w:rFonts w:hint="eastAsia" w:ascii="微软雅黑" w:hAnsi="微软雅黑" w:eastAsia="微软雅黑" w:cs="宋体"/>
          <w:color w:val="auto"/>
          <w:sz w:val="24"/>
          <w:szCs w:val="24"/>
          <w:highlight w:val="none"/>
          <w:lang w:eastAsia="zh-CN"/>
        </w:rPr>
        <w:t>重庆市食品药品检验检测研究院一分院</w:t>
      </w:r>
      <w:r>
        <w:rPr>
          <w:rFonts w:hint="eastAsia" w:ascii="微软雅黑" w:hAnsi="微软雅黑" w:eastAsia="微软雅黑" w:cs="宋体"/>
          <w:color w:val="auto"/>
          <w:sz w:val="24"/>
          <w:szCs w:val="24"/>
          <w:highlight w:val="none"/>
        </w:rPr>
        <w:t>2楼</w:t>
      </w:r>
      <w:r>
        <w:rPr>
          <w:rFonts w:hint="eastAsia" w:ascii="微软雅黑" w:hAnsi="微软雅黑" w:eastAsia="微软雅黑" w:cs="宋体"/>
          <w:color w:val="auto"/>
          <w:sz w:val="24"/>
          <w:szCs w:val="24"/>
          <w:highlight w:val="none"/>
          <w:lang w:eastAsia="zh-CN"/>
        </w:rPr>
        <w:t>中型</w:t>
      </w:r>
      <w:r>
        <w:rPr>
          <w:rFonts w:hint="eastAsia" w:ascii="微软雅黑" w:hAnsi="微软雅黑" w:eastAsia="微软雅黑" w:cs="宋体"/>
          <w:color w:val="auto"/>
          <w:sz w:val="24"/>
          <w:szCs w:val="24"/>
          <w:highlight w:val="none"/>
        </w:rPr>
        <w:t>会议室</w:t>
      </w:r>
      <w:r>
        <w:rPr>
          <w:rFonts w:hint="eastAsia" w:ascii="微软雅黑" w:hAnsi="微软雅黑" w:eastAsia="微软雅黑" w:cs="宋体"/>
          <w:color w:val="auto"/>
          <w:sz w:val="24"/>
          <w:szCs w:val="24"/>
          <w:highlight w:val="none"/>
          <w:lang w:eastAsia="zh-CN"/>
        </w:rPr>
        <w:t>（地址：</w:t>
      </w:r>
      <w:r>
        <w:rPr>
          <w:rFonts w:hint="eastAsia" w:ascii="微软雅黑" w:hAnsi="微软雅黑" w:eastAsia="微软雅黑" w:cs="宋体"/>
          <w:color w:val="auto"/>
          <w:sz w:val="24"/>
          <w:szCs w:val="24"/>
          <w:highlight w:val="none"/>
          <w:lang w:val="en-US" w:eastAsia="zh-CN"/>
        </w:rPr>
        <w:t>重庆市</w:t>
      </w:r>
      <w:r>
        <w:rPr>
          <w:rFonts w:hint="eastAsia" w:ascii="微软雅黑" w:hAnsi="微软雅黑" w:eastAsia="微软雅黑" w:cs="宋体"/>
          <w:color w:val="auto"/>
          <w:sz w:val="24"/>
          <w:szCs w:val="24"/>
          <w:highlight w:val="none"/>
        </w:rPr>
        <w:t>万州区龙溪大道16号</w:t>
      </w:r>
      <w:r>
        <w:rPr>
          <w:rFonts w:hint="eastAsia" w:ascii="微软雅黑" w:hAnsi="微软雅黑" w:eastAsia="微软雅黑" w:cs="宋体"/>
          <w:color w:val="auto"/>
          <w:sz w:val="24"/>
          <w:szCs w:val="24"/>
          <w:highlight w:val="none"/>
          <w:lang w:eastAsia="zh-CN"/>
        </w:rPr>
        <w:t>）</w:t>
      </w:r>
    </w:p>
    <w:p w14:paraId="1953EB9C">
      <w:pPr>
        <w:pStyle w:val="23"/>
        <w:spacing w:line="500" w:lineRule="exact"/>
        <w:rPr>
          <w:rFonts w:hint="eastAsia" w:ascii="微软雅黑" w:hAnsi="微软雅黑" w:eastAsia="微软雅黑" w:cs="宋体"/>
          <w:b/>
          <w:bCs/>
          <w:color w:val="auto"/>
          <w:kern w:val="2"/>
          <w:sz w:val="24"/>
          <w:szCs w:val="24"/>
          <w:highlight w:val="none"/>
          <w:lang w:val="en-US" w:eastAsia="zh-CN" w:bidi="ar-SA"/>
        </w:rPr>
      </w:pPr>
      <w:r>
        <w:rPr>
          <w:rFonts w:hint="eastAsia" w:ascii="微软雅黑" w:hAnsi="微软雅黑" w:eastAsia="微软雅黑" w:cs="宋体"/>
          <w:b/>
          <w:bCs/>
          <w:color w:val="auto"/>
          <w:kern w:val="2"/>
          <w:sz w:val="24"/>
          <w:szCs w:val="24"/>
          <w:highlight w:val="none"/>
          <w:lang w:val="en-US" w:eastAsia="zh-CN" w:bidi="ar-SA"/>
        </w:rPr>
        <w:t>五、投标保证金</w:t>
      </w:r>
    </w:p>
    <w:p w14:paraId="60C790C2">
      <w:pPr>
        <w:pStyle w:val="5"/>
        <w:spacing w:before="0" w:after="0" w:line="240" w:lineRule="auto"/>
        <w:ind w:firstLine="480" w:firstLineChars="200"/>
        <w:rPr>
          <w:rFonts w:hint="default" w:ascii="微软雅黑" w:hAnsi="微软雅黑" w:eastAsia="微软雅黑" w:cs="微软雅黑"/>
          <w:b w:val="0"/>
          <w:bCs/>
          <w:color w:val="auto"/>
          <w:sz w:val="24"/>
          <w:szCs w:val="24"/>
          <w:highlight w:val="none"/>
          <w:lang w:val="en-US" w:eastAsia="zh-CN"/>
        </w:rPr>
      </w:pPr>
      <w:bookmarkStart w:id="13" w:name="_Toc10388"/>
      <w:bookmarkStart w:id="14" w:name="_Toc15905147"/>
      <w:bookmarkStart w:id="15" w:name="_Toc373860294"/>
      <w:r>
        <w:rPr>
          <w:rFonts w:hint="eastAsia" w:ascii="微软雅黑" w:hAnsi="微软雅黑" w:eastAsia="微软雅黑" w:cs="微软雅黑"/>
          <w:b w:val="0"/>
          <w:bCs/>
          <w:color w:val="auto"/>
          <w:sz w:val="24"/>
          <w:szCs w:val="24"/>
          <w:highlight w:val="none"/>
          <w:lang w:val="en-US" w:eastAsia="zh-CN"/>
        </w:rPr>
        <w:t>无。</w:t>
      </w:r>
      <w:bookmarkEnd w:id="13"/>
    </w:p>
    <w:p w14:paraId="66AAA5F1">
      <w:pPr>
        <w:pStyle w:val="5"/>
        <w:spacing w:before="0" w:after="0" w:line="240" w:lineRule="auto"/>
        <w:rPr>
          <w:rFonts w:hint="eastAsia" w:ascii="微软雅黑" w:hAnsi="微软雅黑" w:eastAsia="微软雅黑" w:cs="微软雅黑"/>
          <w:color w:val="auto"/>
          <w:sz w:val="24"/>
          <w:szCs w:val="24"/>
          <w:highlight w:val="none"/>
        </w:rPr>
      </w:pPr>
      <w:bookmarkStart w:id="16" w:name="_Toc21929"/>
      <w:r>
        <w:rPr>
          <w:rFonts w:hint="eastAsia" w:ascii="微软雅黑" w:hAnsi="微软雅黑" w:eastAsia="微软雅黑" w:cs="微软雅黑"/>
          <w:color w:val="auto"/>
          <w:sz w:val="24"/>
          <w:szCs w:val="24"/>
          <w:highlight w:val="none"/>
          <w:lang w:eastAsia="zh-CN"/>
        </w:rPr>
        <w:t>六</w:t>
      </w:r>
      <w:r>
        <w:rPr>
          <w:rFonts w:hint="eastAsia" w:ascii="微软雅黑" w:hAnsi="微软雅黑" w:eastAsia="微软雅黑" w:cs="微软雅黑"/>
          <w:color w:val="auto"/>
          <w:sz w:val="24"/>
          <w:szCs w:val="24"/>
          <w:highlight w:val="none"/>
        </w:rPr>
        <w:t>、</w:t>
      </w:r>
      <w:bookmarkEnd w:id="14"/>
      <w:bookmarkEnd w:id="15"/>
      <w:bookmarkStart w:id="17" w:name="_Toc479668114"/>
      <w:r>
        <w:rPr>
          <w:rFonts w:hint="eastAsia" w:ascii="微软雅黑" w:hAnsi="微软雅黑" w:eastAsia="微软雅黑" w:cs="微软雅黑"/>
          <w:color w:val="auto"/>
          <w:sz w:val="24"/>
          <w:szCs w:val="24"/>
          <w:highlight w:val="none"/>
        </w:rPr>
        <w:t>采购项目需落实的政府采购政策</w:t>
      </w:r>
      <w:bookmarkEnd w:id="16"/>
      <w:bookmarkEnd w:id="17"/>
    </w:p>
    <w:p w14:paraId="13386F2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14:paraId="1BC524C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（二）按照&lt;财政部 工业和信息化部关于印发《政府采购促进中小企业发展暂行办法》的通知&gt;（财库〔2011〕181号）的规定，落实促进中小企业发展政策。</w:t>
      </w:r>
    </w:p>
    <w:p w14:paraId="6D50A92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（三）按照&lt;财政部、司法部关于政府采购支持监狱企业发展有关问题的通知&gt;（财库〔2014〕68号）的规定，落实支持监狱企业发展政策。</w:t>
      </w:r>
    </w:p>
    <w:p w14:paraId="61B64DB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（四）按照《三部门联合发布关于促进残疾人就业政府采购政策的通知》（财库〔2017〕 141号）的规定，落实支持残疾人福利性单位发展政策。</w:t>
      </w:r>
    </w:p>
    <w:p w14:paraId="63AB7E13">
      <w:pPr>
        <w:pStyle w:val="5"/>
        <w:spacing w:before="0" w:after="0" w:line="240" w:lineRule="auto"/>
        <w:rPr>
          <w:rFonts w:hint="eastAsia" w:ascii="微软雅黑" w:hAnsi="微软雅黑" w:eastAsia="微软雅黑" w:cs="微软雅黑"/>
          <w:color w:val="auto"/>
          <w:sz w:val="24"/>
          <w:szCs w:val="24"/>
          <w:highlight w:val="none"/>
        </w:rPr>
      </w:pPr>
      <w:bookmarkStart w:id="18" w:name="_Toc15626"/>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w:t>
      </w:r>
      <w:bookmarkEnd w:id="9"/>
      <w:r>
        <w:rPr>
          <w:rFonts w:hint="eastAsia" w:ascii="微软雅黑" w:hAnsi="微软雅黑" w:eastAsia="微软雅黑" w:cs="微软雅黑"/>
          <w:color w:val="auto"/>
          <w:sz w:val="24"/>
          <w:szCs w:val="24"/>
          <w:highlight w:val="none"/>
        </w:rPr>
        <w:t>其它有关规定</w:t>
      </w:r>
      <w:bookmarkEnd w:id="18"/>
    </w:p>
    <w:p w14:paraId="48FDCA4A">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（一）单位负责人为同一人或者存在直接控股、管理关系的不同供应商，不得参加同一合同项（分包）下的政府采购活动，否则均为无效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44275140">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w:t>
      </w:r>
    </w:p>
    <w:p w14:paraId="3C2C713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（三）同一合同项（分包）下为单一品目的货物采购中，同一品牌同一型号产品有多家供应商参加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，只能按照一家供应商计算。</w:t>
      </w:r>
    </w:p>
    <w:p w14:paraId="485983C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（四）同一合同项（分包）下的货物，制造商参与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的，不得再委托代理商参与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15C6750C">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（五）本项目的补遗文件（如果有）一律在</w:t>
      </w:r>
      <w:r>
        <w:rPr>
          <w:rFonts w:hint="eastAsia" w:ascii="微软雅黑" w:hAnsi="微软雅黑" w:eastAsia="微软雅黑" w:cs="宋体"/>
          <w:color w:val="auto"/>
          <w:sz w:val="24"/>
          <w:szCs w:val="24"/>
          <w:highlight w:val="none"/>
        </w:rPr>
        <w:t>重庆市政府采购云平台网上询价模块</w:t>
      </w:r>
      <w:r>
        <w:rPr>
          <w:rFonts w:hint="eastAsia" w:ascii="微软雅黑" w:hAnsi="微软雅黑" w:eastAsia="微软雅黑" w:cs="微软雅黑"/>
          <w:color w:val="auto"/>
          <w:sz w:val="24"/>
          <w:szCs w:val="24"/>
          <w:highlight w:val="none"/>
        </w:rPr>
        <w:t>上发布，请各供应商注意下载；无论供应商下载或领取与否，均视同供应商已知晓本项目补遗文件（如果有）的内容。</w:t>
      </w:r>
    </w:p>
    <w:p w14:paraId="195B7DA4">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（六）超过响应文件截止时间递交的响应文件，恕不接收。</w:t>
      </w:r>
    </w:p>
    <w:p w14:paraId="7D22289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费用：无论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结果如何，供应商参与本项目</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的所有费用均应由供应商自行承担。</w:t>
      </w:r>
    </w:p>
    <w:p w14:paraId="7BB55869">
      <w:pPr>
        <w:snapToGrid w:val="0"/>
        <w:ind w:firstLine="360" w:firstLineChars="15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（八）本项目不接受联合体参与</w:t>
      </w:r>
      <w:r>
        <w:rPr>
          <w:rFonts w:hint="eastAsia" w:ascii="微软雅黑" w:hAnsi="微软雅黑" w:eastAsia="微软雅黑" w:cs="微软雅黑"/>
          <w:b/>
          <w:color w:val="auto"/>
          <w:sz w:val="24"/>
          <w:szCs w:val="24"/>
          <w:highlight w:val="none"/>
          <w:lang w:eastAsia="zh-CN"/>
        </w:rPr>
        <w:t>磋商</w:t>
      </w:r>
      <w:r>
        <w:rPr>
          <w:rFonts w:hint="eastAsia" w:ascii="微软雅黑" w:hAnsi="微软雅黑" w:eastAsia="微软雅黑" w:cs="微软雅黑"/>
          <w:b/>
          <w:color w:val="auto"/>
          <w:sz w:val="24"/>
          <w:szCs w:val="24"/>
          <w:highlight w:val="none"/>
        </w:rPr>
        <w:t>。</w:t>
      </w:r>
    </w:p>
    <w:p w14:paraId="719CF77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7B89D35">
      <w:pPr>
        <w:pStyle w:val="5"/>
        <w:spacing w:before="0" w:after="0" w:line="240" w:lineRule="auto"/>
        <w:rPr>
          <w:rFonts w:hint="eastAsia" w:ascii="微软雅黑" w:hAnsi="微软雅黑" w:eastAsia="微软雅黑" w:cs="微软雅黑"/>
          <w:color w:val="auto"/>
          <w:sz w:val="24"/>
          <w:szCs w:val="24"/>
          <w:highlight w:val="none"/>
        </w:rPr>
      </w:pPr>
      <w:bookmarkStart w:id="19" w:name="_Toc12411"/>
      <w:r>
        <w:rPr>
          <w:rFonts w:hint="eastAsia" w:ascii="微软雅黑" w:hAnsi="微软雅黑" w:eastAsia="微软雅黑" w:cs="微软雅黑"/>
          <w:color w:val="auto"/>
          <w:sz w:val="24"/>
          <w:szCs w:val="24"/>
          <w:highlight w:val="none"/>
        </w:rPr>
        <w:t>八、联系方式</w:t>
      </w:r>
      <w:bookmarkEnd w:id="19"/>
    </w:p>
    <w:p w14:paraId="3CFC141E">
      <w:pPr>
        <w:snapToGrid w:val="0"/>
        <w:ind w:firstLine="480" w:firstLineChars="200"/>
        <w:rPr>
          <w:rFonts w:hint="eastAsia" w:ascii="微软雅黑" w:hAnsi="微软雅黑" w:eastAsia="微软雅黑" w:cs="微软雅黑"/>
          <w:color w:val="auto"/>
          <w:sz w:val="24"/>
          <w:szCs w:val="24"/>
          <w:highlight w:val="none"/>
          <w:lang w:eastAsia="zh-CN"/>
        </w:rPr>
      </w:pPr>
      <w:bookmarkStart w:id="20" w:name="_Toc102227313"/>
      <w:r>
        <w:rPr>
          <w:rFonts w:hint="eastAsia" w:ascii="微软雅黑" w:hAnsi="微软雅黑" w:eastAsia="微软雅黑" w:cs="微软雅黑"/>
          <w:color w:val="auto"/>
          <w:sz w:val="24"/>
          <w:szCs w:val="24"/>
          <w:highlight w:val="none"/>
        </w:rPr>
        <w:t>（一）采购人</w:t>
      </w:r>
      <w:r>
        <w:rPr>
          <w:rFonts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重庆市食品药品检验检测研究院</w:t>
      </w:r>
    </w:p>
    <w:p w14:paraId="0171B67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eastAsia="zh-CN"/>
        </w:rPr>
        <w:t>罗老师</w:t>
      </w:r>
      <w:r>
        <w:rPr>
          <w:rFonts w:hint="eastAsia" w:ascii="微软雅黑" w:hAnsi="微软雅黑" w:eastAsia="微软雅黑" w:cs="微软雅黑"/>
          <w:color w:val="auto"/>
          <w:sz w:val="24"/>
          <w:szCs w:val="24"/>
          <w:highlight w:val="none"/>
        </w:rPr>
        <w:t xml:space="preserve">          </w:t>
      </w:r>
    </w:p>
    <w:p w14:paraId="2943DC8B">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话：023-58152349</w:t>
      </w:r>
    </w:p>
    <w:p w14:paraId="3260EE6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w:t>
      </w:r>
      <w:r>
        <w:rPr>
          <w:rFonts w:hint="eastAsia" w:ascii="微软雅黑" w:hAnsi="微软雅黑" w:eastAsia="微软雅黑" w:cs="宋体"/>
          <w:color w:val="auto"/>
          <w:sz w:val="24"/>
          <w:szCs w:val="24"/>
          <w:highlight w:val="none"/>
        </w:rPr>
        <w:t>万州区龙溪大道16号</w:t>
      </w:r>
    </w:p>
    <w:p w14:paraId="4779E794">
      <w:pPr>
        <w:pStyle w:val="23"/>
        <w:numPr>
          <w:ilvl w:val="0"/>
          <w:numId w:val="14"/>
        </w:numPr>
        <w:spacing w:line="5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2"/>
          <w:sz w:val="24"/>
          <w:szCs w:val="24"/>
          <w:highlight w:val="none"/>
          <w:lang w:val="en-US" w:eastAsia="zh-CN" w:bidi="ar-SA"/>
        </w:rPr>
        <w:t>采购代理机构：</w:t>
      </w:r>
      <w:r>
        <w:rPr>
          <w:rFonts w:hint="eastAsia" w:ascii="微软雅黑" w:hAnsi="微软雅黑" w:eastAsia="微软雅黑" w:cs="微软雅黑"/>
          <w:color w:val="auto"/>
          <w:sz w:val="24"/>
          <w:szCs w:val="24"/>
          <w:highlight w:val="none"/>
          <w:lang w:eastAsia="zh-CN"/>
        </w:rPr>
        <w:t>重庆渝盟工程管理有限公司</w:t>
      </w:r>
    </w:p>
    <w:p w14:paraId="01D32CF1">
      <w:pPr>
        <w:pStyle w:val="23"/>
        <w:numPr>
          <w:ilvl w:val="0"/>
          <w:numId w:val="14"/>
        </w:numPr>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联系人：</w:t>
      </w:r>
      <w:r>
        <w:rPr>
          <w:rFonts w:hint="eastAsia" w:ascii="微软雅黑" w:hAnsi="微软雅黑" w:eastAsia="微软雅黑" w:cs="微软雅黑"/>
          <w:color w:val="auto"/>
          <w:kern w:val="2"/>
          <w:sz w:val="24"/>
          <w:szCs w:val="24"/>
          <w:highlight w:val="none"/>
          <w:lang w:val="en-US" w:eastAsia="zh-CN" w:bidi="ar-SA"/>
        </w:rPr>
        <w:t xml:space="preserve">余老师            </w:t>
      </w:r>
    </w:p>
    <w:p w14:paraId="787AE4CC">
      <w:pPr>
        <w:pStyle w:val="23"/>
        <w:numPr>
          <w:ilvl w:val="0"/>
          <w:numId w:val="14"/>
        </w:numPr>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电  话：18996697581</w:t>
      </w:r>
    </w:p>
    <w:p w14:paraId="7DA0B94D">
      <w:pPr>
        <w:pStyle w:val="23"/>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地  址：重庆市万州区白羊镇政府街24号</w:t>
      </w:r>
    </w:p>
    <w:p w14:paraId="68705046">
      <w:pPr>
        <w:pStyle w:val="4"/>
        <w:spacing w:line="240" w:lineRule="auto"/>
        <w:jc w:val="center"/>
        <w:rPr>
          <w:rFonts w:hint="eastAsia" w:ascii="微软雅黑" w:hAnsi="微软雅黑" w:eastAsia="微软雅黑" w:cs="微软雅黑"/>
          <w:b w:val="0"/>
          <w:color w:val="auto"/>
          <w:sz w:val="36"/>
          <w:szCs w:val="36"/>
          <w:highlight w:val="none"/>
        </w:rPr>
      </w:pPr>
      <w:r>
        <w:rPr>
          <w:rFonts w:hint="eastAsia" w:ascii="微软雅黑" w:hAnsi="微软雅黑" w:eastAsia="微软雅黑" w:cs="微软雅黑"/>
          <w:b w:val="0"/>
          <w:color w:val="auto"/>
          <w:sz w:val="36"/>
          <w:szCs w:val="30"/>
          <w:highlight w:val="none"/>
        </w:rPr>
        <w:br w:type="page"/>
      </w:r>
      <w:bookmarkStart w:id="21" w:name="_Toc14620"/>
      <w:r>
        <w:rPr>
          <w:rFonts w:hint="eastAsia" w:ascii="微软雅黑" w:hAnsi="微软雅黑" w:eastAsia="微软雅黑" w:cs="微软雅黑"/>
          <w:b w:val="0"/>
          <w:color w:val="auto"/>
          <w:sz w:val="36"/>
          <w:szCs w:val="36"/>
          <w:highlight w:val="none"/>
        </w:rPr>
        <w:t>第二篇  供应商须知</w:t>
      </w:r>
      <w:bookmarkEnd w:id="20"/>
      <w:bookmarkEnd w:id="21"/>
    </w:p>
    <w:p w14:paraId="0EF579F1">
      <w:pPr>
        <w:pStyle w:val="5"/>
        <w:spacing w:before="0" w:after="0" w:line="240" w:lineRule="auto"/>
        <w:rPr>
          <w:rFonts w:hint="eastAsia" w:ascii="微软雅黑" w:hAnsi="微软雅黑" w:eastAsia="微软雅黑" w:cs="微软雅黑"/>
          <w:color w:val="auto"/>
          <w:sz w:val="24"/>
          <w:szCs w:val="24"/>
          <w:highlight w:val="none"/>
        </w:rPr>
      </w:pPr>
      <w:bookmarkStart w:id="22" w:name="_Toc342913389"/>
      <w:bookmarkStart w:id="23" w:name="_Toc5966"/>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费用</w:t>
      </w:r>
      <w:bookmarkEnd w:id="22"/>
      <w:bookmarkEnd w:id="23"/>
    </w:p>
    <w:p w14:paraId="24C7E1AE">
      <w:pPr>
        <w:pStyle w:val="146"/>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的供应商应承担其编制响应文件与递交响应文件所涉及的一切费用，不论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结果如何，采购人在任何情况下无义务也无责任承担这些费用。</w:t>
      </w:r>
    </w:p>
    <w:p w14:paraId="2C822F0D">
      <w:pPr>
        <w:pStyle w:val="5"/>
        <w:tabs>
          <w:tab w:val="left" w:pos="2640"/>
        </w:tabs>
        <w:spacing w:before="0" w:after="0" w:line="240" w:lineRule="auto"/>
        <w:rPr>
          <w:rFonts w:hint="eastAsia" w:ascii="微软雅黑" w:hAnsi="微软雅黑" w:eastAsia="微软雅黑" w:cs="微软雅黑"/>
          <w:color w:val="auto"/>
          <w:sz w:val="24"/>
          <w:szCs w:val="24"/>
          <w:highlight w:val="none"/>
        </w:rPr>
      </w:pPr>
      <w:bookmarkStart w:id="24" w:name="_Toc342913391"/>
      <w:bookmarkStart w:id="25" w:name="_Toc29095"/>
      <w:r>
        <w:rPr>
          <w:rFonts w:hint="eastAsia" w:ascii="微软雅黑" w:hAnsi="微软雅黑" w:eastAsia="微软雅黑" w:cs="微软雅黑"/>
          <w:color w:val="auto"/>
          <w:sz w:val="24"/>
          <w:szCs w:val="24"/>
          <w:highlight w:val="none"/>
        </w:rPr>
        <w:t>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w:t>
      </w:r>
      <w:bookmarkEnd w:id="24"/>
      <w:bookmarkEnd w:id="25"/>
      <w:r>
        <w:rPr>
          <w:rFonts w:hint="eastAsia" w:ascii="微软雅黑" w:hAnsi="微软雅黑" w:eastAsia="微软雅黑" w:cs="微软雅黑"/>
          <w:color w:val="auto"/>
          <w:sz w:val="24"/>
          <w:szCs w:val="24"/>
          <w:highlight w:val="none"/>
        </w:rPr>
        <w:tab/>
      </w:r>
    </w:p>
    <w:p w14:paraId="44D8F3EC">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文件由竞争性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邀请书、供应商须知、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项目技术需求、</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项目服务需求、合同草案条款、响应文件格式要求六部分组成。</w:t>
      </w:r>
    </w:p>
    <w:p w14:paraId="00EDAAA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文件不可分割的部分。</w:t>
      </w:r>
    </w:p>
    <w:p w14:paraId="22BD06D2">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文件的解释</w:t>
      </w:r>
    </w:p>
    <w:p w14:paraId="72B0B3B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文件有疑问，必须以书面形式在提交响应文件截止时间1个工作日前向采购人要求澄清，采购人可视具体情况做出处理或答复。如供应商未提出疑问，视为完全理解并同意本竞争性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文件。一经进入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程序，即视为供应商已详细阅读全部文件资料，完全理解竞争性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文件所有条款内容并同意放弃对这方面有不明白及误解的权利。</w:t>
      </w:r>
      <w:bookmarkStart w:id="26" w:name="_Toc318159780"/>
      <w:bookmarkStart w:id="27" w:name="_Toc318159349"/>
      <w:bookmarkStart w:id="28" w:name="_Toc318166429"/>
      <w:bookmarkStart w:id="29" w:name="_Toc318159160"/>
    </w:p>
    <w:p w14:paraId="44C73D4D">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小组根据与供应商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情况可能实质性变动的内容为竞争性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文件第三、四、五篇全部内容。</w:t>
      </w:r>
    </w:p>
    <w:bookmarkEnd w:id="26"/>
    <w:bookmarkEnd w:id="27"/>
    <w:bookmarkEnd w:id="28"/>
    <w:bookmarkEnd w:id="29"/>
    <w:p w14:paraId="25991459">
      <w:pPr>
        <w:pStyle w:val="5"/>
        <w:spacing w:before="0" w:after="0" w:line="240" w:lineRule="auto"/>
        <w:rPr>
          <w:rFonts w:hint="eastAsia" w:ascii="微软雅黑" w:hAnsi="微软雅黑" w:eastAsia="微软雅黑" w:cs="微软雅黑"/>
          <w:color w:val="auto"/>
          <w:sz w:val="24"/>
          <w:szCs w:val="24"/>
          <w:highlight w:val="none"/>
        </w:rPr>
      </w:pPr>
      <w:bookmarkStart w:id="30" w:name="_Toc179714297"/>
      <w:bookmarkStart w:id="31" w:name="_Toc102227318"/>
      <w:bookmarkStart w:id="32" w:name="_Toc342913392"/>
      <w:bookmarkStart w:id="33" w:name="_Toc11328"/>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要求</w:t>
      </w:r>
      <w:bookmarkEnd w:id="30"/>
      <w:bookmarkEnd w:id="31"/>
      <w:bookmarkEnd w:id="32"/>
      <w:bookmarkEnd w:id="33"/>
    </w:p>
    <w:p w14:paraId="1015A8A0">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5DE7194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供应商应当按照竞争性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文件的要求编制响应文件，并对竞争性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文件提出的要求和条件作出逐一实质性响应，响应文件应加盖印章后上传。</w:t>
      </w:r>
    </w:p>
    <w:p w14:paraId="7797EF8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1.响应文件组成</w:t>
      </w:r>
    </w:p>
    <w:p w14:paraId="1C60E59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六篇“响应文件格式要求”规定的部分和供应商所作的一切有效补充、修改和承诺等文件组成，供应商应按照第六篇“响应文件格式”规定进行编写和上传，也可在基本格式基础上对表格进行扩展，未规定格式的由供应商自定格式。</w:t>
      </w:r>
    </w:p>
    <w:p w14:paraId="179B3BE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有效期：响应文件及有关承诺文件有效期为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开始时间起90天。</w:t>
      </w:r>
    </w:p>
    <w:p w14:paraId="54AC8DF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（二）修正错误</w:t>
      </w:r>
    </w:p>
    <w:p w14:paraId="514D102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若供应商所递交的响应文件或最后报价中的价格出现大写金额和小写金额不一致的错误，以大写金额修正为准。</w:t>
      </w:r>
    </w:p>
    <w:p w14:paraId="5B42AD3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21ACFA5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（三）提交响应文件的份数和签署</w:t>
      </w:r>
    </w:p>
    <w:p w14:paraId="1F8CF32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贰</w:t>
      </w:r>
      <w:r>
        <w:rPr>
          <w:rFonts w:hint="eastAsia" w:ascii="微软雅黑" w:hAnsi="微软雅黑" w:eastAsia="微软雅黑" w:cs="微软雅黑"/>
          <w:color w:val="auto"/>
          <w:sz w:val="24"/>
          <w:szCs w:val="24"/>
          <w:highlight w:val="none"/>
        </w:rPr>
        <w:t>份，正本一份，副本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份；副本可为正本的复印件，应与正本一致，如出现不一致情况以正本为准。正本、副本应于</w:t>
      </w:r>
      <w:r>
        <w:rPr>
          <w:rFonts w:hint="eastAsia" w:ascii="微软雅黑" w:hAnsi="微软雅黑" w:eastAsia="微软雅黑" w:cs="微软雅黑"/>
          <w:color w:val="auto"/>
          <w:sz w:val="24"/>
          <w:szCs w:val="24"/>
          <w:highlight w:val="none"/>
          <w:lang w:val="en-US" w:eastAsia="zh-CN"/>
        </w:rPr>
        <w:t>线下</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开始时间带纸质件到</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地点并交予采购人的联系人。</w:t>
      </w:r>
    </w:p>
    <w:p w14:paraId="5564F91F">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在响应文件的电子档案及正本中，竞争性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文件第六篇响应文件格式中规定签字、盖章的地方必须按其规定签字、盖章。</w:t>
      </w:r>
    </w:p>
    <w:p w14:paraId="3AC0DFEF">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3.若供应商对响应文件的错处作必要修改，则应在修改处加盖供应商公章或由法定代表人或法定代表人授权代表签字确认。</w:t>
      </w:r>
    </w:p>
    <w:p w14:paraId="1D10B6F3">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4.电报、电话、传真形式的响应文件概不接受。</w:t>
      </w:r>
    </w:p>
    <w:p w14:paraId="05D6E284">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（五）响应文件的递交</w:t>
      </w:r>
    </w:p>
    <w:p w14:paraId="00DE0C87">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1.响应文件的密封与标记</w:t>
      </w:r>
    </w:p>
    <w:p w14:paraId="43E08921">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1.1响应文件的正本、副本均应密封送达</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地点，应在封套上注明项目名称、供应商名称。若正本、副本分别进行密封的，还应在封套上注明“正本”、“副本”字样。</w:t>
      </w:r>
    </w:p>
    <w:p w14:paraId="58D67F33">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1.2封套的封口处应加盖供应商公章或由法定代表人授权代表签字。</w:t>
      </w:r>
    </w:p>
    <w:p w14:paraId="4ED0E54D">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2.如果响应文件通过邮寄递交，供应商应将响应文件用内、外两层封套密封。</w:t>
      </w:r>
    </w:p>
    <w:p w14:paraId="78089220">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2.1内层封套的封装与标记同 “1.”款规定。</w:t>
      </w:r>
    </w:p>
    <w:p w14:paraId="4111DD3F">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2.2外层封套装入“1.”款所述全部内封资料，并注明</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项目编号、项目名称、采购代理机构名称及地址。同时应写明供应商的名称、地址，以便将迟交的响应文件原封退还。</w:t>
      </w:r>
    </w:p>
    <w:p w14:paraId="426B0A9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3.如果未按上述规定进行密封和标记，采购代理机构对响应文件误投、丢失或提前拆封不负责任</w:t>
      </w:r>
      <w:r>
        <w:rPr>
          <w:rFonts w:hint="eastAsia" w:ascii="微软雅黑" w:hAnsi="微软雅黑" w:eastAsia="微软雅黑" w:cs="微软雅黑"/>
          <w:color w:val="auto"/>
          <w:sz w:val="24"/>
          <w:szCs w:val="24"/>
          <w:highlight w:val="none"/>
        </w:rPr>
        <w:t>。</w:t>
      </w:r>
    </w:p>
    <w:p w14:paraId="1F2AACE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（六）响应文件语言：简体中文</w:t>
      </w:r>
    </w:p>
    <w:p w14:paraId="4F729BF2">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（七）供应商参与人员</w:t>
      </w:r>
    </w:p>
    <w:p w14:paraId="6DB9B2C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各供应商应当派1-2名代表参与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，至少1人应为法定代表人或具有法定代表人授权委托书的授权代表。</w:t>
      </w:r>
    </w:p>
    <w:p w14:paraId="66581ED6">
      <w:pPr>
        <w:snapToGrid w:val="0"/>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（八）无效</w:t>
      </w:r>
      <w:r>
        <w:rPr>
          <w:rFonts w:hint="eastAsia" w:ascii="微软雅黑" w:hAnsi="微软雅黑" w:eastAsia="微软雅黑" w:cs="微软雅黑"/>
          <w:color w:val="auto"/>
          <w:sz w:val="24"/>
          <w:szCs w:val="24"/>
          <w:highlight w:val="none"/>
          <w:lang w:eastAsia="zh-CN"/>
        </w:rPr>
        <w:t>磋商</w:t>
      </w:r>
    </w:p>
    <w:p w14:paraId="21524E0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供应商发生以下条款情况之一者，视为无效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，其响应文件将被拒绝：</w:t>
      </w:r>
    </w:p>
    <w:p w14:paraId="78B50936">
      <w:pPr>
        <w:numPr>
          <w:ilvl w:val="0"/>
          <w:numId w:val="15"/>
        </w:num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供应商不符合规定的基本资格条件或特定资格条件的；</w:t>
      </w:r>
    </w:p>
    <w:p w14:paraId="7889124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供应商的法定代表人或其授权代表未参加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5353A82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供应商所提交的响应文件不按规定签字、盖章的；</w:t>
      </w:r>
    </w:p>
    <w:p w14:paraId="11E9601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供应商的最后报价超过采购预算的；</w:t>
      </w:r>
    </w:p>
    <w:p w14:paraId="3CB980F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供应商响应文件内容有与国家现行法律法规相违背的内容，或附有采购人无法接受条件的；</w:t>
      </w:r>
    </w:p>
    <w:p w14:paraId="3E7DA6ED">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单位负责人为同一人或者存在直接控股、管理关系的不同供应商，参加同一合同项（分包）下政府采购活动的；</w:t>
      </w:r>
    </w:p>
    <w:p w14:paraId="3271E76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 为采购项目提供整体设计、规范编制或者项目管理、监理、检测等服务的供应商再参加该采购项目的其他采购活动的；</w:t>
      </w:r>
    </w:p>
    <w:p w14:paraId="20C81FF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 同一合同项（分包）下的货物，制造商参与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的，再委托代理商参与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w:t>
      </w:r>
    </w:p>
    <w:p w14:paraId="6E9CCF02">
      <w:pPr>
        <w:pStyle w:val="5"/>
        <w:spacing w:before="0" w:after="0" w:line="240" w:lineRule="auto"/>
        <w:rPr>
          <w:rFonts w:hint="eastAsia" w:ascii="微软雅黑" w:hAnsi="微软雅黑" w:eastAsia="微软雅黑" w:cs="微软雅黑"/>
          <w:color w:val="auto"/>
          <w:sz w:val="24"/>
          <w:szCs w:val="24"/>
          <w:highlight w:val="none"/>
        </w:rPr>
      </w:pPr>
      <w:bookmarkStart w:id="34" w:name="_Toc342913393"/>
      <w:bookmarkStart w:id="35" w:name="_Toc102227319"/>
      <w:bookmarkStart w:id="36" w:name="_Toc179714298"/>
      <w:bookmarkStart w:id="37" w:name="_Toc26175"/>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程序</w:t>
      </w:r>
      <w:bookmarkEnd w:id="34"/>
      <w:bookmarkEnd w:id="35"/>
      <w:bookmarkEnd w:id="36"/>
      <w:bookmarkEnd w:id="37"/>
    </w:p>
    <w:p w14:paraId="619E9643">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文件规定的时间和地点进行。供应商须有法定代表人或其授权代表参加并签到。</w:t>
      </w:r>
    </w:p>
    <w:p w14:paraId="22ECA30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以抽签的形式确定</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顺序，由本项目</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小组分别与各供应商进行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。在正式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前，对各供应商的资格条件、响应文件的有效性、完整性和响应程度进行审查，各供应商只有在完全符合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要求的前提</w:t>
      </w:r>
      <w:r>
        <w:rPr>
          <w:rFonts w:hint="eastAsia" w:ascii="微软雅黑" w:hAnsi="微软雅黑" w:eastAsia="微软雅黑" w:cs="微软雅黑"/>
          <w:color w:val="auto"/>
          <w:spacing w:val="-20"/>
          <w:sz w:val="24"/>
          <w:szCs w:val="24"/>
          <w:highlight w:val="none"/>
        </w:rPr>
        <w:t>下，才</w:t>
      </w:r>
      <w:r>
        <w:rPr>
          <w:rFonts w:hint="eastAsia" w:ascii="微软雅黑" w:hAnsi="微软雅黑" w:eastAsia="微软雅黑" w:cs="微软雅黑"/>
          <w:color w:val="auto"/>
          <w:sz w:val="24"/>
          <w:szCs w:val="24"/>
          <w:highlight w:val="none"/>
        </w:rPr>
        <w:t>能参与正式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 xml:space="preserve">，审查的内容如下： </w:t>
      </w:r>
    </w:p>
    <w:p w14:paraId="4BB9EB33">
      <w:pPr>
        <w:snapToGrid w:val="0"/>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1.资格性检查。依据法律法规和竞争性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文件的规定，对响应文件中的资格证明、保证金等进行审查，以确定供应商是否具备</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资格。资格性检查资料表如下：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394"/>
        <w:gridCol w:w="4133"/>
      </w:tblGrid>
      <w:tr w14:paraId="4F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819" w:type="dxa"/>
            <w:gridSpan w:val="2"/>
            <w:noWrap w:val="0"/>
            <w:vAlign w:val="center"/>
          </w:tcPr>
          <w:p w14:paraId="46160628">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检查因素</w:t>
            </w:r>
          </w:p>
        </w:tc>
        <w:tc>
          <w:tcPr>
            <w:tcW w:w="4133" w:type="dxa"/>
            <w:noWrap w:val="0"/>
            <w:vAlign w:val="center"/>
          </w:tcPr>
          <w:p w14:paraId="39235AE7">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检查内容</w:t>
            </w:r>
          </w:p>
        </w:tc>
      </w:tr>
      <w:tr w14:paraId="4B74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noWrap w:val="0"/>
            <w:vAlign w:val="center"/>
          </w:tcPr>
          <w:p w14:paraId="7A17F79B">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供</w:t>
            </w:r>
          </w:p>
          <w:p w14:paraId="1B6AAFC5">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应</w:t>
            </w:r>
          </w:p>
          <w:p w14:paraId="4F1EF0F3">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商</w:t>
            </w:r>
          </w:p>
          <w:p w14:paraId="5C13981E">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基</w:t>
            </w:r>
          </w:p>
          <w:p w14:paraId="3CD6BB77">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本</w:t>
            </w:r>
          </w:p>
          <w:p w14:paraId="14B2ABCA">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资</w:t>
            </w:r>
          </w:p>
          <w:p w14:paraId="78A5CEE9">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格</w:t>
            </w:r>
          </w:p>
          <w:p w14:paraId="0506CB19">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条</w:t>
            </w:r>
          </w:p>
          <w:p w14:paraId="055FF9A1">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件</w:t>
            </w:r>
          </w:p>
        </w:tc>
        <w:tc>
          <w:tcPr>
            <w:tcW w:w="4394" w:type="dxa"/>
            <w:noWrap w:val="0"/>
            <w:vAlign w:val="center"/>
          </w:tcPr>
          <w:p w14:paraId="7324CE3C">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133" w:type="dxa"/>
            <w:noWrap w:val="0"/>
            <w:vAlign w:val="center"/>
          </w:tcPr>
          <w:p w14:paraId="3BFAFEC0">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投标人法人营业执照（副本）或事业单位法人证书（副本）或个体工商户营业执照； </w:t>
            </w:r>
          </w:p>
          <w:p w14:paraId="51E58E46">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投标人法定代表人身份证明和法定代表人授权代表委托书（格式详见格式文件）。</w:t>
            </w:r>
          </w:p>
        </w:tc>
      </w:tr>
      <w:tr w14:paraId="406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6F2E35B">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52E35491">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（2）具有良好的商业信誉和健全的财务会计制度</w:t>
            </w:r>
          </w:p>
        </w:tc>
        <w:tc>
          <w:tcPr>
            <w:tcW w:w="4133" w:type="dxa"/>
            <w:vMerge w:val="restart"/>
            <w:noWrap w:val="0"/>
            <w:vAlign w:val="center"/>
          </w:tcPr>
          <w:p w14:paraId="7205B448">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投标人提供“基本资格条件承诺函”(格式详见第</w:t>
            </w:r>
            <w:r>
              <w:rPr>
                <w:rFonts w:hint="eastAsia" w:ascii="微软雅黑" w:hAnsi="微软雅黑" w:eastAsia="微软雅黑" w:cs="微软雅黑"/>
                <w:color w:val="auto"/>
                <w:sz w:val="21"/>
                <w:szCs w:val="21"/>
                <w:highlight w:val="none"/>
                <w:lang w:val="en-US" w:eastAsia="zh-CN"/>
              </w:rPr>
              <w:t>六</w:t>
            </w:r>
            <w:r>
              <w:rPr>
                <w:rFonts w:hint="eastAsia" w:ascii="微软雅黑" w:hAnsi="微软雅黑" w:eastAsia="微软雅黑" w:cs="微软雅黑"/>
                <w:color w:val="auto"/>
                <w:sz w:val="21"/>
                <w:szCs w:val="21"/>
                <w:highlight w:val="none"/>
              </w:rPr>
              <w:t>篇)</w:t>
            </w:r>
          </w:p>
        </w:tc>
      </w:tr>
      <w:tr w14:paraId="2599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19045B0">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77176361">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（3）具有履行合同所必需的设备和专业技术能力</w:t>
            </w:r>
          </w:p>
        </w:tc>
        <w:tc>
          <w:tcPr>
            <w:tcW w:w="4133" w:type="dxa"/>
            <w:vMerge w:val="continue"/>
            <w:noWrap w:val="0"/>
            <w:vAlign w:val="center"/>
          </w:tcPr>
          <w:p w14:paraId="3F7D01DB">
            <w:pPr>
              <w:ind w:firstLine="420" w:firstLineChars="200"/>
              <w:rPr>
                <w:rFonts w:hint="eastAsia" w:ascii="微软雅黑" w:hAnsi="微软雅黑" w:eastAsia="微软雅黑" w:cs="微软雅黑"/>
                <w:color w:val="auto"/>
                <w:sz w:val="21"/>
                <w:szCs w:val="21"/>
                <w:highlight w:val="none"/>
              </w:rPr>
            </w:pPr>
          </w:p>
        </w:tc>
      </w:tr>
      <w:tr w14:paraId="3430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69C2F96A">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1B52F039">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（4）有依法缴纳税收和社会保障金的良好记录</w:t>
            </w:r>
          </w:p>
        </w:tc>
        <w:tc>
          <w:tcPr>
            <w:tcW w:w="4133" w:type="dxa"/>
            <w:vMerge w:val="continue"/>
            <w:noWrap w:val="0"/>
            <w:vAlign w:val="center"/>
          </w:tcPr>
          <w:p w14:paraId="56FE18EA">
            <w:pPr>
              <w:ind w:firstLine="420" w:firstLineChars="200"/>
              <w:rPr>
                <w:rFonts w:hint="eastAsia" w:ascii="微软雅黑" w:hAnsi="微软雅黑" w:eastAsia="微软雅黑" w:cs="微软雅黑"/>
                <w:color w:val="auto"/>
                <w:sz w:val="21"/>
                <w:szCs w:val="21"/>
                <w:highlight w:val="none"/>
              </w:rPr>
            </w:pPr>
          </w:p>
        </w:tc>
      </w:tr>
      <w:tr w14:paraId="674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8A6773D">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4209650F">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olor w:val="auto"/>
                <w:sz w:val="21"/>
                <w:szCs w:val="21"/>
                <w:highlight w:val="none"/>
              </w:rPr>
              <w:t>（5）参加政府采购活动前三年内，在经营活动中没有重大违法记录</w:t>
            </w:r>
          </w:p>
        </w:tc>
        <w:tc>
          <w:tcPr>
            <w:tcW w:w="4133" w:type="dxa"/>
            <w:vMerge w:val="continue"/>
            <w:noWrap w:val="0"/>
            <w:vAlign w:val="center"/>
          </w:tcPr>
          <w:p w14:paraId="4B1A387B">
            <w:pPr>
              <w:spacing w:line="240" w:lineRule="exact"/>
              <w:rPr>
                <w:rFonts w:hint="eastAsia" w:ascii="微软雅黑" w:hAnsi="微软雅黑" w:eastAsia="微软雅黑"/>
                <w:color w:val="auto"/>
                <w:sz w:val="21"/>
                <w:szCs w:val="21"/>
                <w:highlight w:val="none"/>
              </w:rPr>
            </w:pPr>
          </w:p>
        </w:tc>
      </w:tr>
      <w:tr w14:paraId="156D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5" w:type="dxa"/>
            <w:vMerge w:val="continue"/>
            <w:noWrap w:val="0"/>
            <w:vAlign w:val="center"/>
          </w:tcPr>
          <w:p w14:paraId="6B9A0D6D">
            <w:pPr>
              <w:spacing w:line="240" w:lineRule="exact"/>
              <w:rPr>
                <w:rFonts w:hint="eastAsia" w:ascii="微软雅黑" w:hAnsi="微软雅黑" w:eastAsia="微软雅黑" w:cs="仿宋_GB2312"/>
                <w:color w:val="auto"/>
                <w:sz w:val="21"/>
                <w:szCs w:val="21"/>
                <w:highlight w:val="none"/>
              </w:rPr>
            </w:pPr>
          </w:p>
        </w:tc>
        <w:tc>
          <w:tcPr>
            <w:tcW w:w="4394" w:type="dxa"/>
            <w:noWrap w:val="0"/>
            <w:vAlign w:val="center"/>
          </w:tcPr>
          <w:p w14:paraId="347D66E4">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133" w:type="dxa"/>
            <w:vMerge w:val="continue"/>
            <w:noWrap w:val="0"/>
            <w:vAlign w:val="center"/>
          </w:tcPr>
          <w:p w14:paraId="02235346">
            <w:pPr>
              <w:spacing w:line="240" w:lineRule="exact"/>
              <w:rPr>
                <w:rFonts w:hint="eastAsia" w:ascii="微软雅黑" w:hAnsi="微软雅黑" w:eastAsia="微软雅黑"/>
                <w:color w:val="auto"/>
                <w:sz w:val="21"/>
                <w:szCs w:val="21"/>
                <w:highlight w:val="none"/>
              </w:rPr>
            </w:pPr>
          </w:p>
        </w:tc>
      </w:tr>
      <w:tr w14:paraId="45D4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5" w:type="dxa"/>
            <w:vMerge w:val="continue"/>
            <w:noWrap w:val="0"/>
            <w:vAlign w:val="center"/>
          </w:tcPr>
          <w:p w14:paraId="119CB48A">
            <w:pPr>
              <w:spacing w:line="240" w:lineRule="exact"/>
              <w:rPr>
                <w:rFonts w:hint="eastAsia" w:ascii="微软雅黑" w:hAnsi="微软雅黑" w:eastAsia="微软雅黑" w:cs="仿宋_GB2312"/>
                <w:color w:val="auto"/>
                <w:sz w:val="21"/>
                <w:szCs w:val="21"/>
                <w:highlight w:val="none"/>
              </w:rPr>
            </w:pPr>
          </w:p>
        </w:tc>
        <w:tc>
          <w:tcPr>
            <w:tcW w:w="4394" w:type="dxa"/>
            <w:noWrap w:val="0"/>
            <w:vAlign w:val="center"/>
          </w:tcPr>
          <w:p w14:paraId="35C4FBC0">
            <w:pPr>
              <w:spacing w:line="240" w:lineRule="exact"/>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7</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磋商</w:t>
            </w:r>
            <w:r>
              <w:rPr>
                <w:rFonts w:hint="eastAsia" w:ascii="微软雅黑" w:hAnsi="微软雅黑" w:eastAsia="微软雅黑"/>
                <w:color w:val="auto"/>
                <w:sz w:val="21"/>
                <w:szCs w:val="21"/>
                <w:highlight w:val="none"/>
              </w:rPr>
              <w:t>保证金</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如有</w:t>
            </w:r>
            <w:r>
              <w:rPr>
                <w:rFonts w:hint="eastAsia" w:ascii="微软雅黑" w:hAnsi="微软雅黑" w:eastAsia="微软雅黑"/>
                <w:color w:val="auto"/>
                <w:sz w:val="21"/>
                <w:szCs w:val="21"/>
                <w:highlight w:val="none"/>
                <w:lang w:eastAsia="zh-CN"/>
              </w:rPr>
              <w:t>）</w:t>
            </w:r>
          </w:p>
        </w:tc>
        <w:tc>
          <w:tcPr>
            <w:tcW w:w="4133" w:type="dxa"/>
            <w:noWrap w:val="0"/>
            <w:vAlign w:val="center"/>
          </w:tcPr>
          <w:p w14:paraId="3CC7B072">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按照竞争性</w:t>
            </w: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文件要求足额交纳所参与包的</w:t>
            </w:r>
            <w:r>
              <w:rPr>
                <w:rFonts w:hint="eastAsia" w:ascii="微软雅黑" w:hAnsi="微软雅黑" w:eastAsia="微软雅黑"/>
                <w:color w:val="auto"/>
                <w:sz w:val="21"/>
                <w:szCs w:val="21"/>
                <w:highlight w:val="none"/>
                <w:lang w:eastAsia="zh-CN"/>
              </w:rPr>
              <w:t>投标</w:t>
            </w:r>
            <w:r>
              <w:rPr>
                <w:rFonts w:hint="eastAsia" w:ascii="微软雅黑" w:hAnsi="微软雅黑" w:eastAsia="微软雅黑"/>
                <w:color w:val="auto"/>
                <w:sz w:val="21"/>
                <w:szCs w:val="21"/>
                <w:highlight w:val="none"/>
              </w:rPr>
              <w:t>保证金。</w:t>
            </w:r>
          </w:p>
        </w:tc>
      </w:tr>
    </w:tbl>
    <w:p w14:paraId="151BA116">
      <w:pPr>
        <w:pStyle w:val="2"/>
        <w:rPr>
          <w:rFonts w:hint="eastAsia"/>
          <w:color w:val="auto"/>
          <w:highlight w:val="none"/>
        </w:rPr>
      </w:pPr>
    </w:p>
    <w:p w14:paraId="33847A7C">
      <w:pPr>
        <w:snapToGrid w:val="0"/>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r>
        <w:rPr>
          <w:rFonts w:hint="default" w:ascii="Calibri" w:hAnsi="Calibri" w:cs="Calibri"/>
          <w:color w:val="auto"/>
          <w:kern w:val="0"/>
          <w:sz w:val="24"/>
          <w:szCs w:val="24"/>
          <w:highlight w:val="none"/>
        </w:rPr>
        <w:t>①</w:t>
      </w:r>
      <w:r>
        <w:rPr>
          <w:rFonts w:hint="eastAsia" w:ascii="微软雅黑" w:hAnsi="微软雅黑" w:eastAsia="微软雅黑" w:cs="微软雅黑"/>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4F6F10E">
      <w:pPr>
        <w:numPr>
          <w:ilvl w:val="0"/>
          <w:numId w:val="15"/>
        </w:numPr>
        <w:snapToGrid w:val="0"/>
        <w:ind w:left="0" w:leftChars="0" w:firstLine="480" w:firstLineChars="200"/>
        <w:rPr>
          <w:rFonts w:hint="eastAsia"/>
          <w:color w:val="auto"/>
          <w:highlight w:val="none"/>
        </w:rPr>
      </w:pPr>
      <w:r>
        <w:rPr>
          <w:rFonts w:hint="eastAsia" w:ascii="微软雅黑" w:hAnsi="微软雅黑" w:eastAsia="微软雅黑" w:cs="微软雅黑"/>
          <w:color w:val="auto"/>
          <w:kern w:val="0"/>
          <w:sz w:val="24"/>
          <w:szCs w:val="24"/>
          <w:highlight w:val="none"/>
        </w:rPr>
        <w:t>符合性检查。依据竞争性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文件的规定，</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小组从响应文件的有效性、完整性和对竞争性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文件的响应程度进行审查，以确定是否对竞争性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文件的实质性要求作出响应。符合性检查资料表如下：</w:t>
      </w:r>
    </w:p>
    <w:p w14:paraId="2D8E65CB">
      <w:pPr>
        <w:pStyle w:val="2"/>
        <w:rPr>
          <w:rFonts w:hint="eastAsia"/>
          <w:color w:val="auto"/>
          <w:highlight w:val="none"/>
        </w:rPr>
      </w:pPr>
    </w:p>
    <w:tbl>
      <w:tblPr>
        <w:tblStyle w:val="5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80"/>
        <w:gridCol w:w="2012"/>
        <w:gridCol w:w="5484"/>
      </w:tblGrid>
      <w:tr w14:paraId="1D65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3" w:type="dxa"/>
            <w:noWrap w:val="0"/>
            <w:vAlign w:val="center"/>
          </w:tcPr>
          <w:p w14:paraId="1F5E066C">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序号</w:t>
            </w:r>
          </w:p>
        </w:tc>
        <w:tc>
          <w:tcPr>
            <w:tcW w:w="3592" w:type="dxa"/>
            <w:gridSpan w:val="2"/>
            <w:noWrap w:val="0"/>
            <w:vAlign w:val="center"/>
          </w:tcPr>
          <w:p w14:paraId="5A998374">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评审因素</w:t>
            </w:r>
          </w:p>
        </w:tc>
        <w:tc>
          <w:tcPr>
            <w:tcW w:w="5484" w:type="dxa"/>
            <w:noWrap w:val="0"/>
            <w:vAlign w:val="center"/>
          </w:tcPr>
          <w:p w14:paraId="7DC45407">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评审标准</w:t>
            </w:r>
          </w:p>
        </w:tc>
      </w:tr>
      <w:tr w14:paraId="38B9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3" w:type="dxa"/>
            <w:vMerge w:val="restart"/>
            <w:noWrap w:val="0"/>
            <w:vAlign w:val="center"/>
          </w:tcPr>
          <w:p w14:paraId="51C808E1">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w:t>
            </w:r>
          </w:p>
        </w:tc>
        <w:tc>
          <w:tcPr>
            <w:tcW w:w="1580" w:type="dxa"/>
            <w:vMerge w:val="restart"/>
            <w:noWrap w:val="0"/>
            <w:vAlign w:val="center"/>
          </w:tcPr>
          <w:p w14:paraId="13C8A3A9">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有效性审查</w:t>
            </w:r>
          </w:p>
        </w:tc>
        <w:tc>
          <w:tcPr>
            <w:tcW w:w="2012" w:type="dxa"/>
            <w:noWrap w:val="0"/>
            <w:vAlign w:val="center"/>
          </w:tcPr>
          <w:p w14:paraId="77707EF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响应文件签署</w:t>
            </w:r>
          </w:p>
        </w:tc>
        <w:tc>
          <w:tcPr>
            <w:tcW w:w="5484" w:type="dxa"/>
            <w:noWrap w:val="0"/>
            <w:vAlign w:val="center"/>
          </w:tcPr>
          <w:p w14:paraId="0AE0B588">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响应文件上法定代表人或其授权代表人的签字齐全。</w:t>
            </w:r>
          </w:p>
        </w:tc>
      </w:tr>
      <w:tr w14:paraId="2E22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3" w:type="dxa"/>
            <w:vMerge w:val="continue"/>
            <w:noWrap w:val="0"/>
            <w:vAlign w:val="center"/>
          </w:tcPr>
          <w:p w14:paraId="6FDC184D">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28687069">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3F617BEA">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w:t>
            </w:r>
          </w:p>
        </w:tc>
        <w:tc>
          <w:tcPr>
            <w:tcW w:w="5484" w:type="dxa"/>
            <w:noWrap w:val="0"/>
            <w:vAlign w:val="center"/>
          </w:tcPr>
          <w:p w14:paraId="02AB29E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法定代表人身份证明及授权委托书有效，符合竞争性</w:t>
            </w: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文件规定的格式，签字或盖章齐全。</w:t>
            </w:r>
          </w:p>
        </w:tc>
      </w:tr>
      <w:tr w14:paraId="4B9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3" w:type="dxa"/>
            <w:vMerge w:val="continue"/>
            <w:noWrap w:val="0"/>
            <w:vAlign w:val="center"/>
          </w:tcPr>
          <w:p w14:paraId="0E3B316A">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5ED9CE90">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5616E0E3">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方案</w:t>
            </w:r>
          </w:p>
        </w:tc>
        <w:tc>
          <w:tcPr>
            <w:tcW w:w="5484" w:type="dxa"/>
            <w:noWrap w:val="0"/>
            <w:vAlign w:val="center"/>
          </w:tcPr>
          <w:p w14:paraId="18957BAF">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lang w:val="zh-CN"/>
              </w:rPr>
              <w:t>只能有一个</w:t>
            </w: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方案。</w:t>
            </w:r>
          </w:p>
        </w:tc>
      </w:tr>
      <w:tr w14:paraId="39A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83" w:type="dxa"/>
            <w:vMerge w:val="continue"/>
            <w:noWrap w:val="0"/>
            <w:vAlign w:val="center"/>
          </w:tcPr>
          <w:p w14:paraId="19E7666D">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059B0EE2">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154EFB2D">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olor w:val="auto"/>
                <w:sz w:val="21"/>
                <w:szCs w:val="21"/>
                <w:highlight w:val="none"/>
              </w:rPr>
              <w:t>报价唯一</w:t>
            </w:r>
          </w:p>
        </w:tc>
        <w:tc>
          <w:tcPr>
            <w:tcW w:w="5484" w:type="dxa"/>
            <w:noWrap w:val="0"/>
            <w:vAlign w:val="center"/>
          </w:tcPr>
          <w:p w14:paraId="3BC7A37A">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只能有一个有效报价，不得提交选择性报价。</w:t>
            </w:r>
          </w:p>
        </w:tc>
      </w:tr>
      <w:tr w14:paraId="697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83" w:type="dxa"/>
            <w:noWrap w:val="0"/>
            <w:vAlign w:val="center"/>
          </w:tcPr>
          <w:p w14:paraId="5470D969">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w:t>
            </w:r>
          </w:p>
        </w:tc>
        <w:tc>
          <w:tcPr>
            <w:tcW w:w="1580" w:type="dxa"/>
            <w:noWrap w:val="0"/>
            <w:vAlign w:val="center"/>
          </w:tcPr>
          <w:p w14:paraId="1D09BD4A">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完整性审查</w:t>
            </w:r>
          </w:p>
        </w:tc>
        <w:tc>
          <w:tcPr>
            <w:tcW w:w="2012" w:type="dxa"/>
            <w:noWrap w:val="0"/>
            <w:vAlign w:val="center"/>
          </w:tcPr>
          <w:p w14:paraId="5FEDB6D7">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文件份数</w:t>
            </w:r>
          </w:p>
        </w:tc>
        <w:tc>
          <w:tcPr>
            <w:tcW w:w="5484" w:type="dxa"/>
            <w:noWrap w:val="0"/>
            <w:vAlign w:val="center"/>
          </w:tcPr>
          <w:p w14:paraId="0E940941">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文件正、副本数量符合</w:t>
            </w:r>
            <w:r>
              <w:rPr>
                <w:rFonts w:hint="eastAsia" w:ascii="微软雅黑" w:hAnsi="微软雅黑" w:eastAsia="微软雅黑" w:cs="仿宋_GB2312"/>
                <w:color w:val="auto"/>
                <w:sz w:val="21"/>
                <w:szCs w:val="21"/>
                <w:highlight w:val="none"/>
              </w:rPr>
              <w:t>竞争性</w:t>
            </w:r>
            <w:r>
              <w:rPr>
                <w:rFonts w:hint="eastAsia" w:ascii="微软雅黑" w:hAnsi="微软雅黑" w:eastAsia="微软雅黑" w:cs="仿宋_GB2312"/>
                <w:color w:val="auto"/>
                <w:sz w:val="21"/>
                <w:szCs w:val="21"/>
                <w:highlight w:val="none"/>
                <w:lang w:eastAsia="zh-CN"/>
              </w:rPr>
              <w:t>磋商</w:t>
            </w:r>
            <w:r>
              <w:rPr>
                <w:rFonts w:hint="eastAsia" w:ascii="微软雅黑" w:hAnsi="微软雅黑" w:eastAsia="微软雅黑" w:cs="仿宋_GB2312"/>
                <w:color w:val="auto"/>
                <w:sz w:val="21"/>
                <w:szCs w:val="21"/>
                <w:highlight w:val="none"/>
                <w:lang w:val="zh-CN"/>
              </w:rPr>
              <w:t>文件要求。</w:t>
            </w:r>
          </w:p>
        </w:tc>
      </w:tr>
      <w:tr w14:paraId="7962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83" w:type="dxa"/>
            <w:vMerge w:val="restart"/>
            <w:noWrap w:val="0"/>
            <w:vAlign w:val="center"/>
          </w:tcPr>
          <w:p w14:paraId="7E80036D">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3</w:t>
            </w:r>
          </w:p>
        </w:tc>
        <w:tc>
          <w:tcPr>
            <w:tcW w:w="1580" w:type="dxa"/>
            <w:vMerge w:val="restart"/>
            <w:noWrap w:val="0"/>
            <w:vAlign w:val="center"/>
          </w:tcPr>
          <w:p w14:paraId="67429445">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宋体"/>
                <w:color w:val="auto"/>
                <w:kern w:val="0"/>
                <w:sz w:val="21"/>
                <w:szCs w:val="21"/>
                <w:highlight w:val="none"/>
              </w:rPr>
              <w:t>竞争性</w:t>
            </w: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文件的响应程度审查</w:t>
            </w:r>
          </w:p>
        </w:tc>
        <w:tc>
          <w:tcPr>
            <w:tcW w:w="2012" w:type="dxa"/>
            <w:noWrap w:val="0"/>
            <w:vAlign w:val="center"/>
          </w:tcPr>
          <w:p w14:paraId="307EEBC3">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响应文件内容</w:t>
            </w:r>
          </w:p>
        </w:tc>
        <w:tc>
          <w:tcPr>
            <w:tcW w:w="5484" w:type="dxa"/>
            <w:noWrap w:val="0"/>
            <w:vAlign w:val="center"/>
          </w:tcPr>
          <w:p w14:paraId="4917AD43">
            <w:pPr>
              <w:pStyle w:val="33"/>
              <w:spacing w:line="240" w:lineRule="exact"/>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对竞争性磋商文件第三篇规定的磋商内容进行响应。</w:t>
            </w:r>
          </w:p>
        </w:tc>
      </w:tr>
      <w:tr w14:paraId="373B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83" w:type="dxa"/>
            <w:vMerge w:val="continue"/>
            <w:noWrap w:val="0"/>
            <w:vAlign w:val="center"/>
          </w:tcPr>
          <w:p w14:paraId="3CC087AF">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6FBF41AD">
            <w:pPr>
              <w:spacing w:line="240" w:lineRule="exact"/>
              <w:rPr>
                <w:rFonts w:hint="eastAsia" w:ascii="微软雅黑" w:hAnsi="微软雅黑" w:eastAsia="微软雅黑" w:cs="仿宋_GB2312"/>
                <w:color w:val="auto"/>
                <w:sz w:val="21"/>
                <w:szCs w:val="21"/>
                <w:highlight w:val="none"/>
                <w:lang w:val="zh-CN"/>
              </w:rPr>
            </w:pPr>
          </w:p>
        </w:tc>
        <w:tc>
          <w:tcPr>
            <w:tcW w:w="2012" w:type="dxa"/>
            <w:noWrap w:val="0"/>
            <w:vAlign w:val="center"/>
          </w:tcPr>
          <w:p w14:paraId="3B75474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有效期</w:t>
            </w:r>
          </w:p>
        </w:tc>
        <w:tc>
          <w:tcPr>
            <w:tcW w:w="5484" w:type="dxa"/>
            <w:noWrap w:val="0"/>
            <w:vAlign w:val="center"/>
          </w:tcPr>
          <w:p w14:paraId="1378A40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满足</w:t>
            </w: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文件</w:t>
            </w:r>
            <w:r>
              <w:rPr>
                <w:rFonts w:hint="eastAsia" w:ascii="微软雅黑" w:hAnsi="微软雅黑" w:eastAsia="微软雅黑" w:cs="仿宋_GB2312"/>
                <w:color w:val="auto"/>
                <w:sz w:val="21"/>
                <w:szCs w:val="21"/>
                <w:highlight w:val="none"/>
                <w:lang w:val="zh-CN"/>
              </w:rPr>
              <w:t>规定。</w:t>
            </w:r>
          </w:p>
        </w:tc>
      </w:tr>
    </w:tbl>
    <w:p w14:paraId="39031DD3">
      <w:pPr>
        <w:rPr>
          <w:rFonts w:hint="eastAsia" w:ascii="微软雅黑" w:hAnsi="微软雅黑" w:eastAsia="微软雅黑" w:cs="微软雅黑"/>
          <w:color w:val="auto"/>
          <w:sz w:val="24"/>
          <w:szCs w:val="24"/>
          <w:highlight w:val="none"/>
        </w:rPr>
      </w:pPr>
    </w:p>
    <w:p w14:paraId="2BCBF879">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4EB2C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6FB80A7F">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的任何一方不得向他人透露与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有关的技术资料、价格或其他信息。</w:t>
      </w:r>
    </w:p>
    <w:p w14:paraId="706DDC0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小组可以根据竞争性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情况实质性变动采购需求中的技术、服务要求以及合同草案条款，但不得变动竞争性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文件中的其他内容。实质性变动的内容，须经采购人代表确认。对竞争性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文件作出的实质性变动是竞争性</w:t>
      </w:r>
      <w:r>
        <w:rPr>
          <w:rFonts w:hint="eastAsia" w:ascii="微软雅黑" w:hAnsi="微软雅黑" w:eastAsia="微软雅黑" w:cs="微软雅黑"/>
          <w:color w:val="auto"/>
          <w:sz w:val="24"/>
          <w:szCs w:val="24"/>
          <w:highlight w:val="none"/>
          <w:lang w:eastAsia="zh-CN"/>
        </w:rPr>
        <w:t>磋商磋商</w:t>
      </w:r>
      <w:r>
        <w:rPr>
          <w:rFonts w:hint="eastAsia" w:ascii="微软雅黑" w:hAnsi="微软雅黑" w:eastAsia="微软雅黑" w:cs="微软雅黑"/>
          <w:color w:val="auto"/>
          <w:sz w:val="24"/>
          <w:szCs w:val="24"/>
          <w:highlight w:val="none"/>
        </w:rPr>
        <w:t>文件的有效组成部分，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小组应当及时以书面形式同时通知所有参加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的供应商。供应商应当按照竞争性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文件的变动情况和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小组的要求重新提交响应文件或重新做出相关的书面承诺，并报出最佳服务，最后统一报价。</w:t>
      </w:r>
    </w:p>
    <w:p w14:paraId="5F20D8A5">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时作出的所有书面承诺须由法定代表人或其授权代表签字。</w:t>
      </w:r>
    </w:p>
    <w:p w14:paraId="20E0B3FB">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结束后，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小组要求所有参加正式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的供应商在规定时间内同时书面提交最后报价及有关承诺（填写《最后报价表》并密封提交）。已提交响应文件但未在规定时间内进行最后报价的供应商，视为放弃最后报价，以供应商响应文件中的报价为准。</w:t>
      </w:r>
    </w:p>
    <w:p w14:paraId="774EFC24">
      <w:pPr>
        <w:pStyle w:val="5"/>
        <w:spacing w:before="0" w:after="0" w:line="240" w:lineRule="auto"/>
        <w:rPr>
          <w:rFonts w:hint="eastAsia" w:ascii="微软雅黑" w:hAnsi="微软雅黑" w:eastAsia="微软雅黑" w:cs="微软雅黑"/>
          <w:color w:val="auto"/>
          <w:sz w:val="24"/>
          <w:szCs w:val="24"/>
          <w:highlight w:val="none"/>
        </w:rPr>
      </w:pPr>
      <w:bookmarkStart w:id="38" w:name="_Toc26323"/>
      <w:bookmarkStart w:id="39" w:name="_Toc102227320"/>
      <w:bookmarkStart w:id="40" w:name="_Toc342913394"/>
      <w:r>
        <w:rPr>
          <w:rFonts w:hint="eastAsia" w:ascii="微软雅黑" w:hAnsi="微软雅黑" w:eastAsia="微软雅黑" w:cs="微软雅黑"/>
          <w:color w:val="auto"/>
          <w:sz w:val="24"/>
          <w:szCs w:val="24"/>
          <w:highlight w:val="none"/>
        </w:rPr>
        <w:t>五、评审依据及标准</w:t>
      </w:r>
      <w:bookmarkEnd w:id="38"/>
    </w:p>
    <w:p w14:paraId="6495F50C">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评审的依据为竞争性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文件和响应文件（含有效的补充文件）。</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小组判断响应文件对竞争性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文件的响应，仅基于响应文件本身而不靠外部证据。</w:t>
      </w:r>
    </w:p>
    <w:p w14:paraId="6B832CF8">
      <w:pPr>
        <w:ind w:firstLine="480" w:firstLineChars="20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b/>
          <w:color w:val="auto"/>
          <w:sz w:val="24"/>
          <w:szCs w:val="24"/>
          <w:highlight w:val="none"/>
        </w:rPr>
        <w:t>评审标准</w:t>
      </w:r>
    </w:p>
    <w:tbl>
      <w:tblPr>
        <w:tblStyle w:val="58"/>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05"/>
        <w:gridCol w:w="856"/>
        <w:gridCol w:w="4515"/>
        <w:gridCol w:w="2302"/>
      </w:tblGrid>
      <w:tr w14:paraId="2E7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005" w:type="dxa"/>
            <w:noWrap w:val="0"/>
            <w:vAlign w:val="top"/>
          </w:tcPr>
          <w:p w14:paraId="18DF1AC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序号</w:t>
            </w:r>
          </w:p>
        </w:tc>
        <w:tc>
          <w:tcPr>
            <w:tcW w:w="1305" w:type="dxa"/>
            <w:noWrap w:val="0"/>
            <w:vAlign w:val="top"/>
          </w:tcPr>
          <w:p w14:paraId="21EAEFAF">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评分因数及权重</w:t>
            </w:r>
          </w:p>
        </w:tc>
        <w:tc>
          <w:tcPr>
            <w:tcW w:w="856" w:type="dxa"/>
            <w:noWrap w:val="0"/>
            <w:vAlign w:val="top"/>
          </w:tcPr>
          <w:p w14:paraId="43E87CF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分值</w:t>
            </w:r>
          </w:p>
        </w:tc>
        <w:tc>
          <w:tcPr>
            <w:tcW w:w="4515" w:type="dxa"/>
            <w:noWrap w:val="0"/>
            <w:vAlign w:val="top"/>
          </w:tcPr>
          <w:p w14:paraId="023D79DE">
            <w:pPr>
              <w:snapToGrid w:val="0"/>
              <w:spacing w:line="400" w:lineRule="exact"/>
              <w:ind w:firstLine="465"/>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评分标准</w:t>
            </w:r>
          </w:p>
        </w:tc>
        <w:tc>
          <w:tcPr>
            <w:tcW w:w="2302" w:type="dxa"/>
            <w:noWrap w:val="0"/>
            <w:vAlign w:val="top"/>
          </w:tcPr>
          <w:p w14:paraId="24122EC7">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说明</w:t>
            </w:r>
          </w:p>
        </w:tc>
      </w:tr>
      <w:tr w14:paraId="315A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005" w:type="dxa"/>
            <w:noWrap w:val="0"/>
            <w:vAlign w:val="center"/>
          </w:tcPr>
          <w:p w14:paraId="68C1C745">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w:t>
            </w:r>
          </w:p>
        </w:tc>
        <w:tc>
          <w:tcPr>
            <w:tcW w:w="1305" w:type="dxa"/>
            <w:noWrap w:val="0"/>
            <w:vAlign w:val="center"/>
          </w:tcPr>
          <w:p w14:paraId="66891223">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报价</w:t>
            </w:r>
          </w:p>
          <w:p w14:paraId="6BFF8F58">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20</w:t>
            </w:r>
            <w:r>
              <w:rPr>
                <w:rFonts w:hint="eastAsia" w:ascii="微软雅黑" w:hAnsi="微软雅黑" w:eastAsia="微软雅黑"/>
                <w:color w:val="auto"/>
                <w:sz w:val="21"/>
                <w:szCs w:val="21"/>
                <w:highlight w:val="none"/>
              </w:rPr>
              <w:t>%)</w:t>
            </w:r>
          </w:p>
        </w:tc>
        <w:tc>
          <w:tcPr>
            <w:tcW w:w="856" w:type="dxa"/>
            <w:noWrap w:val="0"/>
            <w:vAlign w:val="center"/>
          </w:tcPr>
          <w:p w14:paraId="207AC4EA">
            <w:pPr>
              <w:snapToGrid w:val="0"/>
              <w:spacing w:line="400" w:lineRule="exact"/>
              <w:jc w:val="center"/>
              <w:rPr>
                <w:rFonts w:hint="eastAsia" w:ascii="微软雅黑" w:hAnsi="微软雅黑" w:eastAsia="微软雅黑"/>
                <w:color w:val="auto"/>
                <w:sz w:val="21"/>
                <w:szCs w:val="21"/>
                <w:highlight w:val="none"/>
                <w:lang w:val="en-US"/>
              </w:rPr>
            </w:pPr>
            <w:r>
              <w:rPr>
                <w:rFonts w:hint="eastAsia" w:ascii="微软雅黑" w:hAnsi="微软雅黑" w:eastAsia="微软雅黑"/>
                <w:color w:val="auto"/>
                <w:sz w:val="21"/>
                <w:szCs w:val="21"/>
                <w:highlight w:val="none"/>
                <w:lang w:val="en-US" w:eastAsia="zh-CN"/>
              </w:rPr>
              <w:t>20</w:t>
            </w:r>
            <w:r>
              <w:rPr>
                <w:rFonts w:hint="eastAsia" w:ascii="微软雅黑" w:hAnsi="微软雅黑" w:eastAsia="微软雅黑"/>
                <w:color w:val="auto"/>
                <w:sz w:val="21"/>
                <w:szCs w:val="21"/>
                <w:highlight w:val="none"/>
                <w:lang w:val="en-US" w:eastAsia="zh-CN"/>
              </w:rPr>
              <w:t>分</w:t>
            </w:r>
          </w:p>
        </w:tc>
        <w:tc>
          <w:tcPr>
            <w:tcW w:w="4515" w:type="dxa"/>
            <w:noWrap w:val="0"/>
            <w:vAlign w:val="top"/>
          </w:tcPr>
          <w:p w14:paraId="04812E69">
            <w:pPr>
              <w:snapToGrid w:val="0"/>
              <w:spacing w:line="400" w:lineRule="exact"/>
              <w:ind w:firstLine="465"/>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eastAsia="zh-CN"/>
              </w:rPr>
              <w:t>满足资格性、符合性要求且最后报价最低的供应商的价格为磋商基准价，其价格分为满分。其他供应商的价格分统一按照下列公式计算：</w:t>
            </w:r>
          </w:p>
          <w:p w14:paraId="62BAAFAB">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s="Times New Roman"/>
                <w:color w:val="auto"/>
                <w:sz w:val="21"/>
                <w:szCs w:val="21"/>
                <w:highlight w:val="none"/>
                <w:lang w:eastAsia="zh-CN"/>
              </w:rPr>
              <w:t>磋商报价得分=（磋商基准价/最后磋商报价）×价格权值×100</w:t>
            </w:r>
          </w:p>
        </w:tc>
        <w:tc>
          <w:tcPr>
            <w:tcW w:w="2302" w:type="dxa"/>
            <w:noWrap w:val="0"/>
            <w:vAlign w:val="top"/>
          </w:tcPr>
          <w:p w14:paraId="7B4A9781">
            <w:pPr>
              <w:snapToGrid w:val="0"/>
              <w:spacing w:line="40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s="Times New Roman"/>
                <w:color w:val="auto"/>
                <w:sz w:val="21"/>
                <w:szCs w:val="21"/>
                <w:highlight w:val="none"/>
                <w:lang w:val="en-US" w:eastAsia="zh-CN"/>
              </w:rPr>
              <w:t>对小微企业的价格用扣除后的价格参与评审，详见“注：关于小微企业报价扣除比例说明”</w:t>
            </w:r>
            <w:r>
              <w:rPr>
                <w:rFonts w:hint="eastAsia" w:ascii="微软雅黑" w:hAnsi="微软雅黑" w:eastAsia="微软雅黑" w:cs="Times New Roman"/>
                <w:color w:val="auto"/>
                <w:sz w:val="21"/>
                <w:szCs w:val="21"/>
                <w:highlight w:val="none"/>
                <w:lang w:eastAsia="zh-CN"/>
              </w:rPr>
              <w:t>。</w:t>
            </w:r>
          </w:p>
        </w:tc>
      </w:tr>
      <w:tr w14:paraId="18C0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983" w:type="dxa"/>
            <w:gridSpan w:val="5"/>
            <w:noWrap w:val="0"/>
            <w:vAlign w:val="top"/>
          </w:tcPr>
          <w:p w14:paraId="6AF0A5F6">
            <w:pPr>
              <w:snapToGrid w:val="0"/>
              <w:spacing w:line="400" w:lineRule="exact"/>
              <w:ind w:firstLine="465"/>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 xml:space="preserve"> </w:t>
            </w:r>
            <w:r>
              <w:rPr>
                <w:rFonts w:hint="eastAsia" w:ascii="微软雅黑" w:hAnsi="微软雅黑" w:eastAsia="微软雅黑"/>
                <w:color w:val="auto"/>
                <w:sz w:val="21"/>
                <w:szCs w:val="21"/>
                <w:highlight w:val="none"/>
                <w:lang w:eastAsia="zh-CN"/>
              </w:rPr>
              <w:t>特定资格条件：</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lang w:eastAsia="zh-CN"/>
              </w:rPr>
              <w:t>投标人营业执照包含物业管理营业范围，提供复印件或扫描件。</w:t>
            </w:r>
          </w:p>
          <w:p w14:paraId="2FFB8CBB">
            <w:pPr>
              <w:snapToGrid w:val="0"/>
              <w:spacing w:line="400" w:lineRule="exact"/>
              <w:ind w:firstLine="465"/>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val="en-US" w:eastAsia="zh-CN"/>
              </w:rPr>
              <w:t xml:space="preserve">                 2.供应商具有有效的《保安服务许可证》，</w:t>
            </w:r>
            <w:r>
              <w:rPr>
                <w:rFonts w:hint="eastAsia" w:ascii="微软雅黑" w:hAnsi="微软雅黑" w:eastAsia="微软雅黑"/>
                <w:color w:val="auto"/>
                <w:sz w:val="21"/>
                <w:szCs w:val="21"/>
                <w:highlight w:val="none"/>
                <w:lang w:eastAsia="zh-CN"/>
              </w:rPr>
              <w:t>提供复印件或扫描件。</w:t>
            </w:r>
          </w:p>
        </w:tc>
      </w:tr>
      <w:tr w14:paraId="7C6E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05" w:type="dxa"/>
            <w:vMerge w:val="restart"/>
            <w:noWrap w:val="0"/>
            <w:vAlign w:val="top"/>
          </w:tcPr>
          <w:p w14:paraId="0DA87F1B">
            <w:pPr>
              <w:snapToGrid w:val="0"/>
              <w:spacing w:line="400" w:lineRule="exact"/>
              <w:ind w:firstLine="465"/>
              <w:rPr>
                <w:rFonts w:hint="eastAsia" w:ascii="微软雅黑" w:hAnsi="微软雅黑" w:eastAsia="微软雅黑"/>
                <w:color w:val="auto"/>
                <w:sz w:val="21"/>
                <w:szCs w:val="21"/>
                <w:highlight w:val="none"/>
              </w:rPr>
            </w:pPr>
          </w:p>
          <w:p w14:paraId="44A289B1">
            <w:pPr>
              <w:snapToGrid w:val="0"/>
              <w:spacing w:line="400" w:lineRule="exact"/>
              <w:ind w:firstLine="465"/>
              <w:rPr>
                <w:rFonts w:hint="eastAsia" w:ascii="微软雅黑" w:hAnsi="微软雅黑" w:eastAsia="微软雅黑"/>
                <w:color w:val="auto"/>
                <w:sz w:val="21"/>
                <w:szCs w:val="21"/>
                <w:highlight w:val="none"/>
              </w:rPr>
            </w:pPr>
          </w:p>
          <w:p w14:paraId="18A350AA">
            <w:pPr>
              <w:snapToGrid w:val="0"/>
              <w:spacing w:line="400" w:lineRule="exact"/>
              <w:ind w:firstLine="465"/>
              <w:rPr>
                <w:rFonts w:hint="eastAsia" w:ascii="微软雅黑" w:hAnsi="微软雅黑" w:eastAsia="微软雅黑"/>
                <w:color w:val="auto"/>
                <w:sz w:val="21"/>
                <w:szCs w:val="21"/>
                <w:highlight w:val="none"/>
              </w:rPr>
            </w:pPr>
          </w:p>
          <w:p w14:paraId="0436BCE4">
            <w:pPr>
              <w:snapToGrid w:val="0"/>
              <w:spacing w:line="400" w:lineRule="exact"/>
              <w:ind w:firstLine="465"/>
              <w:rPr>
                <w:rFonts w:hint="eastAsia" w:ascii="微软雅黑" w:hAnsi="微软雅黑" w:eastAsia="微软雅黑"/>
                <w:color w:val="auto"/>
                <w:sz w:val="21"/>
                <w:szCs w:val="21"/>
                <w:highlight w:val="none"/>
              </w:rPr>
            </w:pPr>
          </w:p>
          <w:p w14:paraId="068CDE47">
            <w:pPr>
              <w:snapToGrid w:val="0"/>
              <w:spacing w:line="400" w:lineRule="exact"/>
              <w:ind w:firstLine="465"/>
              <w:rPr>
                <w:rFonts w:hint="eastAsia" w:ascii="微软雅黑" w:hAnsi="微软雅黑" w:eastAsia="微软雅黑"/>
                <w:color w:val="auto"/>
                <w:sz w:val="21"/>
                <w:szCs w:val="21"/>
                <w:highlight w:val="none"/>
              </w:rPr>
            </w:pPr>
          </w:p>
          <w:p w14:paraId="71D41D05">
            <w:pPr>
              <w:snapToGrid w:val="0"/>
              <w:spacing w:line="400" w:lineRule="exact"/>
              <w:ind w:firstLine="465"/>
              <w:rPr>
                <w:rFonts w:hint="eastAsia" w:ascii="微软雅黑" w:hAnsi="微软雅黑" w:eastAsia="微软雅黑"/>
                <w:color w:val="auto"/>
                <w:sz w:val="21"/>
                <w:szCs w:val="21"/>
                <w:highlight w:val="none"/>
              </w:rPr>
            </w:pPr>
          </w:p>
          <w:p w14:paraId="72364BFC">
            <w:pPr>
              <w:snapToGrid w:val="0"/>
              <w:spacing w:line="400" w:lineRule="exact"/>
              <w:ind w:firstLine="465"/>
              <w:rPr>
                <w:rFonts w:hint="eastAsia" w:ascii="微软雅黑" w:hAnsi="微软雅黑" w:eastAsia="微软雅黑"/>
                <w:color w:val="auto"/>
                <w:sz w:val="21"/>
                <w:szCs w:val="21"/>
                <w:highlight w:val="none"/>
              </w:rPr>
            </w:pPr>
          </w:p>
          <w:p w14:paraId="1BC00C0D">
            <w:pPr>
              <w:snapToGrid w:val="0"/>
              <w:spacing w:line="400" w:lineRule="exact"/>
              <w:ind w:firstLine="465"/>
              <w:rPr>
                <w:rFonts w:hint="eastAsia" w:ascii="微软雅黑" w:hAnsi="微软雅黑" w:eastAsia="微软雅黑"/>
                <w:color w:val="auto"/>
                <w:sz w:val="21"/>
                <w:szCs w:val="21"/>
                <w:highlight w:val="none"/>
              </w:rPr>
            </w:pPr>
          </w:p>
          <w:p w14:paraId="5147BFC6">
            <w:pPr>
              <w:snapToGrid w:val="0"/>
              <w:spacing w:line="400" w:lineRule="exact"/>
              <w:ind w:firstLine="465"/>
              <w:rPr>
                <w:rFonts w:hint="eastAsia" w:ascii="微软雅黑" w:hAnsi="微软雅黑" w:eastAsia="微软雅黑"/>
                <w:color w:val="auto"/>
                <w:sz w:val="21"/>
                <w:szCs w:val="21"/>
                <w:highlight w:val="none"/>
              </w:rPr>
            </w:pPr>
          </w:p>
          <w:p w14:paraId="25EFD18B">
            <w:pPr>
              <w:snapToGrid w:val="0"/>
              <w:spacing w:line="400" w:lineRule="exact"/>
              <w:ind w:firstLine="465"/>
              <w:rPr>
                <w:rFonts w:hint="eastAsia" w:ascii="微软雅黑" w:hAnsi="微软雅黑" w:eastAsia="微软雅黑"/>
                <w:color w:val="auto"/>
                <w:sz w:val="21"/>
                <w:szCs w:val="21"/>
                <w:highlight w:val="none"/>
              </w:rPr>
            </w:pPr>
          </w:p>
          <w:p w14:paraId="34C35097">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p>
        </w:tc>
        <w:tc>
          <w:tcPr>
            <w:tcW w:w="1305" w:type="dxa"/>
            <w:vMerge w:val="restart"/>
            <w:noWrap w:val="0"/>
            <w:vAlign w:val="top"/>
          </w:tcPr>
          <w:p w14:paraId="71A9AA71">
            <w:pPr>
              <w:snapToGrid w:val="0"/>
              <w:spacing w:line="400" w:lineRule="exact"/>
              <w:ind w:firstLine="465"/>
              <w:rPr>
                <w:rFonts w:hint="eastAsia" w:ascii="微软雅黑" w:hAnsi="微软雅黑" w:eastAsia="微软雅黑"/>
                <w:color w:val="auto"/>
                <w:sz w:val="21"/>
                <w:szCs w:val="21"/>
                <w:highlight w:val="none"/>
              </w:rPr>
            </w:pPr>
          </w:p>
          <w:p w14:paraId="1A742575">
            <w:pPr>
              <w:snapToGrid w:val="0"/>
              <w:spacing w:line="400" w:lineRule="exact"/>
              <w:ind w:firstLine="465"/>
              <w:rPr>
                <w:rFonts w:hint="eastAsia" w:ascii="微软雅黑" w:hAnsi="微软雅黑" w:eastAsia="微软雅黑"/>
                <w:color w:val="auto"/>
                <w:sz w:val="21"/>
                <w:szCs w:val="21"/>
                <w:highlight w:val="none"/>
              </w:rPr>
            </w:pPr>
          </w:p>
          <w:p w14:paraId="4A392451">
            <w:pPr>
              <w:snapToGrid w:val="0"/>
              <w:spacing w:line="400" w:lineRule="exact"/>
              <w:ind w:firstLine="465"/>
              <w:rPr>
                <w:rFonts w:hint="eastAsia" w:ascii="微软雅黑" w:hAnsi="微软雅黑" w:eastAsia="微软雅黑"/>
                <w:color w:val="auto"/>
                <w:sz w:val="21"/>
                <w:szCs w:val="21"/>
                <w:highlight w:val="none"/>
              </w:rPr>
            </w:pPr>
          </w:p>
          <w:p w14:paraId="4C6C0457">
            <w:pPr>
              <w:snapToGrid w:val="0"/>
              <w:spacing w:line="400" w:lineRule="exact"/>
              <w:ind w:firstLine="465"/>
              <w:rPr>
                <w:rFonts w:hint="eastAsia" w:ascii="微软雅黑" w:hAnsi="微软雅黑" w:eastAsia="微软雅黑"/>
                <w:color w:val="auto"/>
                <w:sz w:val="21"/>
                <w:szCs w:val="21"/>
                <w:highlight w:val="none"/>
              </w:rPr>
            </w:pPr>
          </w:p>
          <w:p w14:paraId="0086665F">
            <w:pPr>
              <w:snapToGrid w:val="0"/>
              <w:spacing w:line="400" w:lineRule="exact"/>
              <w:ind w:firstLine="465"/>
              <w:rPr>
                <w:rFonts w:hint="eastAsia" w:ascii="微软雅黑" w:hAnsi="微软雅黑" w:eastAsia="微软雅黑"/>
                <w:color w:val="auto"/>
                <w:sz w:val="21"/>
                <w:szCs w:val="21"/>
                <w:highlight w:val="none"/>
              </w:rPr>
            </w:pPr>
          </w:p>
          <w:p w14:paraId="388A4DDE">
            <w:pPr>
              <w:snapToGrid w:val="0"/>
              <w:spacing w:line="400" w:lineRule="exact"/>
              <w:ind w:firstLine="465"/>
              <w:rPr>
                <w:rFonts w:hint="eastAsia" w:ascii="微软雅黑" w:hAnsi="微软雅黑" w:eastAsia="微软雅黑"/>
                <w:color w:val="auto"/>
                <w:sz w:val="21"/>
                <w:szCs w:val="21"/>
                <w:highlight w:val="none"/>
              </w:rPr>
            </w:pPr>
          </w:p>
          <w:p w14:paraId="5202F5EF">
            <w:pPr>
              <w:snapToGrid w:val="0"/>
              <w:spacing w:line="400" w:lineRule="exact"/>
              <w:ind w:firstLine="465"/>
              <w:rPr>
                <w:rFonts w:hint="eastAsia" w:ascii="微软雅黑" w:hAnsi="微软雅黑" w:eastAsia="微软雅黑"/>
                <w:color w:val="auto"/>
                <w:sz w:val="21"/>
                <w:szCs w:val="21"/>
                <w:highlight w:val="none"/>
              </w:rPr>
            </w:pPr>
          </w:p>
          <w:p w14:paraId="3C5D49B5">
            <w:pPr>
              <w:snapToGrid w:val="0"/>
              <w:spacing w:line="400" w:lineRule="exact"/>
              <w:ind w:firstLine="465"/>
              <w:rPr>
                <w:rFonts w:hint="eastAsia" w:ascii="微软雅黑" w:hAnsi="微软雅黑" w:eastAsia="微软雅黑"/>
                <w:color w:val="auto"/>
                <w:sz w:val="21"/>
                <w:szCs w:val="21"/>
                <w:highlight w:val="none"/>
              </w:rPr>
            </w:pPr>
          </w:p>
          <w:p w14:paraId="5231444A">
            <w:pPr>
              <w:snapToGrid w:val="0"/>
              <w:spacing w:line="400" w:lineRule="exact"/>
              <w:ind w:firstLine="465"/>
              <w:rPr>
                <w:rFonts w:hint="eastAsia" w:ascii="微软雅黑" w:hAnsi="微软雅黑" w:eastAsia="微软雅黑"/>
                <w:color w:val="auto"/>
                <w:sz w:val="21"/>
                <w:szCs w:val="21"/>
                <w:highlight w:val="none"/>
              </w:rPr>
            </w:pPr>
          </w:p>
          <w:p w14:paraId="0A4C0652">
            <w:pPr>
              <w:snapToGrid w:val="0"/>
              <w:spacing w:line="400" w:lineRule="exact"/>
              <w:ind w:firstLine="465"/>
              <w:rPr>
                <w:rFonts w:hint="eastAsia" w:ascii="微软雅黑" w:hAnsi="微软雅黑" w:eastAsia="微软雅黑"/>
                <w:color w:val="auto"/>
                <w:sz w:val="21"/>
                <w:szCs w:val="21"/>
                <w:highlight w:val="none"/>
              </w:rPr>
            </w:pPr>
          </w:p>
          <w:p w14:paraId="2BDAB61A">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方案部分</w:t>
            </w:r>
          </w:p>
          <w:p w14:paraId="1703D82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50</w:t>
            </w:r>
            <w:r>
              <w:rPr>
                <w:rFonts w:hint="eastAsia" w:ascii="微软雅黑" w:hAnsi="微软雅黑" w:eastAsia="微软雅黑"/>
                <w:color w:val="auto"/>
                <w:sz w:val="21"/>
                <w:szCs w:val="21"/>
                <w:highlight w:val="none"/>
              </w:rPr>
              <w:t>%）</w:t>
            </w:r>
          </w:p>
        </w:tc>
        <w:tc>
          <w:tcPr>
            <w:tcW w:w="856" w:type="dxa"/>
            <w:vMerge w:val="restart"/>
            <w:noWrap w:val="0"/>
            <w:vAlign w:val="top"/>
          </w:tcPr>
          <w:p w14:paraId="1E7C653A">
            <w:pPr>
              <w:snapToGrid w:val="0"/>
              <w:spacing w:line="400" w:lineRule="exact"/>
              <w:ind w:firstLine="465"/>
              <w:rPr>
                <w:rFonts w:hint="eastAsia" w:ascii="微软雅黑" w:hAnsi="微软雅黑" w:eastAsia="微软雅黑"/>
                <w:color w:val="auto"/>
                <w:sz w:val="21"/>
                <w:szCs w:val="21"/>
                <w:highlight w:val="none"/>
              </w:rPr>
            </w:pPr>
          </w:p>
          <w:p w14:paraId="7F08E60E">
            <w:pPr>
              <w:snapToGrid w:val="0"/>
              <w:spacing w:line="400" w:lineRule="exact"/>
              <w:ind w:firstLine="465"/>
              <w:rPr>
                <w:rFonts w:hint="eastAsia" w:ascii="微软雅黑" w:hAnsi="微软雅黑" w:eastAsia="微软雅黑"/>
                <w:color w:val="auto"/>
                <w:sz w:val="21"/>
                <w:szCs w:val="21"/>
                <w:highlight w:val="none"/>
              </w:rPr>
            </w:pPr>
          </w:p>
          <w:p w14:paraId="1FEA6A24">
            <w:pPr>
              <w:snapToGrid w:val="0"/>
              <w:spacing w:line="400" w:lineRule="exact"/>
              <w:ind w:firstLine="465"/>
              <w:rPr>
                <w:rFonts w:hint="eastAsia" w:ascii="微软雅黑" w:hAnsi="微软雅黑" w:eastAsia="微软雅黑"/>
                <w:color w:val="auto"/>
                <w:sz w:val="21"/>
                <w:szCs w:val="21"/>
                <w:highlight w:val="none"/>
              </w:rPr>
            </w:pPr>
          </w:p>
          <w:p w14:paraId="3F7B86D4">
            <w:pPr>
              <w:snapToGrid w:val="0"/>
              <w:spacing w:line="400" w:lineRule="exact"/>
              <w:ind w:firstLine="465"/>
              <w:rPr>
                <w:rFonts w:hint="eastAsia" w:ascii="微软雅黑" w:hAnsi="微软雅黑" w:eastAsia="微软雅黑"/>
                <w:color w:val="auto"/>
                <w:sz w:val="21"/>
                <w:szCs w:val="21"/>
                <w:highlight w:val="none"/>
              </w:rPr>
            </w:pPr>
          </w:p>
          <w:p w14:paraId="22FE0F9A">
            <w:pPr>
              <w:snapToGrid w:val="0"/>
              <w:spacing w:line="400" w:lineRule="exact"/>
              <w:ind w:firstLine="465"/>
              <w:rPr>
                <w:rFonts w:hint="eastAsia" w:ascii="微软雅黑" w:hAnsi="微软雅黑" w:eastAsia="微软雅黑"/>
                <w:color w:val="auto"/>
                <w:sz w:val="21"/>
                <w:szCs w:val="21"/>
                <w:highlight w:val="none"/>
              </w:rPr>
            </w:pPr>
          </w:p>
          <w:p w14:paraId="64EAE18E">
            <w:pPr>
              <w:snapToGrid w:val="0"/>
              <w:spacing w:line="400" w:lineRule="exact"/>
              <w:ind w:firstLine="465"/>
              <w:rPr>
                <w:rFonts w:hint="eastAsia" w:ascii="微软雅黑" w:hAnsi="微软雅黑" w:eastAsia="微软雅黑"/>
                <w:color w:val="auto"/>
                <w:sz w:val="21"/>
                <w:szCs w:val="21"/>
                <w:highlight w:val="none"/>
              </w:rPr>
            </w:pPr>
          </w:p>
          <w:p w14:paraId="458BA0B3">
            <w:pPr>
              <w:snapToGrid w:val="0"/>
              <w:spacing w:line="400" w:lineRule="exact"/>
              <w:ind w:firstLine="465"/>
              <w:rPr>
                <w:rFonts w:hint="eastAsia" w:ascii="微软雅黑" w:hAnsi="微软雅黑" w:eastAsia="微软雅黑"/>
                <w:color w:val="auto"/>
                <w:sz w:val="21"/>
                <w:szCs w:val="21"/>
                <w:highlight w:val="none"/>
              </w:rPr>
            </w:pPr>
          </w:p>
          <w:p w14:paraId="20D3EF18">
            <w:pPr>
              <w:snapToGrid w:val="0"/>
              <w:spacing w:line="400" w:lineRule="exact"/>
              <w:ind w:firstLine="465"/>
              <w:rPr>
                <w:rFonts w:hint="eastAsia" w:ascii="微软雅黑" w:hAnsi="微软雅黑" w:eastAsia="微软雅黑"/>
                <w:color w:val="auto"/>
                <w:sz w:val="21"/>
                <w:szCs w:val="21"/>
                <w:highlight w:val="none"/>
              </w:rPr>
            </w:pPr>
          </w:p>
          <w:p w14:paraId="3388D2D6">
            <w:pPr>
              <w:snapToGrid w:val="0"/>
              <w:spacing w:line="400" w:lineRule="exact"/>
              <w:ind w:firstLine="465"/>
              <w:rPr>
                <w:rFonts w:hint="eastAsia" w:ascii="微软雅黑" w:hAnsi="微软雅黑" w:eastAsia="微软雅黑"/>
                <w:color w:val="auto"/>
                <w:sz w:val="21"/>
                <w:szCs w:val="21"/>
                <w:highlight w:val="none"/>
              </w:rPr>
            </w:pPr>
          </w:p>
          <w:p w14:paraId="32703B7C">
            <w:pPr>
              <w:snapToGrid w:val="0"/>
              <w:spacing w:line="400" w:lineRule="exact"/>
              <w:ind w:firstLine="465"/>
              <w:rPr>
                <w:rFonts w:hint="eastAsia" w:ascii="微软雅黑" w:hAnsi="微软雅黑" w:eastAsia="微软雅黑"/>
                <w:color w:val="auto"/>
                <w:sz w:val="21"/>
                <w:szCs w:val="21"/>
                <w:highlight w:val="none"/>
              </w:rPr>
            </w:pPr>
          </w:p>
          <w:p w14:paraId="700697C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50分</w:t>
            </w:r>
          </w:p>
        </w:tc>
        <w:tc>
          <w:tcPr>
            <w:tcW w:w="4515" w:type="dxa"/>
            <w:noWrap w:val="0"/>
            <w:vAlign w:val="top"/>
          </w:tcPr>
          <w:p w14:paraId="25A34256">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物业管理的整体设想策划</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r>
              <w:rPr>
                <w:rFonts w:hint="eastAsia" w:ascii="微软雅黑" w:hAnsi="微软雅黑" w:eastAsia="微软雅黑"/>
                <w:color w:val="auto"/>
                <w:sz w:val="21"/>
                <w:szCs w:val="21"/>
                <w:highlight w:val="none"/>
                <w:lang w:val="en-US" w:eastAsia="zh-CN"/>
              </w:rPr>
              <w:t>)</w:t>
            </w:r>
          </w:p>
          <w:p w14:paraId="217BBA0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1.1根据投标人对项目整体设想策划方案横向比较进行评审，优得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restart"/>
            <w:noWrap w:val="0"/>
            <w:vAlign w:val="top"/>
          </w:tcPr>
          <w:p w14:paraId="157F09E2">
            <w:pPr>
              <w:snapToGrid w:val="0"/>
              <w:spacing w:line="400" w:lineRule="exact"/>
              <w:ind w:firstLine="465"/>
              <w:rPr>
                <w:rFonts w:hint="eastAsia" w:ascii="微软雅黑" w:hAnsi="微软雅黑" w:eastAsia="微软雅黑"/>
                <w:color w:val="auto"/>
                <w:sz w:val="21"/>
                <w:szCs w:val="21"/>
                <w:highlight w:val="none"/>
              </w:rPr>
            </w:pPr>
          </w:p>
          <w:p w14:paraId="104BD985">
            <w:pPr>
              <w:snapToGrid w:val="0"/>
              <w:spacing w:line="400" w:lineRule="exact"/>
              <w:ind w:firstLine="465"/>
              <w:rPr>
                <w:rFonts w:hint="eastAsia" w:ascii="微软雅黑" w:hAnsi="微软雅黑" w:eastAsia="微软雅黑"/>
                <w:color w:val="auto"/>
                <w:sz w:val="21"/>
                <w:szCs w:val="21"/>
                <w:highlight w:val="none"/>
              </w:rPr>
            </w:pPr>
          </w:p>
          <w:p w14:paraId="4EFB62F7">
            <w:pPr>
              <w:snapToGrid w:val="0"/>
              <w:spacing w:line="400" w:lineRule="exact"/>
              <w:ind w:firstLine="465"/>
              <w:rPr>
                <w:rFonts w:hint="eastAsia" w:ascii="微软雅黑" w:hAnsi="微软雅黑" w:eastAsia="微软雅黑"/>
                <w:color w:val="auto"/>
                <w:sz w:val="21"/>
                <w:szCs w:val="21"/>
                <w:highlight w:val="none"/>
              </w:rPr>
            </w:pPr>
          </w:p>
          <w:p w14:paraId="609FAA29">
            <w:pPr>
              <w:snapToGrid w:val="0"/>
              <w:spacing w:line="400" w:lineRule="exact"/>
              <w:ind w:firstLine="465"/>
              <w:rPr>
                <w:rFonts w:hint="eastAsia" w:ascii="微软雅黑" w:hAnsi="微软雅黑" w:eastAsia="微软雅黑"/>
                <w:color w:val="auto"/>
                <w:sz w:val="21"/>
                <w:szCs w:val="21"/>
                <w:highlight w:val="none"/>
              </w:rPr>
            </w:pPr>
          </w:p>
          <w:p w14:paraId="53ABB041">
            <w:pPr>
              <w:snapToGrid w:val="0"/>
              <w:spacing w:line="400" w:lineRule="exact"/>
              <w:ind w:firstLine="465"/>
              <w:rPr>
                <w:rFonts w:hint="eastAsia" w:ascii="微软雅黑" w:hAnsi="微软雅黑" w:eastAsia="微软雅黑"/>
                <w:color w:val="auto"/>
                <w:sz w:val="21"/>
                <w:szCs w:val="21"/>
                <w:highlight w:val="none"/>
              </w:rPr>
            </w:pPr>
          </w:p>
          <w:p w14:paraId="05D490B7">
            <w:pPr>
              <w:snapToGrid w:val="0"/>
              <w:spacing w:line="400" w:lineRule="exact"/>
              <w:ind w:firstLine="465"/>
              <w:rPr>
                <w:rFonts w:hint="eastAsia" w:ascii="微软雅黑" w:hAnsi="微软雅黑" w:eastAsia="微软雅黑"/>
                <w:color w:val="auto"/>
                <w:sz w:val="21"/>
                <w:szCs w:val="21"/>
                <w:highlight w:val="none"/>
              </w:rPr>
            </w:pPr>
          </w:p>
          <w:p w14:paraId="4C00ADA0">
            <w:pPr>
              <w:snapToGrid w:val="0"/>
              <w:spacing w:line="400" w:lineRule="exact"/>
              <w:ind w:firstLine="465"/>
              <w:rPr>
                <w:rFonts w:hint="eastAsia" w:ascii="微软雅黑" w:hAnsi="微软雅黑" w:eastAsia="微软雅黑"/>
                <w:color w:val="auto"/>
                <w:sz w:val="21"/>
                <w:szCs w:val="21"/>
                <w:highlight w:val="none"/>
              </w:rPr>
            </w:pPr>
          </w:p>
          <w:p w14:paraId="785C76C8">
            <w:pPr>
              <w:snapToGrid w:val="0"/>
              <w:spacing w:line="400" w:lineRule="exact"/>
              <w:ind w:firstLine="465"/>
              <w:rPr>
                <w:rFonts w:hint="eastAsia" w:ascii="微软雅黑" w:hAnsi="微软雅黑" w:eastAsia="微软雅黑"/>
                <w:color w:val="auto"/>
                <w:sz w:val="21"/>
                <w:szCs w:val="21"/>
                <w:highlight w:val="none"/>
              </w:rPr>
            </w:pPr>
          </w:p>
          <w:p w14:paraId="0D458182">
            <w:pPr>
              <w:snapToGrid w:val="0"/>
              <w:spacing w:line="40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val="en-US" w:eastAsia="zh-CN"/>
              </w:rPr>
              <w:t>评审委员</w:t>
            </w:r>
            <w:r>
              <w:rPr>
                <w:rFonts w:hint="eastAsia" w:ascii="微软雅黑" w:hAnsi="微软雅黑" w:eastAsia="微软雅黑"/>
                <w:color w:val="auto"/>
                <w:sz w:val="21"/>
                <w:szCs w:val="21"/>
                <w:highlight w:val="none"/>
              </w:rPr>
              <w:t>会根据采购服务要求为标准，对各供应商提供的书面方案</w:t>
            </w:r>
            <w:r>
              <w:rPr>
                <w:rFonts w:hint="eastAsia" w:ascii="微软雅黑" w:hAnsi="微软雅黑" w:eastAsia="微软雅黑"/>
                <w:color w:val="auto"/>
                <w:sz w:val="21"/>
                <w:szCs w:val="21"/>
                <w:highlight w:val="none"/>
                <w:lang w:eastAsia="zh-CN"/>
              </w:rPr>
              <w:t>，是否具有科学性、可行性并符合本项目的实际情况，以及各供应商对本项目的了解程度</w:t>
            </w:r>
            <w:r>
              <w:rPr>
                <w:rFonts w:hint="eastAsia" w:ascii="微软雅黑" w:hAnsi="微软雅黑" w:eastAsia="微软雅黑"/>
                <w:color w:val="auto"/>
                <w:sz w:val="21"/>
                <w:szCs w:val="21"/>
                <w:highlight w:val="none"/>
              </w:rPr>
              <w:t>进行横向比较评分</w:t>
            </w:r>
            <w:r>
              <w:rPr>
                <w:rFonts w:hint="eastAsia" w:ascii="微软雅黑" w:hAnsi="微软雅黑" w:eastAsia="微软雅黑"/>
                <w:color w:val="auto"/>
                <w:sz w:val="21"/>
                <w:szCs w:val="21"/>
                <w:highlight w:val="none"/>
                <w:lang w:eastAsia="zh-CN"/>
              </w:rPr>
              <w:t>。</w:t>
            </w:r>
          </w:p>
        </w:tc>
      </w:tr>
      <w:tr w14:paraId="713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05" w:type="dxa"/>
            <w:vMerge w:val="continue"/>
            <w:noWrap w:val="0"/>
            <w:vAlign w:val="top"/>
          </w:tcPr>
          <w:p w14:paraId="396E2224">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084C870A">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77BE12B9">
            <w:pPr>
              <w:snapToGrid w:val="0"/>
              <w:spacing w:line="400" w:lineRule="exact"/>
              <w:ind w:firstLine="465"/>
              <w:rPr>
                <w:rFonts w:hint="eastAsia" w:ascii="微软雅黑" w:hAnsi="微软雅黑" w:eastAsia="微软雅黑"/>
                <w:color w:val="auto"/>
                <w:sz w:val="21"/>
                <w:szCs w:val="21"/>
                <w:highlight w:val="none"/>
              </w:rPr>
            </w:pPr>
          </w:p>
        </w:tc>
        <w:tc>
          <w:tcPr>
            <w:tcW w:w="4515" w:type="dxa"/>
            <w:noWrap w:val="0"/>
            <w:vAlign w:val="top"/>
          </w:tcPr>
          <w:p w14:paraId="6DA25A58">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本项目管理组织机构、人员配备</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2807ECA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2.1对组织机构设置整体进行评价，优秀得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72B9A82E">
            <w:pPr>
              <w:snapToGrid w:val="0"/>
              <w:spacing w:line="400" w:lineRule="exact"/>
              <w:ind w:firstLine="465"/>
              <w:rPr>
                <w:rFonts w:hint="eastAsia" w:ascii="微软雅黑" w:hAnsi="微软雅黑" w:eastAsia="微软雅黑"/>
                <w:color w:val="auto"/>
                <w:sz w:val="21"/>
                <w:szCs w:val="21"/>
                <w:highlight w:val="none"/>
              </w:rPr>
            </w:pPr>
          </w:p>
        </w:tc>
      </w:tr>
      <w:tr w14:paraId="430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05" w:type="dxa"/>
            <w:vMerge w:val="continue"/>
            <w:noWrap w:val="0"/>
            <w:vAlign w:val="top"/>
          </w:tcPr>
          <w:p w14:paraId="66AAE3C5">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6723D159">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79060A29">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75BBE69E">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本项目的员工招募、培训、上岗、培训教育、日常管理方案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4AC04C1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1D0718E0">
            <w:pPr>
              <w:snapToGrid w:val="0"/>
              <w:spacing w:line="400" w:lineRule="exact"/>
              <w:ind w:firstLine="465"/>
              <w:rPr>
                <w:rFonts w:hint="eastAsia" w:ascii="微软雅黑" w:hAnsi="微软雅黑" w:eastAsia="微软雅黑"/>
                <w:color w:val="auto"/>
                <w:sz w:val="21"/>
                <w:szCs w:val="21"/>
                <w:highlight w:val="none"/>
              </w:rPr>
            </w:pPr>
          </w:p>
        </w:tc>
      </w:tr>
      <w:tr w14:paraId="676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005" w:type="dxa"/>
            <w:vMerge w:val="continue"/>
            <w:noWrap w:val="0"/>
            <w:vAlign w:val="top"/>
          </w:tcPr>
          <w:p w14:paraId="629F534E">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7281B8C3">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13686E5F">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09F7CC9">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4.质量及安全保证措施</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3C9AD57D">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有科学合理的内部质量监管方案</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rPr>
              <w:t>有预防物业管理与服务局部或全部停摆、员工群体性事件的应急预案及应对措施，优秀得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2C92223D">
            <w:pPr>
              <w:snapToGrid w:val="0"/>
              <w:spacing w:line="400" w:lineRule="exact"/>
              <w:ind w:firstLine="465"/>
              <w:rPr>
                <w:rFonts w:hint="eastAsia" w:ascii="微软雅黑" w:hAnsi="微软雅黑" w:eastAsia="微软雅黑"/>
                <w:color w:val="auto"/>
                <w:sz w:val="21"/>
                <w:szCs w:val="21"/>
                <w:highlight w:val="none"/>
              </w:rPr>
            </w:pPr>
          </w:p>
        </w:tc>
      </w:tr>
      <w:tr w14:paraId="220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6C8600F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02E9645B">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385BB81D">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54CC124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w:t>
            </w:r>
            <w:r>
              <w:rPr>
                <w:rFonts w:hint="eastAsia" w:ascii="微软雅黑" w:hAnsi="微软雅黑" w:eastAsia="微软雅黑"/>
                <w:color w:val="auto"/>
                <w:sz w:val="21"/>
                <w:szCs w:val="21"/>
                <w:highlight w:val="none"/>
                <w:lang w:val="en-US" w:eastAsia="zh-CN"/>
              </w:rPr>
              <w:t>.</w:t>
            </w:r>
            <w:r>
              <w:rPr>
                <w:rFonts w:hint="eastAsia" w:ascii="微软雅黑" w:hAnsi="微软雅黑" w:eastAsia="微软雅黑"/>
                <w:color w:val="auto"/>
                <w:sz w:val="21"/>
                <w:szCs w:val="21"/>
                <w:highlight w:val="none"/>
              </w:rPr>
              <w:t>建筑本体、公共设备设施的运行、养护、维修和管理</w:t>
            </w:r>
            <w:r>
              <w:rPr>
                <w:rFonts w:hint="eastAsia" w:ascii="微软雅黑" w:hAnsi="微软雅黑" w:eastAsia="微软雅黑"/>
                <w:color w:val="auto"/>
                <w:sz w:val="21"/>
                <w:szCs w:val="21"/>
                <w:highlight w:val="none"/>
                <w:lang w:eastAsia="zh-CN"/>
              </w:rPr>
              <w:t>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4723686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4958B364">
            <w:pPr>
              <w:snapToGrid w:val="0"/>
              <w:spacing w:line="400" w:lineRule="exact"/>
              <w:ind w:firstLine="465"/>
              <w:rPr>
                <w:rFonts w:hint="eastAsia" w:ascii="微软雅黑" w:hAnsi="微软雅黑" w:eastAsia="微软雅黑"/>
                <w:color w:val="auto"/>
                <w:sz w:val="21"/>
                <w:szCs w:val="21"/>
                <w:highlight w:val="none"/>
              </w:rPr>
            </w:pPr>
          </w:p>
        </w:tc>
      </w:tr>
      <w:tr w14:paraId="6EF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BCE28CD">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73031606">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5CABE84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3153CC93">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6.</w:t>
            </w:r>
            <w:r>
              <w:rPr>
                <w:rFonts w:hint="eastAsia" w:ascii="微软雅黑" w:hAnsi="微软雅黑" w:eastAsia="微软雅黑"/>
                <w:color w:val="auto"/>
                <w:sz w:val="21"/>
                <w:szCs w:val="21"/>
                <w:highlight w:val="none"/>
              </w:rPr>
              <w:t>安保服务方案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09DD1055">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5260F5A0">
            <w:pPr>
              <w:snapToGrid w:val="0"/>
              <w:spacing w:line="400" w:lineRule="exact"/>
              <w:ind w:firstLine="465"/>
              <w:rPr>
                <w:rFonts w:hint="eastAsia" w:ascii="微软雅黑" w:hAnsi="微软雅黑" w:eastAsia="微软雅黑"/>
                <w:color w:val="auto"/>
                <w:sz w:val="21"/>
                <w:szCs w:val="21"/>
                <w:highlight w:val="none"/>
              </w:rPr>
            </w:pPr>
          </w:p>
        </w:tc>
      </w:tr>
      <w:tr w14:paraId="0A0A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B11B94E">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restart"/>
            <w:noWrap w:val="0"/>
            <w:vAlign w:val="top"/>
          </w:tcPr>
          <w:p w14:paraId="6FF6935E">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restart"/>
            <w:noWrap w:val="0"/>
            <w:vAlign w:val="top"/>
          </w:tcPr>
          <w:p w14:paraId="77EF8D98">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4E64493">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7.</w:t>
            </w:r>
            <w:r>
              <w:rPr>
                <w:rFonts w:hint="eastAsia" w:ascii="微软雅黑" w:hAnsi="微软雅黑" w:eastAsia="微软雅黑"/>
                <w:color w:val="auto"/>
                <w:sz w:val="21"/>
                <w:szCs w:val="21"/>
                <w:highlight w:val="none"/>
              </w:rPr>
              <w:t>保洁服务方案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0F0D1A01">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28FD14A4">
            <w:pPr>
              <w:snapToGrid w:val="0"/>
              <w:spacing w:line="400" w:lineRule="exact"/>
              <w:ind w:firstLine="465"/>
              <w:rPr>
                <w:rFonts w:hint="eastAsia" w:ascii="微软雅黑" w:hAnsi="微软雅黑" w:eastAsia="微软雅黑"/>
                <w:color w:val="auto"/>
                <w:sz w:val="21"/>
                <w:szCs w:val="21"/>
                <w:highlight w:val="none"/>
              </w:rPr>
            </w:pPr>
          </w:p>
        </w:tc>
      </w:tr>
      <w:tr w14:paraId="65F6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24E3276">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66D95E5F">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334D4DBC">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440B9D9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8.</w:t>
            </w:r>
            <w:r>
              <w:rPr>
                <w:rFonts w:hint="eastAsia" w:ascii="微软雅黑" w:hAnsi="微软雅黑" w:eastAsia="微软雅黑"/>
                <w:color w:val="auto"/>
                <w:sz w:val="21"/>
                <w:szCs w:val="21"/>
                <w:highlight w:val="none"/>
                <w:lang w:eastAsia="zh-CN"/>
              </w:rPr>
              <w:t>停车场</w:t>
            </w:r>
            <w:r>
              <w:rPr>
                <w:rFonts w:hint="eastAsia" w:ascii="微软雅黑" w:hAnsi="微软雅黑" w:eastAsia="微软雅黑"/>
                <w:color w:val="auto"/>
                <w:sz w:val="21"/>
                <w:szCs w:val="21"/>
                <w:highlight w:val="none"/>
              </w:rPr>
              <w:t>管理服务方案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5A5E3326">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3D36D468">
            <w:pPr>
              <w:snapToGrid w:val="0"/>
              <w:spacing w:line="400" w:lineRule="exact"/>
              <w:ind w:firstLine="465"/>
              <w:rPr>
                <w:rFonts w:hint="eastAsia" w:ascii="微软雅黑" w:hAnsi="微软雅黑" w:eastAsia="微软雅黑"/>
                <w:color w:val="auto"/>
                <w:sz w:val="21"/>
                <w:szCs w:val="21"/>
                <w:highlight w:val="none"/>
              </w:rPr>
            </w:pPr>
          </w:p>
        </w:tc>
      </w:tr>
      <w:tr w14:paraId="2699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1B441F20">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5B175E0">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111FA3E7">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946C49F">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9.</w:t>
            </w:r>
            <w:r>
              <w:rPr>
                <w:rFonts w:hint="eastAsia" w:ascii="微软雅黑" w:hAnsi="微软雅黑" w:eastAsia="微软雅黑"/>
                <w:color w:val="auto"/>
                <w:sz w:val="21"/>
                <w:szCs w:val="21"/>
                <w:highlight w:val="none"/>
              </w:rPr>
              <w:t>会议服务方案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5C0BEEA5">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76E58D8C">
            <w:pPr>
              <w:snapToGrid w:val="0"/>
              <w:spacing w:line="400" w:lineRule="exact"/>
              <w:ind w:firstLine="465"/>
              <w:rPr>
                <w:rFonts w:hint="eastAsia" w:ascii="微软雅黑" w:hAnsi="微软雅黑" w:eastAsia="微软雅黑"/>
                <w:color w:val="auto"/>
                <w:sz w:val="21"/>
                <w:szCs w:val="21"/>
                <w:highlight w:val="none"/>
              </w:rPr>
            </w:pPr>
          </w:p>
        </w:tc>
      </w:tr>
      <w:tr w14:paraId="0A25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6159F1D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9D67B9D">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6E344AB2">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D981D1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完善</w:t>
            </w:r>
            <w:r>
              <w:rPr>
                <w:rFonts w:hint="eastAsia" w:ascii="微软雅黑" w:hAnsi="微软雅黑" w:eastAsia="微软雅黑"/>
                <w:color w:val="auto"/>
                <w:sz w:val="21"/>
                <w:szCs w:val="21"/>
                <w:highlight w:val="none"/>
                <w:lang w:val="en-US" w:eastAsia="zh-CN"/>
              </w:rPr>
              <w:t>的</w:t>
            </w:r>
            <w:r>
              <w:rPr>
                <w:rFonts w:hint="eastAsia" w:ascii="微软雅黑" w:hAnsi="微软雅黑" w:eastAsia="微软雅黑"/>
                <w:color w:val="auto"/>
                <w:sz w:val="21"/>
                <w:szCs w:val="21"/>
                <w:highlight w:val="none"/>
              </w:rPr>
              <w:t>应急预案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63CCF2CE">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方案评价:有完善的应急预案，优秀得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分，差或者未提供</w:t>
            </w:r>
            <w:r>
              <w:rPr>
                <w:rFonts w:hint="eastAsia" w:ascii="微软雅黑" w:hAnsi="微软雅黑" w:eastAsia="微软雅黑"/>
                <w:color w:val="auto"/>
                <w:sz w:val="21"/>
                <w:szCs w:val="21"/>
                <w:highlight w:val="none"/>
                <w:lang w:eastAsia="zh-CN"/>
              </w:rPr>
              <w:t>不得分</w:t>
            </w:r>
            <w:r>
              <w:rPr>
                <w:rFonts w:hint="eastAsia" w:ascii="微软雅黑" w:hAnsi="微软雅黑" w:eastAsia="微软雅黑"/>
                <w:color w:val="auto"/>
                <w:sz w:val="21"/>
                <w:szCs w:val="21"/>
                <w:highlight w:val="none"/>
              </w:rPr>
              <w:t>；</w:t>
            </w:r>
          </w:p>
        </w:tc>
        <w:tc>
          <w:tcPr>
            <w:tcW w:w="2302" w:type="dxa"/>
            <w:vMerge w:val="continue"/>
            <w:noWrap w:val="0"/>
            <w:vAlign w:val="top"/>
          </w:tcPr>
          <w:p w14:paraId="49914EDD">
            <w:pPr>
              <w:snapToGrid w:val="0"/>
              <w:spacing w:line="400" w:lineRule="exact"/>
              <w:ind w:firstLine="465"/>
              <w:rPr>
                <w:rFonts w:hint="eastAsia" w:ascii="微软雅黑" w:hAnsi="微软雅黑" w:eastAsia="微软雅黑"/>
                <w:color w:val="auto"/>
                <w:sz w:val="21"/>
                <w:szCs w:val="21"/>
                <w:highlight w:val="none"/>
              </w:rPr>
            </w:pPr>
          </w:p>
        </w:tc>
      </w:tr>
      <w:tr w14:paraId="1522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3ABE3CF4">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E7F21CF">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22F1EBC2">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3333B09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投标人提供物业档案管理及物业规章制度管理方案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2E705A7F">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579E37BA">
            <w:pPr>
              <w:snapToGrid w:val="0"/>
              <w:spacing w:line="400" w:lineRule="exact"/>
              <w:ind w:firstLine="465"/>
              <w:rPr>
                <w:rFonts w:hint="eastAsia" w:ascii="微软雅黑" w:hAnsi="微软雅黑" w:eastAsia="微软雅黑"/>
                <w:color w:val="auto"/>
                <w:sz w:val="21"/>
                <w:szCs w:val="21"/>
                <w:highlight w:val="none"/>
              </w:rPr>
            </w:pPr>
          </w:p>
        </w:tc>
      </w:tr>
      <w:tr w14:paraId="37D3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54F02EE7">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05F49510">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5CD59584">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438B93B">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12.</w:t>
            </w:r>
            <w:r>
              <w:rPr>
                <w:rFonts w:hint="eastAsia" w:ascii="微软雅黑" w:hAnsi="微软雅黑" w:eastAsia="微软雅黑"/>
                <w:color w:val="auto"/>
                <w:sz w:val="21"/>
                <w:szCs w:val="21"/>
                <w:highlight w:val="none"/>
              </w:rPr>
              <w:t>设备工具配备方案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3EC82586">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32824A70">
            <w:pPr>
              <w:snapToGrid w:val="0"/>
              <w:spacing w:line="400" w:lineRule="exact"/>
              <w:ind w:firstLine="465"/>
              <w:rPr>
                <w:rFonts w:hint="eastAsia" w:ascii="微软雅黑" w:hAnsi="微软雅黑" w:eastAsia="微软雅黑"/>
                <w:color w:val="auto"/>
                <w:sz w:val="21"/>
                <w:szCs w:val="21"/>
                <w:highlight w:val="none"/>
              </w:rPr>
            </w:pPr>
          </w:p>
        </w:tc>
      </w:tr>
      <w:tr w14:paraId="447A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 w:type="dxa"/>
            <w:vMerge w:val="restart"/>
            <w:noWrap w:val="0"/>
            <w:vAlign w:val="top"/>
          </w:tcPr>
          <w:p w14:paraId="7F13F288">
            <w:pPr>
              <w:snapToGrid w:val="0"/>
              <w:spacing w:line="400" w:lineRule="exact"/>
              <w:ind w:firstLine="465"/>
              <w:rPr>
                <w:rFonts w:hint="eastAsia" w:ascii="微软雅黑" w:hAnsi="微软雅黑" w:eastAsia="微软雅黑"/>
                <w:color w:val="auto"/>
                <w:sz w:val="21"/>
                <w:szCs w:val="21"/>
                <w:highlight w:val="none"/>
                <w:lang w:val="en-US" w:eastAsia="zh-CN"/>
              </w:rPr>
            </w:pPr>
          </w:p>
          <w:p w14:paraId="7941CA50">
            <w:pPr>
              <w:snapToGrid w:val="0"/>
              <w:spacing w:line="400" w:lineRule="exact"/>
              <w:ind w:firstLine="465"/>
              <w:rPr>
                <w:rFonts w:hint="eastAsia" w:ascii="微软雅黑" w:hAnsi="微软雅黑" w:eastAsia="微软雅黑"/>
                <w:color w:val="auto"/>
                <w:sz w:val="21"/>
                <w:szCs w:val="21"/>
                <w:highlight w:val="none"/>
                <w:lang w:val="en-US" w:eastAsia="zh-CN"/>
              </w:rPr>
            </w:pPr>
          </w:p>
          <w:p w14:paraId="69BC51C7">
            <w:pPr>
              <w:snapToGrid w:val="0"/>
              <w:spacing w:line="400" w:lineRule="exact"/>
              <w:ind w:firstLine="465"/>
              <w:rPr>
                <w:rFonts w:hint="eastAsia" w:ascii="微软雅黑" w:hAnsi="微软雅黑" w:eastAsia="微软雅黑"/>
                <w:color w:val="auto"/>
                <w:sz w:val="21"/>
                <w:szCs w:val="21"/>
                <w:highlight w:val="none"/>
                <w:lang w:val="en-US" w:eastAsia="zh-CN"/>
              </w:rPr>
            </w:pPr>
          </w:p>
          <w:p w14:paraId="2A04BE10">
            <w:pPr>
              <w:snapToGrid w:val="0"/>
              <w:spacing w:line="400" w:lineRule="exact"/>
              <w:ind w:firstLine="465"/>
              <w:rPr>
                <w:rFonts w:hint="eastAsia" w:ascii="微软雅黑" w:hAnsi="微软雅黑" w:eastAsia="微软雅黑"/>
                <w:color w:val="auto"/>
                <w:sz w:val="21"/>
                <w:szCs w:val="21"/>
                <w:highlight w:val="none"/>
                <w:lang w:val="en-US" w:eastAsia="zh-CN"/>
              </w:rPr>
            </w:pPr>
          </w:p>
          <w:p w14:paraId="50587DDC">
            <w:pPr>
              <w:snapToGrid w:val="0"/>
              <w:spacing w:line="400" w:lineRule="exact"/>
              <w:ind w:firstLine="465"/>
              <w:rPr>
                <w:rFonts w:hint="eastAsia" w:ascii="微软雅黑" w:hAnsi="微软雅黑" w:eastAsia="微软雅黑"/>
                <w:color w:val="auto"/>
                <w:sz w:val="21"/>
                <w:szCs w:val="21"/>
                <w:highlight w:val="none"/>
                <w:lang w:val="en-US" w:eastAsia="zh-CN"/>
              </w:rPr>
            </w:pPr>
          </w:p>
          <w:p w14:paraId="2509D9C6">
            <w:pPr>
              <w:snapToGrid w:val="0"/>
              <w:spacing w:line="400" w:lineRule="exact"/>
              <w:ind w:firstLine="465"/>
              <w:rPr>
                <w:rFonts w:hint="eastAsia" w:ascii="微软雅黑" w:hAnsi="微软雅黑" w:eastAsia="微软雅黑"/>
                <w:color w:val="auto"/>
                <w:sz w:val="21"/>
                <w:szCs w:val="21"/>
                <w:highlight w:val="none"/>
                <w:lang w:val="en-US" w:eastAsia="zh-CN"/>
              </w:rPr>
            </w:pPr>
          </w:p>
          <w:p w14:paraId="067BF5D7">
            <w:pPr>
              <w:snapToGrid w:val="0"/>
              <w:spacing w:line="400" w:lineRule="exact"/>
              <w:ind w:firstLine="465"/>
              <w:rPr>
                <w:rFonts w:hint="eastAsia" w:ascii="微软雅黑" w:hAnsi="微软雅黑" w:eastAsia="微软雅黑"/>
                <w:color w:val="auto"/>
                <w:sz w:val="21"/>
                <w:szCs w:val="21"/>
                <w:highlight w:val="none"/>
                <w:lang w:val="en-US" w:eastAsia="zh-CN"/>
              </w:rPr>
            </w:pPr>
          </w:p>
          <w:p w14:paraId="64392F29">
            <w:pPr>
              <w:snapToGrid w:val="0"/>
              <w:spacing w:line="400" w:lineRule="exact"/>
              <w:ind w:firstLine="465"/>
              <w:rPr>
                <w:rFonts w:hint="eastAsia" w:ascii="微软雅黑" w:hAnsi="微软雅黑" w:eastAsia="微软雅黑"/>
                <w:color w:val="auto"/>
                <w:sz w:val="21"/>
                <w:szCs w:val="21"/>
                <w:highlight w:val="none"/>
                <w:lang w:val="en-US" w:eastAsia="zh-CN"/>
              </w:rPr>
            </w:pPr>
          </w:p>
          <w:p w14:paraId="1D23C1E4">
            <w:pPr>
              <w:snapToGrid w:val="0"/>
              <w:spacing w:line="400" w:lineRule="exact"/>
              <w:ind w:firstLine="465"/>
              <w:rPr>
                <w:rFonts w:hint="eastAsia" w:ascii="微软雅黑" w:hAnsi="微软雅黑" w:eastAsia="微软雅黑"/>
                <w:color w:val="auto"/>
                <w:sz w:val="21"/>
                <w:szCs w:val="21"/>
                <w:highlight w:val="none"/>
                <w:lang w:val="en-US" w:eastAsia="zh-CN"/>
              </w:rPr>
            </w:pPr>
          </w:p>
          <w:p w14:paraId="1EAEDF11">
            <w:pPr>
              <w:snapToGrid w:val="0"/>
              <w:spacing w:line="400" w:lineRule="exact"/>
              <w:ind w:firstLine="465"/>
              <w:rPr>
                <w:rFonts w:hint="eastAsia" w:ascii="微软雅黑" w:hAnsi="微软雅黑" w:eastAsia="微软雅黑"/>
                <w:color w:val="auto"/>
                <w:sz w:val="21"/>
                <w:szCs w:val="21"/>
                <w:highlight w:val="none"/>
                <w:lang w:val="en-US" w:eastAsia="zh-CN"/>
              </w:rPr>
            </w:pPr>
          </w:p>
          <w:p w14:paraId="1DA0A1E3">
            <w:pPr>
              <w:snapToGrid w:val="0"/>
              <w:spacing w:line="400" w:lineRule="exact"/>
              <w:ind w:firstLine="465"/>
              <w:rPr>
                <w:rFonts w:hint="eastAsia" w:ascii="微软雅黑" w:hAnsi="微软雅黑" w:eastAsia="微软雅黑"/>
                <w:color w:val="auto"/>
                <w:sz w:val="21"/>
                <w:szCs w:val="21"/>
                <w:highlight w:val="none"/>
                <w:lang w:val="en-US" w:eastAsia="zh-CN"/>
              </w:rPr>
            </w:pPr>
          </w:p>
          <w:p w14:paraId="6D1AD73A">
            <w:pPr>
              <w:snapToGrid w:val="0"/>
              <w:spacing w:line="400" w:lineRule="exact"/>
              <w:ind w:firstLine="465"/>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3</w:t>
            </w:r>
          </w:p>
        </w:tc>
        <w:tc>
          <w:tcPr>
            <w:tcW w:w="1305" w:type="dxa"/>
            <w:vMerge w:val="restart"/>
            <w:noWrap w:val="0"/>
            <w:vAlign w:val="top"/>
          </w:tcPr>
          <w:p w14:paraId="5092783B">
            <w:pPr>
              <w:snapToGrid w:val="0"/>
              <w:spacing w:line="400" w:lineRule="exact"/>
              <w:ind w:firstLine="465"/>
              <w:rPr>
                <w:rFonts w:hint="eastAsia" w:ascii="微软雅黑" w:hAnsi="微软雅黑" w:eastAsia="微软雅黑"/>
                <w:color w:val="auto"/>
                <w:sz w:val="21"/>
                <w:szCs w:val="21"/>
                <w:highlight w:val="none"/>
              </w:rPr>
            </w:pPr>
          </w:p>
          <w:p w14:paraId="2476E725">
            <w:pPr>
              <w:snapToGrid w:val="0"/>
              <w:spacing w:line="400" w:lineRule="exact"/>
              <w:rPr>
                <w:rFonts w:hint="eastAsia" w:ascii="微软雅黑" w:hAnsi="微软雅黑" w:eastAsia="微软雅黑"/>
                <w:color w:val="auto"/>
                <w:sz w:val="21"/>
                <w:szCs w:val="21"/>
                <w:highlight w:val="none"/>
              </w:rPr>
            </w:pPr>
          </w:p>
          <w:p w14:paraId="08FC8FBE">
            <w:pPr>
              <w:snapToGrid w:val="0"/>
              <w:spacing w:line="400" w:lineRule="exact"/>
              <w:rPr>
                <w:rFonts w:hint="eastAsia" w:ascii="微软雅黑" w:hAnsi="微软雅黑" w:eastAsia="微软雅黑"/>
                <w:color w:val="auto"/>
                <w:sz w:val="21"/>
                <w:szCs w:val="21"/>
                <w:highlight w:val="none"/>
                <w:lang w:eastAsia="zh-CN"/>
              </w:rPr>
            </w:pPr>
          </w:p>
          <w:p w14:paraId="1E25CF94">
            <w:pPr>
              <w:snapToGrid w:val="0"/>
              <w:spacing w:line="400" w:lineRule="exact"/>
              <w:rPr>
                <w:rFonts w:hint="eastAsia" w:ascii="微软雅黑" w:hAnsi="微软雅黑" w:eastAsia="微软雅黑"/>
                <w:color w:val="auto"/>
                <w:sz w:val="21"/>
                <w:szCs w:val="21"/>
                <w:highlight w:val="none"/>
                <w:lang w:eastAsia="zh-CN"/>
              </w:rPr>
            </w:pPr>
          </w:p>
          <w:p w14:paraId="21ABF7EE">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eastAsia="zh-CN"/>
              </w:rPr>
              <w:t>商务</w:t>
            </w:r>
            <w:r>
              <w:rPr>
                <w:rFonts w:hint="eastAsia" w:ascii="微软雅黑" w:hAnsi="微软雅黑" w:eastAsia="微软雅黑"/>
                <w:color w:val="auto"/>
                <w:sz w:val="21"/>
                <w:szCs w:val="21"/>
                <w:highlight w:val="none"/>
              </w:rPr>
              <w:t>部分</w:t>
            </w:r>
          </w:p>
          <w:p w14:paraId="51AABD8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30</w:t>
            </w:r>
            <w:r>
              <w:rPr>
                <w:rFonts w:hint="eastAsia" w:ascii="微软雅黑" w:hAnsi="微软雅黑" w:eastAsia="微软雅黑"/>
                <w:color w:val="auto"/>
                <w:sz w:val="21"/>
                <w:szCs w:val="21"/>
                <w:highlight w:val="none"/>
              </w:rPr>
              <w:t>%）</w:t>
            </w:r>
          </w:p>
        </w:tc>
        <w:tc>
          <w:tcPr>
            <w:tcW w:w="856" w:type="dxa"/>
            <w:vMerge w:val="restart"/>
            <w:noWrap w:val="0"/>
            <w:vAlign w:val="top"/>
          </w:tcPr>
          <w:p w14:paraId="78164FAC">
            <w:pPr>
              <w:snapToGrid w:val="0"/>
              <w:spacing w:line="400" w:lineRule="exact"/>
              <w:ind w:firstLine="465"/>
              <w:rPr>
                <w:rFonts w:hint="eastAsia" w:ascii="微软雅黑" w:hAnsi="微软雅黑" w:eastAsia="微软雅黑"/>
                <w:color w:val="auto"/>
                <w:sz w:val="21"/>
                <w:szCs w:val="21"/>
                <w:highlight w:val="none"/>
                <w:lang w:val="en-US" w:eastAsia="zh-CN"/>
              </w:rPr>
            </w:pPr>
          </w:p>
          <w:p w14:paraId="5CEFCAD6">
            <w:pPr>
              <w:snapToGrid w:val="0"/>
              <w:spacing w:line="400" w:lineRule="exact"/>
              <w:rPr>
                <w:rFonts w:hint="eastAsia" w:ascii="微软雅黑" w:hAnsi="微软雅黑" w:eastAsia="微软雅黑"/>
                <w:color w:val="auto"/>
                <w:sz w:val="21"/>
                <w:szCs w:val="21"/>
                <w:highlight w:val="none"/>
                <w:lang w:val="en-US" w:eastAsia="zh-CN"/>
              </w:rPr>
            </w:pPr>
          </w:p>
          <w:p w14:paraId="36680557">
            <w:pPr>
              <w:snapToGrid w:val="0"/>
              <w:spacing w:line="400" w:lineRule="exact"/>
              <w:rPr>
                <w:rFonts w:hint="eastAsia" w:ascii="微软雅黑" w:hAnsi="微软雅黑" w:eastAsia="微软雅黑"/>
                <w:color w:val="auto"/>
                <w:sz w:val="21"/>
                <w:szCs w:val="21"/>
                <w:highlight w:val="none"/>
                <w:lang w:val="en-US" w:eastAsia="zh-CN"/>
              </w:rPr>
            </w:pPr>
          </w:p>
          <w:p w14:paraId="0ED987DF">
            <w:pPr>
              <w:snapToGrid w:val="0"/>
              <w:spacing w:line="400" w:lineRule="exact"/>
              <w:rPr>
                <w:rFonts w:hint="eastAsia" w:ascii="微软雅黑" w:hAnsi="微软雅黑" w:eastAsia="微软雅黑"/>
                <w:color w:val="auto"/>
                <w:sz w:val="21"/>
                <w:szCs w:val="21"/>
                <w:highlight w:val="none"/>
                <w:lang w:val="en-US" w:eastAsia="zh-CN"/>
              </w:rPr>
            </w:pPr>
          </w:p>
          <w:p w14:paraId="48E65AF6">
            <w:pPr>
              <w:snapToGrid w:val="0"/>
              <w:spacing w:line="400" w:lineRule="exact"/>
              <w:rPr>
                <w:rFonts w:hint="eastAsia" w:ascii="微软雅黑" w:hAnsi="微软雅黑" w:eastAsia="微软雅黑"/>
                <w:color w:val="auto"/>
                <w:sz w:val="21"/>
                <w:szCs w:val="21"/>
                <w:highlight w:val="none"/>
                <w:lang w:val="en-US" w:eastAsia="zh-CN"/>
              </w:rPr>
            </w:pPr>
          </w:p>
          <w:p w14:paraId="2EAF203E">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30分</w:t>
            </w:r>
          </w:p>
        </w:tc>
        <w:tc>
          <w:tcPr>
            <w:tcW w:w="4515" w:type="dxa"/>
            <w:tcBorders>
              <w:top w:val="single" w:color="auto" w:sz="4" w:space="0"/>
              <w:left w:val="single" w:color="auto" w:sz="4" w:space="0"/>
              <w:right w:val="single" w:color="auto" w:sz="4" w:space="0"/>
            </w:tcBorders>
            <w:noWrap w:val="0"/>
            <w:vAlign w:val="top"/>
          </w:tcPr>
          <w:p w14:paraId="4582E7B2">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1人员资质证书(10分)</w:t>
            </w:r>
          </w:p>
          <w:p w14:paraId="47AA421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1.1投标人拟派本项目的水电维修工具有应急管理局颁发的特种作业操作证的得4分;</w:t>
            </w:r>
          </w:p>
          <w:p w14:paraId="10DAEBD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1.2投标人拟派本项目的保安员全部具有公安部门颁发的保安员证的得6分。</w:t>
            </w:r>
          </w:p>
        </w:tc>
        <w:tc>
          <w:tcPr>
            <w:tcW w:w="2302" w:type="dxa"/>
            <w:noWrap w:val="0"/>
            <w:vAlign w:val="top"/>
          </w:tcPr>
          <w:p w14:paraId="5C2F1ECE">
            <w:pPr>
              <w:snapToGrid w:val="0"/>
              <w:spacing w:line="400" w:lineRule="exact"/>
              <w:ind w:firstLine="465"/>
              <w:rPr>
                <w:rFonts w:hint="eastAsia" w:ascii="微软雅黑" w:hAnsi="微软雅黑" w:eastAsia="微软雅黑"/>
                <w:color w:val="auto"/>
                <w:sz w:val="21"/>
                <w:szCs w:val="21"/>
                <w:highlight w:val="none"/>
              </w:rPr>
            </w:pPr>
          </w:p>
          <w:p w14:paraId="0935CE68">
            <w:pPr>
              <w:snapToGrid w:val="0"/>
              <w:spacing w:line="400" w:lineRule="exact"/>
              <w:rPr>
                <w:rFonts w:hint="eastAsia" w:ascii="微软雅黑" w:hAnsi="微软雅黑" w:eastAsia="微软雅黑"/>
                <w:color w:val="auto"/>
                <w:sz w:val="21"/>
                <w:szCs w:val="21"/>
                <w:highlight w:val="none"/>
                <w:lang w:val="en-US" w:eastAsia="zh-CN"/>
              </w:rPr>
            </w:pPr>
          </w:p>
          <w:p w14:paraId="2ACAEFE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提供相关</w:t>
            </w:r>
            <w:r>
              <w:rPr>
                <w:rFonts w:hint="eastAsia" w:ascii="微软雅黑" w:hAnsi="微软雅黑" w:eastAsia="微软雅黑"/>
                <w:color w:val="auto"/>
                <w:sz w:val="21"/>
                <w:szCs w:val="21"/>
                <w:highlight w:val="none"/>
              </w:rPr>
              <w:t>证书</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学历证明复印件或扫描件。</w:t>
            </w:r>
          </w:p>
        </w:tc>
      </w:tr>
      <w:tr w14:paraId="6AFF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05" w:type="dxa"/>
            <w:vMerge w:val="continue"/>
            <w:noWrap w:val="0"/>
            <w:vAlign w:val="top"/>
          </w:tcPr>
          <w:p w14:paraId="3FD3AF36">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7B977CA3">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856" w:type="dxa"/>
            <w:vMerge w:val="continue"/>
            <w:noWrap w:val="0"/>
            <w:vAlign w:val="top"/>
          </w:tcPr>
          <w:p w14:paraId="5840583A">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2FC42E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2.企业业绩(10分)</w:t>
            </w:r>
          </w:p>
          <w:p w14:paraId="5A8CA042">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自2023年1月1日至投标截止时间(以合同签订时间为准)，投标人具有物业管理服务项目业绩，每提供1个合同得5分，不满足或未提供不得分，本项最多得10分。</w:t>
            </w:r>
          </w:p>
        </w:tc>
        <w:tc>
          <w:tcPr>
            <w:tcW w:w="2302" w:type="dxa"/>
            <w:noWrap w:val="0"/>
            <w:vAlign w:val="top"/>
          </w:tcPr>
          <w:p w14:paraId="1CE6B560">
            <w:pPr>
              <w:snapToGrid w:val="0"/>
              <w:spacing w:line="400" w:lineRule="exact"/>
              <w:ind w:firstLine="465"/>
              <w:rPr>
                <w:rFonts w:hint="eastAsia" w:ascii="微软雅黑" w:hAnsi="微软雅黑" w:eastAsia="微软雅黑"/>
                <w:color w:val="auto"/>
                <w:sz w:val="21"/>
                <w:szCs w:val="21"/>
                <w:highlight w:val="none"/>
                <w:lang w:val="en-US" w:eastAsia="zh-CN"/>
              </w:rPr>
            </w:pPr>
          </w:p>
          <w:p w14:paraId="2F2EDCC7">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提供业绩合同复</w:t>
            </w:r>
          </w:p>
          <w:p w14:paraId="33D965AF">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印件或扫描件。</w:t>
            </w:r>
          </w:p>
        </w:tc>
      </w:tr>
      <w:tr w14:paraId="6EE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005" w:type="dxa"/>
            <w:vMerge w:val="continue"/>
            <w:noWrap w:val="0"/>
            <w:vAlign w:val="top"/>
          </w:tcPr>
          <w:p w14:paraId="09BA6CF6">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5A2BC62C">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2F8E24F1">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right w:val="single" w:color="auto" w:sz="4" w:space="0"/>
            </w:tcBorders>
            <w:noWrap w:val="0"/>
            <w:vAlign w:val="top"/>
          </w:tcPr>
          <w:p w14:paraId="3EAE6A8D">
            <w:pPr>
              <w:snapToGrid w:val="0"/>
              <w:spacing w:line="400" w:lineRule="exact"/>
              <w:rPr>
                <w:rFonts w:hint="default" w:ascii="微软雅黑" w:hAnsi="微软雅黑" w:eastAsia="微软雅黑"/>
                <w:color w:val="auto"/>
                <w:sz w:val="21"/>
                <w:szCs w:val="21"/>
                <w:highlight w:val="none"/>
                <w:lang w:val="en-US" w:eastAsia="zh-CN"/>
              </w:rPr>
            </w:pPr>
            <w:r>
              <w:rPr>
                <w:rFonts w:hint="default" w:ascii="微软雅黑" w:hAnsi="微软雅黑" w:eastAsia="微软雅黑"/>
                <w:color w:val="auto"/>
                <w:sz w:val="21"/>
                <w:szCs w:val="21"/>
                <w:highlight w:val="none"/>
                <w:lang w:val="en-US" w:eastAsia="zh-CN"/>
              </w:rPr>
              <w:t>3.业主满意度(10分)</w:t>
            </w:r>
          </w:p>
          <w:p w14:paraId="25411546">
            <w:pPr>
              <w:snapToGrid w:val="0"/>
              <w:spacing w:line="400" w:lineRule="exact"/>
              <w:rPr>
                <w:rFonts w:hint="default" w:ascii="微软雅黑" w:hAnsi="微软雅黑" w:eastAsia="微软雅黑"/>
                <w:color w:val="auto"/>
                <w:sz w:val="21"/>
                <w:szCs w:val="21"/>
                <w:highlight w:val="none"/>
                <w:lang w:val="en-US" w:eastAsia="zh-CN"/>
              </w:rPr>
            </w:pPr>
            <w:r>
              <w:rPr>
                <w:rFonts w:hint="default" w:ascii="微软雅黑" w:hAnsi="微软雅黑" w:eastAsia="微软雅黑"/>
                <w:color w:val="auto"/>
                <w:sz w:val="21"/>
                <w:szCs w:val="21"/>
                <w:highlight w:val="none"/>
                <w:lang w:val="en-US" w:eastAsia="zh-CN"/>
              </w:rPr>
              <w:t>提供一个物业服务项目的服务考核满意度书面证明，总体评价为好或者满意(或类似表达)得5分，本项最多得10分。</w:t>
            </w:r>
          </w:p>
        </w:tc>
        <w:tc>
          <w:tcPr>
            <w:tcW w:w="2302" w:type="dxa"/>
            <w:noWrap w:val="0"/>
            <w:vAlign w:val="top"/>
          </w:tcPr>
          <w:p w14:paraId="56EA7AF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提供加盖业主单位公章的书面证明及合同复印件证明材料。</w:t>
            </w:r>
          </w:p>
        </w:tc>
      </w:tr>
    </w:tbl>
    <w:p w14:paraId="2743C741">
      <w:pPr>
        <w:snapToGrid w:val="0"/>
        <w:spacing w:line="400" w:lineRule="exact"/>
        <w:ind w:firstLine="465"/>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注：关于小微企业报价扣除比例说明</w:t>
      </w:r>
    </w:p>
    <w:p w14:paraId="3C8A05B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为非联合体投标的，对其投标服务的承接企业为小微型企业给予</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 xml:space="preserve"> %的扣除，以扣除后的报价参与评审。</w:t>
      </w:r>
    </w:p>
    <w:p w14:paraId="4E2CB37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t>监狱企业、残疾人福利性单位视同小型、微型企业，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应提供《中小微企业声明函》（详见第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篇附表格式）。</w:t>
      </w:r>
    </w:p>
    <w:p w14:paraId="639FD35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、投标报价政策性扣减是指对小型和微型企业产品的价格给予的扣除。中小企业应当按照《中小企业划型标准规定》（工信部联企业〔2011〕300号），如实填写并提交《中小企业声明函》（详见第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篇附表格式），否则不予认定。</w:t>
      </w:r>
    </w:p>
    <w:p w14:paraId="7B59797F">
      <w:pPr>
        <w:pStyle w:val="5"/>
        <w:spacing w:before="0" w:after="0" w:line="240" w:lineRule="auto"/>
        <w:rPr>
          <w:rFonts w:hint="eastAsia" w:ascii="微软雅黑" w:hAnsi="微软雅黑" w:eastAsia="微软雅黑" w:cs="微软雅黑"/>
          <w:color w:val="auto"/>
          <w:sz w:val="24"/>
          <w:szCs w:val="24"/>
          <w:highlight w:val="none"/>
        </w:rPr>
      </w:pPr>
      <w:bookmarkStart w:id="41" w:name="_Toc21906"/>
      <w:r>
        <w:rPr>
          <w:rFonts w:hint="eastAsia" w:ascii="微软雅黑" w:hAnsi="微软雅黑" w:eastAsia="微软雅黑" w:cs="微软雅黑"/>
          <w:color w:val="auto"/>
          <w:sz w:val="24"/>
          <w:szCs w:val="24"/>
          <w:highlight w:val="none"/>
        </w:rPr>
        <w:t>六、成交</w:t>
      </w:r>
      <w:bookmarkEnd w:id="39"/>
      <w:r>
        <w:rPr>
          <w:rFonts w:hint="eastAsia" w:ascii="微软雅黑" w:hAnsi="微软雅黑" w:eastAsia="微软雅黑" w:cs="微软雅黑"/>
          <w:color w:val="auto"/>
          <w:sz w:val="24"/>
          <w:szCs w:val="24"/>
          <w:highlight w:val="none"/>
        </w:rPr>
        <w:t>原则</w:t>
      </w:r>
      <w:bookmarkEnd w:id="40"/>
      <w:bookmarkEnd w:id="41"/>
    </w:p>
    <w:p w14:paraId="08053EB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（一）评审办法</w:t>
      </w:r>
    </w:p>
    <w:p w14:paraId="6F4C164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小组将依照本竞争性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文件相关规定对质量和服务均能满足竞争性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实质性响应要求的供应商所提交的最后报价进行政策性扣减，并依据扣减后的价格按照由低到高的顺序提出3名以上成交候选人，并编写评审报告。</w:t>
      </w:r>
    </w:p>
    <w:p w14:paraId="7F59765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2.若供应商的最后报价经扣减后价格相同，按技术参数（条款）的优劣顺序排列；以上都相同的，按服务条款的优劣顺序排列。</w:t>
      </w:r>
    </w:p>
    <w:p w14:paraId="6FF1254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3.成交价格=成交供应商的最后报价</w:t>
      </w:r>
    </w:p>
    <w:p w14:paraId="685A479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（二）评审细则</w:t>
      </w:r>
    </w:p>
    <w:p w14:paraId="290C625D">
      <w:pPr>
        <w:tabs>
          <w:tab w:val="left" w:pos="36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1.资格符合性检查</w:t>
      </w:r>
    </w:p>
    <w:p w14:paraId="7568CF2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依据法律法规和竞争性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文件的规定，对供应商的资格证明、保证金等进行审查，以确定供应商是否具备</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资格。</w:t>
      </w:r>
    </w:p>
    <w:p w14:paraId="53087F3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2.对响应文件的有效性、完整性和响应程度检查</w:t>
      </w:r>
    </w:p>
    <w:p w14:paraId="3F23B56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文件的规定，对供应商的响应文件从质量、服务等方面进行审查，以确定供应商是否实质性响应竞争性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文件的要求。对技术、服务未作实质性响应的供应商，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小组将要求其在最后报价前做出相应的承诺。</w:t>
      </w:r>
    </w:p>
    <w:p w14:paraId="5DA31B8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.成交供应商的确定：</w:t>
      </w:r>
    </w:p>
    <w:p w14:paraId="1C775CA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.1“第三篇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需求”有一条及以上不能满足竞争性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文件要求的供应商将失去成为成交供应商的资格。</w:t>
      </w:r>
    </w:p>
    <w:p w14:paraId="1B1B360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.2“第四篇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lang w:eastAsia="zh-CN"/>
        </w:rPr>
        <w:t>商</w:t>
      </w:r>
      <w:r>
        <w:rPr>
          <w:rFonts w:hint="eastAsia" w:ascii="微软雅黑" w:hAnsi="微软雅黑" w:eastAsia="微软雅黑" w:cs="微软雅黑"/>
          <w:color w:val="auto"/>
          <w:sz w:val="24"/>
          <w:szCs w:val="24"/>
          <w:highlight w:val="none"/>
        </w:rPr>
        <w:t>务需求”有一条及以上不能满足竞争性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文件要求的供应商将失去成为成交供应商的资格。</w:t>
      </w:r>
    </w:p>
    <w:p w14:paraId="5D18500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认为，排在前面的成交候选人的最后报价或者某些分项报价明显不合理或者低于成本，有可能影响商品质量和不能诚信履约的，将要求其在规定的期限内提供书面文件予以解释说明，并提交相关证明材料；否则，</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小组可以取消该成交候选人成为成交供应商的资格，按顺序由排在后面的成交候选人递补，以此类推。</w:t>
      </w:r>
    </w:p>
    <w:p w14:paraId="2E1E165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小组将依照评审办法提出成交候选人。</w:t>
      </w:r>
    </w:p>
    <w:p w14:paraId="5064A5A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应当在评审结束后1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小组直接确定成交供应商。采购人逾期未确定成交供应商且不提出异议的，视为确定评审报告提出的最后报价最低的供应商为成交供应商。</w:t>
      </w:r>
    </w:p>
    <w:p w14:paraId="00204D7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4.6成交供应商的变更</w:t>
      </w:r>
    </w:p>
    <w:p w14:paraId="4570FA6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4FE888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4.6.2成交供应商无充分理由放弃成交的，采购人将会同采购代理机构把相关情况报财政部门，财政部门将根据相关法律法规的规定对违规供应商进行处罚。</w:t>
      </w:r>
    </w:p>
    <w:p w14:paraId="4743A6E5">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5.出现下列情形之一的，采购人应当终止竞争性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采购活动，发布项目终止公告并说明原因，重新开展采购活动：</w:t>
      </w:r>
    </w:p>
    <w:p w14:paraId="393F051F">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5.1因情况变化，不再符合规定的竞争性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采购方式适用情形的；</w:t>
      </w:r>
    </w:p>
    <w:p w14:paraId="5CA73965">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5.2出现影响采购公正的违法、违规行为的；</w:t>
      </w:r>
    </w:p>
    <w:p w14:paraId="496E1F31">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5.3在采购过程中符合竞争要求的供应商或者报价未超过采购预算的供应商不足3家的，但《政府采购非招标采购方式管理办法》第二十七条第二款规定的情形除外。</w:t>
      </w:r>
    </w:p>
    <w:p w14:paraId="0DF29F84">
      <w:pPr>
        <w:pStyle w:val="5"/>
        <w:spacing w:before="0" w:after="0" w:line="240" w:lineRule="auto"/>
        <w:rPr>
          <w:rFonts w:hint="eastAsia" w:ascii="微软雅黑" w:hAnsi="微软雅黑" w:eastAsia="微软雅黑" w:cs="微软雅黑"/>
          <w:color w:val="auto"/>
          <w:sz w:val="24"/>
          <w:szCs w:val="24"/>
          <w:highlight w:val="none"/>
        </w:rPr>
      </w:pPr>
      <w:bookmarkStart w:id="42" w:name="_Toc342913395"/>
      <w:bookmarkStart w:id="43" w:name="_Toc102227321"/>
      <w:bookmarkStart w:id="44" w:name="_Toc848"/>
      <w:r>
        <w:rPr>
          <w:rFonts w:hint="eastAsia" w:ascii="微软雅黑" w:hAnsi="微软雅黑" w:eastAsia="微软雅黑" w:cs="微软雅黑"/>
          <w:color w:val="auto"/>
          <w:sz w:val="24"/>
          <w:szCs w:val="24"/>
          <w:highlight w:val="none"/>
        </w:rPr>
        <w:t>七、成交通知</w:t>
      </w:r>
      <w:bookmarkEnd w:id="42"/>
      <w:bookmarkEnd w:id="43"/>
      <w:bookmarkEnd w:id="44"/>
    </w:p>
    <w:p w14:paraId="0582F8BD">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（一）成交供应商确定后，采购人将在重庆市政府采购云平台上发布成交结果公告。</w:t>
      </w:r>
    </w:p>
    <w:p w14:paraId="42FE28B4">
      <w:pPr>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（二）结果公告发出并经公示后无其它质疑，采购人将以书面形式发出《成交通知书》。《成交通知书》一经发出即发生法律效力</w:t>
      </w:r>
      <w:r>
        <w:rPr>
          <w:rFonts w:hint="eastAsia" w:ascii="微软雅黑" w:hAnsi="微软雅黑" w:eastAsia="微软雅黑" w:cs="微软雅黑"/>
          <w:color w:val="auto"/>
          <w:sz w:val="24"/>
          <w:highlight w:val="none"/>
        </w:rPr>
        <w:t>。</w:t>
      </w:r>
    </w:p>
    <w:p w14:paraId="5456A5E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76BE2BB5">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（四）如有供应商对成交结果提出质疑的，在质疑处理完毕后发出成交通知书。</w:t>
      </w:r>
    </w:p>
    <w:p w14:paraId="08449618">
      <w:pPr>
        <w:pStyle w:val="5"/>
        <w:spacing w:before="0" w:after="0" w:line="240" w:lineRule="auto"/>
        <w:rPr>
          <w:rFonts w:hint="eastAsia" w:ascii="微软雅黑" w:hAnsi="微软雅黑" w:eastAsia="微软雅黑" w:cs="微软雅黑"/>
          <w:color w:val="auto"/>
          <w:sz w:val="24"/>
          <w:szCs w:val="24"/>
          <w:highlight w:val="none"/>
        </w:rPr>
      </w:pPr>
      <w:bookmarkStart w:id="45" w:name="_Toc27090"/>
      <w:r>
        <w:rPr>
          <w:rFonts w:hint="eastAsia" w:ascii="微软雅黑" w:hAnsi="微软雅黑" w:eastAsia="微软雅黑" w:cs="微软雅黑"/>
          <w:color w:val="auto"/>
          <w:sz w:val="24"/>
          <w:szCs w:val="24"/>
          <w:highlight w:val="none"/>
        </w:rPr>
        <w:t>八、关于质疑和投诉</w:t>
      </w:r>
      <w:bookmarkEnd w:id="45"/>
    </w:p>
    <w:p w14:paraId="747ADE10">
      <w:pPr>
        <w:ind w:firstLine="360" w:firstLineChars="150"/>
        <w:rPr>
          <w:rFonts w:ascii="微软雅黑" w:hAnsi="微软雅黑" w:eastAsia="微软雅黑" w:cs="微软雅黑"/>
          <w:color w:val="auto"/>
          <w:sz w:val="24"/>
          <w:szCs w:val="24"/>
          <w:highlight w:val="none"/>
        </w:rPr>
      </w:pPr>
      <w:bookmarkStart w:id="46" w:name="_Toc342913396"/>
      <w:bookmarkStart w:id="47" w:name="_Toc102227322"/>
      <w:r>
        <w:rPr>
          <w:rFonts w:hint="eastAsia" w:ascii="微软雅黑" w:hAnsi="微软雅黑" w:eastAsia="微软雅黑" w:cs="微软雅黑"/>
          <w:color w:val="auto"/>
          <w:sz w:val="24"/>
          <w:szCs w:val="24"/>
          <w:highlight w:val="none"/>
        </w:rPr>
        <w:t>（一）质疑</w:t>
      </w:r>
    </w:p>
    <w:p w14:paraId="05DE84D7">
      <w:pPr>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供应商认为采购文件、采购过程和成交结果使自己的权益收到伤害的，可向采购人以书面形式提出质疑。</w:t>
      </w:r>
    </w:p>
    <w:p w14:paraId="288B1358">
      <w:pPr>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09B1CAFA">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1.质疑时限、内容</w:t>
      </w:r>
    </w:p>
    <w:p w14:paraId="5B762F5F">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4E7398DA">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1.2供应商提出质疑应当提交质疑函和必要的证明材料，质疑函应当包括下列内容：</w:t>
      </w:r>
    </w:p>
    <w:p w14:paraId="47187514">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1.2.1供应商的姓名或者名称、地址、邮编、联系人及联系电话；</w:t>
      </w:r>
    </w:p>
    <w:p w14:paraId="1FBD01D3">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1.2.2质疑项目的名称、项目号以及</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项目编号；</w:t>
      </w:r>
    </w:p>
    <w:p w14:paraId="6044CC51">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1.2.3具体、明确的质疑事项和与质疑事项相关的请求；</w:t>
      </w:r>
    </w:p>
    <w:p w14:paraId="1006FD3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1.2.4事实依据；</w:t>
      </w:r>
    </w:p>
    <w:p w14:paraId="183D671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1.2.5必要的法律依据；</w:t>
      </w:r>
    </w:p>
    <w:p w14:paraId="1119B863">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1.2.6提出质疑的日期；</w:t>
      </w:r>
    </w:p>
    <w:p w14:paraId="4D7CF68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1.2.7营业执照（或事业单位法人证书，或个体工商户营业执照或有效的自然人身份证明、组织机构代码证）复印件；</w:t>
      </w:r>
    </w:p>
    <w:p w14:paraId="29A0002C">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1.2.8法定代表人授权委托书原件、法定代表人身份证复印件和其授权代表的身份证复印件（供应商为自然人的提供自然人身份证复印件）；</w:t>
      </w:r>
    </w:p>
    <w:p w14:paraId="237152CC">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64D7764">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2.质疑答复</w:t>
      </w:r>
    </w:p>
    <w:p w14:paraId="6811B135">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采购人应当在收到供应商的书面质疑后七个工作日内作出答复，并以书面形式通知质疑供应商和其他有关供应商。</w:t>
      </w:r>
    </w:p>
    <w:p w14:paraId="1D6D2B0B">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w:t>
      </w:r>
    </w:p>
    <w:p w14:paraId="72B4E990">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3.1供应商应按照《政府采购质疑和投诉办法》（财政部令第94号）及相关法律法规要求，在法定质疑期内一次性提出针对同一采购程序环节的质疑。</w:t>
      </w:r>
    </w:p>
    <w:p w14:paraId="0D523759">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3.2质疑函范本可在财政部门户网站和中国政府采购网下载。</w:t>
      </w:r>
    </w:p>
    <w:p w14:paraId="422D8C41">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（二）投诉</w:t>
      </w:r>
    </w:p>
    <w:p w14:paraId="038ED8EF">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1.供应商对采购人的答复不满意，或者采购人未在规定时间内作出答复的，可以在答复期满后15个工作日内按照相关法律法规向财政部门提起投诉。</w:t>
      </w:r>
    </w:p>
    <w:p w14:paraId="50730178">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728F2A2">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BE0EF71">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5A28934">
      <w:pPr>
        <w:pStyle w:val="5"/>
        <w:spacing w:before="0" w:after="0" w:line="240" w:lineRule="auto"/>
        <w:rPr>
          <w:rFonts w:hint="eastAsia" w:ascii="微软雅黑" w:hAnsi="微软雅黑" w:eastAsia="微软雅黑" w:cs="微软雅黑"/>
          <w:color w:val="auto"/>
          <w:sz w:val="24"/>
          <w:szCs w:val="24"/>
          <w:highlight w:val="none"/>
          <w:lang w:val="en-US" w:eastAsia="zh-CN"/>
        </w:rPr>
      </w:pPr>
      <w:bookmarkStart w:id="48" w:name="_Toc3590"/>
      <w:r>
        <w:rPr>
          <w:rFonts w:hint="eastAsia" w:ascii="微软雅黑" w:hAnsi="微软雅黑" w:eastAsia="微软雅黑" w:cs="微软雅黑"/>
          <w:color w:val="auto"/>
          <w:sz w:val="24"/>
          <w:szCs w:val="24"/>
          <w:highlight w:val="none"/>
          <w:lang w:val="en-US" w:eastAsia="zh-CN"/>
        </w:rPr>
        <w:t>九、采购代理服务费</w:t>
      </w:r>
      <w:bookmarkEnd w:id="48"/>
    </w:p>
    <w:p w14:paraId="674AB46E">
      <w:pPr>
        <w:ind w:firstLine="480" w:firstLineChars="200"/>
        <w:rPr>
          <w:rFonts w:hint="eastAsia" w:ascii="微软雅黑" w:hAnsi="微软雅黑" w:eastAsia="微软雅黑" w:cs="微软雅黑"/>
          <w:color w:val="auto"/>
          <w:sz w:val="24"/>
          <w:szCs w:val="24"/>
          <w:highlight w:val="none"/>
        </w:rPr>
      </w:pPr>
      <w:bookmarkStart w:id="49" w:name="_Toc5714"/>
      <w:r>
        <w:rPr>
          <w:rFonts w:hint="eastAsia" w:ascii="微软雅黑" w:hAnsi="微软雅黑" w:eastAsia="微软雅黑" w:cs="微软雅黑"/>
          <w:color w:val="auto"/>
          <w:sz w:val="24"/>
          <w:szCs w:val="24"/>
          <w:highlight w:val="none"/>
        </w:rPr>
        <w:t>供应商成交后向采购代理机构缴纳采购代理服务费，采购代理服务费的收取标准按照以下标准执行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如计算后不足三千，最低按照三千计算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p>
    <w:tbl>
      <w:tblPr>
        <w:tblStyle w:val="57"/>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05"/>
        <w:gridCol w:w="1842"/>
        <w:gridCol w:w="1842"/>
      </w:tblGrid>
      <w:tr w14:paraId="18B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2B929375">
            <w:pPr>
              <w:spacing w:line="400" w:lineRule="exact"/>
              <w:ind w:firstLine="949" w:firstLineChars="450"/>
              <w:jc w:val="left"/>
              <w:rPr>
                <w:rFonts w:ascii="方正仿宋_GBK" w:hAnsi="仿宋" w:eastAsia="方正仿宋_GBK" w:cs="仿宋"/>
                <w:b/>
                <w:bCs/>
                <w:color w:val="auto"/>
                <w:sz w:val="21"/>
                <w:szCs w:val="21"/>
                <w:highlight w:val="none"/>
              </w:rPr>
            </w:pPr>
            <w:r>
              <w:rPr>
                <w:rFonts w:ascii="方正仿宋_GBK" w:hAnsi="仿宋" w:eastAsia="方正仿宋_GBK" w:cs="仿宋"/>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1270" cy="1270"/>
                      <wp:effectExtent l="0" t="0" r="0" b="0"/>
                      <wp:wrapNone/>
                      <wp:docPr id="9" name="直接连接符 9"/>
                      <wp:cNvGraphicFramePr/>
                      <a:graphic xmlns:a="http://schemas.openxmlformats.org/drawingml/2006/main">
                        <a:graphicData uri="http://schemas.microsoft.com/office/word/2010/wordprocessingShape">
                          <wps:wsp>
                            <wps:cNvCnPr/>
                            <wps:spPr>
                              <a:xfrm>
                                <a:off x="0" y="0"/>
                                <a:ext cx="127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1pt;width:0.1pt;z-index:251659264;mso-width-relative:page;mso-height-relative:page;" filled="f" stroked="t" coordsize="21600,21600" o:allowincell="f" o:gfxdata="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BgGs9UAAAAIAQAADwAAAAAAAAABACAAAAAiAAAAZHJzL2Rvd25yZXYueG1sUEsBAhQAFAAAAAgA&#10;h07iQEm3GsPvAQAA5gMAAA4AAAAAAAAAAQAgAAAAJAEAAGRycy9lMm9Eb2MueG1sUEsFBgAAAAAG&#10;AAYAWQEAAIUFAAAAAA==&#10;">
                      <v:fill on="f" focussize="0,0"/>
                      <v:stroke color="#000000" joinstyle="round"/>
                      <v:imagedata o:title=""/>
                      <o:lock v:ext="edit" aspectratio="f"/>
                    </v:line>
                  </w:pict>
                </mc:Fallback>
              </mc:AlternateContent>
            </w:r>
            <w:r>
              <w:rPr>
                <w:rFonts w:hint="eastAsia" w:ascii="方正仿宋_GBK" w:hAnsi="仿宋" w:eastAsia="方正仿宋_GBK" w:cs="仿宋"/>
                <w:b/>
                <w:bCs/>
                <w:color w:val="auto"/>
                <w:sz w:val="21"/>
                <w:szCs w:val="21"/>
                <w:highlight w:val="none"/>
              </w:rPr>
              <w:t>招标类型</w:t>
            </w:r>
          </w:p>
          <w:p w14:paraId="3AA18E9E">
            <w:pPr>
              <w:spacing w:line="400" w:lineRule="exact"/>
              <w:ind w:firstLine="316" w:firstLineChars="150"/>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金额（万元）</w:t>
            </w:r>
          </w:p>
        </w:tc>
        <w:tc>
          <w:tcPr>
            <w:tcW w:w="1905" w:type="dxa"/>
            <w:vAlign w:val="center"/>
          </w:tcPr>
          <w:p w14:paraId="0DF2A2EB">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货物招标</w:t>
            </w:r>
          </w:p>
        </w:tc>
        <w:tc>
          <w:tcPr>
            <w:tcW w:w="1842" w:type="dxa"/>
            <w:vAlign w:val="center"/>
          </w:tcPr>
          <w:p w14:paraId="4F365AA5">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服务招标</w:t>
            </w:r>
          </w:p>
        </w:tc>
        <w:tc>
          <w:tcPr>
            <w:tcW w:w="1842" w:type="dxa"/>
            <w:vAlign w:val="center"/>
          </w:tcPr>
          <w:p w14:paraId="21513F53">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工程招标</w:t>
            </w:r>
          </w:p>
        </w:tc>
      </w:tr>
      <w:tr w14:paraId="06B9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7C6C79A">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100以下</w:t>
            </w:r>
          </w:p>
        </w:tc>
        <w:tc>
          <w:tcPr>
            <w:tcW w:w="1905" w:type="dxa"/>
            <w:vAlign w:val="center"/>
          </w:tcPr>
          <w:p w14:paraId="595EDAB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1.5%</w:t>
            </w:r>
          </w:p>
        </w:tc>
        <w:tc>
          <w:tcPr>
            <w:tcW w:w="1842" w:type="dxa"/>
            <w:vAlign w:val="center"/>
          </w:tcPr>
          <w:p w14:paraId="7B3A162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1.5%</w:t>
            </w:r>
          </w:p>
        </w:tc>
        <w:tc>
          <w:tcPr>
            <w:tcW w:w="1842" w:type="dxa"/>
            <w:vAlign w:val="center"/>
          </w:tcPr>
          <w:p w14:paraId="4B2203C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w:t>
            </w:r>
          </w:p>
        </w:tc>
      </w:tr>
      <w:tr w14:paraId="619F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17CFF19">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100-500</w:t>
            </w:r>
          </w:p>
        </w:tc>
        <w:tc>
          <w:tcPr>
            <w:tcW w:w="1905" w:type="dxa"/>
            <w:vAlign w:val="center"/>
          </w:tcPr>
          <w:p w14:paraId="47F6D12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1.1%</w:t>
            </w:r>
          </w:p>
        </w:tc>
        <w:tc>
          <w:tcPr>
            <w:tcW w:w="1842" w:type="dxa"/>
            <w:vAlign w:val="center"/>
          </w:tcPr>
          <w:p w14:paraId="63A0DBA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0.8%</w:t>
            </w:r>
          </w:p>
        </w:tc>
        <w:tc>
          <w:tcPr>
            <w:tcW w:w="1842" w:type="dxa"/>
            <w:vAlign w:val="center"/>
          </w:tcPr>
          <w:p w14:paraId="79557BB1">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0.7%</w:t>
            </w:r>
          </w:p>
        </w:tc>
      </w:tr>
      <w:tr w14:paraId="3C2B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5262F0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500-1000</w:t>
            </w:r>
          </w:p>
        </w:tc>
        <w:tc>
          <w:tcPr>
            <w:tcW w:w="1905" w:type="dxa"/>
            <w:vAlign w:val="center"/>
          </w:tcPr>
          <w:p w14:paraId="5F5D1E91">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0.8%</w:t>
            </w:r>
          </w:p>
        </w:tc>
        <w:tc>
          <w:tcPr>
            <w:tcW w:w="1842" w:type="dxa"/>
            <w:vAlign w:val="center"/>
          </w:tcPr>
          <w:p w14:paraId="2091C833">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0.45%</w:t>
            </w:r>
          </w:p>
        </w:tc>
        <w:tc>
          <w:tcPr>
            <w:tcW w:w="1842" w:type="dxa"/>
            <w:vAlign w:val="center"/>
          </w:tcPr>
          <w:p w14:paraId="3774DBFC">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0.55%</w:t>
            </w:r>
          </w:p>
        </w:tc>
      </w:tr>
      <w:tr w14:paraId="74F8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430A49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1000-5000</w:t>
            </w:r>
          </w:p>
        </w:tc>
        <w:tc>
          <w:tcPr>
            <w:tcW w:w="1905" w:type="dxa"/>
            <w:vAlign w:val="center"/>
          </w:tcPr>
          <w:p w14:paraId="71424BE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0.5%</w:t>
            </w:r>
          </w:p>
        </w:tc>
        <w:tc>
          <w:tcPr>
            <w:tcW w:w="1842" w:type="dxa"/>
            <w:vAlign w:val="center"/>
          </w:tcPr>
          <w:p w14:paraId="476119BE">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0.25%</w:t>
            </w:r>
          </w:p>
        </w:tc>
        <w:tc>
          <w:tcPr>
            <w:tcW w:w="1842" w:type="dxa"/>
            <w:vAlign w:val="center"/>
          </w:tcPr>
          <w:p w14:paraId="2DC88AF2">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0.35%</w:t>
            </w:r>
          </w:p>
        </w:tc>
      </w:tr>
      <w:tr w14:paraId="6882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9DB557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5000-10000</w:t>
            </w:r>
          </w:p>
        </w:tc>
        <w:tc>
          <w:tcPr>
            <w:tcW w:w="1905" w:type="dxa"/>
            <w:vAlign w:val="center"/>
          </w:tcPr>
          <w:p w14:paraId="7C4154CA">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0.25%</w:t>
            </w:r>
          </w:p>
        </w:tc>
        <w:tc>
          <w:tcPr>
            <w:tcW w:w="1842" w:type="dxa"/>
            <w:vAlign w:val="center"/>
          </w:tcPr>
          <w:p w14:paraId="5059437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0.1%</w:t>
            </w:r>
          </w:p>
        </w:tc>
        <w:tc>
          <w:tcPr>
            <w:tcW w:w="1842" w:type="dxa"/>
            <w:vAlign w:val="center"/>
          </w:tcPr>
          <w:p w14:paraId="00C9F072">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w:t>
            </w:r>
          </w:p>
        </w:tc>
      </w:tr>
      <w:tr w14:paraId="17D9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633A564">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10000-100000</w:t>
            </w:r>
          </w:p>
        </w:tc>
        <w:tc>
          <w:tcPr>
            <w:tcW w:w="1905" w:type="dxa"/>
            <w:vAlign w:val="center"/>
          </w:tcPr>
          <w:p w14:paraId="06E31EB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c>
          <w:tcPr>
            <w:tcW w:w="1842" w:type="dxa"/>
            <w:vAlign w:val="center"/>
          </w:tcPr>
          <w:p w14:paraId="506D58B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c>
          <w:tcPr>
            <w:tcW w:w="1842" w:type="dxa"/>
            <w:vAlign w:val="center"/>
          </w:tcPr>
          <w:p w14:paraId="33ABCD19">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r>
    </w:tbl>
    <w:p w14:paraId="03B78CB7">
      <w:pPr>
        <w:ind w:firstLine="480" w:firstLineChars="200"/>
        <w:rPr>
          <w:rFonts w:hint="eastAsia" w:ascii="微软雅黑" w:hAnsi="微软雅黑" w:eastAsia="微软雅黑" w:cs="微软雅黑"/>
          <w:color w:val="auto"/>
          <w:sz w:val="24"/>
          <w:szCs w:val="24"/>
          <w:highlight w:val="none"/>
        </w:rPr>
      </w:pPr>
    </w:p>
    <w:p w14:paraId="2EAAD8C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注：采购代理服务收费按差额定率累进法计算。例如：某货物采购代理业务中标金额为1000万元，计算采购代理服务收费额如下：</w:t>
      </w:r>
    </w:p>
    <w:p w14:paraId="2A7D834E">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100万元×1.5%=1.5万元</w:t>
      </w:r>
    </w:p>
    <w:p w14:paraId="4C4ADFAA">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（500-100）万元×1.1%=4.4万元</w:t>
      </w:r>
    </w:p>
    <w:p w14:paraId="4CB3AD2D">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（1000-500）×0.8%=4万元</w:t>
      </w:r>
    </w:p>
    <w:p w14:paraId="733C9670">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合计收费=1.5+4.4+4=9.9（万元）</w:t>
      </w:r>
    </w:p>
    <w:bookmarkEnd w:id="49"/>
    <w:p w14:paraId="4D43E4B8">
      <w:pPr>
        <w:pStyle w:val="5"/>
        <w:spacing w:before="0" w:after="0" w:line="240" w:lineRule="auto"/>
        <w:rPr>
          <w:rFonts w:hint="eastAsia" w:ascii="微软雅黑" w:hAnsi="微软雅黑" w:eastAsia="微软雅黑" w:cs="微软雅黑"/>
          <w:color w:val="auto"/>
          <w:sz w:val="24"/>
          <w:szCs w:val="24"/>
          <w:highlight w:val="none"/>
        </w:rPr>
      </w:pPr>
      <w:bookmarkStart w:id="50" w:name="_Toc25967"/>
      <w:r>
        <w:rPr>
          <w:rFonts w:hint="eastAsia" w:ascii="微软雅黑" w:hAnsi="微软雅黑" w:eastAsia="微软雅黑" w:cs="微软雅黑"/>
          <w:color w:val="auto"/>
          <w:sz w:val="24"/>
          <w:szCs w:val="24"/>
          <w:highlight w:val="none"/>
          <w:lang w:val="en-US" w:eastAsia="zh-CN"/>
        </w:rPr>
        <w:t>十</w:t>
      </w:r>
      <w:r>
        <w:rPr>
          <w:rFonts w:hint="eastAsia" w:ascii="微软雅黑" w:hAnsi="微软雅黑" w:eastAsia="微软雅黑" w:cs="微软雅黑"/>
          <w:color w:val="auto"/>
          <w:sz w:val="24"/>
          <w:szCs w:val="24"/>
          <w:highlight w:val="none"/>
        </w:rPr>
        <w:t>、签订合同</w:t>
      </w:r>
      <w:bookmarkEnd w:id="50"/>
    </w:p>
    <w:p w14:paraId="53C3217A">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（一）采购人应当自成交通知书发出之日起三十日内，按照竞争性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文件和成交供应商响应文件的约定，与成交供应商签订书面合同。所签订的合同不得对竞争性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文件和供应商的响应文件作实质性修改。</w:t>
      </w:r>
    </w:p>
    <w:p w14:paraId="76A03ACB">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（二）采购人应当自政府采购合同签订之日起2个工作日内，将政府采购合同在重庆市政府采购云平台上公告，但政府采购合同中涉及国家秘密、商业秘密的内容除外。</w:t>
      </w:r>
    </w:p>
    <w:p w14:paraId="5819A28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文件、供应商的响应文件及澄清文件等，均为签订政府采购合同的依据。</w:t>
      </w:r>
    </w:p>
    <w:p w14:paraId="1F2C448E">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（四）合同生效条款由供需双方约定，法律、行政法规规定应当办理批准、登记等手续后生效的合同，依照其规定。</w:t>
      </w:r>
    </w:p>
    <w:p w14:paraId="271EF7F0">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（五）合同原则上应按照《重庆市政府采购合同》签订，相关单位要求适用合同通用格式版本的，应按其要求另行签订其他合同。</w:t>
      </w:r>
    </w:p>
    <w:p w14:paraId="6E413689">
      <w:pPr>
        <w:ind w:firstLine="360" w:firstLineChars="15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（六）采购人要求成交供应商提供履约保证金的，应当在竞争性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文件中予以约定。成交供应商履约完毕后，采购人应于五日内无息退还其履约保证金。</w:t>
      </w:r>
    </w:p>
    <w:p w14:paraId="703C5C39">
      <w:pPr>
        <w:pStyle w:val="5"/>
        <w:spacing w:before="0" w:after="0" w:line="240" w:lineRule="auto"/>
        <w:rPr>
          <w:rFonts w:hint="eastAsia" w:ascii="微软雅黑" w:hAnsi="微软雅黑" w:eastAsia="微软雅黑" w:cs="微软雅黑"/>
          <w:color w:val="auto"/>
          <w:sz w:val="24"/>
          <w:highlight w:val="none"/>
        </w:rPr>
      </w:pPr>
      <w:bookmarkStart w:id="51" w:name="_Toc29079"/>
      <w:r>
        <w:rPr>
          <w:rFonts w:hint="eastAsia" w:ascii="微软雅黑" w:hAnsi="微软雅黑" w:eastAsia="微软雅黑" w:cs="微软雅黑"/>
          <w:color w:val="auto"/>
          <w:sz w:val="24"/>
          <w:szCs w:val="24"/>
          <w:highlight w:val="none"/>
        </w:rPr>
        <w:t>十</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w:t>
      </w:r>
      <w:bookmarkEnd w:id="46"/>
      <w:bookmarkEnd w:id="47"/>
      <w:r>
        <w:rPr>
          <w:rFonts w:hint="eastAsia" w:ascii="微软雅黑" w:hAnsi="微软雅黑" w:eastAsia="微软雅黑" w:cs="微软雅黑"/>
          <w:color w:val="auto"/>
          <w:sz w:val="24"/>
          <w:highlight w:val="none"/>
        </w:rPr>
        <w:t>政府采购信用融资</w:t>
      </w:r>
      <w:bookmarkEnd w:id="51"/>
    </w:p>
    <w:p w14:paraId="428B746D">
      <w:pPr>
        <w:ind w:firstLine="480" w:firstLineChars="200"/>
        <w:rPr>
          <w:rFonts w:hint="eastAsia"/>
          <w:color w:val="auto"/>
          <w:highlight w:val="none"/>
        </w:rPr>
      </w:pPr>
      <w:r>
        <w:rPr>
          <w:rFonts w:hint="eastAsia" w:ascii="微软雅黑" w:hAnsi="微软雅黑" w:eastAsia="微软雅黑" w:cs="微软雅黑"/>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B51341C">
      <w:pPr>
        <w:rPr>
          <w:rFonts w:hint="eastAsia" w:ascii="微软雅黑" w:hAnsi="微软雅黑" w:eastAsia="微软雅黑" w:cs="微软雅黑"/>
          <w:b w:val="0"/>
          <w:color w:val="auto"/>
          <w:sz w:val="36"/>
          <w:szCs w:val="30"/>
          <w:highlight w:val="none"/>
        </w:rPr>
      </w:pPr>
    </w:p>
    <w:p w14:paraId="7AAFCBDA">
      <w:pPr>
        <w:pStyle w:val="4"/>
        <w:spacing w:before="0" w:after="0" w:line="240" w:lineRule="auto"/>
        <w:ind w:firstLine="2160" w:firstLineChars="600"/>
        <w:jc w:val="both"/>
        <w:rPr>
          <w:rFonts w:hint="eastAsia" w:ascii="微软雅黑" w:hAnsi="微软雅黑" w:eastAsia="微软雅黑" w:cs="微软雅黑"/>
          <w:b w:val="0"/>
          <w:color w:val="auto"/>
          <w:sz w:val="30"/>
          <w:szCs w:val="30"/>
          <w:highlight w:val="none"/>
        </w:rPr>
      </w:pPr>
      <w:bookmarkStart w:id="52" w:name="_Toc15018"/>
      <w:r>
        <w:rPr>
          <w:rFonts w:hint="eastAsia" w:ascii="微软雅黑" w:hAnsi="微软雅黑" w:eastAsia="微软雅黑" w:cs="微软雅黑"/>
          <w:b w:val="0"/>
          <w:color w:val="auto"/>
          <w:sz w:val="36"/>
          <w:szCs w:val="30"/>
          <w:highlight w:val="none"/>
        </w:rPr>
        <w:t xml:space="preserve">第三篇  </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项目服务需求</w:t>
      </w:r>
      <w:bookmarkEnd w:id="52"/>
    </w:p>
    <w:p w14:paraId="56DDE742">
      <w:pPr>
        <w:pStyle w:val="5"/>
        <w:spacing w:before="0" w:after="0" w:line="400" w:lineRule="exact"/>
        <w:rPr>
          <w:rFonts w:hint="eastAsia" w:ascii="微软雅黑" w:hAnsi="微软雅黑" w:eastAsia="微软雅黑"/>
          <w:color w:val="auto"/>
          <w:sz w:val="24"/>
          <w:szCs w:val="24"/>
          <w:highlight w:val="none"/>
        </w:rPr>
      </w:pPr>
      <w:bookmarkStart w:id="53" w:name="_Toc313536013"/>
      <w:bookmarkStart w:id="54" w:name="_Toc344475116"/>
      <w:bookmarkStart w:id="55" w:name="_Toc21511823"/>
      <w:bookmarkStart w:id="56" w:name="_Toc26813"/>
      <w:bookmarkStart w:id="57" w:name="_Toc12789058"/>
      <w:r>
        <w:rPr>
          <w:rFonts w:hint="eastAsia" w:ascii="微软雅黑" w:hAnsi="微软雅黑" w:eastAsia="微软雅黑"/>
          <w:color w:val="auto"/>
          <w:sz w:val="24"/>
          <w:szCs w:val="24"/>
          <w:highlight w:val="none"/>
        </w:rPr>
        <w:t>一、服务及质量要求</w:t>
      </w:r>
      <w:bookmarkEnd w:id="53"/>
      <w:bookmarkEnd w:id="54"/>
      <w:bookmarkEnd w:id="55"/>
      <w:bookmarkEnd w:id="56"/>
    </w:p>
    <w:p w14:paraId="6656BE4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1.项目基本概况：</w:t>
      </w:r>
      <w:r>
        <w:rPr>
          <w:rFonts w:hint="eastAsia" w:ascii="微软雅黑" w:hAnsi="微软雅黑" w:eastAsia="微软雅黑"/>
          <w:color w:val="auto"/>
          <w:sz w:val="24"/>
          <w:szCs w:val="24"/>
          <w:highlight w:val="none"/>
          <w:lang w:eastAsia="zh-CN"/>
        </w:rPr>
        <w:t>重庆市食品药品检验检测研究院一分院</w:t>
      </w:r>
      <w:r>
        <w:rPr>
          <w:rFonts w:hint="eastAsia" w:ascii="微软雅黑" w:hAnsi="微软雅黑" w:eastAsia="微软雅黑"/>
          <w:color w:val="auto"/>
          <w:sz w:val="24"/>
          <w:szCs w:val="24"/>
          <w:highlight w:val="none"/>
        </w:rPr>
        <w:t>位于天城镇茅谷村8、9组（龙溪支路），占地20亩，办公楼面积约12240平方米。</w:t>
      </w:r>
    </w:p>
    <w:p w14:paraId="1FD1338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2．办公楼物业管理范围及服务时间</w:t>
      </w:r>
    </w:p>
    <w:p w14:paraId="4353A7D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2.1房屋建筑本体配套设施的运行和管理。</w:t>
      </w:r>
    </w:p>
    <w:p w14:paraId="5C5A9AD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2.2建筑物及附属设施设备（含道闸以内的不属市政管理的市政公用设施）的日常管理、维护、养护。</w:t>
      </w:r>
    </w:p>
    <w:p w14:paraId="1616491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2.3物业管理区域内设施设备日常运行管理、维护工作。包括：供配电系统、消防系统、电梯系统、照明系统、给排水系统、智能化系统（含安防系统、监控系统、门禁系统、楼宇控制系统、音响系统等）、弱电系统、防雷设施等所有设施设备。</w:t>
      </w:r>
    </w:p>
    <w:p w14:paraId="4534FB6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2.4物业管理区域内的日常安全防范、报事报修处置、消防管理、安全监控、巡逻、门岗值勤等。</w:t>
      </w:r>
    </w:p>
    <w:p w14:paraId="61EBBEF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2.5物业管理区域内的交通秩序与车辆停放的管理。</w:t>
      </w:r>
    </w:p>
    <w:p w14:paraId="6FB750CB">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2.6物业管理区域内环境卫生的维护。包括办公大楼所含公共区域、房屋公共部分的日常清洁卫生；车库、车道及道闸以内的所有公共区域保洁；会议室、茶水室、接待厅、值班室等室内保洁；生活垃圾（含食品药品样品处置、餐厨垃圾及</w:t>
      </w:r>
      <w:r>
        <w:rPr>
          <w:rFonts w:ascii="微软雅黑" w:hAnsi="微软雅黑" w:eastAsia="微软雅黑"/>
          <w:color w:val="auto"/>
          <w:sz w:val="24"/>
          <w:szCs w:val="24"/>
          <w:highlight w:val="none"/>
        </w:rPr>
        <w:t>食堂潲水</w:t>
      </w:r>
      <w:r>
        <w:rPr>
          <w:rFonts w:hint="eastAsia" w:ascii="微软雅黑" w:hAnsi="微软雅黑" w:eastAsia="微软雅黑"/>
          <w:color w:val="auto"/>
          <w:sz w:val="24"/>
          <w:szCs w:val="24"/>
          <w:highlight w:val="none"/>
        </w:rPr>
        <w:t>）清理；灭鼠（1年2次）；沼气池处理（1年至少1次）等。</w:t>
      </w:r>
    </w:p>
    <w:p w14:paraId="0E424234">
      <w:pPr>
        <w:pStyle w:val="2"/>
        <w:keepNext w:val="0"/>
        <w:keepLines w:val="0"/>
        <w:pageBreakBefore w:val="0"/>
        <w:widowControl w:val="0"/>
        <w:kinsoku/>
        <w:wordWrap/>
        <w:overflowPunct/>
        <w:topLinePunct w:val="0"/>
        <w:autoSpaceDE/>
        <w:autoSpaceDN/>
        <w:bidi w:val="0"/>
        <w:adjustRightInd/>
        <w:spacing w:line="240" w:lineRule="auto"/>
        <w:ind w:left="0" w:leftChars="0" w:firstLine="480" w:firstLineChars="200"/>
        <w:textAlignment w:val="auto"/>
        <w:rPr>
          <w:rFonts w:hint="default"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2.7 物业管理区域内的检验室辅助工作。</w:t>
      </w:r>
    </w:p>
    <w:p w14:paraId="3A9232E1">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i w:val="0"/>
          <w:iCs w:val="0"/>
          <w:color w:val="auto"/>
          <w:sz w:val="24"/>
          <w:szCs w:val="24"/>
          <w:highlight w:val="none"/>
        </w:rPr>
        <w:t>2.</w:t>
      </w:r>
      <w:r>
        <w:rPr>
          <w:rFonts w:hint="eastAsia" w:ascii="微软雅黑" w:hAnsi="微软雅黑" w:eastAsia="微软雅黑"/>
          <w:i w:val="0"/>
          <w:iCs w:val="0"/>
          <w:color w:val="auto"/>
          <w:sz w:val="24"/>
          <w:szCs w:val="24"/>
          <w:highlight w:val="none"/>
          <w:lang w:val="en-US" w:eastAsia="zh-CN"/>
        </w:rPr>
        <w:t>8</w:t>
      </w:r>
      <w:r>
        <w:rPr>
          <w:rFonts w:hint="eastAsia" w:ascii="微软雅黑" w:hAnsi="微软雅黑" w:eastAsia="微软雅黑"/>
          <w:i w:val="0"/>
          <w:iCs w:val="0"/>
          <w:color w:val="auto"/>
          <w:sz w:val="24"/>
          <w:szCs w:val="24"/>
          <w:highlight w:val="none"/>
        </w:rPr>
        <w:t>物业档案资料的完善及</w:t>
      </w:r>
      <w:r>
        <w:rPr>
          <w:rFonts w:hint="eastAsia" w:ascii="微软雅黑" w:hAnsi="微软雅黑" w:eastAsia="微软雅黑"/>
          <w:color w:val="auto"/>
          <w:sz w:val="24"/>
          <w:szCs w:val="24"/>
          <w:highlight w:val="none"/>
        </w:rPr>
        <w:t>保管。</w:t>
      </w:r>
    </w:p>
    <w:p w14:paraId="5DD5080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lang w:val="en-US" w:eastAsia="zh-CN"/>
        </w:rPr>
        <w:t>9</w:t>
      </w:r>
      <w:r>
        <w:rPr>
          <w:rFonts w:hint="eastAsia" w:ascii="微软雅黑" w:hAnsi="微软雅黑" w:eastAsia="微软雅黑"/>
          <w:color w:val="auto"/>
          <w:sz w:val="24"/>
          <w:szCs w:val="24"/>
          <w:highlight w:val="none"/>
        </w:rPr>
        <w:t>突发公共事件的应变处置及应急措施。</w:t>
      </w:r>
    </w:p>
    <w:p w14:paraId="1F3F5435">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lang w:val="en-US" w:eastAsia="zh-CN"/>
        </w:rPr>
        <w:t>10</w:t>
      </w:r>
      <w:r>
        <w:rPr>
          <w:rFonts w:hint="eastAsia" w:ascii="微软雅黑" w:hAnsi="微软雅黑" w:eastAsia="微软雅黑"/>
          <w:color w:val="auto"/>
          <w:sz w:val="24"/>
          <w:szCs w:val="24"/>
          <w:highlight w:val="none"/>
        </w:rPr>
        <w:t>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做好节能工作。</w:t>
      </w:r>
    </w:p>
    <w:p w14:paraId="69223F08">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w:t>
      </w:r>
      <w:r>
        <w:rPr>
          <w:rFonts w:hint="eastAsia" w:ascii="微软雅黑" w:hAnsi="微软雅黑" w:eastAsia="微软雅黑"/>
          <w:color w:val="auto"/>
          <w:sz w:val="24"/>
          <w:szCs w:val="24"/>
          <w:highlight w:val="none"/>
          <w:lang w:val="en-US" w:eastAsia="zh-CN"/>
        </w:rPr>
        <w:t>1</w:t>
      </w:r>
      <w:r>
        <w:rPr>
          <w:rFonts w:hint="eastAsia" w:ascii="微软雅黑" w:hAnsi="微软雅黑" w:eastAsia="微软雅黑"/>
          <w:color w:val="auto"/>
          <w:sz w:val="24"/>
          <w:szCs w:val="24"/>
          <w:highlight w:val="none"/>
        </w:rPr>
        <w:t>法律政策规定及合同规定的其他服务事项。</w:t>
      </w:r>
    </w:p>
    <w:p w14:paraId="343920F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w:t>
      </w:r>
      <w:r>
        <w:rPr>
          <w:rFonts w:hint="eastAsia" w:ascii="微软雅黑" w:hAnsi="微软雅黑" w:eastAsia="微软雅黑"/>
          <w:color w:val="auto"/>
          <w:sz w:val="24"/>
          <w:szCs w:val="24"/>
          <w:highlight w:val="none"/>
          <w:lang w:val="en-US" w:eastAsia="zh-CN"/>
        </w:rPr>
        <w:t>2</w:t>
      </w:r>
      <w:r>
        <w:rPr>
          <w:rFonts w:hint="eastAsia" w:ascii="微软雅黑" w:hAnsi="微软雅黑" w:eastAsia="微软雅黑"/>
          <w:color w:val="auto"/>
          <w:sz w:val="24"/>
          <w:szCs w:val="24"/>
          <w:highlight w:val="none"/>
        </w:rPr>
        <w:t>服务期限：一年；</w:t>
      </w:r>
    </w:p>
    <w:p w14:paraId="27A592A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3.岗位设置、人员要求、岗位职责</w:t>
      </w:r>
    </w:p>
    <w:p w14:paraId="5A4156C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3.1项目主管</w:t>
      </w:r>
      <w:r>
        <w:rPr>
          <w:rFonts w:hint="eastAsia" w:ascii="微软雅黑" w:hAnsi="微软雅黑" w:eastAsia="微软雅黑"/>
          <w:color w:val="auto"/>
          <w:sz w:val="24"/>
          <w:szCs w:val="24"/>
          <w:highlight w:val="none"/>
          <w:lang w:eastAsia="zh-CN"/>
        </w:rPr>
        <w:t>兼</w:t>
      </w:r>
      <w:r>
        <w:rPr>
          <w:rFonts w:hint="eastAsia" w:ascii="微软雅黑" w:hAnsi="微软雅黑" w:eastAsia="微软雅黑"/>
          <w:color w:val="auto"/>
          <w:sz w:val="24"/>
          <w:szCs w:val="24"/>
          <w:highlight w:val="none"/>
        </w:rPr>
        <w:t>工程（含水电）维修人员：配备1名。</w:t>
      </w:r>
    </w:p>
    <w:p w14:paraId="22A400C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b/>
          <w:color w:val="auto"/>
          <w:sz w:val="24"/>
          <w:szCs w:val="24"/>
          <w:highlight w:val="none"/>
        </w:rPr>
        <w:t>*</w:t>
      </w:r>
      <w:r>
        <w:rPr>
          <w:rFonts w:hint="eastAsia" w:ascii="微软雅黑" w:hAnsi="微软雅黑" w:eastAsia="微软雅黑"/>
          <w:color w:val="auto"/>
          <w:sz w:val="24"/>
          <w:szCs w:val="24"/>
          <w:highlight w:val="none"/>
        </w:rPr>
        <w:t>3.1.1人员要求：</w:t>
      </w:r>
      <w:r>
        <w:rPr>
          <w:rFonts w:hint="eastAsia" w:ascii="微软雅黑" w:hAnsi="微软雅黑" w:eastAsia="微软雅黑"/>
          <w:color w:val="auto"/>
          <w:sz w:val="24"/>
          <w:szCs w:val="24"/>
          <w:highlight w:val="none"/>
          <w:lang w:val="en-US" w:eastAsia="zh-CN"/>
        </w:rPr>
        <w:t>55</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w:t>
      </w:r>
      <w:r>
        <w:rPr>
          <w:rFonts w:hint="eastAsia" w:ascii="微软雅黑" w:hAnsi="微软雅黑" w:eastAsia="微软雅黑"/>
          <w:color w:val="auto"/>
          <w:sz w:val="24"/>
          <w:szCs w:val="24"/>
          <w:highlight w:val="none"/>
          <w:lang w:eastAsia="zh-CN"/>
        </w:rPr>
        <w:t>男性，</w:t>
      </w:r>
      <w:r>
        <w:rPr>
          <w:rFonts w:hint="eastAsia" w:ascii="微软雅黑" w:hAnsi="微软雅黑" w:eastAsia="微软雅黑"/>
          <w:color w:val="auto"/>
          <w:sz w:val="24"/>
          <w:szCs w:val="24"/>
          <w:highlight w:val="none"/>
        </w:rPr>
        <w:t>有敬业精神，能吃苦、责任心强，具有熟悉智能化、高压供电、机电、电梯等专业知识，对各类设备设施系统的日常维护具备一定的处理及应对能力，有较强的自律能力及沟通能力，必须持相关专业证书上岗操作 。有较强的组织、协调、策划、调研、分析能力，对事业单位物业服务工作有独到的见解。</w:t>
      </w:r>
    </w:p>
    <w:p w14:paraId="3AF7487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3.1.2岗位职责</w:t>
      </w:r>
    </w:p>
    <w:p w14:paraId="6464DDB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3.1.2.1全面负责本区域的各项工作，严格执行</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和物业管理公司下达的指示的交办的任务。忠于职守，以身作则。对下属员工的安全作业、工作质量、物料消耗、设备等负有管理责任。</w:t>
      </w:r>
    </w:p>
    <w:p w14:paraId="6AE1B7A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3.1.2.2熟悉</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范围内的工作任务、工作计划，了解各岗位的操作规程。安排班次，分配工作，检查员工的工作质量。对各岗位员工的仪表仪容、遵章守纪、礼貌服务、业务技能等方面进行培训。</w:t>
      </w:r>
    </w:p>
    <w:p w14:paraId="6F7D251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3.1.2.3主持</w:t>
      </w:r>
      <w:r>
        <w:rPr>
          <w:rFonts w:hint="eastAsia" w:ascii="微软雅黑" w:hAnsi="微软雅黑" w:eastAsia="微软雅黑"/>
          <w:color w:val="auto"/>
          <w:sz w:val="24"/>
          <w:szCs w:val="24"/>
          <w:highlight w:val="none"/>
          <w:lang w:eastAsia="zh-CN"/>
        </w:rPr>
        <w:t>物业</w:t>
      </w:r>
      <w:r>
        <w:rPr>
          <w:rFonts w:hint="eastAsia" w:ascii="微软雅黑" w:hAnsi="微软雅黑" w:eastAsia="微软雅黑"/>
          <w:color w:val="auto"/>
          <w:sz w:val="24"/>
          <w:szCs w:val="24"/>
          <w:highlight w:val="none"/>
        </w:rPr>
        <w:t>日常管理工作。根据现场的实际情况，制定和落实物业管理工作的改进措施，负责月度、季度的品质大检查及配合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或有关部门领导的检查。及时处理有关工作方面的投诉。</w:t>
      </w:r>
    </w:p>
    <w:p w14:paraId="26C853F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3.1.2.4负责召开定期例会，检查工作落实情况，布置安排工作任务，协调员工间的关系，就管理执行中发现的问题作出整改方案，并按权限范围及程序上报相关部门。</w:t>
      </w:r>
    </w:p>
    <w:p w14:paraId="0D403B9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3.1.2.5</w:t>
      </w:r>
      <w:r>
        <w:rPr>
          <w:rFonts w:hint="eastAsia" w:ascii="微软雅黑" w:hAnsi="微软雅黑" w:eastAsia="微软雅黑"/>
          <w:color w:val="auto"/>
          <w:sz w:val="24"/>
          <w:szCs w:val="24"/>
          <w:highlight w:val="none"/>
        </w:rPr>
        <w:t>负责办公楼公共设施设备日常巡视、维修、保养，保证设施设备正常运行。</w:t>
      </w:r>
    </w:p>
    <w:p w14:paraId="6542320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3.1.2.6</w:t>
      </w:r>
      <w:r>
        <w:rPr>
          <w:rFonts w:hint="eastAsia" w:ascii="微软雅黑" w:hAnsi="微软雅黑" w:eastAsia="微软雅黑"/>
          <w:color w:val="auto"/>
          <w:sz w:val="24"/>
          <w:szCs w:val="24"/>
          <w:highlight w:val="none"/>
        </w:rPr>
        <w:t>根据维修单工作内容依据维修服务程序开展工作。</w:t>
      </w:r>
    </w:p>
    <w:p w14:paraId="48553C9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3.1.2.7</w:t>
      </w:r>
      <w:r>
        <w:rPr>
          <w:rFonts w:hint="eastAsia" w:ascii="微软雅黑" w:hAnsi="微软雅黑" w:eastAsia="微软雅黑"/>
          <w:color w:val="auto"/>
          <w:sz w:val="24"/>
          <w:szCs w:val="24"/>
          <w:highlight w:val="none"/>
        </w:rPr>
        <w:t>熟练掌握设备的操作规程和技术性能，优质高效地完成维修养护任务和质量记录工作。</w:t>
      </w:r>
    </w:p>
    <w:p w14:paraId="72AE4A8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3.1.2.8</w:t>
      </w:r>
      <w:r>
        <w:rPr>
          <w:rFonts w:hint="eastAsia" w:ascii="微软雅黑" w:hAnsi="微软雅黑" w:eastAsia="微软雅黑"/>
          <w:color w:val="auto"/>
          <w:sz w:val="24"/>
          <w:szCs w:val="24"/>
          <w:highlight w:val="none"/>
        </w:rPr>
        <w:t>保持责任区域内的清洁卫生、安全。</w:t>
      </w:r>
    </w:p>
    <w:p w14:paraId="67F5A85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3.1.2.9</w:t>
      </w:r>
      <w:r>
        <w:rPr>
          <w:rFonts w:hint="eastAsia" w:ascii="微软雅黑" w:hAnsi="微软雅黑" w:eastAsia="微软雅黑"/>
          <w:color w:val="auto"/>
          <w:sz w:val="24"/>
          <w:szCs w:val="24"/>
          <w:highlight w:val="none"/>
        </w:rPr>
        <w:t>负责给排水的设备运行、监控、维护、保养、记录工作。</w:t>
      </w:r>
    </w:p>
    <w:p w14:paraId="10CE4B5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3.1.2.10</w:t>
      </w:r>
      <w:r>
        <w:rPr>
          <w:rFonts w:hint="eastAsia" w:ascii="微软雅黑" w:hAnsi="微软雅黑" w:eastAsia="微软雅黑"/>
          <w:color w:val="auto"/>
          <w:sz w:val="24"/>
          <w:szCs w:val="24"/>
          <w:highlight w:val="none"/>
        </w:rPr>
        <w:t>定期对物业管辖区域的电器、建筑物、公共设施和环境等方面的全面综合性检查，及时发现问题、解决问题，或以书面的形式通告相关人员，要求马上整改。</w:t>
      </w:r>
    </w:p>
    <w:p w14:paraId="2122F5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3.1.2.11</w:t>
      </w:r>
      <w:r>
        <w:rPr>
          <w:rFonts w:hint="eastAsia" w:ascii="微软雅黑" w:hAnsi="微软雅黑" w:eastAsia="微软雅黑"/>
          <w:color w:val="auto"/>
          <w:sz w:val="24"/>
          <w:szCs w:val="24"/>
          <w:highlight w:val="none"/>
        </w:rPr>
        <w:t>做好会前音控及视频调试、会议服务任务</w:t>
      </w:r>
      <w:r>
        <w:rPr>
          <w:rFonts w:hint="eastAsia" w:ascii="微软雅黑" w:hAnsi="微软雅黑" w:eastAsia="微软雅黑"/>
          <w:color w:val="auto"/>
          <w:sz w:val="24"/>
          <w:szCs w:val="24"/>
          <w:highlight w:val="none"/>
          <w:lang w:eastAsia="zh-CN"/>
        </w:rPr>
        <w:t>、协助维修配件、耗材购买</w:t>
      </w:r>
      <w:r>
        <w:rPr>
          <w:rFonts w:hint="eastAsia" w:ascii="微软雅黑" w:hAnsi="微软雅黑" w:eastAsia="微软雅黑"/>
          <w:color w:val="auto"/>
          <w:sz w:val="24"/>
          <w:szCs w:val="24"/>
          <w:highlight w:val="none"/>
        </w:rPr>
        <w:t>等工作。</w:t>
      </w:r>
    </w:p>
    <w:p w14:paraId="69F9CE25">
      <w:pPr>
        <w:spacing w:line="400" w:lineRule="exact"/>
        <w:ind w:firstLine="480" w:firstLineChars="200"/>
        <w:rPr>
          <w:rFonts w:hint="eastAsia"/>
          <w:color w:val="auto"/>
          <w:highlight w:val="none"/>
        </w:rPr>
      </w:pPr>
      <w:r>
        <w:rPr>
          <w:rFonts w:hint="eastAsia" w:ascii="微软雅黑" w:hAnsi="微软雅黑" w:eastAsia="微软雅黑"/>
          <w:color w:val="auto"/>
          <w:sz w:val="24"/>
          <w:szCs w:val="24"/>
          <w:highlight w:val="none"/>
          <w:lang w:val="en-US" w:eastAsia="zh-CN"/>
        </w:rPr>
        <w:t>3.1.2.12</w:t>
      </w:r>
      <w:r>
        <w:rPr>
          <w:rFonts w:hint="eastAsia" w:ascii="微软雅黑" w:hAnsi="微软雅黑" w:eastAsia="微软雅黑"/>
          <w:color w:val="auto"/>
          <w:sz w:val="24"/>
          <w:szCs w:val="24"/>
          <w:highlight w:val="none"/>
          <w:lang w:eastAsia="zh-CN"/>
        </w:rPr>
        <w:t>做好灭鼠、沼气池排污、垃圾处置等工作。</w:t>
      </w:r>
    </w:p>
    <w:p w14:paraId="3AB572A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w:t>
      </w:r>
      <w:r>
        <w:rPr>
          <w:rFonts w:hint="eastAsia" w:ascii="微软雅黑" w:hAnsi="微软雅黑" w:eastAsia="微软雅黑"/>
          <w:color w:val="auto"/>
          <w:sz w:val="24"/>
          <w:szCs w:val="24"/>
          <w:highlight w:val="none"/>
          <w:lang w:val="en-US" w:eastAsia="zh-CN"/>
        </w:rPr>
        <w:t>13</w:t>
      </w:r>
      <w:r>
        <w:rPr>
          <w:rFonts w:hint="eastAsia" w:ascii="微软雅黑" w:hAnsi="微软雅黑" w:eastAsia="微软雅黑"/>
          <w:color w:val="auto"/>
          <w:sz w:val="24"/>
          <w:szCs w:val="24"/>
          <w:highlight w:val="none"/>
        </w:rPr>
        <w:t>积极完成</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领导安排的其他工作。</w:t>
      </w:r>
    </w:p>
    <w:p w14:paraId="27BC3A9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3.2安保人员：配备4名，其中2名为监控员（消防控制室）</w:t>
      </w:r>
      <w:r>
        <w:rPr>
          <w:rFonts w:hint="eastAsia" w:ascii="微软雅黑" w:hAnsi="微软雅黑" w:eastAsia="微软雅黑"/>
          <w:color w:val="auto"/>
          <w:sz w:val="24"/>
          <w:szCs w:val="24"/>
          <w:highlight w:val="none"/>
          <w:lang w:eastAsia="zh-CN"/>
        </w:rPr>
        <w:t>，</w:t>
      </w:r>
      <w:r>
        <w:rPr>
          <w:rFonts w:hint="eastAsia" w:ascii="微软雅黑" w:hAnsi="微软雅黑" w:eastAsia="微软雅黑"/>
          <w:color w:val="auto"/>
          <w:sz w:val="24"/>
          <w:szCs w:val="24"/>
          <w:highlight w:val="none"/>
          <w:lang w:val="en-US" w:eastAsia="zh-CN"/>
        </w:rPr>
        <w:t>1名为万州区清明路165号单位旧址院区安保</w:t>
      </w:r>
      <w:r>
        <w:rPr>
          <w:rFonts w:hint="eastAsia" w:ascii="微软雅黑" w:hAnsi="微软雅黑" w:eastAsia="微软雅黑"/>
          <w:color w:val="auto"/>
          <w:sz w:val="24"/>
          <w:szCs w:val="24"/>
          <w:highlight w:val="none"/>
        </w:rPr>
        <w:t>。</w:t>
      </w:r>
    </w:p>
    <w:p w14:paraId="676CB72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3.2.1人员要求：</w:t>
      </w:r>
      <w:r>
        <w:rPr>
          <w:rFonts w:hint="eastAsia" w:ascii="微软雅黑" w:hAnsi="微软雅黑" w:eastAsia="微软雅黑"/>
          <w:color w:val="auto"/>
          <w:sz w:val="24"/>
          <w:szCs w:val="24"/>
          <w:highlight w:val="none"/>
          <w:lang w:val="en-US" w:eastAsia="zh-CN"/>
        </w:rPr>
        <w:t>60</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w:t>
      </w:r>
      <w:r>
        <w:rPr>
          <w:rFonts w:hint="eastAsia" w:ascii="微软雅黑" w:hAnsi="微软雅黑" w:eastAsia="微软雅黑"/>
          <w:color w:val="auto"/>
          <w:sz w:val="24"/>
          <w:szCs w:val="24"/>
          <w:highlight w:val="none"/>
        </w:rPr>
        <w:t>男：身高1.65米以上。均需政审合格，经过专业培训。有敬业精神，能吃苦、责任心强，工作认真。具备处理应对公共安全及秩序维护工作，能正确使用各类消防、物防、技防器械和设备并定期培训。有医院健康证明，穿戴统一制服，仪容仪表规范整洁。</w:t>
      </w:r>
    </w:p>
    <w:p w14:paraId="559BC04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3.2.2岗位职责</w:t>
      </w:r>
    </w:p>
    <w:p w14:paraId="7619818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3.2.2.1严格执行</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各项管理制度和上级命令。</w:t>
      </w:r>
    </w:p>
    <w:p w14:paraId="3607EF7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3.2.2.2熟悉本岗位工作任务和工作程序。</w:t>
      </w:r>
    </w:p>
    <w:p w14:paraId="572C77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3.2.2.3掌握突发事件的处理程序及服务技能技巧。</w:t>
      </w:r>
    </w:p>
    <w:p w14:paraId="6FE5440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3.2.2.4忠于职守、文明执勤、礼貌待人，认真做好执勤记录。</w:t>
      </w:r>
    </w:p>
    <w:p w14:paraId="5B542DD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3.2.2.5熟悉</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区内的治安、消防设施分布情况，掌握其性能和使用方法。</w:t>
      </w:r>
    </w:p>
    <w:p w14:paraId="0E9E34C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3.2.2.6掌握</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区人员出入动态及车辆进出的记录，认真执行物品出入办公楼的规定。</w:t>
      </w:r>
    </w:p>
    <w:p w14:paraId="0143AAA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3.2.2.7对</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区内的各种违规行为应及时予以劝导、制止。</w:t>
      </w:r>
    </w:p>
    <w:p w14:paraId="5A78560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3.2.2.8对突发事件应及时报告，做好事件的全程记录。</w:t>
      </w:r>
    </w:p>
    <w:p w14:paraId="2FB5EE8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3.2.2.9消防控制室必须24小时对</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区内进行治安、消防等监控。</w:t>
      </w:r>
    </w:p>
    <w:p w14:paraId="70F3854D">
      <w:pPr>
        <w:spacing w:line="40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保洁人员：</w:t>
      </w:r>
      <w:r>
        <w:rPr>
          <w:rFonts w:hint="eastAsia" w:ascii="微软雅黑" w:hAnsi="微软雅黑" w:eastAsia="微软雅黑"/>
          <w:b/>
          <w:color w:val="auto"/>
          <w:sz w:val="24"/>
          <w:szCs w:val="24"/>
          <w:highlight w:val="none"/>
        </w:rPr>
        <w:t>配备</w:t>
      </w:r>
      <w:r>
        <w:rPr>
          <w:rFonts w:hint="eastAsia" w:ascii="微软雅黑" w:hAnsi="微软雅黑" w:eastAsia="微软雅黑"/>
          <w:b/>
          <w:color w:val="auto"/>
          <w:sz w:val="24"/>
          <w:szCs w:val="24"/>
          <w:highlight w:val="none"/>
          <w:lang w:val="en-US" w:eastAsia="zh-CN"/>
        </w:rPr>
        <w:t>2</w:t>
      </w:r>
      <w:r>
        <w:rPr>
          <w:rFonts w:hint="eastAsia" w:ascii="微软雅黑" w:hAnsi="微软雅黑" w:eastAsia="微软雅黑"/>
          <w:b/>
          <w:color w:val="auto"/>
          <w:sz w:val="24"/>
          <w:szCs w:val="24"/>
          <w:highlight w:val="none"/>
        </w:rPr>
        <w:t>人</w:t>
      </w:r>
    </w:p>
    <w:p w14:paraId="135AB25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.1人员要求</w:t>
      </w:r>
      <w:r>
        <w:rPr>
          <w:rFonts w:hint="eastAsia" w:ascii="微软雅黑" w:hAnsi="微软雅黑" w:eastAsia="微软雅黑"/>
          <w:color w:val="auto"/>
          <w:sz w:val="24"/>
          <w:szCs w:val="24"/>
          <w:highlight w:val="none"/>
        </w:rPr>
        <w:t>:5</w:t>
      </w:r>
      <w:r>
        <w:rPr>
          <w:rFonts w:hint="eastAsia" w:ascii="微软雅黑" w:hAnsi="微软雅黑" w:eastAsia="微软雅黑"/>
          <w:color w:val="auto"/>
          <w:sz w:val="24"/>
          <w:szCs w:val="24"/>
          <w:highlight w:val="none"/>
          <w:lang w:val="en-US" w:eastAsia="zh-CN"/>
        </w:rPr>
        <w:t>8</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身体健康，能吃苦耐劳，具备公共楼宇保洁工作经验，工作认真负责并接受过专业培训，能团结队伍，并能保障和应对特殊情况下清洁维护工作，正确使用保洁设备处理不同材质的物品，具有垃圾分类处理的相关知识。</w:t>
      </w:r>
    </w:p>
    <w:p w14:paraId="5A1EC3A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.2岗位职责</w:t>
      </w:r>
    </w:p>
    <w:p w14:paraId="633C948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.2.1必须爱岗敬业，在本职工作上尽职尽责，加强日常巡视。</w:t>
      </w:r>
    </w:p>
    <w:p w14:paraId="11FCAE6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.2.2必须遵守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的一切规章制度与作息时间。每天必须提前15分钟到岗，按时上下班，不能迟到、早退、空岗、串岗，有事要请假，否则按旷工处理。</w:t>
      </w:r>
    </w:p>
    <w:p w14:paraId="233B3E3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.2.3必须服从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和物业管理公司的双重领导，接受监督与检查。</w:t>
      </w:r>
    </w:p>
    <w:p w14:paraId="4CDCF8A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.2.4必须统一着装，仪表要整洁卫生，语言与行为要文明礼貌，不许与人争吵以及大声喧哗，不许在工作时间穿高跟鞋。</w:t>
      </w:r>
    </w:p>
    <w:p w14:paraId="030AF2D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.2.5必须爱护及节约使用工具及清洁用品，不能损坏和污染任何物品，清洁时工具统一摆放整齐，不能乱丢乱放。</w:t>
      </w:r>
    </w:p>
    <w:p w14:paraId="224D428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.2.6必须按要求高标准完成自己所承担区域的卫生，不能留死角。正确使用工具以及清洁剂，若经项目主管人员检查3次不能达标者，要进行培训，经培训后仍达不到标准的立即换人。</w:t>
      </w:r>
    </w:p>
    <w:p w14:paraId="5BF139D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.2.7在工作岗位上不许随便出入各办公室，更不能随便动用所有用品。</w:t>
      </w:r>
    </w:p>
    <w:p w14:paraId="32ADA56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.2.8工作时间不准干私活和聚岗聊天，不准把单位的工具和清洁剂带回家和送给他人。</w:t>
      </w:r>
    </w:p>
    <w:p w14:paraId="5507764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.2.9必须互相团结，彼此尊敬。不得故意制造矛盾、挑拨是非、无中生有。</w:t>
      </w:r>
    </w:p>
    <w:p w14:paraId="222F4621">
      <w:pPr>
        <w:snapToGrid w:val="0"/>
        <w:spacing w:line="400" w:lineRule="exact"/>
        <w:ind w:firstLine="480" w:firstLineChars="200"/>
        <w:rPr>
          <w:rFonts w:hint="eastAsia" w:ascii="微软雅黑" w:hAnsi="微软雅黑" w:eastAsia="微软雅黑" w:cs="Times New Roman"/>
          <w:b/>
          <w:bCs/>
          <w:color w:val="auto"/>
          <w:sz w:val="24"/>
          <w:szCs w:val="24"/>
          <w:highlight w:val="none"/>
          <w:lang w:val="en-US" w:eastAsia="zh-CN"/>
        </w:rPr>
      </w:pPr>
      <w:r>
        <w:rPr>
          <w:rFonts w:hint="eastAsia" w:ascii="微软雅黑" w:hAnsi="微软雅黑" w:eastAsia="微软雅黑" w:cs="Times New Roman"/>
          <w:b w:val="0"/>
          <w:bCs w:val="0"/>
          <w:color w:val="auto"/>
          <w:sz w:val="24"/>
          <w:szCs w:val="24"/>
          <w:highlight w:val="none"/>
          <w:lang w:val="en-US" w:eastAsia="zh-CN"/>
        </w:rPr>
        <w:t>3.4勤杂工：</w:t>
      </w:r>
      <w:r>
        <w:rPr>
          <w:rFonts w:hint="eastAsia" w:ascii="微软雅黑" w:hAnsi="微软雅黑" w:eastAsia="微软雅黑" w:cs="Times New Roman"/>
          <w:b/>
          <w:bCs/>
          <w:color w:val="auto"/>
          <w:sz w:val="24"/>
          <w:szCs w:val="24"/>
          <w:highlight w:val="none"/>
          <w:lang w:val="en-US" w:eastAsia="zh-CN"/>
        </w:rPr>
        <w:t>配备1人。</w:t>
      </w:r>
    </w:p>
    <w:p w14:paraId="76ADDC3D">
      <w:pPr>
        <w:snapToGrid w:val="0"/>
        <w:spacing w:line="400" w:lineRule="exact"/>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b/>
          <w:color w:val="auto"/>
          <w:sz w:val="24"/>
          <w:szCs w:val="24"/>
          <w:highlight w:val="none"/>
        </w:rPr>
        <w:t>*</w:t>
      </w: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4</w:t>
      </w:r>
      <w:r>
        <w:rPr>
          <w:rFonts w:hint="eastAsia" w:ascii="微软雅黑" w:hAnsi="微软雅黑" w:eastAsia="微软雅黑"/>
          <w:color w:val="auto"/>
          <w:sz w:val="24"/>
          <w:szCs w:val="24"/>
          <w:highlight w:val="none"/>
        </w:rPr>
        <w:t>.1</w:t>
      </w:r>
      <w:r>
        <w:rPr>
          <w:rFonts w:hint="eastAsia" w:ascii="微软雅黑" w:hAnsi="微软雅黑" w:eastAsia="微软雅黑"/>
          <w:color w:val="auto"/>
          <w:sz w:val="24"/>
          <w:szCs w:val="24"/>
          <w:highlight w:val="none"/>
          <w:lang w:eastAsia="zh-CN"/>
        </w:rPr>
        <w:t>人员要求：</w:t>
      </w:r>
      <w:r>
        <w:rPr>
          <w:rFonts w:hint="eastAsia" w:ascii="微软雅黑" w:hAnsi="微软雅黑" w:eastAsia="微软雅黑"/>
          <w:color w:val="auto"/>
          <w:sz w:val="24"/>
          <w:szCs w:val="24"/>
          <w:highlight w:val="none"/>
        </w:rPr>
        <w:t>5</w:t>
      </w:r>
      <w:r>
        <w:rPr>
          <w:rFonts w:hint="eastAsia" w:ascii="微软雅黑" w:hAnsi="微软雅黑" w:eastAsia="微软雅黑"/>
          <w:color w:val="auto"/>
          <w:sz w:val="24"/>
          <w:szCs w:val="24"/>
          <w:highlight w:val="none"/>
          <w:lang w:val="en-US" w:eastAsia="zh-CN"/>
        </w:rPr>
        <w:t>5</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，身体健康，能吃苦耐劳</w:t>
      </w:r>
      <w:r>
        <w:rPr>
          <w:rFonts w:hint="eastAsia" w:ascii="微软雅黑" w:hAnsi="微软雅黑" w:eastAsia="微软雅黑"/>
          <w:color w:val="auto"/>
          <w:sz w:val="24"/>
          <w:szCs w:val="24"/>
          <w:highlight w:val="none"/>
          <w:lang w:eastAsia="zh-CN"/>
        </w:rPr>
        <w:t>，具备日常勤杂工作经验。</w:t>
      </w:r>
      <w:r>
        <w:rPr>
          <w:rFonts w:hint="eastAsia" w:ascii="微软雅黑" w:hAnsi="微软雅黑" w:eastAsia="微软雅黑"/>
          <w:color w:val="auto"/>
          <w:sz w:val="24"/>
          <w:szCs w:val="24"/>
          <w:highlight w:val="none"/>
        </w:rPr>
        <w:t>工作认真负责，</w:t>
      </w:r>
      <w:r>
        <w:rPr>
          <w:rFonts w:hint="eastAsia" w:ascii="微软雅黑" w:hAnsi="微软雅黑" w:eastAsia="微软雅黑"/>
          <w:color w:val="auto"/>
          <w:sz w:val="24"/>
          <w:szCs w:val="24"/>
          <w:highlight w:val="none"/>
          <w:lang w:eastAsia="zh-CN"/>
        </w:rPr>
        <w:t>有较强的沟通能力</w:t>
      </w:r>
      <w:r>
        <w:rPr>
          <w:rFonts w:hint="eastAsia" w:ascii="微软雅黑" w:hAnsi="微软雅黑" w:eastAsia="微软雅黑"/>
          <w:color w:val="auto"/>
          <w:sz w:val="24"/>
          <w:szCs w:val="24"/>
          <w:highlight w:val="none"/>
        </w:rPr>
        <w:t>，能保障和应对特殊情况</w:t>
      </w:r>
      <w:r>
        <w:rPr>
          <w:rFonts w:hint="eastAsia" w:ascii="微软雅黑" w:hAnsi="微软雅黑" w:eastAsia="微软雅黑"/>
          <w:color w:val="auto"/>
          <w:sz w:val="24"/>
          <w:szCs w:val="24"/>
          <w:highlight w:val="none"/>
          <w:lang w:eastAsia="zh-CN"/>
        </w:rPr>
        <w:t>下的勤杂</w:t>
      </w:r>
      <w:r>
        <w:rPr>
          <w:rFonts w:hint="eastAsia" w:ascii="微软雅黑" w:hAnsi="微软雅黑" w:eastAsia="微软雅黑"/>
          <w:color w:val="auto"/>
          <w:sz w:val="24"/>
          <w:szCs w:val="24"/>
          <w:highlight w:val="none"/>
        </w:rPr>
        <w:t>工作。</w:t>
      </w:r>
    </w:p>
    <w:p w14:paraId="65D42BB8">
      <w:pPr>
        <w:snapToGrid w:val="0"/>
        <w:spacing w:line="400" w:lineRule="exact"/>
        <w:ind w:firstLine="480" w:firstLineChars="2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3.4.2 岗位职责</w:t>
      </w:r>
    </w:p>
    <w:p w14:paraId="737E1460">
      <w:pPr>
        <w:snapToGrid w:val="0"/>
        <w:spacing w:line="400" w:lineRule="exact"/>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lang w:val="en-US" w:eastAsia="zh-CN"/>
        </w:rPr>
        <w:t xml:space="preserve">3.4.2.1 </w:t>
      </w:r>
      <w:r>
        <w:rPr>
          <w:rFonts w:hint="eastAsia" w:ascii="微软雅黑" w:hAnsi="微软雅黑" w:eastAsia="微软雅黑"/>
          <w:color w:val="auto"/>
          <w:sz w:val="24"/>
          <w:szCs w:val="24"/>
          <w:highlight w:val="none"/>
        </w:rPr>
        <w:t>必须爱岗敬业，在本职工作上尽职尽责</w:t>
      </w:r>
      <w:r>
        <w:rPr>
          <w:rFonts w:hint="eastAsia" w:ascii="微软雅黑" w:hAnsi="微软雅黑" w:eastAsia="微软雅黑"/>
          <w:color w:val="auto"/>
          <w:sz w:val="24"/>
          <w:szCs w:val="24"/>
          <w:highlight w:val="none"/>
          <w:lang w:eastAsia="zh-CN"/>
        </w:rPr>
        <w:t>。</w:t>
      </w:r>
    </w:p>
    <w:p w14:paraId="5CCDA96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 xml:space="preserve">3.4.2.2 </w:t>
      </w:r>
      <w:r>
        <w:rPr>
          <w:rFonts w:hint="eastAsia" w:ascii="微软雅黑" w:hAnsi="微软雅黑" w:eastAsia="微软雅黑"/>
          <w:color w:val="auto"/>
          <w:sz w:val="24"/>
          <w:szCs w:val="24"/>
          <w:highlight w:val="none"/>
        </w:rPr>
        <w:t>必须遵守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的一切规章制度与作息时间。每天必须提前15分钟到岗，按时上下班，不能迟到、早退、空岗、串岗，有事要请假，否则按旷工处理。</w:t>
      </w:r>
    </w:p>
    <w:p w14:paraId="28B02CA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 xml:space="preserve">3.4.2.3 </w:t>
      </w:r>
      <w:r>
        <w:rPr>
          <w:rFonts w:hint="eastAsia" w:ascii="微软雅黑" w:hAnsi="微软雅黑" w:eastAsia="微软雅黑"/>
          <w:color w:val="auto"/>
          <w:sz w:val="24"/>
          <w:szCs w:val="24"/>
          <w:highlight w:val="none"/>
        </w:rPr>
        <w:t>必须服从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和物业管理公司的双重领导，接受监督与检查</w:t>
      </w:r>
      <w:r>
        <w:rPr>
          <w:rFonts w:hint="eastAsia" w:ascii="微软雅黑" w:hAnsi="微软雅黑" w:eastAsia="微软雅黑"/>
          <w:color w:val="auto"/>
          <w:sz w:val="24"/>
          <w:szCs w:val="24"/>
          <w:highlight w:val="none"/>
          <w:lang w:eastAsia="zh-CN"/>
        </w:rPr>
        <w:t>，</w:t>
      </w:r>
      <w:r>
        <w:rPr>
          <w:rFonts w:hint="eastAsia" w:ascii="微软雅黑" w:hAnsi="微软雅黑" w:eastAsia="微软雅黑"/>
          <w:color w:val="auto"/>
          <w:sz w:val="24"/>
          <w:szCs w:val="24"/>
          <w:highlight w:val="none"/>
        </w:rPr>
        <w:t>要文明礼貌，不许与人争吵以及大声喧哗，</w:t>
      </w:r>
      <w:r>
        <w:rPr>
          <w:rFonts w:hint="eastAsia" w:ascii="微软雅黑" w:hAnsi="微软雅黑" w:eastAsia="微软雅黑"/>
          <w:color w:val="auto"/>
          <w:sz w:val="24"/>
          <w:szCs w:val="24"/>
          <w:highlight w:val="none"/>
          <w:lang w:eastAsia="zh-CN"/>
        </w:rPr>
        <w:t>女工不能在</w:t>
      </w:r>
      <w:r>
        <w:rPr>
          <w:rFonts w:hint="eastAsia" w:ascii="微软雅黑" w:hAnsi="微软雅黑" w:eastAsia="微软雅黑"/>
          <w:color w:val="auto"/>
          <w:sz w:val="24"/>
          <w:szCs w:val="24"/>
          <w:highlight w:val="none"/>
        </w:rPr>
        <w:t>工作时间穿高跟鞋。</w:t>
      </w:r>
    </w:p>
    <w:p w14:paraId="251EA18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3.4.2.4 必须</w:t>
      </w:r>
      <w:r>
        <w:rPr>
          <w:rFonts w:hint="eastAsia" w:ascii="微软雅黑" w:hAnsi="微软雅黑" w:eastAsia="微软雅黑"/>
          <w:color w:val="auto"/>
          <w:sz w:val="24"/>
          <w:szCs w:val="24"/>
          <w:highlight w:val="none"/>
          <w:lang w:eastAsia="zh-CN"/>
        </w:rPr>
        <w:t>按要求完成交办的其他工作任务</w:t>
      </w:r>
      <w:r>
        <w:rPr>
          <w:rFonts w:hint="eastAsia" w:ascii="微软雅黑" w:hAnsi="微软雅黑" w:eastAsia="微软雅黑"/>
          <w:color w:val="auto"/>
          <w:sz w:val="24"/>
          <w:szCs w:val="24"/>
          <w:highlight w:val="none"/>
        </w:rPr>
        <w:t>。</w:t>
      </w:r>
    </w:p>
    <w:p w14:paraId="2549E00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4.服务质量要求</w:t>
      </w:r>
    </w:p>
    <w:p w14:paraId="6DB1300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4.1工程维修：须有12小时值班人员，24小时备勤响应机制。</w:t>
      </w:r>
    </w:p>
    <w:p w14:paraId="69D25A9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4.1.1设施设备的运行管理和日常维护</w:t>
      </w:r>
    </w:p>
    <w:p w14:paraId="00F6273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4.1.1.1综合要求</w:t>
      </w:r>
    </w:p>
    <w:p w14:paraId="2C8F7E1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4.1.1.1.1物业管理公司必须分类分项制定相应设施设备安全运行的管理制度和操作规范，并就近张贴和严格执行。</w:t>
      </w:r>
      <w:r>
        <w:rPr>
          <w:rFonts w:hint="eastAsia" w:ascii="微软雅黑" w:hAnsi="微软雅黑" w:eastAsia="微软雅黑"/>
          <w:color w:val="auto"/>
          <w:sz w:val="24"/>
          <w:szCs w:val="24"/>
          <w:highlight w:val="none"/>
        </w:rPr>
        <w:t>建立电梯、消防、空调设施设备等重点设施设备档案，运行、检修等记录要齐全。</w:t>
      </w:r>
    </w:p>
    <w:p w14:paraId="1952030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4.1.1.1.2配备所需的专业技术人员，由专业人员负责管理和操作（如开启、关闭、维修和保养等）。严格执行操作规程及保养规范，确保设施设备正常运行。</w:t>
      </w:r>
    </w:p>
    <w:p w14:paraId="2C9D539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4.1.1.1.3对设施设备定期组织巡查，做好巡查记录，保持设备状况良好，运行正常，合同期限内无重大管理责任事故，无设备运行事故隐患。如发现设备异常或故障，应采取相关措施以防止故障扩大并立即派人检修（报修）至完好为止。</w:t>
      </w:r>
    </w:p>
    <w:p w14:paraId="6B30FB0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4.1.1.1.4对容易危及人身安全的设施设备有明显警示标志和防范措施，对可能发生的各种突发设备故障有应急方案。</w:t>
      </w:r>
    </w:p>
    <w:p w14:paraId="0EB1227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4.1.1.1.5如遇恶劣气候或自然灾害等突发事件，应积极采取预防措施，做好抢救工作。</w:t>
      </w:r>
    </w:p>
    <w:p w14:paraId="200ED25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4.1.1.1.6定期做好各类设施设备的保养工作。</w:t>
      </w:r>
    </w:p>
    <w:p w14:paraId="1F6798C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4.1.1.2具体要求</w:t>
      </w:r>
    </w:p>
    <w:p w14:paraId="536DBB0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4.1.1.2.1供电（配电）设施设备</w:t>
      </w:r>
    </w:p>
    <w:p w14:paraId="612D604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4.1.1.2.1.1制定并执行停电应急处理措施，停电有预先告知，消防备用电源和日常备用电源在停电后3分钟内投入使用。</w:t>
      </w:r>
    </w:p>
    <w:p w14:paraId="71F273B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4.1.1.2.1.2柴油发电机每月至少运行保养1次，制定并严格执行临时用电管理措施。</w:t>
      </w:r>
    </w:p>
    <w:p w14:paraId="1DDFD87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4.1.1.2.1.3公共照明系统应根据季节与气候情况掌握提前开启时间，用毕应立即关闭，避免浪费。</w:t>
      </w:r>
    </w:p>
    <w:p w14:paraId="6D59028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4.1.1.2.1.4根据正常供电，需临时限电、停电的应提前告诉</w:t>
      </w:r>
      <w:r>
        <w:rPr>
          <w:rFonts w:hint="eastAsia" w:ascii="微软雅黑" w:hAnsi="微软雅黑" w:eastAsia="微软雅黑"/>
          <w:color w:val="auto"/>
          <w:sz w:val="24"/>
          <w:szCs w:val="24"/>
          <w:highlight w:val="none"/>
          <w:lang w:eastAsia="zh-CN"/>
        </w:rPr>
        <w:t>院综合办</w:t>
      </w:r>
      <w:r>
        <w:rPr>
          <w:rFonts w:hint="eastAsia" w:ascii="微软雅黑" w:hAnsi="微软雅黑" w:eastAsia="微软雅黑"/>
          <w:color w:val="auto"/>
          <w:sz w:val="24"/>
          <w:szCs w:val="24"/>
          <w:highlight w:val="none"/>
        </w:rPr>
        <w:t>。</w:t>
      </w:r>
    </w:p>
    <w:p w14:paraId="626407B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4.1.1.2.1.5严格执行用电管理要求，做到供电、基础照明等准点开关。</w:t>
      </w:r>
    </w:p>
    <w:p w14:paraId="55E7713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4.1.1.2.2给排水设备系统</w:t>
      </w:r>
    </w:p>
    <w:p w14:paraId="4D5F919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给排水设备系统是指物业服务区内建筑物内部及建筑物外附属设备中各种冷水和污水供应和排放的工程设施的总称。包括供水设备、排水设备、消防用水设备。</w:t>
      </w:r>
    </w:p>
    <w:p w14:paraId="24D71F3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4.1.1.2.2.1相关人员应熟悉</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内及周边给排水管网，建立给排水、消防用水设备系统的养护和维修制度。确保给水管道和各类阀门处于良好状态，无漏水、渗水、积水等异常现象。</w:t>
      </w:r>
    </w:p>
    <w:p w14:paraId="43282E8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4.1.1.2.2.2严格执行用水、供水管理制度，积极协助安排合理的用水和节水计划。需临时限水、停水按规定时间通知办公室。每天检查污水泵等相关设备运行状况，每季度1次润滑加油。定期检查排水管沟是否堵塞、生锈或渗漏等，清除淤泥和杂物，及时排除相应隐患，每月至少进行1次。</w:t>
      </w:r>
    </w:p>
    <w:p w14:paraId="562621D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4.1.1.2.2.3确保汛期道路无积水，车库、车道、设备房无积水和浸泡发生。遇有事故，维修人员立即进行抢修，无大面积跑水、泛水和长时间停水。有险情的采取应急处理措施。</w:t>
      </w:r>
    </w:p>
    <w:p w14:paraId="2566EE6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4.1.1.2.2.3大（暴）雨期间每小时检查1次污水排水系统的运行状况，确保排水系统正常运行。</w:t>
      </w:r>
    </w:p>
    <w:p w14:paraId="4493D62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4.1.1.2.2.4雨水、污水管道至少每季度疏通1次，雨水及污水井每季度检查清理不少于1次，并根据检查情况及时清掏。</w:t>
      </w:r>
    </w:p>
    <w:p w14:paraId="1BBFBD1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4.1.1.2.3弱电及智能化系统</w:t>
      </w:r>
    </w:p>
    <w:p w14:paraId="7E51AC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4.1.1.2.3.1正确使用、定期维护保养和管理好弱电及智能化系统，使其处于良好的运行状态。</w:t>
      </w:r>
    </w:p>
    <w:p w14:paraId="218F462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4.1.1.2.3.2严禁非编余人员单位和无关人员接触到弱电及智能化系统，防止非法信号接入及办公信息外泄。</w:t>
      </w:r>
    </w:p>
    <w:p w14:paraId="74ABA6A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4.1.1.2.3.3对所有弱电和智能化设施设备、管线定期进行巡视、维护和保养。</w:t>
      </w:r>
    </w:p>
    <w:p w14:paraId="0908CBE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4.1.1.2.3.4配合弱电及智能化系统质保和维保单位定期进行维护保养，设备发生故障，立即通知并督促质保或维保单位到场处理，确保正常运行。</w:t>
      </w:r>
    </w:p>
    <w:p w14:paraId="0325BF4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4.1.1.2.3.5定期或不定期对监控系统进行调试保养，保障各项监控设备24小时正常运行，录像功能正常。</w:t>
      </w:r>
    </w:p>
    <w:p w14:paraId="098551D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4.1.1.2.4电梯系统</w:t>
      </w:r>
    </w:p>
    <w:p w14:paraId="587D5C6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4.1.1.2.4.1定期对控制柜扫尘、各接电点清洁。</w:t>
      </w:r>
    </w:p>
    <w:p w14:paraId="10BBC3C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4.1.1.2.4.2配合质保和维保单位做好电梯维保等其他工作。</w:t>
      </w:r>
    </w:p>
    <w:p w14:paraId="6496E52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4.1.1.2.4.3不定时检查电梯轿厢内的灯泡是否正常。</w:t>
      </w:r>
    </w:p>
    <w:p w14:paraId="2FAD743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4.1.1.2.4.4物业管理公司作为使用管理责任人，联系配合电梯的年检工作。</w:t>
      </w:r>
    </w:p>
    <w:p w14:paraId="5180017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4.1.1.2.4.5发生电梯困人或其他重大事件时，物管人员须在5分钟内到达现场应急处理。</w:t>
      </w:r>
    </w:p>
    <w:p w14:paraId="3B97D89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4.1.1.2.5空调系统</w:t>
      </w:r>
    </w:p>
    <w:p w14:paraId="4D538E4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4.1.1.2.5.1熟练操作空调的制冷、制热等制式操作程序。</w:t>
      </w:r>
    </w:p>
    <w:p w14:paraId="4184D9F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4.1.1.2.5.2熟悉空调设备状况、操作方法和安全注意事项。</w:t>
      </w:r>
    </w:p>
    <w:p w14:paraId="46742F3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4.1.1.2.5.3做好空调设备内外整齐卫生，保证应急灯在停电状态下能正常使用。</w:t>
      </w:r>
    </w:p>
    <w:p w14:paraId="132279C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4.1.1.2.5.4做好机房的防水、防潮、防蛇、防鼠工作。</w:t>
      </w:r>
    </w:p>
    <w:p w14:paraId="46A4149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4.1.1.2.5.5根据季节变化，做好制冷、制热功能转换工作，做好维护保养和消毒工作。</w:t>
      </w:r>
    </w:p>
    <w:p w14:paraId="135FE5A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4.1.1.2.5.6做好空调运行过程中的应急管理工作。</w:t>
      </w:r>
    </w:p>
    <w:p w14:paraId="1E652F5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4.1.1.2.5.7根据天气情况，做好空调的开启、关闭、记录工作。</w:t>
      </w:r>
    </w:p>
    <w:p w14:paraId="29BAB73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4.1.1.2.6消防系统</w:t>
      </w:r>
    </w:p>
    <w:p w14:paraId="2C0F362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4.1.1.2.6.1配备专人负责消防系统的日常运行和管理。熟悉掌握消防设备的各种故障应急处理方案。</w:t>
      </w:r>
    </w:p>
    <w:p w14:paraId="7994437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4.1.1.2.6.2负责消防设备的日常运行和管理，每周至少1次对消防设施设备运行状况进行检查，确保完好有效，随时可投入使用。消防泵每月启动1次并作记录，保证其运行正常。每月进行1次消防联运测试。如发现故障，及时通知维保单位进行维修和整改，协助并监管消防维保单位的工作。</w:t>
      </w:r>
    </w:p>
    <w:p w14:paraId="6E6FF57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4.1.1.2.6.3派专人对消防控制室进行24小时全程监控。</w:t>
      </w:r>
    </w:p>
    <w:p w14:paraId="671BAC4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4.1.2设施设备的维修</w:t>
      </w:r>
    </w:p>
    <w:p w14:paraId="74C6A6D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4.1.2.1做好日常的供配电系统高压测试、消防系统、空调系统、电梯系统、智能化系统的保养故障处理，及时联系督促相应的维保单位进行专业保养及维修，并做好相关协助配合工作。</w:t>
      </w:r>
    </w:p>
    <w:p w14:paraId="0086D7B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4.1.2.2除上述设施设备的专业维修保养外，所有设施设备（包括上述设施设备）的日常运行工作均由物业公司负责。</w:t>
      </w:r>
    </w:p>
    <w:p w14:paraId="0CF4C11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4.1.3房屋建筑本体及配套设施的维护、养护和管理</w:t>
      </w:r>
    </w:p>
    <w:p w14:paraId="1C7B803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4.1.3.1对房屋进行日常管理和维修养护。检修记录和保养记录齐全。根据房屋实际使用年限，检查房屋使用情况，组织维修。房屋及配套设施完好率达到98%，道路完好率98%。</w:t>
      </w:r>
    </w:p>
    <w:p w14:paraId="522417E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4.1.3.2对房屋建筑进行日常管理和维修养护。建立房屋建筑档案，日常检查记录齐全，路灯、楼道灯完好率保持100%，维修更换及时率100%。容易危及人身安全的房屋建筑部位有明显警示标志和防范措施。</w:t>
      </w:r>
    </w:p>
    <w:p w14:paraId="489D712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4.1.3.3排水设施的养护。做好地基基础的日常养护工作，坚决杜绝不合理荷载的产生；加强对散水波的养护和修补，确保各类排水沟畅通。每月至少1次对建筑物排水管沟井进行巡查和清理，做到排水沟、明暗沟完好。</w:t>
      </w:r>
    </w:p>
    <w:p w14:paraId="5988E29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4.1.3.4墙台面和吊顶工程的养护。定期进行巡查和维修，建立对吊顶工程的检查制度，做好登记，发现问题及时报告。要求墙台面、吊顶完好率100%。</w:t>
      </w:r>
    </w:p>
    <w:p w14:paraId="225492D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4.1.3.5门窗工程的养护。建立对门窗门锁的日常检查和维修工作制度，确保门窗门锁的正常使用。每周至少进行1次对所有门窗门锁的巡查，门窗门锁完成好率达到100%。</w:t>
      </w:r>
    </w:p>
    <w:p w14:paraId="2526354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4.1.3.6屋项维修养护。建立屋顶维修养护制度，定期对屋项进行清扫，对屋脊、趟水沟进行整修，清理疏通排水管道、雨水口，确保屋面排水畅通。</w:t>
      </w:r>
    </w:p>
    <w:p w14:paraId="4A0D8A0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4.2安全保卫</w:t>
      </w:r>
    </w:p>
    <w:p w14:paraId="65A34DF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4.2.1保安人员的基础素质应达到我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规定的要求，否则我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有权要求更换。</w:t>
      </w:r>
    </w:p>
    <w:p w14:paraId="1D79141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4.2.2实施消防安全管理，履行消防安全职责，服从我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的监督、检查，建立完善的消防安全制度和消防安全档案，建立完善的逐级消防安全责任制和岗位责任制，建立每日防火巡查、登记制度。</w:t>
      </w:r>
    </w:p>
    <w:p w14:paraId="3695DB6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4.2.3保管、保护好消防设施，消防器材每月巡查保养、清点登记1次，确保消防器械的完好有效，可随时启用。对损坏、丢失或失效的应及时修复和补充。每半年检查1次消防水带、阀杆处加注润滑油并作一次放水检查。每周对所有消防通道和安全出口检查1次以上，并建立备查档案。</w:t>
      </w:r>
    </w:p>
    <w:p w14:paraId="78002EB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4.2.4物业管理人员应掌握消防知识。熟悉本工作岗位的火灾危险性，熟悉预防火灾措施，熟悉扑救初期火灾的方法。发生火灾后，会报警、会使用各种消防器材，会扑救初期火灾。</w:t>
      </w:r>
    </w:p>
    <w:p w14:paraId="7DD2E92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4.2.5安保人员应为义务消防队。根据年度消防工作计划和消防应急灭火疏散预案，制定义务消防队和其他物管人员的消防训练计划。</w:t>
      </w:r>
    </w:p>
    <w:p w14:paraId="6381F1A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4.2.6物业公司不定期开展消防法律、法规及消防安全知识的宣传教育，每季度至少进行1次消防演习。</w:t>
      </w:r>
    </w:p>
    <w:p w14:paraId="4AFE948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4.2.7照明设施及引路标志完好，紧急疏散通道保持通畅。</w:t>
      </w:r>
    </w:p>
    <w:p w14:paraId="1100753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4.2.8主要门岗执勤人员负责对出入院内的人员、车辆进行询查、管理和登记，禁止无关人员、车辆进入；严禁携带易燃易爆危险品进入；严禁推、促销人员和商贩进入办公区内叫卖；严禁宠物带入大楼内；防止车辆阻塞出入口。</w:t>
      </w:r>
    </w:p>
    <w:p w14:paraId="7E033C2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4.2.9人员出入严格管理。对外来联系工作、办事、会客的外来人员凭身份证等有效证件登记，并填写会客单后方可放行，必要时须先电话联系被访人员。发现可疑人员做好相应应对处理并及时向主管人员报告。</w:t>
      </w:r>
    </w:p>
    <w:p w14:paraId="3BF8033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4.2.10确保门禁系统正常工作，严格执行门禁系统操作流程，发现问题及时通知工程维修部进行维修。</w:t>
      </w:r>
    </w:p>
    <w:p w14:paraId="3D7742A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4.2.11负责停车场和停车库管理，建立健全相应管理制度，严格车辆出入和停放管理。对进出车辆实行车牌识别、登记等措施管理，认真查验进出车辆和所带物资，严防车辆被盗事故的发生，确保车辆停放有序，禁止车辆乱停乱放，保障车辆出入畅通。</w:t>
      </w:r>
    </w:p>
    <w:p w14:paraId="0D6F770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4.2.12及时发现、制止各类违规违法犯罪行为，并及时报告主管人员及办公室。</w:t>
      </w:r>
    </w:p>
    <w:p w14:paraId="5150CE0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4.2.13协助处置</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区内发生的群体性事件和各种突发事件，突发事件及时到位处理率应达到100%。</w:t>
      </w:r>
    </w:p>
    <w:p w14:paraId="1101997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4.2.14负责一般刑事案件、治安案件及交通事故的现场保护，积极抢救伤员，及时向主管人员和公安部门报告，协助开展调查工作。</w:t>
      </w:r>
    </w:p>
    <w:p w14:paraId="4BD741B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4.2.15及时受理处置公共秩序维护和求助。</w:t>
      </w:r>
    </w:p>
    <w:p w14:paraId="5A69705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4.2.16协助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重大活动的安全防范、礼仪执勤等任务。</w:t>
      </w:r>
    </w:p>
    <w:p w14:paraId="3E3351B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4.2.17协助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做好突发事件的处置工作，服从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的指挥。</w:t>
      </w:r>
    </w:p>
    <w:p w14:paraId="5470B71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4.3保洁服务</w:t>
      </w:r>
    </w:p>
    <w:p w14:paraId="12B2D0F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要求制定相关工作制度，按制度对工作质量进行考核。</w:t>
      </w:r>
    </w:p>
    <w:p w14:paraId="44A305A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4.3.2按工作程序对范围内的场所进行日常定期清扫或不定期的清扫保洁，做到按制定标准全方位保洁，清洁卫生实行动态保洁。</w:t>
      </w:r>
    </w:p>
    <w:p w14:paraId="55C433C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4.3.3保洁人员工作日晚30分钟下班。</w:t>
      </w:r>
    </w:p>
    <w:p w14:paraId="2F6C21B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4.3.4定期进行消毒和灭虫除害，做到办公区内无蚊、蝇、虫、鼠孽生地，每月对办公楼全范围消毒1次，每半年灭鼠1次。</w:t>
      </w:r>
    </w:p>
    <w:p w14:paraId="64FC688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4.3.5如遇突发事件或突击检查时，积极配合搞好卫生工作，随叫随到。</w:t>
      </w:r>
    </w:p>
    <w:p w14:paraId="6FD610D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4.3.6停车场每日清扫1次以上，每周冲洗1次，道路每日清扫1次以上，及时清除道路积水、灰尘、垃圾，地面清洁无积尘、无污渍、无油渍。</w:t>
      </w:r>
    </w:p>
    <w:p w14:paraId="3162975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4.3.7大厅清洁要求：每天清扫2次以上，动态保洁。地面干净无灰尘、杂物，无污迹，保持光洁明亮；墙脚、墙面、指示牌、垃圾桶无污迹、水迹、尘迹，保持光洁明亮；灯饰、通风口、空调风口无蛛丝、无污尘。</w:t>
      </w:r>
    </w:p>
    <w:p w14:paraId="3DD3280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4.3.8楼层公共区域部分清洁要求：楼道每日清扫2次以上，每日拖洗1次以上，楼梯扶手每周擦洗2次以上，共用部位玻璃每周清洁1次以上，地面、墙面、消防器材、果皮箱、垃圾桶无污迹、痰迹、尘迹，消防通道无随意堆放垃圾、杂物或占用，天花吊顶、送排风口无蜘蛛网和灰尘污迹；电梯轿厢每日清洁1次以上，每周上1次以上保护液，地面无污渍、尘迹，轿厢侧壁不锈钢无手印、无污迹；路灯、楼道灯每月清洁1次以上，保持光洁明亮。</w:t>
      </w:r>
    </w:p>
    <w:p w14:paraId="7E41FB2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4.3.9会议室、接待区等清洁要求：地面定时清理，无杂物；桌椅及其他室内装饰物品无尘迹污迹；玻璃、灯饰明亮。做到随时可投入使用。</w:t>
      </w:r>
    </w:p>
    <w:p w14:paraId="2677732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4.3.10化粪池须按国家相关要求进行清掏，每年至少1次以上。</w:t>
      </w:r>
    </w:p>
    <w:p w14:paraId="3D127AF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4.3.11卫生间清洁要求：公共卫生间每天清扫2次以上，地面干净光亮，无异味（必须时，须用檀香、香味剂等除臭用品），无积水、污渍、杂物，墙面瓷片、门、窗等无灰尘。地面、墙面、门、窗、玻璃境面、隔板无灰尘污迹和其他杂物；小便器、蹲便器、洗手台盆无污迹、无积水、无垢、无臭味，瓷器保持明亮光洁；保持下水管道排水通畅，及时补充擦手纸、卫生纸、洗手液，同时做好领、用、存登记。</w:t>
      </w:r>
    </w:p>
    <w:p w14:paraId="0AFBEEA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4.3.12大楼周边（道闸以内）道路、场地、绿地清洁要求：每天清扫1次以上，每周进行1次以上全面冲洗。地面无垃圾杂物，无积水，无明显污迹、油渍；室外设施无明显灰尘污迹及不良张贴物；绿化地带无明显杂物及枯枝叶；灯饰、栏杆、指示牌、公示栏无污迹、水迹及明显灰尘；阴沟、沙井、天台无明显杂物。</w:t>
      </w:r>
    </w:p>
    <w:p w14:paraId="4AE98EA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4.3.13公共玻璃窗、雨阳棚、屋面天台、天沟保持清洁，无垃圾。</w:t>
      </w:r>
    </w:p>
    <w:p w14:paraId="7169DA6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4.3.14垃圾清运要求：分层对各楼层的垃圾桶每日清运2次以上，每日清洗1次以上；垃圾袋装化，保持垃圾桶清洁、桶内无异味。垃圾箱、桶的垃圾存量不超过2/3，垃圾不在桶箱内过夜。垃圾中转站工具摆放整齐，定期清洗消毒，无明显积水，无蚊蝇飞舞，无过量异味。垃圾清运工具应保持清洁无破损，清运过程中不得产生二次污染。各类垃圾按垃圾分类的相关规定进行清运。</w:t>
      </w:r>
    </w:p>
    <w:p w14:paraId="77573B9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4.3.15地毯、地胶清洗要求：每季度1次；地毯表面洁净、无积痕、踩上有舒适感，无反潮、发霉现象；家具、墙壁无机器碰伤痕迹。</w:t>
      </w:r>
    </w:p>
    <w:p w14:paraId="6B7DA21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4.3.16值班室的清洁要求：保证橱柜卫生、桌椅卫生。</w:t>
      </w:r>
    </w:p>
    <w:p w14:paraId="6CBC93C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4.3.17大门岗外广场：每天清扫2次以上，流动保洁；每月对地面石材进行深度清洗1次。</w:t>
      </w:r>
    </w:p>
    <w:p w14:paraId="666E2D4B">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4.4勤杂服务</w:t>
      </w:r>
    </w:p>
    <w:p w14:paraId="3C9554D0">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4.4.1 按工作程序参与食品检验科制样辅助工作。</w:t>
      </w:r>
    </w:p>
    <w:p w14:paraId="3F8CB75B">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4.4.2 按工作程序辅助业务科留样品勤杂工作。</w:t>
      </w:r>
    </w:p>
    <w:p w14:paraId="2DA620A8">
      <w:pPr>
        <w:spacing w:line="400" w:lineRule="exact"/>
        <w:ind w:firstLine="480" w:firstLineChars="2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4.4.3 </w:t>
      </w:r>
      <w:r>
        <w:rPr>
          <w:rFonts w:hint="eastAsia" w:ascii="微软雅黑" w:hAnsi="微软雅黑" w:eastAsia="微软雅黑"/>
          <w:color w:val="auto"/>
          <w:sz w:val="24"/>
          <w:szCs w:val="24"/>
          <w:highlight w:val="none"/>
          <w:lang w:eastAsia="zh-CN"/>
        </w:rPr>
        <w:t>接受日常临时加班和周未及节假日期间应急加班工作安排</w:t>
      </w:r>
      <w:r>
        <w:rPr>
          <w:rFonts w:hint="eastAsia" w:ascii="微软雅黑" w:hAnsi="微软雅黑" w:eastAsia="微软雅黑"/>
          <w:color w:val="auto"/>
          <w:sz w:val="24"/>
          <w:szCs w:val="24"/>
          <w:highlight w:val="none"/>
        </w:rPr>
        <w:t>。</w:t>
      </w:r>
    </w:p>
    <w:p w14:paraId="7B4E1AFB">
      <w:pPr>
        <w:ind w:firstLine="480" w:firstLineChars="200"/>
        <w:rPr>
          <w:rFonts w:hint="default" w:ascii="微软雅黑" w:hAnsi="微软雅黑" w:eastAsia="微软雅黑" w:cs="微软雅黑"/>
          <w:color w:val="auto"/>
          <w:sz w:val="24"/>
          <w:szCs w:val="24"/>
          <w:highlight w:val="none"/>
          <w:lang w:val="en-US" w:eastAsia="zh-CN"/>
        </w:rPr>
      </w:pPr>
    </w:p>
    <w:p w14:paraId="0CE1CF30">
      <w:pPr>
        <w:ind w:firstLine="480" w:firstLineChars="200"/>
        <w:rPr>
          <w:rFonts w:hint="eastAsia" w:ascii="微软雅黑" w:hAnsi="微软雅黑" w:eastAsia="微软雅黑" w:cs="微软雅黑"/>
          <w:color w:val="auto"/>
          <w:sz w:val="24"/>
          <w:szCs w:val="24"/>
          <w:highlight w:val="none"/>
        </w:rPr>
      </w:pPr>
    </w:p>
    <w:p w14:paraId="07A2B7A3">
      <w:pPr>
        <w:ind w:firstLine="480" w:firstLineChars="200"/>
        <w:rPr>
          <w:rFonts w:hint="eastAsia" w:ascii="微软雅黑" w:hAnsi="微软雅黑" w:eastAsia="微软雅黑" w:cs="微软雅黑"/>
          <w:color w:val="auto"/>
          <w:sz w:val="24"/>
          <w:szCs w:val="24"/>
          <w:highlight w:val="none"/>
        </w:rPr>
      </w:pPr>
    </w:p>
    <w:p w14:paraId="0C86F62C">
      <w:pPr>
        <w:pStyle w:val="4"/>
        <w:spacing w:before="0" w:after="0" w:line="240" w:lineRule="auto"/>
        <w:ind w:firstLine="2880" w:firstLineChars="800"/>
        <w:jc w:val="both"/>
        <w:rPr>
          <w:rFonts w:hint="eastAsia" w:ascii="微软雅黑" w:hAnsi="微软雅黑" w:eastAsia="微软雅黑" w:cs="微软雅黑"/>
          <w:b w:val="0"/>
          <w:color w:val="auto"/>
          <w:sz w:val="36"/>
          <w:szCs w:val="30"/>
          <w:highlight w:val="none"/>
        </w:rPr>
      </w:pPr>
    </w:p>
    <w:p w14:paraId="3401C629">
      <w:pPr>
        <w:pStyle w:val="4"/>
        <w:spacing w:before="0" w:after="0" w:line="240" w:lineRule="auto"/>
        <w:ind w:firstLine="2880" w:firstLineChars="800"/>
        <w:jc w:val="both"/>
        <w:rPr>
          <w:rFonts w:hint="eastAsia" w:ascii="微软雅黑" w:hAnsi="微软雅黑" w:eastAsia="微软雅黑" w:cs="微软雅黑"/>
          <w:b w:val="0"/>
          <w:color w:val="auto"/>
          <w:sz w:val="36"/>
          <w:szCs w:val="30"/>
          <w:highlight w:val="none"/>
        </w:rPr>
      </w:pPr>
      <w:bookmarkStart w:id="58" w:name="_Toc3279"/>
      <w:r>
        <w:rPr>
          <w:rFonts w:hint="eastAsia" w:ascii="微软雅黑" w:hAnsi="微软雅黑" w:eastAsia="微软雅黑" w:cs="微软雅黑"/>
          <w:b w:val="0"/>
          <w:color w:val="auto"/>
          <w:sz w:val="36"/>
          <w:szCs w:val="30"/>
          <w:highlight w:val="none"/>
        </w:rPr>
        <w:t xml:space="preserve">第四篇  </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项目商务需求</w:t>
      </w:r>
      <w:bookmarkEnd w:id="57"/>
      <w:bookmarkEnd w:id="58"/>
    </w:p>
    <w:p w14:paraId="2F7C3D47">
      <w:pPr>
        <w:pStyle w:val="5"/>
        <w:spacing w:before="0" w:after="0" w:line="440" w:lineRule="exact"/>
        <w:rPr>
          <w:rFonts w:ascii="微软雅黑" w:hAnsi="微软雅黑" w:eastAsia="微软雅黑"/>
          <w:color w:val="auto"/>
          <w:sz w:val="24"/>
          <w:szCs w:val="24"/>
          <w:highlight w:val="none"/>
        </w:rPr>
      </w:pPr>
      <w:bookmarkStart w:id="59" w:name="_Toc344475120"/>
      <w:bookmarkStart w:id="60" w:name="_Toc21511825"/>
      <w:bookmarkStart w:id="61" w:name="_Toc30507"/>
      <w:bookmarkStart w:id="62" w:name="_Toc12789059"/>
      <w:bookmarkStart w:id="63" w:name="_Toc11641055"/>
      <w:r>
        <w:rPr>
          <w:rFonts w:hint="eastAsia" w:ascii="微软雅黑" w:hAnsi="微软雅黑" w:eastAsia="微软雅黑"/>
          <w:color w:val="auto"/>
          <w:sz w:val="24"/>
          <w:szCs w:val="24"/>
          <w:highlight w:val="none"/>
        </w:rPr>
        <w:t>一、服务期、地点及考核方式</w:t>
      </w:r>
      <w:bookmarkEnd w:id="59"/>
      <w:bookmarkEnd w:id="60"/>
      <w:bookmarkEnd w:id="61"/>
    </w:p>
    <w:p w14:paraId="72B0F85B">
      <w:pPr>
        <w:pStyle w:val="2"/>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（一）服务期：签订合同后，接采购人通知，提供1年的物业服务。</w:t>
      </w:r>
    </w:p>
    <w:p w14:paraId="7401678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（二）服务地点：</w:t>
      </w:r>
      <w:r>
        <w:rPr>
          <w:rFonts w:hint="eastAsia" w:ascii="微软雅黑" w:hAnsi="微软雅黑" w:eastAsia="微软雅黑"/>
          <w:color w:val="auto"/>
          <w:sz w:val="24"/>
          <w:szCs w:val="24"/>
          <w:highlight w:val="none"/>
          <w:lang w:eastAsia="zh-CN"/>
        </w:rPr>
        <w:t>重庆市食品药品检验检测研究院一分院</w:t>
      </w:r>
      <w:r>
        <w:rPr>
          <w:rFonts w:hint="eastAsia" w:ascii="微软雅黑" w:hAnsi="微软雅黑" w:eastAsia="微软雅黑"/>
          <w:color w:val="auto"/>
          <w:sz w:val="24"/>
          <w:szCs w:val="24"/>
          <w:highlight w:val="none"/>
        </w:rPr>
        <w:t>办公楼位于</w:t>
      </w:r>
      <w:r>
        <w:rPr>
          <w:rFonts w:hint="eastAsia" w:ascii="微软雅黑" w:hAnsi="微软雅黑" w:eastAsia="微软雅黑"/>
          <w:color w:val="auto"/>
          <w:sz w:val="24"/>
          <w:szCs w:val="24"/>
          <w:highlight w:val="none"/>
          <w:lang w:eastAsia="zh-CN"/>
        </w:rPr>
        <w:t>万州区龙溪大道</w:t>
      </w:r>
      <w:r>
        <w:rPr>
          <w:rFonts w:hint="eastAsia" w:ascii="微软雅黑" w:hAnsi="微软雅黑" w:eastAsia="微软雅黑"/>
          <w:color w:val="auto"/>
          <w:sz w:val="24"/>
          <w:szCs w:val="24"/>
          <w:highlight w:val="none"/>
          <w:lang w:val="en-US" w:eastAsia="zh-CN"/>
        </w:rPr>
        <w:t>16号</w:t>
      </w:r>
      <w:r>
        <w:rPr>
          <w:rFonts w:hint="eastAsia" w:ascii="微软雅黑" w:hAnsi="微软雅黑" w:eastAsia="微软雅黑"/>
          <w:color w:val="auto"/>
          <w:sz w:val="24"/>
          <w:szCs w:val="24"/>
          <w:highlight w:val="none"/>
        </w:rPr>
        <w:t>，采购人指定地点。</w:t>
      </w:r>
    </w:p>
    <w:p w14:paraId="04EB155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（三）考核方式：采购人每季度派人对中标人的服务项目按招标合同的“服务质量要求”条款进行考核。若发现5项不符合，扣减履约保证金总额的5%。</w:t>
      </w:r>
    </w:p>
    <w:p w14:paraId="6819D480">
      <w:pPr>
        <w:pStyle w:val="5"/>
        <w:spacing w:before="0" w:after="0" w:line="400" w:lineRule="exact"/>
        <w:rPr>
          <w:rFonts w:hint="eastAsia" w:ascii="微软雅黑" w:hAnsi="微软雅黑" w:eastAsia="微软雅黑"/>
          <w:color w:val="auto"/>
          <w:sz w:val="24"/>
          <w:szCs w:val="24"/>
          <w:highlight w:val="none"/>
        </w:rPr>
      </w:pPr>
      <w:bookmarkStart w:id="64" w:name="_Toc344475121"/>
      <w:bookmarkStart w:id="65" w:name="_Toc21511826"/>
      <w:bookmarkStart w:id="66" w:name="_Toc20493"/>
      <w:r>
        <w:rPr>
          <w:rFonts w:hint="eastAsia" w:ascii="微软雅黑" w:hAnsi="微软雅黑" w:eastAsia="微软雅黑"/>
          <w:color w:val="auto"/>
          <w:sz w:val="24"/>
          <w:szCs w:val="24"/>
          <w:highlight w:val="none"/>
        </w:rPr>
        <w:t>二、</w:t>
      </w:r>
      <w:bookmarkEnd w:id="64"/>
      <w:r>
        <w:rPr>
          <w:rFonts w:hint="eastAsia" w:ascii="微软雅黑" w:hAnsi="微软雅黑" w:eastAsia="微软雅黑"/>
          <w:color w:val="auto"/>
          <w:sz w:val="24"/>
          <w:szCs w:val="24"/>
          <w:highlight w:val="none"/>
        </w:rPr>
        <w:t>报价要求</w:t>
      </w:r>
      <w:bookmarkEnd w:id="65"/>
      <w:bookmarkEnd w:id="66"/>
    </w:p>
    <w:p w14:paraId="0797F1F5">
      <w:pPr>
        <w:ind w:firstLine="480" w:firstLineChars="200"/>
        <w:rPr>
          <w:rFonts w:hint="eastAsia" w:ascii="微软雅黑" w:hAnsi="微软雅黑" w:eastAsia="微软雅黑"/>
          <w:color w:val="auto"/>
          <w:sz w:val="24"/>
          <w:szCs w:val="24"/>
          <w:highlight w:val="none"/>
          <w:lang w:eastAsia="zh-CN"/>
        </w:rPr>
      </w:pPr>
      <w:bookmarkStart w:id="67" w:name="_Toc21511828"/>
      <w:bookmarkStart w:id="68" w:name="_Toc344475122"/>
      <w:r>
        <w:rPr>
          <w:rFonts w:hint="eastAsia" w:ascii="微软雅黑" w:hAnsi="微软雅黑" w:eastAsia="微软雅黑"/>
          <w:color w:val="auto"/>
          <w:sz w:val="24"/>
          <w:szCs w:val="24"/>
          <w:highlight w:val="none"/>
        </w:rPr>
        <w:t>（一）</w:t>
      </w:r>
      <w:r>
        <w:rPr>
          <w:rFonts w:ascii="微软雅黑" w:hAnsi="微软雅黑" w:eastAsia="微软雅黑"/>
          <w:color w:val="auto"/>
          <w:sz w:val="24"/>
          <w:szCs w:val="24"/>
          <w:highlight w:val="none"/>
        </w:rPr>
        <w:t>报价包括但不限于：人员工资、社会保险费、福利费、</w:t>
      </w:r>
      <w:r>
        <w:rPr>
          <w:rFonts w:hint="eastAsia" w:ascii="微软雅黑" w:hAnsi="微软雅黑" w:eastAsia="微软雅黑"/>
          <w:color w:val="auto"/>
          <w:sz w:val="24"/>
          <w:szCs w:val="24"/>
          <w:highlight w:val="none"/>
        </w:rPr>
        <w:t>法定节假日</w:t>
      </w:r>
      <w:r>
        <w:rPr>
          <w:rFonts w:ascii="微软雅黑" w:hAnsi="微软雅黑" w:eastAsia="微软雅黑"/>
          <w:color w:val="auto"/>
          <w:sz w:val="24"/>
          <w:szCs w:val="24"/>
          <w:highlight w:val="none"/>
        </w:rPr>
        <w:t>加班费、服装费、</w:t>
      </w:r>
      <w:r>
        <w:rPr>
          <w:rFonts w:hint="eastAsia" w:ascii="微软雅黑" w:hAnsi="微软雅黑" w:eastAsia="微软雅黑"/>
          <w:color w:val="auto"/>
          <w:sz w:val="24"/>
          <w:szCs w:val="24"/>
          <w:highlight w:val="none"/>
        </w:rPr>
        <w:t>培训费、保安物资器械、</w:t>
      </w:r>
      <w:r>
        <w:rPr>
          <w:rFonts w:ascii="微软雅黑" w:hAnsi="微软雅黑" w:eastAsia="微软雅黑"/>
          <w:color w:val="auto"/>
          <w:sz w:val="24"/>
          <w:szCs w:val="24"/>
          <w:highlight w:val="none"/>
        </w:rPr>
        <w:t>垃圾清运（含食堂潲水</w:t>
      </w:r>
      <w:r>
        <w:rPr>
          <w:rFonts w:hint="eastAsia" w:ascii="微软雅黑" w:hAnsi="微软雅黑" w:eastAsia="微软雅黑"/>
          <w:color w:val="auto"/>
          <w:sz w:val="24"/>
          <w:szCs w:val="24"/>
          <w:highlight w:val="none"/>
        </w:rPr>
        <w:t>等</w:t>
      </w:r>
      <w:r>
        <w:rPr>
          <w:rFonts w:ascii="微软雅黑" w:hAnsi="微软雅黑" w:eastAsia="微软雅黑"/>
          <w:color w:val="auto"/>
          <w:sz w:val="24"/>
          <w:szCs w:val="24"/>
          <w:highlight w:val="none"/>
        </w:rPr>
        <w:t>）、管理费、税费等费用。投标报价应包含实施本项目的一切费用，中标后采购人不再承担任何费用，投标人投标时自行考虑并承担一切安全风险</w:t>
      </w:r>
      <w:r>
        <w:rPr>
          <w:rFonts w:hint="eastAsia" w:ascii="微软雅黑" w:hAnsi="微软雅黑" w:eastAsia="微软雅黑"/>
          <w:color w:val="auto"/>
          <w:sz w:val="24"/>
          <w:szCs w:val="24"/>
          <w:highlight w:val="none"/>
        </w:rPr>
        <w:t>；</w:t>
      </w:r>
    </w:p>
    <w:p w14:paraId="06F2C6C2">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w:t>
      </w:r>
      <w:r>
        <w:rPr>
          <w:rFonts w:ascii="微软雅黑" w:hAnsi="微软雅黑" w:eastAsia="微软雅黑"/>
          <w:color w:val="auto"/>
          <w:sz w:val="24"/>
          <w:szCs w:val="24"/>
          <w:highlight w:val="none"/>
        </w:rPr>
        <w:t>采购人新增设施的物业管理服务仍由采购人与中标人</w:t>
      </w:r>
      <w:r>
        <w:rPr>
          <w:rFonts w:hint="eastAsia" w:ascii="微软雅黑" w:hAnsi="微软雅黑" w:eastAsia="微软雅黑"/>
          <w:color w:val="auto"/>
          <w:sz w:val="24"/>
          <w:szCs w:val="24"/>
          <w:highlight w:val="none"/>
        </w:rPr>
        <w:t>共同</w:t>
      </w:r>
      <w:r>
        <w:rPr>
          <w:rFonts w:ascii="微软雅黑" w:hAnsi="微软雅黑" w:eastAsia="微软雅黑"/>
          <w:color w:val="auto"/>
          <w:sz w:val="24"/>
          <w:szCs w:val="24"/>
          <w:highlight w:val="none"/>
        </w:rPr>
        <w:t>协商解决</w:t>
      </w:r>
      <w:r>
        <w:rPr>
          <w:rFonts w:hint="eastAsia" w:ascii="微软雅黑" w:hAnsi="微软雅黑" w:eastAsia="微软雅黑"/>
          <w:color w:val="auto"/>
          <w:sz w:val="24"/>
          <w:szCs w:val="24"/>
          <w:highlight w:val="none"/>
        </w:rPr>
        <w:t>；</w:t>
      </w:r>
    </w:p>
    <w:p w14:paraId="4A21DE42">
      <w:pPr>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（三）</w:t>
      </w:r>
      <w:r>
        <w:rPr>
          <w:rFonts w:ascii="微软雅黑" w:hAnsi="微软雅黑" w:eastAsia="微软雅黑"/>
          <w:color w:val="auto"/>
          <w:sz w:val="24"/>
          <w:szCs w:val="24"/>
          <w:highlight w:val="none"/>
        </w:rPr>
        <w:t>供应商报价中员工工资不得低于重庆市最低工资水平并按规定足额缴纳社会保险；</w:t>
      </w:r>
    </w:p>
    <w:p w14:paraId="775C9635">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w:t>
      </w:r>
      <w:r>
        <w:rPr>
          <w:rFonts w:ascii="微软雅黑" w:hAnsi="微软雅黑" w:eastAsia="微软雅黑"/>
          <w:color w:val="auto"/>
          <w:sz w:val="24"/>
          <w:szCs w:val="24"/>
          <w:highlight w:val="none"/>
        </w:rPr>
        <w:t>设施设备维修材料、</w:t>
      </w:r>
      <w:r>
        <w:rPr>
          <w:rFonts w:hint="eastAsia" w:ascii="微软雅黑" w:hAnsi="微软雅黑" w:eastAsia="微软雅黑"/>
          <w:color w:val="auto"/>
          <w:sz w:val="24"/>
          <w:szCs w:val="24"/>
          <w:highlight w:val="none"/>
        </w:rPr>
        <w:t>办公费、日常耗材（保洁物品、消杀药品及工程维修耗材由采购人负责。</w:t>
      </w:r>
      <w:r>
        <w:rPr>
          <w:rFonts w:ascii="微软雅黑" w:hAnsi="微软雅黑" w:eastAsia="微软雅黑"/>
          <w:color w:val="auto"/>
          <w:sz w:val="24"/>
          <w:szCs w:val="24"/>
          <w:highlight w:val="none"/>
        </w:rPr>
        <w:t>卫生间客用品（如洗手液、卷纸、擦手抽纸等）由采购人提供</w:t>
      </w:r>
      <w:r>
        <w:rPr>
          <w:rFonts w:hint="eastAsia" w:ascii="微软雅黑" w:hAnsi="微软雅黑" w:eastAsia="微软雅黑"/>
          <w:color w:val="auto"/>
          <w:sz w:val="24"/>
          <w:szCs w:val="24"/>
          <w:highlight w:val="none"/>
        </w:rPr>
        <w:t>。</w:t>
      </w:r>
    </w:p>
    <w:p w14:paraId="6A2CA4C0">
      <w:pPr>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三、质量保证及售后服务</w:t>
      </w:r>
    </w:p>
    <w:p w14:paraId="14CD411D">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为保证项目的服务质量，投标人具有本地化服务能力 （本地有注册机构,子公司或者分公司，以在渝工商注册证明文件为准，保障物业管理服务及时提供）。</w:t>
      </w:r>
    </w:p>
    <w:p w14:paraId="2E62008A">
      <w:pPr>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中标人提供产品或服务验收不合格或履约评价不合格的，履约保证金不予退还。</w:t>
      </w:r>
    </w:p>
    <w:p w14:paraId="016D429D">
      <w:pPr>
        <w:pStyle w:val="5"/>
        <w:spacing w:before="0" w:after="0" w:line="400" w:lineRule="exact"/>
        <w:rPr>
          <w:rFonts w:hint="eastAsia" w:ascii="微软雅黑" w:hAnsi="微软雅黑" w:eastAsia="微软雅黑"/>
          <w:color w:val="auto"/>
          <w:highlight w:val="none"/>
        </w:rPr>
      </w:pPr>
      <w:bookmarkStart w:id="69" w:name="_Toc27252"/>
      <w:r>
        <w:rPr>
          <w:rFonts w:hint="eastAsia" w:ascii="微软雅黑" w:hAnsi="微软雅黑" w:eastAsia="微软雅黑"/>
          <w:color w:val="auto"/>
          <w:sz w:val="24"/>
          <w:szCs w:val="24"/>
          <w:highlight w:val="none"/>
        </w:rPr>
        <w:t>四、付款方式</w:t>
      </w:r>
      <w:bookmarkEnd w:id="67"/>
      <w:bookmarkEnd w:id="68"/>
      <w:bookmarkEnd w:id="69"/>
    </w:p>
    <w:p w14:paraId="77365C0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（一）合同签订前成交供应商向采购人缴纳合同金额5%的履约保证金（以支票、汇票、本票或者金融机构、担保机构出具的保函等非现金形式提交）；</w:t>
      </w:r>
    </w:p>
    <w:p w14:paraId="483AE13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（二）物业管理服务费以转账方式支付，</w:t>
      </w:r>
      <w:r>
        <w:rPr>
          <w:rFonts w:hint="eastAsia" w:ascii="微软雅黑" w:hAnsi="微软雅黑" w:eastAsia="微软雅黑"/>
          <w:strike w:val="0"/>
          <w:dstrike w:val="0"/>
          <w:color w:val="auto"/>
          <w:sz w:val="24"/>
          <w:szCs w:val="24"/>
          <w:highlight w:val="none"/>
          <w:lang w:eastAsia="zh-CN"/>
        </w:rPr>
        <w:t>每月由重庆市食品药品检验检测研究院</w:t>
      </w:r>
      <w:r>
        <w:rPr>
          <w:rFonts w:hint="eastAsia" w:ascii="微软雅黑" w:hAnsi="微软雅黑" w:eastAsia="微软雅黑"/>
          <w:strike w:val="0"/>
          <w:dstrike w:val="0"/>
          <w:color w:val="auto"/>
          <w:sz w:val="24"/>
          <w:szCs w:val="24"/>
          <w:highlight w:val="none"/>
          <w:lang w:val="en-US" w:eastAsia="zh-CN"/>
        </w:rPr>
        <w:t>(</w:t>
      </w:r>
      <w:r>
        <w:rPr>
          <w:rFonts w:hint="eastAsia" w:ascii="微软雅黑" w:hAnsi="微软雅黑" w:eastAsia="微软雅黑"/>
          <w:strike w:val="0"/>
          <w:dstrike w:val="0"/>
          <w:color w:val="auto"/>
          <w:sz w:val="24"/>
          <w:szCs w:val="24"/>
          <w:highlight w:val="none"/>
          <w:lang w:eastAsia="zh-CN"/>
        </w:rPr>
        <w:t>院本部</w:t>
      </w:r>
      <w:r>
        <w:rPr>
          <w:rFonts w:hint="eastAsia" w:ascii="微软雅黑" w:hAnsi="微软雅黑" w:eastAsia="微软雅黑"/>
          <w:strike w:val="0"/>
          <w:dstrike w:val="0"/>
          <w:color w:val="auto"/>
          <w:sz w:val="24"/>
          <w:szCs w:val="24"/>
          <w:highlight w:val="none"/>
          <w:lang w:val="en-US" w:eastAsia="zh-CN"/>
        </w:rPr>
        <w:t>)</w:t>
      </w:r>
      <w:r>
        <w:rPr>
          <w:rFonts w:hint="eastAsia" w:ascii="微软雅黑" w:hAnsi="微软雅黑" w:eastAsia="微软雅黑"/>
          <w:strike w:val="0"/>
          <w:dstrike w:val="0"/>
          <w:color w:val="auto"/>
          <w:sz w:val="24"/>
          <w:szCs w:val="24"/>
          <w:highlight w:val="none"/>
          <w:lang w:eastAsia="zh-CN"/>
        </w:rPr>
        <w:t>按实支付上月服务费</w:t>
      </w:r>
      <w:r>
        <w:rPr>
          <w:rFonts w:hint="eastAsia" w:ascii="微软雅黑" w:hAnsi="微软雅黑" w:eastAsia="微软雅黑"/>
          <w:color w:val="auto"/>
          <w:sz w:val="24"/>
          <w:szCs w:val="24"/>
          <w:highlight w:val="none"/>
        </w:rPr>
        <w:t>；</w:t>
      </w:r>
    </w:p>
    <w:p w14:paraId="75566FA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（三）成交供应商合同到期</w:t>
      </w:r>
      <w:r>
        <w:rPr>
          <w:rFonts w:hint="eastAsia" w:ascii="微软雅黑" w:hAnsi="微软雅黑" w:eastAsia="微软雅黑"/>
          <w:color w:val="auto"/>
          <w:sz w:val="24"/>
          <w:szCs w:val="24"/>
          <w:highlight w:val="none"/>
          <w:lang w:eastAsia="zh-CN"/>
        </w:rPr>
        <w:t>后，若双方对本合同的继续履行无异议的，服务内容相对固定，合同期限可以自动顺延一年，顺延期限最高不超过</w:t>
      </w:r>
      <w:r>
        <w:rPr>
          <w:rFonts w:hint="eastAsia" w:ascii="微软雅黑" w:hAnsi="微软雅黑" w:eastAsia="微软雅黑"/>
          <w:color w:val="auto"/>
          <w:sz w:val="24"/>
          <w:szCs w:val="24"/>
          <w:highlight w:val="none"/>
          <w:lang w:val="en-US" w:eastAsia="zh-CN"/>
        </w:rPr>
        <w:t>3年，本合同的各项条款继续有效。顺延到期后，</w:t>
      </w:r>
      <w:r>
        <w:rPr>
          <w:rFonts w:hint="eastAsia" w:ascii="微软雅黑" w:hAnsi="微软雅黑" w:eastAsia="微软雅黑"/>
          <w:color w:val="auto"/>
          <w:sz w:val="24"/>
          <w:szCs w:val="24"/>
          <w:highlight w:val="none"/>
        </w:rPr>
        <w:t>及时办理移交，妥善处理相关后续事宜，所有手续和费用完清，无任何用工纠纷和遗留问题，采购人确认无异议后三十日内退还成交供应商履约保证金；</w:t>
      </w:r>
    </w:p>
    <w:p w14:paraId="7039053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（四）成交供应商须向采购人开具发票，向采购人提出付款申请；</w:t>
      </w:r>
    </w:p>
    <w:p w14:paraId="1DE631B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（五）本合同使用货币为人民币。</w:t>
      </w:r>
    </w:p>
    <w:p w14:paraId="6F3DB303">
      <w:pPr>
        <w:pStyle w:val="5"/>
        <w:spacing w:before="0" w:after="0" w:line="400" w:lineRule="exact"/>
        <w:rPr>
          <w:rFonts w:hint="eastAsia" w:ascii="微软雅黑" w:hAnsi="微软雅黑" w:eastAsia="微软雅黑"/>
          <w:color w:val="auto"/>
          <w:sz w:val="24"/>
          <w:szCs w:val="24"/>
          <w:highlight w:val="none"/>
        </w:rPr>
      </w:pPr>
      <w:bookmarkStart w:id="70" w:name="_Toc344475123"/>
      <w:bookmarkStart w:id="71" w:name="_Toc21511829"/>
      <w:bookmarkStart w:id="72" w:name="_Toc9546"/>
      <w:r>
        <w:rPr>
          <w:rFonts w:hint="eastAsia" w:ascii="微软雅黑" w:hAnsi="微软雅黑" w:eastAsia="微软雅黑"/>
          <w:color w:val="auto"/>
          <w:sz w:val="24"/>
          <w:szCs w:val="24"/>
          <w:highlight w:val="none"/>
        </w:rPr>
        <w:t>五、知识产权</w:t>
      </w:r>
      <w:bookmarkEnd w:id="70"/>
      <w:bookmarkEnd w:id="71"/>
      <w:bookmarkEnd w:id="72"/>
    </w:p>
    <w:p w14:paraId="43039F2A">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2604171">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注：（若涉及软件开发等服务类项目知识产权的，知识产权归采购人所有）。</w:t>
      </w:r>
    </w:p>
    <w:p w14:paraId="216CDB25">
      <w:pPr>
        <w:pStyle w:val="5"/>
        <w:spacing w:before="0" w:after="0" w:line="400" w:lineRule="exact"/>
        <w:rPr>
          <w:rFonts w:hint="eastAsia" w:ascii="微软雅黑" w:hAnsi="微软雅黑" w:eastAsia="微软雅黑"/>
          <w:color w:val="auto"/>
          <w:sz w:val="24"/>
          <w:szCs w:val="24"/>
          <w:highlight w:val="none"/>
        </w:rPr>
      </w:pPr>
      <w:bookmarkStart w:id="73" w:name="_Toc344475124"/>
      <w:bookmarkStart w:id="74" w:name="_Toc21511830"/>
      <w:bookmarkStart w:id="75" w:name="_Toc11034"/>
      <w:r>
        <w:rPr>
          <w:rFonts w:hint="eastAsia" w:ascii="微软雅黑" w:hAnsi="微软雅黑" w:eastAsia="微软雅黑"/>
          <w:color w:val="auto"/>
          <w:sz w:val="24"/>
          <w:szCs w:val="24"/>
          <w:highlight w:val="none"/>
        </w:rPr>
        <w:t>六、</w:t>
      </w:r>
      <w:bookmarkEnd w:id="73"/>
      <w:bookmarkStart w:id="76" w:name="_Toc344475125"/>
      <w:r>
        <w:rPr>
          <w:rFonts w:hint="eastAsia" w:ascii="微软雅黑" w:hAnsi="微软雅黑" w:eastAsia="微软雅黑"/>
          <w:color w:val="auto"/>
          <w:sz w:val="24"/>
          <w:szCs w:val="24"/>
          <w:highlight w:val="none"/>
        </w:rPr>
        <w:t>其</w:t>
      </w:r>
      <w:bookmarkEnd w:id="74"/>
      <w:r>
        <w:rPr>
          <w:rFonts w:hint="eastAsia" w:ascii="微软雅黑" w:hAnsi="微软雅黑" w:eastAsia="微软雅黑"/>
          <w:color w:val="auto"/>
          <w:sz w:val="24"/>
          <w:szCs w:val="24"/>
          <w:highlight w:val="none"/>
        </w:rPr>
        <w:t>它</w:t>
      </w:r>
      <w:bookmarkEnd w:id="75"/>
    </w:p>
    <w:bookmarkEnd w:id="76"/>
    <w:p w14:paraId="4E7BA2D7">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（一）供应商必须在响应文件中对以上条款和服务承诺明确列出，承诺内容必须达到本篇及竞争性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文件其他条款的要求。</w:t>
      </w:r>
    </w:p>
    <w:p w14:paraId="7D826599">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（二）其他未尽事宜由供需双方在采购合同中详细约定。</w:t>
      </w:r>
    </w:p>
    <w:p w14:paraId="4730654A">
      <w:pPr>
        <w:snapToGrid w:val="0"/>
        <w:spacing w:line="400" w:lineRule="exact"/>
        <w:ind w:firstLine="360" w:firstLineChars="150"/>
        <w:rPr>
          <w:rFonts w:hint="eastAsia" w:ascii="方正仿宋_GBK" w:hAnsi="宋体" w:eastAsia="方正仿宋_GBK"/>
          <w:color w:val="auto"/>
          <w:sz w:val="24"/>
          <w:szCs w:val="24"/>
          <w:highlight w:val="none"/>
        </w:rPr>
      </w:pPr>
    </w:p>
    <w:p w14:paraId="304F14E9">
      <w:pPr>
        <w:pStyle w:val="4"/>
        <w:spacing w:before="0" w:after="0" w:line="240" w:lineRule="auto"/>
        <w:jc w:val="center"/>
        <w:rPr>
          <w:rFonts w:hint="eastAsia" w:ascii="微软雅黑" w:hAnsi="微软雅黑" w:eastAsia="微软雅黑" w:cs="微软雅黑"/>
          <w:b w:val="0"/>
          <w:color w:val="auto"/>
          <w:sz w:val="36"/>
          <w:szCs w:val="30"/>
          <w:highlight w:val="none"/>
        </w:rPr>
      </w:pPr>
    </w:p>
    <w:p w14:paraId="1D11A73C">
      <w:pPr>
        <w:rPr>
          <w:rFonts w:hint="eastAsia"/>
          <w:color w:val="auto"/>
          <w:highlight w:val="none"/>
        </w:rPr>
      </w:pPr>
    </w:p>
    <w:p w14:paraId="0489C75D">
      <w:pPr>
        <w:rPr>
          <w:rFonts w:hint="eastAsia"/>
          <w:color w:val="auto"/>
          <w:highlight w:val="none"/>
        </w:rPr>
      </w:pPr>
    </w:p>
    <w:p w14:paraId="22DF35D5">
      <w:pPr>
        <w:rPr>
          <w:rFonts w:hint="eastAsia"/>
          <w:color w:val="auto"/>
          <w:highlight w:val="none"/>
        </w:rPr>
      </w:pPr>
    </w:p>
    <w:p w14:paraId="498EFA20">
      <w:pPr>
        <w:rPr>
          <w:rFonts w:hint="eastAsia"/>
          <w:color w:val="auto"/>
          <w:highlight w:val="none"/>
        </w:rPr>
      </w:pPr>
    </w:p>
    <w:p w14:paraId="0C31F0E8">
      <w:pPr>
        <w:rPr>
          <w:rFonts w:hint="eastAsia"/>
          <w:color w:val="auto"/>
          <w:highlight w:val="none"/>
        </w:rPr>
      </w:pPr>
    </w:p>
    <w:p w14:paraId="657741D3">
      <w:pPr>
        <w:pStyle w:val="2"/>
        <w:rPr>
          <w:rFonts w:hint="eastAsia"/>
          <w:color w:val="auto"/>
          <w:highlight w:val="none"/>
        </w:rPr>
      </w:pPr>
    </w:p>
    <w:p w14:paraId="235E27A7">
      <w:pPr>
        <w:pStyle w:val="2"/>
        <w:rPr>
          <w:rFonts w:hint="eastAsia"/>
          <w:color w:val="auto"/>
          <w:highlight w:val="none"/>
        </w:rPr>
      </w:pPr>
    </w:p>
    <w:p w14:paraId="0046AEBD">
      <w:pPr>
        <w:pStyle w:val="2"/>
        <w:rPr>
          <w:rFonts w:hint="eastAsia"/>
          <w:color w:val="auto"/>
          <w:highlight w:val="none"/>
        </w:rPr>
      </w:pPr>
    </w:p>
    <w:p w14:paraId="4F8BD345">
      <w:pPr>
        <w:pStyle w:val="2"/>
        <w:rPr>
          <w:rFonts w:hint="eastAsia"/>
          <w:color w:val="auto"/>
          <w:highlight w:val="none"/>
        </w:rPr>
      </w:pPr>
    </w:p>
    <w:p w14:paraId="053314EE">
      <w:pPr>
        <w:pStyle w:val="2"/>
        <w:rPr>
          <w:rFonts w:hint="eastAsia"/>
          <w:color w:val="auto"/>
          <w:highlight w:val="none"/>
        </w:rPr>
      </w:pPr>
    </w:p>
    <w:p w14:paraId="3F7A0782">
      <w:pPr>
        <w:pStyle w:val="2"/>
        <w:rPr>
          <w:rFonts w:hint="eastAsia"/>
          <w:color w:val="auto"/>
          <w:highlight w:val="none"/>
        </w:rPr>
      </w:pPr>
    </w:p>
    <w:p w14:paraId="318F3E82">
      <w:pPr>
        <w:pStyle w:val="2"/>
        <w:rPr>
          <w:rFonts w:hint="eastAsia"/>
          <w:color w:val="auto"/>
          <w:highlight w:val="none"/>
        </w:rPr>
      </w:pPr>
    </w:p>
    <w:p w14:paraId="0016DAE3">
      <w:pPr>
        <w:pStyle w:val="2"/>
        <w:rPr>
          <w:rFonts w:hint="eastAsia"/>
          <w:color w:val="auto"/>
          <w:highlight w:val="none"/>
        </w:rPr>
      </w:pPr>
    </w:p>
    <w:p w14:paraId="22D6A4C1">
      <w:pPr>
        <w:pStyle w:val="2"/>
        <w:rPr>
          <w:rFonts w:hint="eastAsia"/>
          <w:color w:val="auto"/>
          <w:highlight w:val="none"/>
        </w:rPr>
      </w:pPr>
    </w:p>
    <w:p w14:paraId="67F11145">
      <w:pPr>
        <w:pStyle w:val="2"/>
        <w:rPr>
          <w:rFonts w:hint="eastAsia"/>
          <w:color w:val="auto"/>
          <w:highlight w:val="none"/>
        </w:rPr>
      </w:pPr>
    </w:p>
    <w:p w14:paraId="6C764271">
      <w:pPr>
        <w:pStyle w:val="2"/>
        <w:rPr>
          <w:rFonts w:hint="eastAsia"/>
          <w:color w:val="auto"/>
          <w:highlight w:val="none"/>
        </w:rPr>
      </w:pPr>
    </w:p>
    <w:p w14:paraId="23EA7018">
      <w:pPr>
        <w:rPr>
          <w:rFonts w:hint="eastAsia"/>
          <w:color w:val="auto"/>
          <w:highlight w:val="none"/>
        </w:rPr>
      </w:pPr>
    </w:p>
    <w:p w14:paraId="3E6A98A6">
      <w:pPr>
        <w:rPr>
          <w:rFonts w:hint="eastAsia"/>
          <w:color w:val="auto"/>
          <w:highlight w:val="none"/>
        </w:rPr>
      </w:pPr>
    </w:p>
    <w:p w14:paraId="57D5DF8A">
      <w:pPr>
        <w:rPr>
          <w:rFonts w:hint="eastAsia"/>
          <w:color w:val="auto"/>
          <w:highlight w:val="none"/>
        </w:rPr>
      </w:pPr>
    </w:p>
    <w:p w14:paraId="0DE45AB5">
      <w:pPr>
        <w:pStyle w:val="4"/>
        <w:spacing w:before="0" w:after="0" w:line="240" w:lineRule="auto"/>
        <w:jc w:val="center"/>
        <w:rPr>
          <w:rFonts w:hint="eastAsia" w:ascii="仿宋" w:hAnsi="仿宋" w:eastAsia="仿宋"/>
          <w:color w:val="auto"/>
          <w:szCs w:val="32"/>
          <w:highlight w:val="none"/>
        </w:rPr>
      </w:pPr>
      <w:bookmarkStart w:id="77" w:name="_Toc14695"/>
      <w:r>
        <w:rPr>
          <w:rFonts w:hint="eastAsia" w:ascii="微软雅黑" w:hAnsi="微软雅黑" w:eastAsia="微软雅黑" w:cs="微软雅黑"/>
          <w:b w:val="0"/>
          <w:color w:val="auto"/>
          <w:sz w:val="36"/>
          <w:szCs w:val="30"/>
          <w:highlight w:val="none"/>
        </w:rPr>
        <w:t xml:space="preserve">第五篇  </w:t>
      </w:r>
      <w:bookmarkEnd w:id="62"/>
      <w:bookmarkEnd w:id="63"/>
      <w:r>
        <w:rPr>
          <w:rFonts w:hint="eastAsia" w:ascii="微软雅黑" w:hAnsi="微软雅黑" w:eastAsia="微软雅黑" w:cs="微软雅黑"/>
          <w:b w:val="0"/>
          <w:color w:val="auto"/>
          <w:sz w:val="36"/>
          <w:szCs w:val="30"/>
          <w:highlight w:val="none"/>
        </w:rPr>
        <w:t>合同主要条款和格式合同（样本）</w:t>
      </w:r>
      <w:bookmarkEnd w:id="77"/>
    </w:p>
    <w:p w14:paraId="4F8333E7">
      <w:pPr>
        <w:spacing w:line="320" w:lineRule="atLeast"/>
        <w:ind w:firstLine="560" w:firstLineChars="200"/>
        <w:rPr>
          <w:rFonts w:hint="eastAsia" w:ascii="仿宋" w:hAnsi="仿宋" w:eastAsia="仿宋"/>
          <w:color w:val="auto"/>
          <w:szCs w:val="21"/>
          <w:highlight w:val="none"/>
        </w:rPr>
      </w:pPr>
      <w:bookmarkStart w:id="78" w:name="_Toc285722712"/>
      <w:bookmarkStart w:id="79" w:name="_Toc277084870"/>
      <w:bookmarkStart w:id="80" w:name="_Toc340225312"/>
    </w:p>
    <w:p w14:paraId="6E72973E">
      <w:pPr>
        <w:ind w:firstLine="480" w:firstLineChars="200"/>
        <w:rPr>
          <w:rFonts w:hint="eastAsia" w:ascii="微软雅黑" w:hAnsi="微软雅黑" w:eastAsia="微软雅黑" w:cs="微软雅黑"/>
          <w:color w:val="auto"/>
          <w:sz w:val="24"/>
          <w:szCs w:val="24"/>
          <w:highlight w:val="none"/>
        </w:rPr>
      </w:pPr>
      <w:bookmarkStart w:id="81" w:name="_Toc499557527"/>
      <w:r>
        <w:rPr>
          <w:rFonts w:hint="eastAsia" w:ascii="微软雅黑" w:hAnsi="微软雅黑" w:eastAsia="微软雅黑" w:cs="微软雅黑"/>
          <w:color w:val="auto"/>
          <w:sz w:val="24"/>
          <w:szCs w:val="24"/>
          <w:highlight w:val="none"/>
        </w:rPr>
        <w:t>一、合同主要条款</w:t>
      </w:r>
      <w:bookmarkEnd w:id="78"/>
      <w:bookmarkEnd w:id="79"/>
      <w:bookmarkEnd w:id="80"/>
      <w:bookmarkEnd w:id="81"/>
    </w:p>
    <w:p w14:paraId="751C9787">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1.定义</w:t>
      </w:r>
    </w:p>
    <w:p w14:paraId="392293D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1.1甲方(需方)即采购人，是指通过招标采购，接受合同服务的各级国家机关、事业单位和团体组织。</w:t>
      </w:r>
    </w:p>
    <w:p w14:paraId="63DF953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1.2乙方(供方)即中标人，是指中标后提供合同服务的自然人、法人及其他组织。</w:t>
      </w:r>
    </w:p>
    <w:p w14:paraId="48C5466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1.3合同是指由甲乙双方按照招标文件和投标文件的实质性内容，通过协商一致达成的书面协议。</w:t>
      </w:r>
    </w:p>
    <w:p w14:paraId="1A2C8E5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1.4合同价格指以中标价格为依据，在供方全面履行合同义务后，需方(或财政部门)应支付给供方的金额。</w:t>
      </w:r>
    </w:p>
    <w:p w14:paraId="32F8568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1.5技术资料是指合同服务及其相关的设计、制造、监造、检验、验收等文件(包括图纸、各种文字说明、标准)。</w:t>
      </w:r>
    </w:p>
    <w:p w14:paraId="409B6C9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2.服务内容</w:t>
      </w:r>
    </w:p>
    <w:p w14:paraId="787B0EB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合同包括以下内容：服务名称、服务方案、指标参数、数量（单位）等内容。</w:t>
      </w:r>
    </w:p>
    <w:p w14:paraId="7FC97BF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3.合同价格</w:t>
      </w:r>
    </w:p>
    <w:p w14:paraId="3B34ED5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3.1合同价格即合同总价。</w:t>
      </w:r>
    </w:p>
    <w:p w14:paraId="1E3CA28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3.2合同价格包括服务费、劳务费、税费、运杂费、安装调试费、保险费、验收等所有费用。超过采购预算的投标报价为无效投标。</w:t>
      </w:r>
    </w:p>
    <w:p w14:paraId="14E7454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3.3合同货物单价为不变价。</w:t>
      </w:r>
    </w:p>
    <w:p w14:paraId="4F60413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4.转包或分包</w:t>
      </w:r>
    </w:p>
    <w:p w14:paraId="6DC7DAD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4.1本合同范围的服务，应由乙方直接供应，不得转让他人供应；</w:t>
      </w:r>
    </w:p>
    <w:p w14:paraId="054ABC8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4.2非经甲方书面同意，乙方不得将本合同范围的服务全部或部分分包给他人供应；</w:t>
      </w:r>
    </w:p>
    <w:p w14:paraId="36ABD9B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4.3如有转让和未经甲方同意的分包行为，甲方有权解除合同，没收履约保证金并追究乙方的违约责任。</w:t>
      </w:r>
    </w:p>
    <w:p w14:paraId="4432F10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5.质量保证及售后服务</w:t>
      </w:r>
    </w:p>
    <w:p w14:paraId="395F124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5.1乙方应按招标文件规定的服务要求、指标要求、质量标准向甲方提供服务。</w:t>
      </w:r>
    </w:p>
    <w:p w14:paraId="6F6867F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5.2乙方提供的服务达不到技术要求的，根据实际情况，经双方协商，可按以下办法处理：</w:t>
      </w:r>
    </w:p>
    <w:p w14:paraId="7973D2C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5.2.1解除合同：乙方应退还甲方支付的合同款，同时应承担该服务的直接费用(运输、保险、检验、利息及银行手续费等)。</w:t>
      </w:r>
    </w:p>
    <w:p w14:paraId="2ADE7CB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5.3如在使用过程中发生质量问题，乙方在接到甲方通知后在12小时内到达甲方现场处理。</w:t>
      </w:r>
    </w:p>
    <w:p w14:paraId="7BB11B1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5.4在质保期内，乙方应对服务出现的质量及安全问题负责处理解决并承担一切费用。</w:t>
      </w:r>
    </w:p>
    <w:p w14:paraId="137E122E">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5.5投标人所提供的服务产品存在假冒、侵权、盗版情形之一的，经采购单位调查核实后报相关职能部门对其进行处理。</w:t>
      </w:r>
    </w:p>
    <w:p w14:paraId="47D4C33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5.6中标人提供产品或服务验收不合格或履约评价不合格的履约保证金不予退还。</w:t>
      </w:r>
    </w:p>
    <w:p w14:paraId="2C428DEA">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6.付款</w:t>
      </w:r>
    </w:p>
    <w:p w14:paraId="21061FD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6.1本合同使用货币为人民币。</w:t>
      </w:r>
    </w:p>
    <w:p w14:paraId="741A525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6.2付款方式：银行转账。</w:t>
      </w:r>
    </w:p>
    <w:p w14:paraId="1BD440B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6.3付款方法：财政授权支付、直接支付或采购人自行支付。</w:t>
      </w:r>
    </w:p>
    <w:p w14:paraId="79732A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7.检查验收</w:t>
      </w:r>
    </w:p>
    <w:p w14:paraId="072D0E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验收报告应由需方、供方经办人签字，并加盖双方公章，以此作为支付凭据。</w:t>
      </w:r>
    </w:p>
    <w:p w14:paraId="1D14580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8.知识产权</w:t>
      </w:r>
    </w:p>
    <w:p w14:paraId="2AFB525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乙方应保证所提供的货物或其任何一部分均不会侵犯任何第三方的知识产权，如若出现侵权行为，由乙方付全部责任。</w:t>
      </w:r>
    </w:p>
    <w:p w14:paraId="48BDC94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9.合同争议的解决</w:t>
      </w:r>
    </w:p>
    <w:p w14:paraId="483770A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9.1当事人友好协商达成一致</w:t>
      </w:r>
    </w:p>
    <w:p w14:paraId="376C11DA">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9.2在60天内当事人协商不能达成协议的，可提请采购人当地仲裁机构仲裁。</w:t>
      </w:r>
    </w:p>
    <w:p w14:paraId="4A7DA3C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10.违约责任</w:t>
      </w:r>
    </w:p>
    <w:p w14:paraId="6F22900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》、《中华人民共和国政府采购法》有关条款，或由供需双方约定。</w:t>
      </w:r>
    </w:p>
    <w:p w14:paraId="5E7249E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11合同生效及其它</w:t>
      </w:r>
    </w:p>
    <w:p w14:paraId="294514A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11.1合同生效及其效力应符合《中华人民共和国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》有关规定。</w:t>
      </w:r>
    </w:p>
    <w:p w14:paraId="6373A1A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11.2合同应经当事人法定代表人或授权代理人签字，加盖双方合同专用章或公章。</w:t>
      </w:r>
    </w:p>
    <w:p w14:paraId="38DBF13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11.3合同所包括附件，是合同不可分割的一部分，具有同等法法律效力。</w:t>
      </w:r>
    </w:p>
    <w:p w14:paraId="5FEBC95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11.4合同需提供担保的，按《中华人民共和国担保法》规定执行。</w:t>
      </w:r>
    </w:p>
    <w:p w14:paraId="1ADA304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11.5本合同条件未尽事宜依照《中华人民共和国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》，由供需双方共同协商确定。</w:t>
      </w:r>
    </w:p>
    <w:p w14:paraId="124ACF31">
      <w:pPr>
        <w:ind w:firstLine="480" w:firstLineChars="200"/>
        <w:rPr>
          <w:rFonts w:hint="eastAsia" w:ascii="微软雅黑" w:hAnsi="微软雅黑" w:eastAsia="微软雅黑" w:cs="微软雅黑"/>
          <w:color w:val="auto"/>
          <w:sz w:val="24"/>
          <w:szCs w:val="24"/>
          <w:highlight w:val="none"/>
        </w:rPr>
      </w:pPr>
    </w:p>
    <w:p w14:paraId="5D3627AA">
      <w:pPr>
        <w:pStyle w:val="4"/>
        <w:spacing w:before="0" w:after="0" w:line="240" w:lineRule="auto"/>
        <w:jc w:val="center"/>
        <w:rPr>
          <w:rFonts w:hint="eastAsia" w:ascii="微软雅黑" w:hAnsi="微软雅黑" w:eastAsia="微软雅黑" w:cs="微软雅黑"/>
          <w:color w:val="auto"/>
          <w:sz w:val="24"/>
          <w:szCs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200C83BB">
      <w:pPr>
        <w:rPr>
          <w:rFonts w:hint="eastAsia" w:ascii="微软雅黑" w:hAnsi="微软雅黑" w:eastAsia="微软雅黑" w:cs="微软雅黑"/>
          <w:color w:val="auto"/>
          <w:sz w:val="24"/>
          <w:highlight w:val="none"/>
        </w:rPr>
      </w:pPr>
      <w:bookmarkStart w:id="82" w:name="_Toc148265480"/>
      <w:bookmarkStart w:id="83" w:name="_Toc303945820"/>
      <w:r>
        <w:rPr>
          <w:rFonts w:hint="eastAsia" w:ascii="微软雅黑" w:hAnsi="微软雅黑" w:eastAsia="微软雅黑" w:cs="微软雅黑"/>
          <w:color w:val="auto"/>
          <w:sz w:val="24"/>
          <w:highlight w:val="none"/>
        </w:rPr>
        <w:t>附页：合同格式</w:t>
      </w:r>
      <w:bookmarkEnd w:id="82"/>
      <w:bookmarkEnd w:id="83"/>
    </w:p>
    <w:p w14:paraId="301AAC97">
      <w:pPr>
        <w:jc w:val="center"/>
        <w:rPr>
          <w:rFonts w:hint="eastAsia" w:ascii="微软雅黑" w:hAnsi="微软雅黑" w:eastAsia="微软雅黑" w:cs="微软雅黑"/>
          <w:color w:val="auto"/>
          <w:sz w:val="44"/>
          <w:highlight w:val="none"/>
        </w:rPr>
      </w:pPr>
      <w:r>
        <w:rPr>
          <w:rFonts w:hint="eastAsia" w:ascii="微软雅黑" w:hAnsi="微软雅黑" w:eastAsia="微软雅黑" w:cs="微软雅黑"/>
          <w:color w:val="auto"/>
          <w:sz w:val="44"/>
          <w:highlight w:val="none"/>
        </w:rPr>
        <w:t>重庆市政府采购购销合同</w:t>
      </w:r>
    </w:p>
    <w:p w14:paraId="7E49E995">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（采购项目编号：     ）</w:t>
      </w:r>
    </w:p>
    <w:p w14:paraId="1128C0E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甲方（需方）：___________________________      计价单位：____________</w:t>
      </w:r>
    </w:p>
    <w:p w14:paraId="29FA3BD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14347516">
      <w:pPr>
        <w:rPr>
          <w:rFonts w:hint="eastAsia" w:ascii="微软雅黑" w:hAnsi="微软雅黑" w:eastAsia="微软雅黑" w:cs="微软雅黑"/>
          <w:color w:val="auto"/>
          <w:sz w:val="24"/>
          <w:highlight w:val="none"/>
        </w:rPr>
      </w:pPr>
    </w:p>
    <w:p w14:paraId="2238FB4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4299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66963A63">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商品名称</w:t>
            </w:r>
          </w:p>
        </w:tc>
        <w:tc>
          <w:tcPr>
            <w:tcW w:w="1741" w:type="dxa"/>
            <w:noWrap w:val="0"/>
            <w:vAlign w:val="center"/>
          </w:tcPr>
          <w:p w14:paraId="1D85BA88">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984" w:type="dxa"/>
            <w:noWrap w:val="0"/>
            <w:vAlign w:val="center"/>
          </w:tcPr>
          <w:p w14:paraId="75A3AAC4">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873" w:type="dxa"/>
            <w:noWrap w:val="0"/>
            <w:vAlign w:val="center"/>
          </w:tcPr>
          <w:p w14:paraId="57B82FB3">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899" w:type="dxa"/>
            <w:noWrap w:val="0"/>
            <w:vAlign w:val="center"/>
          </w:tcPr>
          <w:p w14:paraId="6B6CA38A">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w:t>
            </w:r>
          </w:p>
        </w:tc>
        <w:tc>
          <w:tcPr>
            <w:tcW w:w="1575" w:type="dxa"/>
            <w:noWrap w:val="0"/>
            <w:vAlign w:val="center"/>
          </w:tcPr>
          <w:p w14:paraId="5FC23CD8">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交货时间</w:t>
            </w:r>
          </w:p>
        </w:tc>
        <w:tc>
          <w:tcPr>
            <w:tcW w:w="2211" w:type="dxa"/>
            <w:noWrap w:val="0"/>
            <w:vAlign w:val="center"/>
          </w:tcPr>
          <w:p w14:paraId="5728ECAD">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交货地点</w:t>
            </w:r>
          </w:p>
        </w:tc>
      </w:tr>
      <w:tr w14:paraId="50B1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9C22622">
            <w:pPr>
              <w:jc w:val="center"/>
              <w:rPr>
                <w:rFonts w:hint="eastAsia" w:ascii="微软雅黑" w:hAnsi="微软雅黑" w:eastAsia="微软雅黑" w:cs="微软雅黑"/>
                <w:color w:val="auto"/>
                <w:sz w:val="24"/>
                <w:highlight w:val="none"/>
              </w:rPr>
            </w:pPr>
          </w:p>
        </w:tc>
        <w:tc>
          <w:tcPr>
            <w:tcW w:w="1741" w:type="dxa"/>
            <w:noWrap w:val="0"/>
            <w:vAlign w:val="center"/>
          </w:tcPr>
          <w:p w14:paraId="683D4142">
            <w:pPr>
              <w:jc w:val="center"/>
              <w:rPr>
                <w:rFonts w:hint="eastAsia" w:ascii="微软雅黑" w:hAnsi="微软雅黑" w:eastAsia="微软雅黑" w:cs="微软雅黑"/>
                <w:color w:val="auto"/>
                <w:sz w:val="24"/>
                <w:highlight w:val="none"/>
              </w:rPr>
            </w:pPr>
          </w:p>
        </w:tc>
        <w:tc>
          <w:tcPr>
            <w:tcW w:w="984" w:type="dxa"/>
            <w:noWrap w:val="0"/>
            <w:vAlign w:val="center"/>
          </w:tcPr>
          <w:p w14:paraId="4AFEC8B9">
            <w:pPr>
              <w:jc w:val="center"/>
              <w:rPr>
                <w:rFonts w:hint="eastAsia" w:ascii="微软雅黑" w:hAnsi="微软雅黑" w:eastAsia="微软雅黑" w:cs="微软雅黑"/>
                <w:color w:val="auto"/>
                <w:sz w:val="24"/>
                <w:highlight w:val="none"/>
              </w:rPr>
            </w:pPr>
          </w:p>
        </w:tc>
        <w:tc>
          <w:tcPr>
            <w:tcW w:w="873" w:type="dxa"/>
            <w:noWrap w:val="0"/>
            <w:vAlign w:val="center"/>
          </w:tcPr>
          <w:p w14:paraId="0CB7EB4F">
            <w:pPr>
              <w:jc w:val="center"/>
              <w:rPr>
                <w:rFonts w:hint="eastAsia" w:ascii="微软雅黑" w:hAnsi="微软雅黑" w:eastAsia="微软雅黑" w:cs="微软雅黑"/>
                <w:color w:val="auto"/>
                <w:sz w:val="24"/>
                <w:highlight w:val="none"/>
              </w:rPr>
            </w:pPr>
          </w:p>
        </w:tc>
        <w:tc>
          <w:tcPr>
            <w:tcW w:w="899" w:type="dxa"/>
            <w:noWrap w:val="0"/>
            <w:vAlign w:val="center"/>
          </w:tcPr>
          <w:p w14:paraId="282DAA53">
            <w:pPr>
              <w:jc w:val="center"/>
              <w:rPr>
                <w:rFonts w:hint="eastAsia" w:ascii="微软雅黑" w:hAnsi="微软雅黑" w:eastAsia="微软雅黑" w:cs="微软雅黑"/>
                <w:color w:val="auto"/>
                <w:sz w:val="24"/>
                <w:highlight w:val="none"/>
              </w:rPr>
            </w:pPr>
          </w:p>
        </w:tc>
        <w:tc>
          <w:tcPr>
            <w:tcW w:w="1575" w:type="dxa"/>
            <w:noWrap w:val="0"/>
            <w:vAlign w:val="center"/>
          </w:tcPr>
          <w:p w14:paraId="72BCDE76">
            <w:pPr>
              <w:jc w:val="center"/>
              <w:rPr>
                <w:rFonts w:hint="eastAsia" w:ascii="微软雅黑" w:hAnsi="微软雅黑" w:eastAsia="微软雅黑" w:cs="微软雅黑"/>
                <w:color w:val="auto"/>
                <w:sz w:val="24"/>
                <w:highlight w:val="none"/>
              </w:rPr>
            </w:pPr>
          </w:p>
        </w:tc>
        <w:tc>
          <w:tcPr>
            <w:tcW w:w="2211" w:type="dxa"/>
            <w:noWrap w:val="0"/>
            <w:vAlign w:val="center"/>
          </w:tcPr>
          <w:p w14:paraId="1FE33B2B">
            <w:pPr>
              <w:jc w:val="center"/>
              <w:rPr>
                <w:rFonts w:hint="eastAsia" w:ascii="微软雅黑" w:hAnsi="微软雅黑" w:eastAsia="微软雅黑" w:cs="微软雅黑"/>
                <w:color w:val="auto"/>
                <w:sz w:val="24"/>
                <w:highlight w:val="none"/>
              </w:rPr>
            </w:pPr>
          </w:p>
        </w:tc>
      </w:tr>
      <w:tr w14:paraId="5F6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D3F63A2">
            <w:pPr>
              <w:jc w:val="center"/>
              <w:rPr>
                <w:rFonts w:hint="eastAsia" w:ascii="微软雅黑" w:hAnsi="微软雅黑" w:eastAsia="微软雅黑" w:cs="微软雅黑"/>
                <w:color w:val="auto"/>
                <w:sz w:val="24"/>
                <w:highlight w:val="none"/>
              </w:rPr>
            </w:pPr>
          </w:p>
        </w:tc>
        <w:tc>
          <w:tcPr>
            <w:tcW w:w="1741" w:type="dxa"/>
            <w:noWrap w:val="0"/>
            <w:vAlign w:val="center"/>
          </w:tcPr>
          <w:p w14:paraId="75C30BA1">
            <w:pPr>
              <w:jc w:val="center"/>
              <w:rPr>
                <w:rFonts w:hint="eastAsia" w:ascii="微软雅黑" w:hAnsi="微软雅黑" w:eastAsia="微软雅黑" w:cs="微软雅黑"/>
                <w:color w:val="auto"/>
                <w:sz w:val="24"/>
                <w:highlight w:val="none"/>
              </w:rPr>
            </w:pPr>
          </w:p>
        </w:tc>
        <w:tc>
          <w:tcPr>
            <w:tcW w:w="984" w:type="dxa"/>
            <w:noWrap w:val="0"/>
            <w:vAlign w:val="center"/>
          </w:tcPr>
          <w:p w14:paraId="0FA4275A">
            <w:pPr>
              <w:jc w:val="center"/>
              <w:rPr>
                <w:rFonts w:hint="eastAsia" w:ascii="微软雅黑" w:hAnsi="微软雅黑" w:eastAsia="微软雅黑" w:cs="微软雅黑"/>
                <w:color w:val="auto"/>
                <w:sz w:val="24"/>
                <w:highlight w:val="none"/>
              </w:rPr>
            </w:pPr>
          </w:p>
        </w:tc>
        <w:tc>
          <w:tcPr>
            <w:tcW w:w="873" w:type="dxa"/>
            <w:noWrap w:val="0"/>
            <w:vAlign w:val="center"/>
          </w:tcPr>
          <w:p w14:paraId="444415C5">
            <w:pPr>
              <w:jc w:val="center"/>
              <w:rPr>
                <w:rFonts w:hint="eastAsia" w:ascii="微软雅黑" w:hAnsi="微软雅黑" w:eastAsia="微软雅黑" w:cs="微软雅黑"/>
                <w:color w:val="auto"/>
                <w:sz w:val="24"/>
                <w:highlight w:val="none"/>
              </w:rPr>
            </w:pPr>
          </w:p>
        </w:tc>
        <w:tc>
          <w:tcPr>
            <w:tcW w:w="899" w:type="dxa"/>
            <w:noWrap w:val="0"/>
            <w:vAlign w:val="center"/>
          </w:tcPr>
          <w:p w14:paraId="75E1EED0">
            <w:pPr>
              <w:jc w:val="center"/>
              <w:rPr>
                <w:rFonts w:hint="eastAsia" w:ascii="微软雅黑" w:hAnsi="微软雅黑" w:eastAsia="微软雅黑" w:cs="微软雅黑"/>
                <w:color w:val="auto"/>
                <w:sz w:val="24"/>
                <w:highlight w:val="none"/>
              </w:rPr>
            </w:pPr>
          </w:p>
        </w:tc>
        <w:tc>
          <w:tcPr>
            <w:tcW w:w="1575" w:type="dxa"/>
            <w:noWrap w:val="0"/>
            <w:vAlign w:val="center"/>
          </w:tcPr>
          <w:p w14:paraId="2DD99BE7">
            <w:pPr>
              <w:jc w:val="center"/>
              <w:rPr>
                <w:rFonts w:hint="eastAsia" w:ascii="微软雅黑" w:hAnsi="微软雅黑" w:eastAsia="微软雅黑" w:cs="微软雅黑"/>
                <w:color w:val="auto"/>
                <w:sz w:val="24"/>
                <w:highlight w:val="none"/>
              </w:rPr>
            </w:pPr>
          </w:p>
        </w:tc>
        <w:tc>
          <w:tcPr>
            <w:tcW w:w="2211" w:type="dxa"/>
            <w:noWrap w:val="0"/>
            <w:vAlign w:val="center"/>
          </w:tcPr>
          <w:p w14:paraId="5AF80580">
            <w:pPr>
              <w:jc w:val="center"/>
              <w:rPr>
                <w:rFonts w:hint="eastAsia" w:ascii="微软雅黑" w:hAnsi="微软雅黑" w:eastAsia="微软雅黑" w:cs="微软雅黑"/>
                <w:color w:val="auto"/>
                <w:sz w:val="24"/>
                <w:highlight w:val="none"/>
              </w:rPr>
            </w:pPr>
          </w:p>
        </w:tc>
      </w:tr>
      <w:tr w14:paraId="0AB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C98E5C4">
            <w:pPr>
              <w:jc w:val="center"/>
              <w:rPr>
                <w:rFonts w:hint="eastAsia" w:ascii="微软雅黑" w:hAnsi="微软雅黑" w:eastAsia="微软雅黑" w:cs="微软雅黑"/>
                <w:color w:val="auto"/>
                <w:sz w:val="24"/>
                <w:highlight w:val="none"/>
              </w:rPr>
            </w:pPr>
          </w:p>
        </w:tc>
        <w:tc>
          <w:tcPr>
            <w:tcW w:w="1741" w:type="dxa"/>
            <w:noWrap w:val="0"/>
            <w:vAlign w:val="center"/>
          </w:tcPr>
          <w:p w14:paraId="00C51D45">
            <w:pPr>
              <w:jc w:val="center"/>
              <w:rPr>
                <w:rFonts w:hint="eastAsia" w:ascii="微软雅黑" w:hAnsi="微软雅黑" w:eastAsia="微软雅黑" w:cs="微软雅黑"/>
                <w:color w:val="auto"/>
                <w:sz w:val="24"/>
                <w:highlight w:val="none"/>
              </w:rPr>
            </w:pPr>
          </w:p>
        </w:tc>
        <w:tc>
          <w:tcPr>
            <w:tcW w:w="984" w:type="dxa"/>
            <w:noWrap w:val="0"/>
            <w:vAlign w:val="center"/>
          </w:tcPr>
          <w:p w14:paraId="61D1DF87">
            <w:pPr>
              <w:jc w:val="center"/>
              <w:rPr>
                <w:rFonts w:hint="eastAsia" w:ascii="微软雅黑" w:hAnsi="微软雅黑" w:eastAsia="微软雅黑" w:cs="微软雅黑"/>
                <w:color w:val="auto"/>
                <w:sz w:val="24"/>
                <w:highlight w:val="none"/>
              </w:rPr>
            </w:pPr>
          </w:p>
        </w:tc>
        <w:tc>
          <w:tcPr>
            <w:tcW w:w="873" w:type="dxa"/>
            <w:noWrap w:val="0"/>
            <w:vAlign w:val="center"/>
          </w:tcPr>
          <w:p w14:paraId="189DA624">
            <w:pPr>
              <w:jc w:val="center"/>
              <w:rPr>
                <w:rFonts w:hint="eastAsia" w:ascii="微软雅黑" w:hAnsi="微软雅黑" w:eastAsia="微软雅黑" w:cs="微软雅黑"/>
                <w:color w:val="auto"/>
                <w:sz w:val="24"/>
                <w:highlight w:val="none"/>
              </w:rPr>
            </w:pPr>
          </w:p>
        </w:tc>
        <w:tc>
          <w:tcPr>
            <w:tcW w:w="899" w:type="dxa"/>
            <w:noWrap w:val="0"/>
            <w:vAlign w:val="center"/>
          </w:tcPr>
          <w:p w14:paraId="214EAE1C">
            <w:pPr>
              <w:jc w:val="center"/>
              <w:rPr>
                <w:rFonts w:hint="eastAsia" w:ascii="微软雅黑" w:hAnsi="微软雅黑" w:eastAsia="微软雅黑" w:cs="微软雅黑"/>
                <w:color w:val="auto"/>
                <w:sz w:val="24"/>
                <w:highlight w:val="none"/>
              </w:rPr>
            </w:pPr>
          </w:p>
        </w:tc>
        <w:tc>
          <w:tcPr>
            <w:tcW w:w="1575" w:type="dxa"/>
            <w:noWrap w:val="0"/>
            <w:vAlign w:val="center"/>
          </w:tcPr>
          <w:p w14:paraId="7003C565">
            <w:pPr>
              <w:jc w:val="center"/>
              <w:rPr>
                <w:rFonts w:hint="eastAsia" w:ascii="微软雅黑" w:hAnsi="微软雅黑" w:eastAsia="微软雅黑" w:cs="微软雅黑"/>
                <w:color w:val="auto"/>
                <w:sz w:val="24"/>
                <w:highlight w:val="none"/>
              </w:rPr>
            </w:pPr>
          </w:p>
        </w:tc>
        <w:tc>
          <w:tcPr>
            <w:tcW w:w="2211" w:type="dxa"/>
            <w:noWrap w:val="0"/>
            <w:vAlign w:val="center"/>
          </w:tcPr>
          <w:p w14:paraId="2873C15C">
            <w:pPr>
              <w:jc w:val="center"/>
              <w:rPr>
                <w:rFonts w:hint="eastAsia" w:ascii="微软雅黑" w:hAnsi="微软雅黑" w:eastAsia="微软雅黑" w:cs="微软雅黑"/>
                <w:color w:val="auto"/>
                <w:sz w:val="24"/>
                <w:highlight w:val="none"/>
              </w:rPr>
            </w:pPr>
          </w:p>
        </w:tc>
      </w:tr>
      <w:tr w14:paraId="02FE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04A6B2">
            <w:pPr>
              <w:jc w:val="center"/>
              <w:rPr>
                <w:rFonts w:hint="eastAsia" w:ascii="微软雅黑" w:hAnsi="微软雅黑" w:eastAsia="微软雅黑" w:cs="微软雅黑"/>
                <w:color w:val="auto"/>
                <w:sz w:val="24"/>
                <w:highlight w:val="none"/>
              </w:rPr>
            </w:pPr>
          </w:p>
        </w:tc>
        <w:tc>
          <w:tcPr>
            <w:tcW w:w="1741" w:type="dxa"/>
            <w:noWrap w:val="0"/>
            <w:vAlign w:val="center"/>
          </w:tcPr>
          <w:p w14:paraId="4EAECB07">
            <w:pPr>
              <w:jc w:val="center"/>
              <w:rPr>
                <w:rFonts w:hint="eastAsia" w:ascii="微软雅黑" w:hAnsi="微软雅黑" w:eastAsia="微软雅黑" w:cs="微软雅黑"/>
                <w:color w:val="auto"/>
                <w:sz w:val="24"/>
                <w:highlight w:val="none"/>
              </w:rPr>
            </w:pPr>
          </w:p>
        </w:tc>
        <w:tc>
          <w:tcPr>
            <w:tcW w:w="984" w:type="dxa"/>
            <w:noWrap w:val="0"/>
            <w:vAlign w:val="center"/>
          </w:tcPr>
          <w:p w14:paraId="2A684900">
            <w:pPr>
              <w:jc w:val="center"/>
              <w:rPr>
                <w:rFonts w:hint="eastAsia" w:ascii="微软雅黑" w:hAnsi="微软雅黑" w:eastAsia="微软雅黑" w:cs="微软雅黑"/>
                <w:color w:val="auto"/>
                <w:sz w:val="24"/>
                <w:highlight w:val="none"/>
              </w:rPr>
            </w:pPr>
          </w:p>
        </w:tc>
        <w:tc>
          <w:tcPr>
            <w:tcW w:w="873" w:type="dxa"/>
            <w:noWrap w:val="0"/>
            <w:vAlign w:val="center"/>
          </w:tcPr>
          <w:p w14:paraId="7DF51820">
            <w:pPr>
              <w:jc w:val="center"/>
              <w:rPr>
                <w:rFonts w:hint="eastAsia" w:ascii="微软雅黑" w:hAnsi="微软雅黑" w:eastAsia="微软雅黑" w:cs="微软雅黑"/>
                <w:color w:val="auto"/>
                <w:sz w:val="24"/>
                <w:highlight w:val="none"/>
              </w:rPr>
            </w:pPr>
          </w:p>
        </w:tc>
        <w:tc>
          <w:tcPr>
            <w:tcW w:w="899" w:type="dxa"/>
            <w:noWrap w:val="0"/>
            <w:vAlign w:val="center"/>
          </w:tcPr>
          <w:p w14:paraId="24985B1F">
            <w:pPr>
              <w:jc w:val="center"/>
              <w:rPr>
                <w:rFonts w:hint="eastAsia" w:ascii="微软雅黑" w:hAnsi="微软雅黑" w:eastAsia="微软雅黑" w:cs="微软雅黑"/>
                <w:color w:val="auto"/>
                <w:sz w:val="24"/>
                <w:highlight w:val="none"/>
              </w:rPr>
            </w:pPr>
          </w:p>
        </w:tc>
        <w:tc>
          <w:tcPr>
            <w:tcW w:w="1575" w:type="dxa"/>
            <w:noWrap w:val="0"/>
            <w:vAlign w:val="center"/>
          </w:tcPr>
          <w:p w14:paraId="61576571">
            <w:pPr>
              <w:jc w:val="center"/>
              <w:rPr>
                <w:rFonts w:hint="eastAsia" w:ascii="微软雅黑" w:hAnsi="微软雅黑" w:eastAsia="微软雅黑" w:cs="微软雅黑"/>
                <w:color w:val="auto"/>
                <w:sz w:val="24"/>
                <w:highlight w:val="none"/>
              </w:rPr>
            </w:pPr>
          </w:p>
        </w:tc>
        <w:tc>
          <w:tcPr>
            <w:tcW w:w="2211" w:type="dxa"/>
            <w:noWrap w:val="0"/>
            <w:vAlign w:val="center"/>
          </w:tcPr>
          <w:p w14:paraId="3B00E11E">
            <w:pPr>
              <w:jc w:val="center"/>
              <w:rPr>
                <w:rFonts w:hint="eastAsia" w:ascii="微软雅黑" w:hAnsi="微软雅黑" w:eastAsia="微软雅黑" w:cs="微软雅黑"/>
                <w:color w:val="auto"/>
                <w:sz w:val="24"/>
                <w:highlight w:val="none"/>
              </w:rPr>
            </w:pPr>
          </w:p>
        </w:tc>
      </w:tr>
      <w:tr w14:paraId="5624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CFA1A92">
            <w:pPr>
              <w:jc w:val="center"/>
              <w:rPr>
                <w:rFonts w:hint="eastAsia" w:ascii="微软雅黑" w:hAnsi="微软雅黑" w:eastAsia="微软雅黑" w:cs="微软雅黑"/>
                <w:color w:val="auto"/>
                <w:sz w:val="24"/>
                <w:highlight w:val="none"/>
              </w:rPr>
            </w:pPr>
          </w:p>
        </w:tc>
        <w:tc>
          <w:tcPr>
            <w:tcW w:w="1741" w:type="dxa"/>
            <w:noWrap w:val="0"/>
            <w:vAlign w:val="center"/>
          </w:tcPr>
          <w:p w14:paraId="48785668">
            <w:pPr>
              <w:jc w:val="center"/>
              <w:rPr>
                <w:rFonts w:hint="eastAsia" w:ascii="微软雅黑" w:hAnsi="微软雅黑" w:eastAsia="微软雅黑" w:cs="微软雅黑"/>
                <w:color w:val="auto"/>
                <w:sz w:val="24"/>
                <w:highlight w:val="none"/>
              </w:rPr>
            </w:pPr>
          </w:p>
        </w:tc>
        <w:tc>
          <w:tcPr>
            <w:tcW w:w="984" w:type="dxa"/>
            <w:noWrap w:val="0"/>
            <w:vAlign w:val="center"/>
          </w:tcPr>
          <w:p w14:paraId="01C3C6D0">
            <w:pPr>
              <w:jc w:val="center"/>
              <w:rPr>
                <w:rFonts w:hint="eastAsia" w:ascii="微软雅黑" w:hAnsi="微软雅黑" w:eastAsia="微软雅黑" w:cs="微软雅黑"/>
                <w:color w:val="auto"/>
                <w:sz w:val="24"/>
                <w:highlight w:val="none"/>
              </w:rPr>
            </w:pPr>
          </w:p>
        </w:tc>
        <w:tc>
          <w:tcPr>
            <w:tcW w:w="873" w:type="dxa"/>
            <w:noWrap w:val="0"/>
            <w:vAlign w:val="center"/>
          </w:tcPr>
          <w:p w14:paraId="34993312">
            <w:pPr>
              <w:jc w:val="center"/>
              <w:rPr>
                <w:rFonts w:hint="eastAsia" w:ascii="微软雅黑" w:hAnsi="微软雅黑" w:eastAsia="微软雅黑" w:cs="微软雅黑"/>
                <w:color w:val="auto"/>
                <w:sz w:val="24"/>
                <w:highlight w:val="none"/>
              </w:rPr>
            </w:pPr>
          </w:p>
        </w:tc>
        <w:tc>
          <w:tcPr>
            <w:tcW w:w="899" w:type="dxa"/>
            <w:noWrap w:val="0"/>
            <w:vAlign w:val="center"/>
          </w:tcPr>
          <w:p w14:paraId="711A4718">
            <w:pPr>
              <w:jc w:val="center"/>
              <w:rPr>
                <w:rFonts w:hint="eastAsia" w:ascii="微软雅黑" w:hAnsi="微软雅黑" w:eastAsia="微软雅黑" w:cs="微软雅黑"/>
                <w:color w:val="auto"/>
                <w:sz w:val="24"/>
                <w:highlight w:val="none"/>
              </w:rPr>
            </w:pPr>
          </w:p>
        </w:tc>
        <w:tc>
          <w:tcPr>
            <w:tcW w:w="1575" w:type="dxa"/>
            <w:noWrap w:val="0"/>
            <w:vAlign w:val="center"/>
          </w:tcPr>
          <w:p w14:paraId="42B5AD7B">
            <w:pPr>
              <w:jc w:val="center"/>
              <w:rPr>
                <w:rFonts w:hint="eastAsia" w:ascii="微软雅黑" w:hAnsi="微软雅黑" w:eastAsia="微软雅黑" w:cs="微软雅黑"/>
                <w:color w:val="auto"/>
                <w:sz w:val="24"/>
                <w:highlight w:val="none"/>
              </w:rPr>
            </w:pPr>
          </w:p>
        </w:tc>
        <w:tc>
          <w:tcPr>
            <w:tcW w:w="2211" w:type="dxa"/>
            <w:noWrap w:val="0"/>
            <w:vAlign w:val="center"/>
          </w:tcPr>
          <w:p w14:paraId="7987C1B4">
            <w:pPr>
              <w:jc w:val="center"/>
              <w:rPr>
                <w:rFonts w:hint="eastAsia" w:ascii="微软雅黑" w:hAnsi="微软雅黑" w:eastAsia="微软雅黑" w:cs="微软雅黑"/>
                <w:color w:val="auto"/>
                <w:sz w:val="24"/>
                <w:highlight w:val="none"/>
              </w:rPr>
            </w:pPr>
          </w:p>
        </w:tc>
      </w:tr>
      <w:tr w14:paraId="0BA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D3AF9C">
            <w:pPr>
              <w:jc w:val="center"/>
              <w:rPr>
                <w:rFonts w:hint="eastAsia" w:ascii="微软雅黑" w:hAnsi="微软雅黑" w:eastAsia="微软雅黑" w:cs="微软雅黑"/>
                <w:color w:val="auto"/>
                <w:sz w:val="24"/>
                <w:highlight w:val="none"/>
              </w:rPr>
            </w:pPr>
          </w:p>
        </w:tc>
        <w:tc>
          <w:tcPr>
            <w:tcW w:w="1741" w:type="dxa"/>
            <w:noWrap w:val="0"/>
            <w:vAlign w:val="center"/>
          </w:tcPr>
          <w:p w14:paraId="27D3DE3B">
            <w:pPr>
              <w:jc w:val="center"/>
              <w:rPr>
                <w:rFonts w:hint="eastAsia" w:ascii="微软雅黑" w:hAnsi="微软雅黑" w:eastAsia="微软雅黑" w:cs="微软雅黑"/>
                <w:color w:val="auto"/>
                <w:sz w:val="24"/>
                <w:highlight w:val="none"/>
              </w:rPr>
            </w:pPr>
          </w:p>
        </w:tc>
        <w:tc>
          <w:tcPr>
            <w:tcW w:w="984" w:type="dxa"/>
            <w:noWrap w:val="0"/>
            <w:vAlign w:val="center"/>
          </w:tcPr>
          <w:p w14:paraId="4C2B8AA8">
            <w:pPr>
              <w:jc w:val="center"/>
              <w:rPr>
                <w:rFonts w:hint="eastAsia" w:ascii="微软雅黑" w:hAnsi="微软雅黑" w:eastAsia="微软雅黑" w:cs="微软雅黑"/>
                <w:color w:val="auto"/>
                <w:sz w:val="24"/>
                <w:highlight w:val="none"/>
              </w:rPr>
            </w:pPr>
          </w:p>
        </w:tc>
        <w:tc>
          <w:tcPr>
            <w:tcW w:w="873" w:type="dxa"/>
            <w:noWrap w:val="0"/>
            <w:vAlign w:val="center"/>
          </w:tcPr>
          <w:p w14:paraId="772EC70E">
            <w:pPr>
              <w:jc w:val="center"/>
              <w:rPr>
                <w:rFonts w:hint="eastAsia" w:ascii="微软雅黑" w:hAnsi="微软雅黑" w:eastAsia="微软雅黑" w:cs="微软雅黑"/>
                <w:color w:val="auto"/>
                <w:sz w:val="24"/>
                <w:highlight w:val="none"/>
              </w:rPr>
            </w:pPr>
          </w:p>
        </w:tc>
        <w:tc>
          <w:tcPr>
            <w:tcW w:w="899" w:type="dxa"/>
            <w:noWrap w:val="0"/>
            <w:vAlign w:val="center"/>
          </w:tcPr>
          <w:p w14:paraId="3AF56B3C">
            <w:pPr>
              <w:jc w:val="center"/>
              <w:rPr>
                <w:rFonts w:hint="eastAsia" w:ascii="微软雅黑" w:hAnsi="微软雅黑" w:eastAsia="微软雅黑" w:cs="微软雅黑"/>
                <w:color w:val="auto"/>
                <w:sz w:val="24"/>
                <w:highlight w:val="none"/>
              </w:rPr>
            </w:pPr>
          </w:p>
        </w:tc>
        <w:tc>
          <w:tcPr>
            <w:tcW w:w="1575" w:type="dxa"/>
            <w:noWrap w:val="0"/>
            <w:vAlign w:val="center"/>
          </w:tcPr>
          <w:p w14:paraId="23DBE62F">
            <w:pPr>
              <w:jc w:val="center"/>
              <w:rPr>
                <w:rFonts w:hint="eastAsia" w:ascii="微软雅黑" w:hAnsi="微软雅黑" w:eastAsia="微软雅黑" w:cs="微软雅黑"/>
                <w:color w:val="auto"/>
                <w:sz w:val="24"/>
                <w:highlight w:val="none"/>
              </w:rPr>
            </w:pPr>
          </w:p>
        </w:tc>
        <w:tc>
          <w:tcPr>
            <w:tcW w:w="2211" w:type="dxa"/>
            <w:noWrap w:val="0"/>
            <w:vAlign w:val="center"/>
          </w:tcPr>
          <w:p w14:paraId="4CF505DD">
            <w:pPr>
              <w:jc w:val="center"/>
              <w:rPr>
                <w:rFonts w:hint="eastAsia" w:ascii="微软雅黑" w:hAnsi="微软雅黑" w:eastAsia="微软雅黑" w:cs="微软雅黑"/>
                <w:color w:val="auto"/>
                <w:sz w:val="24"/>
                <w:highlight w:val="none"/>
              </w:rPr>
            </w:pPr>
          </w:p>
        </w:tc>
      </w:tr>
      <w:tr w14:paraId="207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2C4A4E68">
            <w:pPr>
              <w:jc w:val="center"/>
              <w:rPr>
                <w:rFonts w:hint="eastAsia" w:ascii="微软雅黑" w:hAnsi="微软雅黑" w:eastAsia="微软雅黑" w:cs="微软雅黑"/>
                <w:color w:val="auto"/>
                <w:sz w:val="24"/>
                <w:highlight w:val="none"/>
              </w:rPr>
            </w:pPr>
          </w:p>
        </w:tc>
        <w:tc>
          <w:tcPr>
            <w:tcW w:w="1741" w:type="dxa"/>
            <w:tcBorders>
              <w:bottom w:val="single" w:color="auto" w:sz="4" w:space="0"/>
            </w:tcBorders>
            <w:noWrap w:val="0"/>
            <w:vAlign w:val="center"/>
          </w:tcPr>
          <w:p w14:paraId="61BA219A">
            <w:pPr>
              <w:jc w:val="center"/>
              <w:rPr>
                <w:rFonts w:hint="eastAsia" w:ascii="微软雅黑" w:hAnsi="微软雅黑" w:eastAsia="微软雅黑" w:cs="微软雅黑"/>
                <w:color w:val="auto"/>
                <w:sz w:val="24"/>
                <w:highlight w:val="none"/>
              </w:rPr>
            </w:pPr>
          </w:p>
        </w:tc>
        <w:tc>
          <w:tcPr>
            <w:tcW w:w="984" w:type="dxa"/>
            <w:tcBorders>
              <w:bottom w:val="single" w:color="auto" w:sz="4" w:space="0"/>
            </w:tcBorders>
            <w:noWrap w:val="0"/>
            <w:vAlign w:val="center"/>
          </w:tcPr>
          <w:p w14:paraId="488629D6">
            <w:pPr>
              <w:jc w:val="center"/>
              <w:rPr>
                <w:rFonts w:hint="eastAsia" w:ascii="微软雅黑" w:hAnsi="微软雅黑" w:eastAsia="微软雅黑" w:cs="微软雅黑"/>
                <w:color w:val="auto"/>
                <w:sz w:val="24"/>
                <w:highlight w:val="none"/>
              </w:rPr>
            </w:pPr>
          </w:p>
        </w:tc>
        <w:tc>
          <w:tcPr>
            <w:tcW w:w="873" w:type="dxa"/>
            <w:tcBorders>
              <w:bottom w:val="single" w:color="auto" w:sz="4" w:space="0"/>
            </w:tcBorders>
            <w:noWrap w:val="0"/>
            <w:vAlign w:val="center"/>
          </w:tcPr>
          <w:p w14:paraId="7C391291">
            <w:pPr>
              <w:jc w:val="center"/>
              <w:rPr>
                <w:rFonts w:hint="eastAsia" w:ascii="微软雅黑" w:hAnsi="微软雅黑" w:eastAsia="微软雅黑" w:cs="微软雅黑"/>
                <w:color w:val="auto"/>
                <w:sz w:val="24"/>
                <w:highlight w:val="none"/>
              </w:rPr>
            </w:pPr>
          </w:p>
        </w:tc>
        <w:tc>
          <w:tcPr>
            <w:tcW w:w="899" w:type="dxa"/>
            <w:tcBorders>
              <w:bottom w:val="single" w:color="auto" w:sz="4" w:space="0"/>
            </w:tcBorders>
            <w:noWrap w:val="0"/>
            <w:vAlign w:val="center"/>
          </w:tcPr>
          <w:p w14:paraId="40D104A3">
            <w:pPr>
              <w:jc w:val="center"/>
              <w:rPr>
                <w:rFonts w:hint="eastAsia" w:ascii="微软雅黑" w:hAnsi="微软雅黑" w:eastAsia="微软雅黑" w:cs="微软雅黑"/>
                <w:color w:val="auto"/>
                <w:sz w:val="24"/>
                <w:highlight w:val="none"/>
              </w:rPr>
            </w:pPr>
          </w:p>
        </w:tc>
        <w:tc>
          <w:tcPr>
            <w:tcW w:w="1575" w:type="dxa"/>
            <w:tcBorders>
              <w:bottom w:val="single" w:color="auto" w:sz="4" w:space="0"/>
            </w:tcBorders>
            <w:noWrap w:val="0"/>
            <w:vAlign w:val="center"/>
          </w:tcPr>
          <w:p w14:paraId="6A276A30">
            <w:pPr>
              <w:jc w:val="center"/>
              <w:rPr>
                <w:rFonts w:hint="eastAsia" w:ascii="微软雅黑" w:hAnsi="微软雅黑" w:eastAsia="微软雅黑" w:cs="微软雅黑"/>
                <w:color w:val="auto"/>
                <w:sz w:val="24"/>
                <w:highlight w:val="none"/>
              </w:rPr>
            </w:pPr>
          </w:p>
        </w:tc>
        <w:tc>
          <w:tcPr>
            <w:tcW w:w="2211" w:type="dxa"/>
            <w:tcBorders>
              <w:bottom w:val="single" w:color="auto" w:sz="4" w:space="0"/>
            </w:tcBorders>
            <w:noWrap w:val="0"/>
            <w:vAlign w:val="center"/>
          </w:tcPr>
          <w:p w14:paraId="40ED1AF1">
            <w:pPr>
              <w:jc w:val="center"/>
              <w:rPr>
                <w:rFonts w:hint="eastAsia" w:ascii="微软雅黑" w:hAnsi="微软雅黑" w:eastAsia="微软雅黑" w:cs="微软雅黑"/>
                <w:color w:val="auto"/>
                <w:sz w:val="24"/>
                <w:highlight w:val="none"/>
              </w:rPr>
            </w:pPr>
          </w:p>
        </w:tc>
      </w:tr>
      <w:tr w14:paraId="44E8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29D4147">
            <w:pPr>
              <w:jc w:val="center"/>
              <w:rPr>
                <w:rFonts w:hint="eastAsia" w:ascii="微软雅黑" w:hAnsi="微软雅黑" w:eastAsia="微软雅黑" w:cs="微软雅黑"/>
                <w:color w:val="auto"/>
                <w:sz w:val="24"/>
                <w:highlight w:val="none"/>
              </w:rPr>
            </w:pPr>
          </w:p>
        </w:tc>
        <w:tc>
          <w:tcPr>
            <w:tcW w:w="1741" w:type="dxa"/>
            <w:noWrap w:val="0"/>
            <w:vAlign w:val="center"/>
          </w:tcPr>
          <w:p w14:paraId="5125E9C6">
            <w:pPr>
              <w:jc w:val="center"/>
              <w:rPr>
                <w:rFonts w:hint="eastAsia" w:ascii="微软雅黑" w:hAnsi="微软雅黑" w:eastAsia="微软雅黑" w:cs="微软雅黑"/>
                <w:color w:val="auto"/>
                <w:sz w:val="24"/>
                <w:highlight w:val="none"/>
              </w:rPr>
            </w:pPr>
          </w:p>
        </w:tc>
        <w:tc>
          <w:tcPr>
            <w:tcW w:w="984" w:type="dxa"/>
            <w:noWrap w:val="0"/>
            <w:vAlign w:val="center"/>
          </w:tcPr>
          <w:p w14:paraId="7E5033AB">
            <w:pPr>
              <w:jc w:val="center"/>
              <w:rPr>
                <w:rFonts w:hint="eastAsia" w:ascii="微软雅黑" w:hAnsi="微软雅黑" w:eastAsia="微软雅黑" w:cs="微软雅黑"/>
                <w:color w:val="auto"/>
                <w:sz w:val="24"/>
                <w:highlight w:val="none"/>
              </w:rPr>
            </w:pPr>
          </w:p>
        </w:tc>
        <w:tc>
          <w:tcPr>
            <w:tcW w:w="873" w:type="dxa"/>
            <w:noWrap w:val="0"/>
            <w:vAlign w:val="center"/>
          </w:tcPr>
          <w:p w14:paraId="7B23242D">
            <w:pPr>
              <w:jc w:val="center"/>
              <w:rPr>
                <w:rFonts w:hint="eastAsia" w:ascii="微软雅黑" w:hAnsi="微软雅黑" w:eastAsia="微软雅黑" w:cs="微软雅黑"/>
                <w:color w:val="auto"/>
                <w:sz w:val="24"/>
                <w:highlight w:val="none"/>
              </w:rPr>
            </w:pPr>
          </w:p>
        </w:tc>
        <w:tc>
          <w:tcPr>
            <w:tcW w:w="899" w:type="dxa"/>
            <w:noWrap w:val="0"/>
            <w:vAlign w:val="center"/>
          </w:tcPr>
          <w:p w14:paraId="7D42DB29">
            <w:pPr>
              <w:jc w:val="center"/>
              <w:rPr>
                <w:rFonts w:hint="eastAsia" w:ascii="微软雅黑" w:hAnsi="微软雅黑" w:eastAsia="微软雅黑" w:cs="微软雅黑"/>
                <w:color w:val="auto"/>
                <w:sz w:val="24"/>
                <w:highlight w:val="none"/>
              </w:rPr>
            </w:pPr>
          </w:p>
        </w:tc>
        <w:tc>
          <w:tcPr>
            <w:tcW w:w="1575" w:type="dxa"/>
            <w:noWrap w:val="0"/>
            <w:vAlign w:val="center"/>
          </w:tcPr>
          <w:p w14:paraId="54944E14">
            <w:pPr>
              <w:jc w:val="center"/>
              <w:rPr>
                <w:rFonts w:hint="eastAsia" w:ascii="微软雅黑" w:hAnsi="微软雅黑" w:eastAsia="微软雅黑" w:cs="微软雅黑"/>
                <w:color w:val="auto"/>
                <w:sz w:val="24"/>
                <w:highlight w:val="none"/>
              </w:rPr>
            </w:pPr>
          </w:p>
        </w:tc>
        <w:tc>
          <w:tcPr>
            <w:tcW w:w="2211" w:type="dxa"/>
            <w:noWrap w:val="0"/>
            <w:vAlign w:val="center"/>
          </w:tcPr>
          <w:p w14:paraId="124F578E">
            <w:pPr>
              <w:jc w:val="center"/>
              <w:rPr>
                <w:rFonts w:hint="eastAsia" w:ascii="微软雅黑" w:hAnsi="微软雅黑" w:eastAsia="微软雅黑" w:cs="微软雅黑"/>
                <w:color w:val="auto"/>
                <w:sz w:val="24"/>
                <w:highlight w:val="none"/>
              </w:rPr>
            </w:pPr>
          </w:p>
        </w:tc>
      </w:tr>
      <w:tr w14:paraId="4C97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4251CCF">
            <w:pPr>
              <w:jc w:val="center"/>
              <w:rPr>
                <w:rFonts w:hint="eastAsia" w:ascii="微软雅黑" w:hAnsi="微软雅黑" w:eastAsia="微软雅黑" w:cs="微软雅黑"/>
                <w:color w:val="auto"/>
                <w:sz w:val="24"/>
                <w:highlight w:val="none"/>
              </w:rPr>
            </w:pPr>
          </w:p>
        </w:tc>
        <w:tc>
          <w:tcPr>
            <w:tcW w:w="1741" w:type="dxa"/>
            <w:noWrap w:val="0"/>
            <w:vAlign w:val="center"/>
          </w:tcPr>
          <w:p w14:paraId="0CBE7E8D">
            <w:pPr>
              <w:jc w:val="center"/>
              <w:rPr>
                <w:rFonts w:hint="eastAsia" w:ascii="微软雅黑" w:hAnsi="微软雅黑" w:eastAsia="微软雅黑" w:cs="微软雅黑"/>
                <w:color w:val="auto"/>
                <w:sz w:val="24"/>
                <w:highlight w:val="none"/>
              </w:rPr>
            </w:pPr>
          </w:p>
        </w:tc>
        <w:tc>
          <w:tcPr>
            <w:tcW w:w="984" w:type="dxa"/>
            <w:noWrap w:val="0"/>
            <w:vAlign w:val="center"/>
          </w:tcPr>
          <w:p w14:paraId="73EAF6CD">
            <w:pPr>
              <w:jc w:val="center"/>
              <w:rPr>
                <w:rFonts w:hint="eastAsia" w:ascii="微软雅黑" w:hAnsi="微软雅黑" w:eastAsia="微软雅黑" w:cs="微软雅黑"/>
                <w:color w:val="auto"/>
                <w:sz w:val="24"/>
                <w:highlight w:val="none"/>
              </w:rPr>
            </w:pPr>
          </w:p>
        </w:tc>
        <w:tc>
          <w:tcPr>
            <w:tcW w:w="873" w:type="dxa"/>
            <w:noWrap w:val="0"/>
            <w:vAlign w:val="center"/>
          </w:tcPr>
          <w:p w14:paraId="03BBBEB4">
            <w:pPr>
              <w:jc w:val="center"/>
              <w:rPr>
                <w:rFonts w:hint="eastAsia" w:ascii="微软雅黑" w:hAnsi="微软雅黑" w:eastAsia="微软雅黑" w:cs="微软雅黑"/>
                <w:color w:val="auto"/>
                <w:sz w:val="24"/>
                <w:highlight w:val="none"/>
              </w:rPr>
            </w:pPr>
          </w:p>
        </w:tc>
        <w:tc>
          <w:tcPr>
            <w:tcW w:w="899" w:type="dxa"/>
            <w:noWrap w:val="0"/>
            <w:vAlign w:val="center"/>
          </w:tcPr>
          <w:p w14:paraId="12DE7F31">
            <w:pPr>
              <w:jc w:val="center"/>
              <w:rPr>
                <w:rFonts w:hint="eastAsia" w:ascii="微软雅黑" w:hAnsi="微软雅黑" w:eastAsia="微软雅黑" w:cs="微软雅黑"/>
                <w:color w:val="auto"/>
                <w:sz w:val="24"/>
                <w:highlight w:val="none"/>
              </w:rPr>
            </w:pPr>
          </w:p>
        </w:tc>
        <w:tc>
          <w:tcPr>
            <w:tcW w:w="1575" w:type="dxa"/>
            <w:noWrap w:val="0"/>
            <w:vAlign w:val="center"/>
          </w:tcPr>
          <w:p w14:paraId="5C66B4FF">
            <w:pPr>
              <w:jc w:val="center"/>
              <w:rPr>
                <w:rFonts w:hint="eastAsia" w:ascii="微软雅黑" w:hAnsi="微软雅黑" w:eastAsia="微软雅黑" w:cs="微软雅黑"/>
                <w:color w:val="auto"/>
                <w:sz w:val="24"/>
                <w:highlight w:val="none"/>
              </w:rPr>
            </w:pPr>
          </w:p>
        </w:tc>
        <w:tc>
          <w:tcPr>
            <w:tcW w:w="2211" w:type="dxa"/>
            <w:noWrap w:val="0"/>
            <w:vAlign w:val="center"/>
          </w:tcPr>
          <w:p w14:paraId="58CC0D61">
            <w:pPr>
              <w:jc w:val="center"/>
              <w:rPr>
                <w:rFonts w:hint="eastAsia" w:ascii="微软雅黑" w:hAnsi="微软雅黑" w:eastAsia="微软雅黑" w:cs="微软雅黑"/>
                <w:color w:val="auto"/>
                <w:sz w:val="24"/>
                <w:highlight w:val="none"/>
              </w:rPr>
            </w:pPr>
          </w:p>
        </w:tc>
      </w:tr>
      <w:tr w14:paraId="2D95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BDA757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合计人民币（小写）：</w:t>
            </w:r>
          </w:p>
        </w:tc>
      </w:tr>
      <w:tr w14:paraId="68B4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35CC35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合计人民币（大写）：</w:t>
            </w:r>
          </w:p>
        </w:tc>
      </w:tr>
      <w:tr w14:paraId="58BE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146282CA">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1.质量要求和技术标准。供方提供的服务完全符合国家有关技术标准，供方的质量保证及售后服务承诺如下：</w:t>
            </w:r>
          </w:p>
          <w:p w14:paraId="256AD3C7">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1.1服务措施：</w:t>
            </w:r>
          </w:p>
          <w:p w14:paraId="53AB8924">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1.2质量保证：</w:t>
            </w:r>
          </w:p>
          <w:p w14:paraId="1EFAACA5">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1.3投标人所提供的投标服务产品存在假冒、侵权、盗版情形之一的，经采购单位调查核实后报相关职能部门对其进行处理。</w:t>
            </w:r>
          </w:p>
          <w:p w14:paraId="70525A8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1.4中标人提供的服务验收不合格或履约评价不合格的履约保证金不予退还。</w:t>
            </w:r>
          </w:p>
        </w:tc>
      </w:tr>
      <w:tr w14:paraId="013B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2F1BB17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二、随机备品、附件、工具数量及供应方法：</w:t>
            </w:r>
          </w:p>
        </w:tc>
      </w:tr>
      <w:tr w14:paraId="50E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62CBF32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三、交提货方式：</w:t>
            </w:r>
          </w:p>
        </w:tc>
      </w:tr>
      <w:tr w14:paraId="6E76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CB2B62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四、验收标准、方法：</w:t>
            </w:r>
          </w:p>
          <w:p w14:paraId="214EB774">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如有异议，请于      日内提出。</w:t>
            </w:r>
          </w:p>
        </w:tc>
      </w:tr>
      <w:tr w14:paraId="3EFE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DEE382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五、付款方式：</w:t>
            </w:r>
          </w:p>
          <w:p w14:paraId="6C812E7C">
            <w:pPr>
              <w:pStyle w:val="33"/>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（按财政支付、采购人支付及支付方式等分别填列）</w:t>
            </w:r>
          </w:p>
        </w:tc>
      </w:tr>
      <w:tr w14:paraId="65A5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86E8FC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六、违约责任：</w:t>
            </w:r>
          </w:p>
          <w:p w14:paraId="0EED06A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highlight w:val="none"/>
              </w:rPr>
              <w:t>》、《政府采购法》执行，或按双方约定。</w:t>
            </w:r>
          </w:p>
        </w:tc>
      </w:tr>
      <w:tr w14:paraId="79C9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611F6CD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七、其他约定事项：</w:t>
            </w:r>
          </w:p>
          <w:p w14:paraId="3A5A87EB">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文件及其补遗文件、响应文件和承诺是本合同不可分割的部分。</w:t>
            </w:r>
          </w:p>
          <w:p w14:paraId="01560081">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2.本合同如发生争议由双方协商解决，协商不成向需方所在人民法院提请诉讼。</w:t>
            </w:r>
          </w:p>
          <w:p w14:paraId="04775F0A">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3.本合同一式__份， 需方__份，供方__份，具同等法律效力。</w:t>
            </w:r>
          </w:p>
          <w:p w14:paraId="10432527">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4.其他：</w:t>
            </w:r>
          </w:p>
        </w:tc>
      </w:tr>
      <w:tr w14:paraId="72E5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100FD8D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需方：</w:t>
            </w:r>
          </w:p>
          <w:p w14:paraId="45003CE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p>
          <w:p w14:paraId="0BDABC0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5FB0E7D7">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授权代表：</w:t>
            </w:r>
          </w:p>
        </w:tc>
        <w:tc>
          <w:tcPr>
            <w:tcW w:w="4700" w:type="dxa"/>
            <w:gridSpan w:val="4"/>
            <w:noWrap w:val="0"/>
            <w:vAlign w:val="top"/>
          </w:tcPr>
          <w:p w14:paraId="2E9CB8C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供方：</w:t>
            </w:r>
          </w:p>
          <w:p w14:paraId="67DBDB8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p>
          <w:p w14:paraId="5A578D55">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电话：</w:t>
            </w:r>
          </w:p>
          <w:p w14:paraId="2C948809">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传真：</w:t>
            </w:r>
          </w:p>
          <w:p w14:paraId="636303A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开户银行：</w:t>
            </w:r>
          </w:p>
          <w:p w14:paraId="7192BDCE">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账号：</w:t>
            </w:r>
          </w:p>
          <w:p w14:paraId="3416351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授权代表：</w:t>
            </w:r>
          </w:p>
          <w:p w14:paraId="21F2AB9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（本栏请用计算机打印以便于准确付款）</w:t>
            </w:r>
          </w:p>
        </w:tc>
      </w:tr>
      <w:tr w14:paraId="736D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0404908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p w14:paraId="1CE8A9B3">
            <w:pPr>
              <w:rPr>
                <w:rFonts w:hint="eastAsia" w:ascii="微软雅黑" w:hAnsi="微软雅黑" w:eastAsia="微软雅黑" w:cs="微软雅黑"/>
                <w:color w:val="auto"/>
                <w:sz w:val="24"/>
                <w:highlight w:val="none"/>
              </w:rPr>
            </w:pPr>
          </w:p>
          <w:p w14:paraId="03AF2968">
            <w:pPr>
              <w:rPr>
                <w:rFonts w:hint="eastAsia" w:ascii="微软雅黑" w:hAnsi="微软雅黑" w:eastAsia="微软雅黑" w:cs="微软雅黑"/>
                <w:color w:val="auto"/>
                <w:sz w:val="24"/>
                <w:highlight w:val="none"/>
              </w:rPr>
            </w:pPr>
          </w:p>
        </w:tc>
      </w:tr>
    </w:tbl>
    <w:p w14:paraId="14D95193">
      <w:pPr>
        <w:tabs>
          <w:tab w:val="left" w:pos="9000"/>
        </w:tabs>
        <w:jc w:val="center"/>
        <w:rPr>
          <w:rFonts w:hint="eastAsia" w:ascii="微软雅黑" w:hAnsi="微软雅黑" w:eastAsia="微软雅黑" w:cs="微软雅黑"/>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微软雅黑" w:hAnsi="微软雅黑" w:eastAsia="微软雅黑" w:cs="微软雅黑"/>
          <w:color w:val="auto"/>
          <w:sz w:val="24"/>
          <w:highlight w:val="none"/>
        </w:rPr>
        <w:t>签约时间：           年   月   日      签约地点：</w:t>
      </w:r>
      <w:r>
        <w:rPr>
          <w:rFonts w:hint="eastAsia" w:ascii="微软雅黑" w:hAnsi="微软雅黑" w:eastAsia="微软雅黑" w:cs="微软雅黑"/>
          <w:color w:val="auto"/>
          <w:highlight w:val="none"/>
        </w:rPr>
        <w:t xml:space="preserve"> </w:t>
      </w:r>
    </w:p>
    <w:p w14:paraId="71A2B305">
      <w:pPr>
        <w:pStyle w:val="4"/>
        <w:spacing w:before="0" w:after="0" w:line="240" w:lineRule="auto"/>
        <w:jc w:val="center"/>
        <w:rPr>
          <w:rFonts w:hint="eastAsia" w:ascii="微软雅黑" w:hAnsi="微软雅黑" w:eastAsia="微软雅黑" w:cs="微软雅黑"/>
          <w:b w:val="0"/>
          <w:color w:val="auto"/>
          <w:sz w:val="36"/>
          <w:szCs w:val="30"/>
          <w:highlight w:val="none"/>
        </w:rPr>
      </w:pPr>
      <w:bookmarkStart w:id="84" w:name="_Hlt41879464"/>
      <w:bookmarkEnd w:id="84"/>
      <w:bookmarkStart w:id="85" w:name="_Toc12789072"/>
      <w:bookmarkStart w:id="86" w:name="_Toc10039"/>
      <w:r>
        <w:rPr>
          <w:rFonts w:hint="eastAsia" w:ascii="微软雅黑" w:hAnsi="微软雅黑" w:eastAsia="微软雅黑" w:cs="微软雅黑"/>
          <w:b w:val="0"/>
          <w:color w:val="auto"/>
          <w:sz w:val="36"/>
          <w:szCs w:val="30"/>
          <w:highlight w:val="none"/>
        </w:rPr>
        <w:t>第六篇  响应文件格式要求</w:t>
      </w:r>
      <w:bookmarkEnd w:id="85"/>
      <w:bookmarkEnd w:id="86"/>
    </w:p>
    <w:p w14:paraId="4875903A">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一、经济部分</w:t>
      </w:r>
    </w:p>
    <w:p w14:paraId="0DCA3B23">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（一）竞争性报价函</w:t>
      </w:r>
    </w:p>
    <w:p w14:paraId="773D7E94">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（二）明细报价表</w:t>
      </w:r>
    </w:p>
    <w:p w14:paraId="7A2EDBF5">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二、技术部分</w:t>
      </w:r>
    </w:p>
    <w:p w14:paraId="33F06D63">
      <w:pPr>
        <w:spacing w:line="440" w:lineRule="exact"/>
        <w:ind w:firstLine="480" w:firstLineChars="200"/>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（一）技术方案</w:t>
      </w:r>
    </w:p>
    <w:p w14:paraId="1077D81A">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（二）技术响应偏离表</w:t>
      </w:r>
    </w:p>
    <w:p w14:paraId="1F4A7206">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三、服务部分</w:t>
      </w:r>
    </w:p>
    <w:p w14:paraId="0475DB92">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服务响应偏离表</w:t>
      </w:r>
    </w:p>
    <w:p w14:paraId="56395DB3">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四、资格条件及其它</w:t>
      </w:r>
    </w:p>
    <w:p w14:paraId="585FDC1F">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（一）营业执照（副本）或事业单位法人证书（副本）复印件</w:t>
      </w:r>
    </w:p>
    <w:p w14:paraId="230FD1AB">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（二）组织机构代码证复印件</w:t>
      </w:r>
    </w:p>
    <w:p w14:paraId="72034302">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（三）法定代表人身份证明书（格式）</w:t>
      </w:r>
    </w:p>
    <w:p w14:paraId="4B7CBA14">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（四）法定代表人授权委托书（格式）</w:t>
      </w:r>
    </w:p>
    <w:p w14:paraId="04C7995D">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olor w:val="auto"/>
          <w:sz w:val="24"/>
          <w:szCs w:val="24"/>
          <w:highlight w:val="none"/>
        </w:rPr>
        <w:t>（五）</w:t>
      </w:r>
      <w:r>
        <w:rPr>
          <w:rFonts w:hint="eastAsia" w:ascii="微软雅黑" w:hAnsi="微软雅黑" w:eastAsia="微软雅黑" w:cs="微软雅黑"/>
          <w:color w:val="auto"/>
          <w:sz w:val="24"/>
          <w:szCs w:val="24"/>
          <w:highlight w:val="none"/>
        </w:rPr>
        <w:t>基本资格条件承诺函</w:t>
      </w:r>
    </w:p>
    <w:p w14:paraId="21CEFE77">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cs="微软雅黑"/>
          <w:color w:val="auto"/>
          <w:sz w:val="24"/>
          <w:highlight w:val="none"/>
          <w:lang w:val="en-US" w:eastAsia="zh-CN"/>
        </w:rPr>
        <w:t>（六）</w:t>
      </w:r>
      <w:r>
        <w:rPr>
          <w:rFonts w:hint="eastAsia" w:ascii="微软雅黑" w:hAnsi="微软雅黑" w:eastAsia="微软雅黑" w:cs="微软雅黑"/>
          <w:color w:val="auto"/>
          <w:sz w:val="24"/>
          <w:highlight w:val="none"/>
        </w:rPr>
        <w:t>其他应提供的资料</w:t>
      </w:r>
    </w:p>
    <w:p w14:paraId="689A17FD">
      <w:pPr>
        <w:spacing w:line="440" w:lineRule="exact"/>
        <w:ind w:firstLine="960" w:firstLineChars="4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1.中小企业声明函、监狱企业证明文件、残疾人福利性单位声明函</w:t>
      </w:r>
    </w:p>
    <w:p w14:paraId="79DEF59C">
      <w:pPr>
        <w:spacing w:line="440" w:lineRule="exact"/>
        <w:ind w:firstLine="960" w:firstLineChars="4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2.</w:t>
      </w:r>
      <w:r>
        <w:rPr>
          <w:rFonts w:hint="eastAsia" w:ascii="微软雅黑" w:hAnsi="微软雅黑" w:eastAsia="微软雅黑"/>
          <w:color w:val="auto"/>
          <w:sz w:val="24"/>
          <w:szCs w:val="24"/>
          <w:highlight w:val="none"/>
        </w:rPr>
        <w:t>其他与项目有关的资料（自附）</w:t>
      </w:r>
    </w:p>
    <w:p w14:paraId="1EB9158B">
      <w:pPr>
        <w:snapToGrid w:val="0"/>
        <w:rPr>
          <w:rFonts w:hint="eastAsia" w:ascii="微软雅黑" w:hAnsi="微软雅黑" w:eastAsia="微软雅黑" w:cs="微软雅黑"/>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06B1C05">
      <w:pPr>
        <w:pStyle w:val="5"/>
        <w:spacing w:before="0" w:after="0" w:line="240" w:lineRule="auto"/>
        <w:rPr>
          <w:rFonts w:hint="eastAsia" w:ascii="微软雅黑" w:hAnsi="微软雅黑" w:eastAsia="微软雅黑" w:cs="微软雅黑"/>
          <w:color w:val="auto"/>
          <w:sz w:val="24"/>
          <w:szCs w:val="24"/>
          <w:highlight w:val="none"/>
        </w:rPr>
      </w:pPr>
      <w:bookmarkStart w:id="87" w:name="_Toc313008356"/>
      <w:bookmarkStart w:id="88" w:name="_Toc342913419"/>
      <w:bookmarkStart w:id="89" w:name="_Toc313888360"/>
      <w:bookmarkStart w:id="90" w:name="_Toc27598"/>
      <w:bookmarkStart w:id="91" w:name="_Toc12789073"/>
      <w:bookmarkStart w:id="92" w:name="_Toc283382454"/>
      <w:r>
        <w:rPr>
          <w:rFonts w:hint="eastAsia" w:ascii="微软雅黑" w:hAnsi="微软雅黑" w:eastAsia="微软雅黑" w:cs="微软雅黑"/>
          <w:color w:val="auto"/>
          <w:sz w:val="24"/>
          <w:szCs w:val="24"/>
          <w:highlight w:val="none"/>
        </w:rPr>
        <w:t>一、经济部分</w:t>
      </w:r>
      <w:bookmarkEnd w:id="87"/>
      <w:bookmarkEnd w:id="88"/>
      <w:bookmarkEnd w:id="89"/>
      <w:bookmarkEnd w:id="90"/>
    </w:p>
    <w:bookmarkEnd w:id="91"/>
    <w:bookmarkEnd w:id="92"/>
    <w:p w14:paraId="387B4E7F">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（一）竞争性报价函</w:t>
      </w:r>
    </w:p>
    <w:p w14:paraId="1780EC80">
      <w:pPr>
        <w:tabs>
          <w:tab w:val="left" w:pos="6300"/>
        </w:tabs>
        <w:snapToGrid w:val="0"/>
        <w:jc w:val="center"/>
        <w:outlineLvl w:val="0"/>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竞争性报价函</w:t>
      </w:r>
    </w:p>
    <w:p w14:paraId="55A902E3">
      <w:pPr>
        <w:tabs>
          <w:tab w:val="left" w:pos="6300"/>
        </w:tabs>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3097D377">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项目名称）的竞争性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文件，经详细研究，决定参加该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项目的竞争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346CA4D2">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文件中的一切要求，提供本项目的交货及技术服务，初始报价为人民币大写：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元整；人民币小写：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元。以我公司最后报价为准。</w:t>
      </w:r>
    </w:p>
    <w:p w14:paraId="1B140912">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p>
    <w:p w14:paraId="7DF81DF0">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的有效期为90天。</w:t>
      </w:r>
    </w:p>
    <w:p w14:paraId="4CA0C19D">
      <w:pPr>
        <w:tabs>
          <w:tab w:val="left" w:pos="6300"/>
        </w:tabs>
        <w:snapToGrid w:val="0"/>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4.我方完全理解和接受贵方竞争性</w:t>
      </w:r>
      <w:r>
        <w:rPr>
          <w:rFonts w:hint="eastAsia" w:ascii="微软雅黑" w:hAnsi="微软雅黑" w:eastAsia="微软雅黑" w:cs="微软雅黑"/>
          <w:color w:val="auto"/>
          <w:sz w:val="24"/>
          <w:szCs w:val="24"/>
          <w:highlight w:val="none"/>
          <w:u w:val="single"/>
          <w:lang w:eastAsia="zh-CN"/>
        </w:rPr>
        <w:t>磋商</w:t>
      </w:r>
      <w:r>
        <w:rPr>
          <w:rFonts w:hint="eastAsia" w:ascii="微软雅黑" w:hAnsi="微软雅黑" w:eastAsia="微软雅黑" w:cs="微软雅黑"/>
          <w:color w:val="auto"/>
          <w:sz w:val="24"/>
          <w:szCs w:val="24"/>
          <w:highlight w:val="none"/>
          <w:u w:val="single"/>
        </w:rPr>
        <w:t>文件的一切规定和要求及</w:t>
      </w:r>
      <w:r>
        <w:rPr>
          <w:rFonts w:hint="eastAsia" w:ascii="微软雅黑" w:hAnsi="微软雅黑" w:eastAsia="微软雅黑" w:cs="微软雅黑"/>
          <w:color w:val="auto"/>
          <w:sz w:val="24"/>
          <w:szCs w:val="24"/>
          <w:highlight w:val="none"/>
          <w:u w:val="single"/>
          <w:lang w:eastAsia="zh-CN"/>
        </w:rPr>
        <w:t>磋商</w:t>
      </w:r>
      <w:r>
        <w:rPr>
          <w:rFonts w:hint="eastAsia" w:ascii="微软雅黑" w:hAnsi="微软雅黑" w:eastAsia="微软雅黑" w:cs="微软雅黑"/>
          <w:color w:val="auto"/>
          <w:sz w:val="24"/>
          <w:szCs w:val="24"/>
          <w:highlight w:val="none"/>
          <w:u w:val="single"/>
        </w:rPr>
        <w:t>评审办法。</w:t>
      </w:r>
    </w:p>
    <w:p w14:paraId="4D3A2999">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过程中，我方若有违规行为，接受按照《中华人民共和国政府采购法》和《竞争性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文件》之规定给予惩罚。</w:t>
      </w:r>
    </w:p>
    <w:p w14:paraId="3D7ADCB7">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0E2BEE15">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7.我方同意按竞争性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文件规定，交纳竞争性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文件要求的保证金。如果我方成为成交供应商，保证在接到成交通知书后，向采购代理机构和交易中心交纳竞争性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文件规定的采购代理服务费和交易服务费。</w:t>
      </w:r>
    </w:p>
    <w:p w14:paraId="11029043">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67A0D1E8">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0FD137F0">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53CEB53A">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57838FEA">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095C4E15">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0BF897AA">
      <w:pPr>
        <w:snapToGrid w:val="0"/>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7437F7D8">
      <w:pPr>
        <w:tabs>
          <w:tab w:val="left" w:pos="2895"/>
        </w:tabs>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36F03A57">
      <w:pPr>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明细报价表</w:t>
      </w:r>
    </w:p>
    <w:p w14:paraId="1D7D84FB">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项目编号：</w:t>
      </w:r>
    </w:p>
    <w:p w14:paraId="460FF1FF">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1440"/>
        <w:gridCol w:w="1970"/>
        <w:gridCol w:w="2607"/>
      </w:tblGrid>
      <w:tr w14:paraId="5B58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38" w:type="dxa"/>
            <w:noWrap w:val="0"/>
            <w:vAlign w:val="center"/>
          </w:tcPr>
          <w:p w14:paraId="2FE2E197">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服务名称</w:t>
            </w:r>
          </w:p>
        </w:tc>
        <w:tc>
          <w:tcPr>
            <w:tcW w:w="1440" w:type="dxa"/>
            <w:noWrap w:val="0"/>
            <w:vAlign w:val="center"/>
          </w:tcPr>
          <w:p w14:paraId="5C34031E">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数量</w:t>
            </w:r>
          </w:p>
        </w:tc>
        <w:tc>
          <w:tcPr>
            <w:tcW w:w="1970" w:type="dxa"/>
            <w:noWrap w:val="0"/>
            <w:vAlign w:val="center"/>
          </w:tcPr>
          <w:p w14:paraId="7486E530">
            <w:pPr>
              <w:pStyle w:val="33"/>
              <w:jc w:val="center"/>
              <w:rPr>
                <w:rFonts w:hint="eastAsia" w:ascii="微软雅黑" w:hAnsi="微软雅黑" w:eastAsia="微软雅黑" w:cs="微软雅黑"/>
                <w:color w:val="auto"/>
                <w:sz w:val="24"/>
                <w:szCs w:val="28"/>
                <w:highlight w:val="none"/>
                <w:lang w:val="en-US" w:eastAsia="zh-CN"/>
              </w:rPr>
            </w:pPr>
            <w:r>
              <w:rPr>
                <w:rFonts w:hint="eastAsia" w:ascii="微软雅黑" w:hAnsi="微软雅黑" w:eastAsia="微软雅黑" w:cs="微软雅黑"/>
                <w:color w:val="auto"/>
                <w:sz w:val="24"/>
                <w:szCs w:val="28"/>
                <w:highlight w:val="none"/>
                <w:lang w:val="en-US" w:eastAsia="zh-CN"/>
              </w:rPr>
              <w:t>单价</w:t>
            </w:r>
          </w:p>
          <w:p w14:paraId="3DE8B77A">
            <w:pPr>
              <w:pStyle w:val="33"/>
              <w:jc w:val="center"/>
              <w:rPr>
                <w:rFonts w:hint="eastAsia" w:ascii="微软雅黑" w:hAnsi="微软雅黑" w:eastAsia="微软雅黑" w:cs="微软雅黑"/>
                <w:color w:val="auto"/>
                <w:sz w:val="24"/>
                <w:szCs w:val="28"/>
                <w:highlight w:val="none"/>
                <w:lang w:val="en-US" w:eastAsia="zh-CN"/>
              </w:rPr>
            </w:pPr>
            <w:r>
              <w:rPr>
                <w:rFonts w:hint="eastAsia" w:ascii="微软雅黑" w:hAnsi="微软雅黑" w:eastAsia="微软雅黑" w:cs="微软雅黑"/>
                <w:color w:val="auto"/>
                <w:sz w:val="24"/>
                <w:szCs w:val="28"/>
                <w:highlight w:val="none"/>
                <w:lang w:val="en-US" w:eastAsia="zh-CN"/>
              </w:rPr>
              <w:t>（   ）</w:t>
            </w:r>
          </w:p>
        </w:tc>
        <w:tc>
          <w:tcPr>
            <w:tcW w:w="2607" w:type="dxa"/>
            <w:noWrap w:val="0"/>
            <w:vAlign w:val="center"/>
          </w:tcPr>
          <w:p w14:paraId="6817266D">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合计</w:t>
            </w:r>
          </w:p>
          <w:p w14:paraId="5F578F3B">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w:t>
            </w:r>
          </w:p>
        </w:tc>
      </w:tr>
      <w:tr w14:paraId="2D0B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738" w:type="dxa"/>
            <w:tcBorders>
              <w:bottom w:val="single" w:color="auto" w:sz="4" w:space="0"/>
            </w:tcBorders>
            <w:noWrap w:val="0"/>
            <w:vAlign w:val="center"/>
          </w:tcPr>
          <w:p w14:paraId="3AA464F6">
            <w:pPr>
              <w:jc w:val="center"/>
              <w:rPr>
                <w:rFonts w:hint="eastAsia" w:ascii="微软雅黑" w:hAnsi="微软雅黑" w:eastAsia="微软雅黑" w:cs="微软雅黑"/>
                <w:color w:val="auto"/>
                <w:sz w:val="24"/>
                <w:szCs w:val="28"/>
                <w:highlight w:val="none"/>
              </w:rPr>
            </w:pPr>
          </w:p>
        </w:tc>
        <w:tc>
          <w:tcPr>
            <w:tcW w:w="1440" w:type="dxa"/>
            <w:tcBorders>
              <w:bottom w:val="single" w:color="auto" w:sz="4" w:space="0"/>
            </w:tcBorders>
            <w:noWrap w:val="0"/>
            <w:vAlign w:val="center"/>
          </w:tcPr>
          <w:p w14:paraId="5A82F8AE">
            <w:pPr>
              <w:jc w:val="center"/>
              <w:rPr>
                <w:rFonts w:hint="eastAsia" w:ascii="微软雅黑" w:hAnsi="微软雅黑" w:eastAsia="微软雅黑" w:cs="微软雅黑"/>
                <w:color w:val="auto"/>
                <w:sz w:val="24"/>
                <w:szCs w:val="28"/>
                <w:highlight w:val="none"/>
              </w:rPr>
            </w:pPr>
          </w:p>
        </w:tc>
        <w:tc>
          <w:tcPr>
            <w:tcW w:w="1970" w:type="dxa"/>
            <w:tcBorders>
              <w:bottom w:val="single" w:color="auto" w:sz="4" w:space="0"/>
            </w:tcBorders>
            <w:noWrap w:val="0"/>
            <w:vAlign w:val="center"/>
          </w:tcPr>
          <w:p w14:paraId="16D23B5C">
            <w:pPr>
              <w:jc w:val="center"/>
              <w:rPr>
                <w:rFonts w:hint="eastAsia" w:ascii="微软雅黑" w:hAnsi="微软雅黑" w:eastAsia="微软雅黑" w:cs="微软雅黑"/>
                <w:color w:val="auto"/>
                <w:sz w:val="24"/>
                <w:szCs w:val="28"/>
                <w:highlight w:val="none"/>
              </w:rPr>
            </w:pPr>
          </w:p>
        </w:tc>
        <w:tc>
          <w:tcPr>
            <w:tcW w:w="2607" w:type="dxa"/>
            <w:tcBorders>
              <w:bottom w:val="single" w:color="auto" w:sz="4" w:space="0"/>
            </w:tcBorders>
            <w:noWrap w:val="0"/>
            <w:vAlign w:val="center"/>
          </w:tcPr>
          <w:p w14:paraId="48CE0728">
            <w:pPr>
              <w:jc w:val="center"/>
              <w:rPr>
                <w:rFonts w:hint="eastAsia" w:ascii="微软雅黑" w:hAnsi="微软雅黑" w:eastAsia="微软雅黑" w:cs="微软雅黑"/>
                <w:color w:val="auto"/>
                <w:sz w:val="24"/>
                <w:szCs w:val="28"/>
                <w:highlight w:val="none"/>
              </w:rPr>
            </w:pPr>
          </w:p>
        </w:tc>
      </w:tr>
      <w:tr w14:paraId="2BC2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738" w:type="dxa"/>
            <w:noWrap w:val="0"/>
            <w:vAlign w:val="center"/>
          </w:tcPr>
          <w:p w14:paraId="19B8995C">
            <w:pPr>
              <w:jc w:val="center"/>
              <w:rPr>
                <w:rFonts w:hint="eastAsia" w:ascii="微软雅黑" w:hAnsi="微软雅黑" w:eastAsia="微软雅黑" w:cs="微软雅黑"/>
                <w:color w:val="auto"/>
                <w:sz w:val="24"/>
                <w:szCs w:val="28"/>
                <w:highlight w:val="none"/>
              </w:rPr>
            </w:pPr>
          </w:p>
        </w:tc>
        <w:tc>
          <w:tcPr>
            <w:tcW w:w="1440" w:type="dxa"/>
            <w:noWrap w:val="0"/>
            <w:vAlign w:val="center"/>
          </w:tcPr>
          <w:p w14:paraId="18418C94">
            <w:pPr>
              <w:jc w:val="center"/>
              <w:rPr>
                <w:rFonts w:hint="eastAsia" w:ascii="微软雅黑" w:hAnsi="微软雅黑" w:eastAsia="微软雅黑" w:cs="微软雅黑"/>
                <w:color w:val="auto"/>
                <w:sz w:val="24"/>
                <w:szCs w:val="28"/>
                <w:highlight w:val="none"/>
              </w:rPr>
            </w:pPr>
          </w:p>
        </w:tc>
        <w:tc>
          <w:tcPr>
            <w:tcW w:w="1970" w:type="dxa"/>
            <w:noWrap w:val="0"/>
            <w:vAlign w:val="center"/>
          </w:tcPr>
          <w:p w14:paraId="5D97AF8E">
            <w:pPr>
              <w:jc w:val="center"/>
              <w:rPr>
                <w:rFonts w:hint="eastAsia" w:ascii="微软雅黑" w:hAnsi="微软雅黑" w:eastAsia="微软雅黑" w:cs="微软雅黑"/>
                <w:color w:val="auto"/>
                <w:sz w:val="24"/>
                <w:szCs w:val="28"/>
                <w:highlight w:val="none"/>
              </w:rPr>
            </w:pPr>
          </w:p>
        </w:tc>
        <w:tc>
          <w:tcPr>
            <w:tcW w:w="2607" w:type="dxa"/>
            <w:noWrap w:val="0"/>
            <w:vAlign w:val="center"/>
          </w:tcPr>
          <w:p w14:paraId="4BD83232">
            <w:pPr>
              <w:jc w:val="center"/>
              <w:rPr>
                <w:rFonts w:hint="eastAsia" w:ascii="微软雅黑" w:hAnsi="微软雅黑" w:eastAsia="微软雅黑" w:cs="微软雅黑"/>
                <w:color w:val="auto"/>
                <w:sz w:val="24"/>
                <w:szCs w:val="28"/>
                <w:highlight w:val="none"/>
              </w:rPr>
            </w:pPr>
          </w:p>
        </w:tc>
      </w:tr>
      <w:tr w14:paraId="62F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38" w:type="dxa"/>
            <w:noWrap w:val="0"/>
            <w:vAlign w:val="center"/>
          </w:tcPr>
          <w:p w14:paraId="0129ED88">
            <w:pPr>
              <w:jc w:val="center"/>
              <w:rPr>
                <w:rFonts w:hint="eastAsia" w:ascii="微软雅黑" w:hAnsi="微软雅黑" w:eastAsia="微软雅黑" w:cs="微软雅黑"/>
                <w:color w:val="auto"/>
                <w:sz w:val="24"/>
                <w:szCs w:val="28"/>
                <w:highlight w:val="none"/>
              </w:rPr>
            </w:pPr>
          </w:p>
        </w:tc>
        <w:tc>
          <w:tcPr>
            <w:tcW w:w="1440" w:type="dxa"/>
            <w:noWrap w:val="0"/>
            <w:vAlign w:val="center"/>
          </w:tcPr>
          <w:p w14:paraId="6CD84AA6">
            <w:pPr>
              <w:jc w:val="center"/>
              <w:rPr>
                <w:rFonts w:hint="eastAsia" w:ascii="微软雅黑" w:hAnsi="微软雅黑" w:eastAsia="微软雅黑" w:cs="微软雅黑"/>
                <w:color w:val="auto"/>
                <w:sz w:val="24"/>
                <w:szCs w:val="28"/>
                <w:highlight w:val="none"/>
              </w:rPr>
            </w:pPr>
          </w:p>
        </w:tc>
        <w:tc>
          <w:tcPr>
            <w:tcW w:w="1970" w:type="dxa"/>
            <w:noWrap w:val="0"/>
            <w:vAlign w:val="center"/>
          </w:tcPr>
          <w:p w14:paraId="7317DE64">
            <w:pPr>
              <w:jc w:val="center"/>
              <w:rPr>
                <w:rFonts w:hint="eastAsia" w:ascii="微软雅黑" w:hAnsi="微软雅黑" w:eastAsia="微软雅黑" w:cs="微软雅黑"/>
                <w:color w:val="auto"/>
                <w:sz w:val="24"/>
                <w:szCs w:val="28"/>
                <w:highlight w:val="none"/>
              </w:rPr>
            </w:pPr>
          </w:p>
        </w:tc>
        <w:tc>
          <w:tcPr>
            <w:tcW w:w="2607" w:type="dxa"/>
            <w:noWrap w:val="0"/>
            <w:vAlign w:val="center"/>
          </w:tcPr>
          <w:p w14:paraId="5C43F685">
            <w:pPr>
              <w:jc w:val="center"/>
              <w:rPr>
                <w:rFonts w:hint="eastAsia" w:ascii="微软雅黑" w:hAnsi="微软雅黑" w:eastAsia="微软雅黑" w:cs="微软雅黑"/>
                <w:color w:val="auto"/>
                <w:sz w:val="24"/>
                <w:szCs w:val="28"/>
                <w:highlight w:val="none"/>
              </w:rPr>
            </w:pPr>
          </w:p>
        </w:tc>
      </w:tr>
      <w:tr w14:paraId="5608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38" w:type="dxa"/>
            <w:tcBorders>
              <w:bottom w:val="single" w:color="auto" w:sz="4" w:space="0"/>
            </w:tcBorders>
            <w:noWrap w:val="0"/>
            <w:vAlign w:val="center"/>
          </w:tcPr>
          <w:p w14:paraId="4AF92840">
            <w:pPr>
              <w:jc w:val="center"/>
              <w:rPr>
                <w:rFonts w:hint="eastAsia" w:ascii="微软雅黑" w:hAnsi="微软雅黑" w:eastAsia="微软雅黑" w:cs="微软雅黑"/>
                <w:color w:val="auto"/>
                <w:sz w:val="24"/>
                <w:szCs w:val="28"/>
                <w:highlight w:val="none"/>
              </w:rPr>
            </w:pPr>
          </w:p>
        </w:tc>
        <w:tc>
          <w:tcPr>
            <w:tcW w:w="1440" w:type="dxa"/>
            <w:tcBorders>
              <w:bottom w:val="single" w:color="auto" w:sz="4" w:space="0"/>
            </w:tcBorders>
            <w:noWrap w:val="0"/>
            <w:vAlign w:val="center"/>
          </w:tcPr>
          <w:p w14:paraId="1C071F58">
            <w:pPr>
              <w:jc w:val="center"/>
              <w:rPr>
                <w:rFonts w:hint="eastAsia" w:ascii="微软雅黑" w:hAnsi="微软雅黑" w:eastAsia="微软雅黑" w:cs="微软雅黑"/>
                <w:color w:val="auto"/>
                <w:sz w:val="24"/>
                <w:szCs w:val="28"/>
                <w:highlight w:val="none"/>
              </w:rPr>
            </w:pPr>
          </w:p>
        </w:tc>
        <w:tc>
          <w:tcPr>
            <w:tcW w:w="1970" w:type="dxa"/>
            <w:tcBorders>
              <w:bottom w:val="single" w:color="auto" w:sz="4" w:space="0"/>
            </w:tcBorders>
            <w:noWrap w:val="0"/>
            <w:vAlign w:val="center"/>
          </w:tcPr>
          <w:p w14:paraId="2A53AD27">
            <w:pPr>
              <w:jc w:val="center"/>
              <w:rPr>
                <w:rFonts w:hint="eastAsia" w:ascii="微软雅黑" w:hAnsi="微软雅黑" w:eastAsia="微软雅黑" w:cs="微软雅黑"/>
                <w:color w:val="auto"/>
                <w:sz w:val="24"/>
                <w:szCs w:val="28"/>
                <w:highlight w:val="none"/>
              </w:rPr>
            </w:pPr>
          </w:p>
        </w:tc>
        <w:tc>
          <w:tcPr>
            <w:tcW w:w="2607" w:type="dxa"/>
            <w:tcBorders>
              <w:bottom w:val="single" w:color="auto" w:sz="4" w:space="0"/>
            </w:tcBorders>
            <w:noWrap w:val="0"/>
            <w:vAlign w:val="center"/>
          </w:tcPr>
          <w:p w14:paraId="3679452E">
            <w:pPr>
              <w:jc w:val="center"/>
              <w:rPr>
                <w:rFonts w:hint="eastAsia" w:ascii="微软雅黑" w:hAnsi="微软雅黑" w:eastAsia="微软雅黑" w:cs="微软雅黑"/>
                <w:color w:val="auto"/>
                <w:sz w:val="24"/>
                <w:szCs w:val="28"/>
                <w:highlight w:val="none"/>
              </w:rPr>
            </w:pPr>
          </w:p>
        </w:tc>
      </w:tr>
      <w:tr w14:paraId="26E7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38" w:type="dxa"/>
            <w:noWrap w:val="0"/>
            <w:vAlign w:val="center"/>
          </w:tcPr>
          <w:p w14:paraId="14FAC708">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总计</w:t>
            </w:r>
          </w:p>
        </w:tc>
        <w:tc>
          <w:tcPr>
            <w:tcW w:w="6017" w:type="dxa"/>
            <w:gridSpan w:val="3"/>
            <w:noWrap w:val="0"/>
            <w:vAlign w:val="center"/>
          </w:tcPr>
          <w:p w14:paraId="1627E146">
            <w:pPr>
              <w:jc w:val="center"/>
              <w:rPr>
                <w:rFonts w:hint="eastAsia" w:ascii="微软雅黑" w:hAnsi="微软雅黑" w:eastAsia="微软雅黑" w:cs="微软雅黑"/>
                <w:color w:val="auto"/>
                <w:sz w:val="24"/>
                <w:szCs w:val="28"/>
                <w:highlight w:val="none"/>
              </w:rPr>
            </w:pPr>
          </w:p>
        </w:tc>
      </w:tr>
    </w:tbl>
    <w:p w14:paraId="090AEA88">
      <w:pPr>
        <w:snapToGrid w:val="0"/>
        <w:rPr>
          <w:rFonts w:hint="eastAsia" w:ascii="微软雅黑" w:hAnsi="微软雅黑" w:eastAsia="微软雅黑" w:cs="微软雅黑"/>
          <w:color w:val="auto"/>
          <w:sz w:val="24"/>
          <w:szCs w:val="28"/>
          <w:highlight w:val="none"/>
        </w:rPr>
      </w:pPr>
    </w:p>
    <w:p w14:paraId="3E4C646E">
      <w:pPr>
        <w:snapToGrid w:val="0"/>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注：1.请供应商完整填写本表。</w:t>
      </w:r>
    </w:p>
    <w:p w14:paraId="091BC81C">
      <w:pPr>
        <w:snapToGrid w:val="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2.该表可扩展</w:t>
      </w:r>
      <w:bookmarkStart w:id="93" w:name="OLE_LINK1"/>
      <w:bookmarkStart w:id="94" w:name="OLE_LINK2"/>
      <w:r>
        <w:rPr>
          <w:rFonts w:hint="eastAsia" w:ascii="微软雅黑" w:hAnsi="微软雅黑" w:eastAsia="微软雅黑" w:cs="微软雅黑"/>
          <w:color w:val="auto"/>
          <w:sz w:val="24"/>
          <w:szCs w:val="28"/>
          <w:highlight w:val="none"/>
        </w:rPr>
        <w:t>，并逐页签字或盖章。</w:t>
      </w:r>
      <w:bookmarkEnd w:id="93"/>
      <w:bookmarkEnd w:id="94"/>
    </w:p>
    <w:p w14:paraId="2DF228D2">
      <w:pPr>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8"/>
          <w:highlight w:val="none"/>
        </w:rPr>
        <w:t xml:space="preserve">       </w:t>
      </w:r>
    </w:p>
    <w:p w14:paraId="74E4B8C0">
      <w:pPr>
        <w:pStyle w:val="37"/>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655719B1">
      <w:pP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                                                    供应商名称（公章）：</w:t>
      </w:r>
    </w:p>
    <w:p w14:paraId="593E6FA3">
      <w:pPr>
        <w:ind w:right="480" w:firstLine="6480" w:firstLineChars="27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12F105D5">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0FF2BB8D">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688E59A3">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8F0913F">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722FFFA9">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32585CC8">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50C41B9">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194C49CE">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11B66697">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ED904E8">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525D0B0F">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082DA621">
      <w:pPr>
        <w:snapToGrid w:val="0"/>
        <w:rPr>
          <w:rFonts w:hint="eastAsia" w:ascii="微软雅黑" w:hAnsi="微软雅黑" w:eastAsia="微软雅黑" w:cs="微软雅黑"/>
          <w:color w:val="auto"/>
          <w:sz w:val="24"/>
          <w:szCs w:val="24"/>
          <w:highlight w:val="none"/>
          <w:bdr w:val="single" w:color="auto" w:sz="4" w:space="0"/>
        </w:rPr>
      </w:pPr>
    </w:p>
    <w:p w14:paraId="5A101C54">
      <w:pPr>
        <w:snapToGrid w:val="0"/>
        <w:rPr>
          <w:rFonts w:hint="eastAsia" w:ascii="微软雅黑" w:hAnsi="微软雅黑" w:eastAsia="微软雅黑" w:cs="微软雅黑"/>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3930DBC9">
      <w:pPr>
        <w:pStyle w:val="5"/>
        <w:spacing w:before="0" w:after="0" w:line="240" w:lineRule="auto"/>
        <w:rPr>
          <w:rFonts w:hint="eastAsia" w:ascii="微软雅黑" w:hAnsi="微软雅黑" w:eastAsia="微软雅黑" w:cs="微软雅黑"/>
          <w:color w:val="auto"/>
          <w:sz w:val="24"/>
          <w:szCs w:val="24"/>
          <w:highlight w:val="none"/>
        </w:rPr>
      </w:pPr>
      <w:bookmarkStart w:id="95" w:name="_Toc342913420"/>
      <w:bookmarkStart w:id="96" w:name="_Toc313888361"/>
      <w:bookmarkStart w:id="97" w:name="_Toc313008357"/>
      <w:bookmarkStart w:id="98" w:name="_Toc11109"/>
      <w:r>
        <w:rPr>
          <w:rFonts w:hint="eastAsia" w:ascii="微软雅黑" w:hAnsi="微软雅黑" w:eastAsia="微软雅黑" w:cs="微软雅黑"/>
          <w:color w:val="auto"/>
          <w:sz w:val="24"/>
          <w:szCs w:val="24"/>
          <w:highlight w:val="none"/>
        </w:rPr>
        <w:t>二、技术部分</w:t>
      </w:r>
      <w:bookmarkEnd w:id="95"/>
      <w:bookmarkEnd w:id="96"/>
      <w:bookmarkEnd w:id="97"/>
      <w:bookmarkEnd w:id="98"/>
    </w:p>
    <w:p w14:paraId="321DD55F">
      <w:pPr>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（一）技术方案（格式自定）</w:t>
      </w:r>
    </w:p>
    <w:p w14:paraId="3EE402A5">
      <w:pPr>
        <w:snapToGrid w:val="0"/>
        <w:ind w:firstLine="480" w:firstLineChars="200"/>
        <w:rPr>
          <w:rFonts w:hint="eastAsia" w:ascii="微软雅黑" w:hAnsi="微软雅黑" w:eastAsia="微软雅黑" w:cs="微软雅黑"/>
          <w:color w:val="auto"/>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12ECB45E">
      <w:pPr>
        <w:snapToGrid w:val="0"/>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（二）技术响应偏离表</w:t>
      </w:r>
    </w:p>
    <w:p w14:paraId="141AAFC7">
      <w:pPr>
        <w:pStyle w:val="33"/>
        <w:tabs>
          <w:tab w:val="left" w:pos="6300"/>
        </w:tabs>
        <w:snapToGrid w:val="0"/>
        <w:ind w:firstLine="480" w:firstLineChars="200"/>
        <w:outlineLvl w:val="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187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1E4942A">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2844" w:type="dxa"/>
            <w:noWrap w:val="0"/>
            <w:vAlign w:val="center"/>
          </w:tcPr>
          <w:p w14:paraId="5539CF60">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采购需求</w:t>
            </w:r>
          </w:p>
        </w:tc>
        <w:tc>
          <w:tcPr>
            <w:tcW w:w="2952" w:type="dxa"/>
            <w:noWrap w:val="0"/>
            <w:vAlign w:val="center"/>
          </w:tcPr>
          <w:p w14:paraId="03E5771B">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响应情况</w:t>
            </w:r>
          </w:p>
        </w:tc>
        <w:tc>
          <w:tcPr>
            <w:tcW w:w="2212" w:type="dxa"/>
            <w:noWrap w:val="0"/>
            <w:vAlign w:val="center"/>
          </w:tcPr>
          <w:p w14:paraId="401D180D">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差异说明</w:t>
            </w:r>
          </w:p>
        </w:tc>
      </w:tr>
      <w:tr w14:paraId="5E57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7D87A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4E747DC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131BFD8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5620C6E">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647D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8BC74C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CEC062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0D938398">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F4C270A">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45C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9C033D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83DBC3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4A452EA9">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88E8497">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1E18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78BFE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483EE18">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27A1220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045EF54">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0E0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34BE45F">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7A6A3D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5A28026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E5F483E">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566E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8DCA7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D6C4F5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0816D9A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4C9FFCCC">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300E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1256B7">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326438D1">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3ED13372">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253F5BB9">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194E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1AD06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E8D886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4DAB32C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056712CB">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001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8F030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63CA8452">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3DF3B25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44FAC20">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636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54E00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322C8D2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2CBA2310">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33CDD47F">
            <w:pPr>
              <w:tabs>
                <w:tab w:val="left" w:pos="6300"/>
              </w:tabs>
              <w:snapToGrid w:val="0"/>
              <w:jc w:val="center"/>
              <w:outlineLvl w:val="0"/>
              <w:rPr>
                <w:rFonts w:hint="eastAsia" w:ascii="微软雅黑" w:hAnsi="微软雅黑" w:eastAsia="微软雅黑" w:cs="微软雅黑"/>
                <w:color w:val="auto"/>
                <w:sz w:val="21"/>
                <w:szCs w:val="21"/>
                <w:highlight w:val="none"/>
              </w:rPr>
            </w:pPr>
          </w:p>
        </w:tc>
      </w:tr>
    </w:tbl>
    <w:p w14:paraId="7A7DDF0F">
      <w:pPr>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                                      法定代表人授权代表：</w:t>
      </w:r>
    </w:p>
    <w:p w14:paraId="44CEEDF4">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53F3BE03">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（供应商公章）                              </w:t>
      </w:r>
      <w:r>
        <w:rPr>
          <w:rFonts w:hint="eastAsia" w:ascii="微软雅黑" w:hAnsi="微软雅黑" w:eastAsia="微软雅黑" w:cs="微软雅黑"/>
          <w:color w:val="auto"/>
          <w:sz w:val="24"/>
          <w:szCs w:val="28"/>
          <w:highlight w:val="none"/>
          <w:lang w:val="en-US" w:eastAsia="zh-CN"/>
        </w:rPr>
        <w:t xml:space="preserve">       </w:t>
      </w:r>
      <w:r>
        <w:rPr>
          <w:rFonts w:hint="eastAsia" w:ascii="微软雅黑" w:hAnsi="微软雅黑" w:eastAsia="微软雅黑" w:cs="微软雅黑"/>
          <w:color w:val="auto"/>
          <w:sz w:val="24"/>
          <w:szCs w:val="28"/>
          <w:highlight w:val="none"/>
        </w:rPr>
        <w:t xml:space="preserve"> （签字或盖章）</w:t>
      </w:r>
    </w:p>
    <w:p w14:paraId="350D4FA8">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B87C856">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F314E68">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 xml:space="preserve">.本表即为对本项目“第三篇  </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项目技术需求”中所列技术要求进行比较和响应；</w:t>
      </w:r>
    </w:p>
    <w:p w14:paraId="052C4AD8">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2.该表必须按照竞争性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要求逐条如实填写，根据响应情况在“差异说明”项填写正偏离或负偏离及原因，完全符合的填写“无差异”；</w:t>
      </w:r>
    </w:p>
    <w:p w14:paraId="476D9091">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3.该表可扩展</w:t>
      </w:r>
      <w:r>
        <w:rPr>
          <w:rFonts w:hint="eastAsia" w:ascii="微软雅黑" w:hAnsi="微软雅黑" w:eastAsia="微软雅黑" w:cs="微软雅黑"/>
          <w:color w:val="auto"/>
          <w:sz w:val="24"/>
          <w:szCs w:val="28"/>
          <w:highlight w:val="none"/>
        </w:rPr>
        <w:t>，并逐页签字或盖章</w:t>
      </w:r>
      <w:r>
        <w:rPr>
          <w:rFonts w:hint="eastAsia" w:ascii="微软雅黑" w:hAnsi="微软雅黑" w:eastAsia="微软雅黑" w:cs="微软雅黑"/>
          <w:color w:val="auto"/>
          <w:sz w:val="24"/>
          <w:highlight w:val="none"/>
        </w:rPr>
        <w:t>；</w:t>
      </w:r>
    </w:p>
    <w:p w14:paraId="3A15091F">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4.可附相关技术支撑材料（格式自定）。</w:t>
      </w:r>
    </w:p>
    <w:p w14:paraId="7A9CE01F">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5.若“响应情况”栏中仅填写“无偏离”或“有偏离”等内容而未作实质性参数描述，该供应商将</w:t>
      </w:r>
      <w:r>
        <w:rPr>
          <w:rFonts w:hint="eastAsia" w:ascii="微软雅黑" w:hAnsi="微软雅黑" w:eastAsia="微软雅黑" w:cs="微软雅黑"/>
          <w:color w:val="auto"/>
          <w:sz w:val="24"/>
          <w:szCs w:val="24"/>
          <w:highlight w:val="none"/>
        </w:rPr>
        <w:t>失去成为成交供应商的资格，仅保留其合格供应商的身份。</w:t>
      </w:r>
    </w:p>
    <w:p w14:paraId="2E1E4733">
      <w:pPr>
        <w:pStyle w:val="5"/>
        <w:spacing w:before="0" w:after="0"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color w:val="auto"/>
          <w:highlight w:val="none"/>
        </w:rPr>
        <w:br w:type="page"/>
      </w:r>
      <w:bookmarkStart w:id="99" w:name="_Toc24126"/>
      <w:bookmarkStart w:id="100" w:name="_Toc313888362"/>
      <w:bookmarkStart w:id="101" w:name="_Toc313008358"/>
      <w:bookmarkStart w:id="102" w:name="_Toc342913421"/>
      <w:r>
        <w:rPr>
          <w:rFonts w:hint="eastAsia" w:ascii="微软雅黑" w:hAnsi="微软雅黑" w:eastAsia="微软雅黑" w:cs="微软雅黑"/>
          <w:color w:val="auto"/>
          <w:sz w:val="24"/>
          <w:szCs w:val="24"/>
          <w:highlight w:val="none"/>
        </w:rPr>
        <w:t>三、服务部分</w:t>
      </w:r>
      <w:bookmarkEnd w:id="99"/>
    </w:p>
    <w:p w14:paraId="4F5F0649">
      <w:pPr>
        <w:snapToGrid w:val="0"/>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服务响应偏离表</w:t>
      </w:r>
    </w:p>
    <w:p w14:paraId="696F1598">
      <w:pPr>
        <w:snapToGrid w:val="0"/>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73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5633D8D5">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序号</w:t>
            </w:r>
          </w:p>
        </w:tc>
        <w:tc>
          <w:tcPr>
            <w:tcW w:w="3184" w:type="dxa"/>
            <w:noWrap w:val="0"/>
            <w:vAlign w:val="center"/>
          </w:tcPr>
          <w:p w14:paraId="639E5BFD">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lang w:eastAsia="zh-CN"/>
              </w:rPr>
              <w:t>磋商</w:t>
            </w:r>
            <w:r>
              <w:rPr>
                <w:rFonts w:hint="eastAsia" w:ascii="微软雅黑" w:hAnsi="微软雅黑" w:eastAsia="微软雅黑" w:cs="微软雅黑"/>
                <w:b/>
                <w:color w:val="auto"/>
                <w:sz w:val="21"/>
                <w:szCs w:val="24"/>
                <w:highlight w:val="none"/>
              </w:rPr>
              <w:t>项目需求</w:t>
            </w:r>
          </w:p>
        </w:tc>
        <w:tc>
          <w:tcPr>
            <w:tcW w:w="2438" w:type="dxa"/>
            <w:noWrap w:val="0"/>
            <w:vAlign w:val="center"/>
          </w:tcPr>
          <w:p w14:paraId="788AA91D">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响应情况</w:t>
            </w:r>
          </w:p>
        </w:tc>
        <w:tc>
          <w:tcPr>
            <w:tcW w:w="2359" w:type="dxa"/>
            <w:noWrap w:val="0"/>
            <w:vAlign w:val="center"/>
          </w:tcPr>
          <w:p w14:paraId="0D1F3E4F">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偏离说明</w:t>
            </w:r>
          </w:p>
        </w:tc>
      </w:tr>
      <w:tr w14:paraId="648D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6B8A13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F909090">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4DF145FC">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05A0287E">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21CA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70807E6">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67EE3B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51CC43BD">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32953AD4">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692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783B8B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23EE0BD8">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786CF384">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CF3AEC1">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4097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6D260DF">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2C7763C9">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63BB7D83">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2F774EA">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5D61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B3FC534">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902F21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305283F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F3F5E95">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14B6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35FC1AA">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6B753813">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537319C6">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7252178">
            <w:pPr>
              <w:tabs>
                <w:tab w:val="left" w:pos="6300"/>
              </w:tabs>
              <w:snapToGrid w:val="0"/>
              <w:jc w:val="center"/>
              <w:outlineLvl w:val="0"/>
              <w:rPr>
                <w:rFonts w:hint="eastAsia" w:ascii="微软雅黑" w:hAnsi="微软雅黑" w:eastAsia="微软雅黑" w:cs="微软雅黑"/>
                <w:color w:val="auto"/>
                <w:sz w:val="21"/>
                <w:szCs w:val="24"/>
                <w:highlight w:val="none"/>
              </w:rPr>
            </w:pPr>
          </w:p>
        </w:tc>
      </w:tr>
    </w:tbl>
    <w:p w14:paraId="705EB5EB">
      <w:pPr>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                                       法定代表人授权代表：</w:t>
      </w:r>
    </w:p>
    <w:p w14:paraId="722E6DBF">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05DB1916">
      <w:pPr>
        <w:ind w:firstLine="360" w:firstLineChars="1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（签字或盖章）</w:t>
      </w:r>
    </w:p>
    <w:p w14:paraId="62E3D296">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45212703">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14BF865A">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 xml:space="preserve">.本表即为对本项目“第四篇 </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项目服务需求”中所列服务要求进行比较和响应；</w:t>
      </w:r>
    </w:p>
    <w:p w14:paraId="172603E4">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2.该表必须按照竞争性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要求逐条如实填写，根据响应情况在“差异说明”项填写正偏离或负偏离及原因，完全符合的填写“无差异”；</w:t>
      </w:r>
    </w:p>
    <w:p w14:paraId="2E43E9FE">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3.该表可扩展</w:t>
      </w:r>
      <w:r>
        <w:rPr>
          <w:rFonts w:hint="eastAsia" w:ascii="微软雅黑" w:hAnsi="微软雅黑" w:eastAsia="微软雅黑" w:cs="微软雅黑"/>
          <w:color w:val="auto"/>
          <w:sz w:val="24"/>
          <w:szCs w:val="28"/>
          <w:highlight w:val="none"/>
        </w:rPr>
        <w:t>，并逐页签字或盖章</w:t>
      </w:r>
      <w:r>
        <w:rPr>
          <w:rFonts w:hint="eastAsia" w:ascii="微软雅黑" w:hAnsi="微软雅黑" w:eastAsia="微软雅黑" w:cs="微软雅黑"/>
          <w:color w:val="auto"/>
          <w:sz w:val="24"/>
          <w:highlight w:val="none"/>
        </w:rPr>
        <w:t>；</w:t>
      </w:r>
    </w:p>
    <w:p w14:paraId="2CA265F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4.若“响应情况”栏中仅填写“无偏离”或“有偏离”等内容而未作实质性参数描述，该供应商将</w:t>
      </w:r>
      <w:r>
        <w:rPr>
          <w:rFonts w:hint="eastAsia" w:ascii="微软雅黑" w:hAnsi="微软雅黑" w:eastAsia="微软雅黑" w:cs="微软雅黑"/>
          <w:color w:val="auto"/>
          <w:sz w:val="24"/>
          <w:szCs w:val="24"/>
          <w:highlight w:val="none"/>
        </w:rPr>
        <w:t>失去成为成交供应商的资格，仅保留其合格供应商的身份。</w:t>
      </w:r>
    </w:p>
    <w:p w14:paraId="13B9ACE1">
      <w:pPr>
        <w:rPr>
          <w:rFonts w:hint="eastAsia" w:ascii="微软雅黑" w:hAnsi="微软雅黑" w:eastAsia="微软雅黑" w:cs="微软雅黑"/>
          <w:color w:val="auto"/>
          <w:sz w:val="24"/>
          <w:szCs w:val="24"/>
          <w:highlight w:val="none"/>
        </w:rPr>
      </w:pPr>
    </w:p>
    <w:p w14:paraId="6A335EA5">
      <w:pPr>
        <w:rPr>
          <w:rFonts w:hint="eastAsia" w:ascii="微软雅黑" w:hAnsi="微软雅黑" w:eastAsia="微软雅黑" w:cs="微软雅黑"/>
          <w:color w:val="auto"/>
          <w:sz w:val="24"/>
          <w:szCs w:val="24"/>
          <w:highlight w:val="none"/>
        </w:rPr>
      </w:pPr>
    </w:p>
    <w:p w14:paraId="66DCDE57">
      <w:pPr>
        <w:pStyle w:val="5"/>
        <w:spacing w:before="0" w:after="0" w:line="240" w:lineRule="auto"/>
        <w:rPr>
          <w:rFonts w:hint="eastAsia" w:ascii="微软雅黑" w:hAnsi="微软雅黑" w:eastAsia="微软雅黑" w:cs="微软雅黑"/>
          <w:color w:val="auto"/>
          <w:sz w:val="24"/>
          <w:szCs w:val="24"/>
          <w:highlight w:val="none"/>
          <w:lang w:eastAsia="zh-CN"/>
        </w:rPr>
      </w:pPr>
      <w:bookmarkStart w:id="103" w:name="_Toc25539"/>
      <w:r>
        <w:rPr>
          <w:rFonts w:hint="eastAsia" w:ascii="微软雅黑" w:hAnsi="微软雅黑" w:eastAsia="微软雅黑" w:cs="微软雅黑"/>
          <w:color w:val="auto"/>
          <w:sz w:val="24"/>
          <w:szCs w:val="24"/>
          <w:highlight w:val="none"/>
        </w:rPr>
        <w:t>四、</w:t>
      </w:r>
      <w:bookmarkEnd w:id="100"/>
      <w:bookmarkEnd w:id="101"/>
      <w:bookmarkEnd w:id="102"/>
      <w:r>
        <w:rPr>
          <w:rFonts w:hint="eastAsia" w:ascii="微软雅黑" w:hAnsi="微软雅黑" w:eastAsia="微软雅黑" w:cs="微软雅黑"/>
          <w:color w:val="auto"/>
          <w:sz w:val="24"/>
          <w:szCs w:val="24"/>
          <w:highlight w:val="none"/>
        </w:rPr>
        <w:t>资格条件及其</w:t>
      </w:r>
      <w:bookmarkStart w:id="104" w:name="_Toc342913422"/>
      <w:bookmarkStart w:id="105" w:name="_Toc313888363"/>
      <w:bookmarkStart w:id="106" w:name="_Toc313008359"/>
      <w:r>
        <w:rPr>
          <w:rFonts w:hint="eastAsia" w:ascii="微软雅黑" w:hAnsi="微软雅黑" w:eastAsia="微软雅黑" w:cs="微软雅黑"/>
          <w:color w:val="auto"/>
          <w:sz w:val="24"/>
          <w:szCs w:val="24"/>
          <w:highlight w:val="none"/>
          <w:lang w:eastAsia="zh-CN"/>
        </w:rPr>
        <w:t>它</w:t>
      </w:r>
      <w:bookmarkEnd w:id="103"/>
    </w:p>
    <w:p w14:paraId="3DA7A793">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（一）营业执照（副本）或事业单位法人证书（副本）复印件</w:t>
      </w:r>
    </w:p>
    <w:p w14:paraId="20B8BB8B">
      <w:pPr>
        <w:tabs>
          <w:tab w:val="left" w:pos="6300"/>
        </w:tabs>
        <w:snapToGrid w:val="0"/>
        <w:ind w:firstLine="480" w:firstLineChars="200"/>
        <w:rPr>
          <w:rFonts w:hint="eastAsia" w:ascii="微软雅黑" w:hAnsi="微软雅黑" w:eastAsia="微软雅黑" w:cs="微软雅黑"/>
          <w:color w:val="auto"/>
          <w:sz w:val="24"/>
          <w:highlight w:val="none"/>
        </w:rPr>
      </w:pPr>
    </w:p>
    <w:p w14:paraId="24F9F48E">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（二）组织机构代码证复印件</w:t>
      </w:r>
    </w:p>
    <w:p w14:paraId="550969C9">
      <w:pPr>
        <w:tabs>
          <w:tab w:val="left" w:pos="6300"/>
        </w:tabs>
        <w:snapToGrid w:val="0"/>
        <w:ind w:firstLine="570"/>
        <w:rPr>
          <w:rFonts w:hint="eastAsia" w:ascii="微软雅黑" w:hAnsi="微软雅黑" w:eastAsia="微软雅黑" w:cs="微软雅黑"/>
          <w:color w:val="auto"/>
          <w:highlight w:val="none"/>
        </w:rPr>
      </w:pPr>
    </w:p>
    <w:p w14:paraId="389B2CAF">
      <w:pPr>
        <w:tabs>
          <w:tab w:val="left" w:pos="6300"/>
        </w:tabs>
        <w:snapToGrid w:val="0"/>
        <w:ind w:firstLine="570"/>
        <w:rPr>
          <w:rFonts w:hint="eastAsia" w:ascii="微软雅黑" w:hAnsi="微软雅黑" w:eastAsia="微软雅黑" w:cs="微软雅黑"/>
          <w:color w:val="auto"/>
          <w:highlight w:val="none"/>
        </w:rPr>
      </w:pPr>
    </w:p>
    <w:p w14:paraId="4BACE423">
      <w:pPr>
        <w:tabs>
          <w:tab w:val="left" w:pos="6300"/>
        </w:tabs>
        <w:snapToGrid w:val="0"/>
        <w:ind w:firstLine="570"/>
        <w:rPr>
          <w:rFonts w:hint="eastAsia" w:ascii="微软雅黑" w:hAnsi="微软雅黑" w:eastAsia="微软雅黑" w:cs="微软雅黑"/>
          <w:color w:val="auto"/>
          <w:highlight w:val="none"/>
        </w:rPr>
      </w:pPr>
    </w:p>
    <w:p w14:paraId="38CAF27A">
      <w:pPr>
        <w:widowControl/>
        <w:ind w:firstLine="56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highlight w:val="none"/>
        </w:rPr>
        <w:t>（三）法定代表人身份证明书（格式）</w:t>
      </w:r>
    </w:p>
    <w:p w14:paraId="79B9F939">
      <w:pPr>
        <w:tabs>
          <w:tab w:val="left" w:pos="6300"/>
        </w:tabs>
        <w:snapToGrid w:val="0"/>
        <w:ind w:firstLine="570"/>
        <w:rPr>
          <w:rFonts w:hint="eastAsia" w:ascii="微软雅黑" w:hAnsi="微软雅黑" w:eastAsia="微软雅黑" w:cs="微软雅黑"/>
          <w:color w:val="auto"/>
          <w:sz w:val="24"/>
          <w:highlight w:val="none"/>
        </w:rPr>
      </w:pPr>
    </w:p>
    <w:p w14:paraId="6CD48D72">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59986AC2">
      <w:pPr>
        <w:tabs>
          <w:tab w:val="left" w:pos="6300"/>
        </w:tabs>
        <w:snapToGrid w:val="0"/>
        <w:ind w:firstLine="570"/>
        <w:rPr>
          <w:rFonts w:hint="eastAsia" w:ascii="微软雅黑" w:hAnsi="微软雅黑" w:eastAsia="微软雅黑" w:cs="微软雅黑"/>
          <w:color w:val="auto"/>
          <w:sz w:val="24"/>
          <w:highlight w:val="none"/>
        </w:rPr>
      </w:pPr>
    </w:p>
    <w:p w14:paraId="1A2566B7">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21FB4D42">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（职务名称）职务，是（供应商名称）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3E5A7D2D">
      <w:pPr>
        <w:tabs>
          <w:tab w:val="left" w:pos="6300"/>
        </w:tabs>
        <w:snapToGrid w:val="0"/>
        <w:ind w:firstLine="570"/>
        <w:rPr>
          <w:rFonts w:hint="eastAsia" w:ascii="微软雅黑" w:hAnsi="微软雅黑" w:eastAsia="微软雅黑" w:cs="微软雅黑"/>
          <w:color w:val="auto"/>
          <w:sz w:val="24"/>
          <w:highlight w:val="none"/>
        </w:rPr>
      </w:pPr>
    </w:p>
    <w:p w14:paraId="7CFDE8F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5F1EC7F6">
      <w:pPr>
        <w:tabs>
          <w:tab w:val="left" w:pos="6300"/>
        </w:tabs>
        <w:snapToGrid w:val="0"/>
        <w:ind w:firstLine="570"/>
        <w:rPr>
          <w:rFonts w:hint="eastAsia" w:ascii="微软雅黑" w:hAnsi="微软雅黑" w:eastAsia="微软雅黑" w:cs="微软雅黑"/>
          <w:color w:val="auto"/>
          <w:sz w:val="24"/>
          <w:highlight w:val="none"/>
        </w:rPr>
      </w:pPr>
    </w:p>
    <w:p w14:paraId="42E8B3F4">
      <w:pPr>
        <w:tabs>
          <w:tab w:val="left" w:pos="6300"/>
        </w:tabs>
        <w:snapToGrid w:val="0"/>
        <w:ind w:firstLine="570"/>
        <w:rPr>
          <w:rFonts w:hint="eastAsia" w:ascii="微软雅黑" w:hAnsi="微软雅黑" w:eastAsia="微软雅黑" w:cs="微软雅黑"/>
          <w:color w:val="auto"/>
          <w:sz w:val="24"/>
          <w:highlight w:val="none"/>
        </w:rPr>
      </w:pPr>
    </w:p>
    <w:p w14:paraId="466D106E">
      <w:pPr>
        <w:tabs>
          <w:tab w:val="left" w:pos="6300"/>
        </w:tabs>
        <w:snapToGrid w:val="0"/>
        <w:ind w:firstLine="570"/>
        <w:rPr>
          <w:rFonts w:hint="eastAsia" w:ascii="微软雅黑" w:hAnsi="微软雅黑" w:eastAsia="微软雅黑" w:cs="微软雅黑"/>
          <w:color w:val="auto"/>
          <w:sz w:val="24"/>
          <w:highlight w:val="none"/>
        </w:rPr>
      </w:pPr>
    </w:p>
    <w:p w14:paraId="34EE95B3">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（供应商公章）</w:t>
      </w:r>
    </w:p>
    <w:p w14:paraId="3C62C79D">
      <w:pPr>
        <w:tabs>
          <w:tab w:val="left" w:pos="6300"/>
        </w:tabs>
        <w:snapToGrid w:val="0"/>
        <w:ind w:firstLine="570"/>
        <w:rPr>
          <w:rFonts w:hint="eastAsia" w:ascii="微软雅黑" w:hAnsi="微软雅黑" w:eastAsia="微软雅黑" w:cs="微软雅黑"/>
          <w:color w:val="auto"/>
          <w:sz w:val="24"/>
          <w:highlight w:val="none"/>
        </w:rPr>
      </w:pPr>
    </w:p>
    <w:p w14:paraId="535E5E95">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6D831A73">
      <w:pPr>
        <w:tabs>
          <w:tab w:val="left" w:pos="6300"/>
        </w:tabs>
        <w:snapToGrid w:val="0"/>
        <w:ind w:firstLine="570"/>
        <w:rPr>
          <w:rFonts w:hint="eastAsia" w:ascii="微软雅黑" w:hAnsi="微软雅黑" w:eastAsia="微软雅黑" w:cs="微软雅黑"/>
          <w:color w:val="auto"/>
          <w:sz w:val="24"/>
          <w:highlight w:val="none"/>
        </w:rPr>
      </w:pPr>
    </w:p>
    <w:p w14:paraId="7DFA1018">
      <w:pPr>
        <w:tabs>
          <w:tab w:val="left" w:pos="6300"/>
        </w:tabs>
        <w:snapToGrid w:val="0"/>
        <w:ind w:firstLine="570"/>
        <w:rPr>
          <w:rFonts w:hint="eastAsia" w:ascii="微软雅黑" w:hAnsi="微软雅黑" w:eastAsia="微软雅黑" w:cs="微软雅黑"/>
          <w:color w:val="auto"/>
          <w:sz w:val="24"/>
          <w:highlight w:val="none"/>
        </w:rPr>
      </w:pPr>
    </w:p>
    <w:p w14:paraId="5D2DE368">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537F70A8">
      <w:pPr>
        <w:tabs>
          <w:tab w:val="left" w:pos="6300"/>
        </w:tabs>
        <w:snapToGrid w:val="0"/>
        <w:ind w:firstLine="570"/>
        <w:rPr>
          <w:rFonts w:hint="eastAsia" w:ascii="微软雅黑" w:hAnsi="微软雅黑" w:eastAsia="微软雅黑" w:cs="微软雅黑"/>
          <w:color w:val="auto"/>
          <w:sz w:val="24"/>
          <w:highlight w:val="none"/>
        </w:rPr>
      </w:pPr>
    </w:p>
    <w:p w14:paraId="667DE7E2">
      <w:pPr>
        <w:tabs>
          <w:tab w:val="left" w:pos="6300"/>
        </w:tabs>
        <w:snapToGrid w:val="0"/>
        <w:ind w:firstLine="570"/>
        <w:rPr>
          <w:rFonts w:hint="eastAsia" w:ascii="微软雅黑" w:hAnsi="微软雅黑" w:eastAsia="微软雅黑" w:cs="微软雅黑"/>
          <w:color w:val="auto"/>
          <w:sz w:val="24"/>
          <w:highlight w:val="none"/>
        </w:rPr>
      </w:pPr>
    </w:p>
    <w:p w14:paraId="7D941317">
      <w:pPr>
        <w:tabs>
          <w:tab w:val="left" w:pos="6300"/>
        </w:tabs>
        <w:snapToGrid w:val="0"/>
        <w:ind w:firstLine="570"/>
        <w:rPr>
          <w:rFonts w:hint="eastAsia" w:ascii="微软雅黑" w:hAnsi="微软雅黑" w:eastAsia="微软雅黑" w:cs="微软雅黑"/>
          <w:color w:val="auto"/>
          <w:sz w:val="24"/>
          <w:highlight w:val="none"/>
        </w:rPr>
      </w:pPr>
    </w:p>
    <w:p w14:paraId="66DE3A08">
      <w:pPr>
        <w:tabs>
          <w:tab w:val="left" w:pos="6300"/>
        </w:tabs>
        <w:snapToGrid w:val="0"/>
        <w:ind w:firstLine="570"/>
        <w:rPr>
          <w:rFonts w:hint="eastAsia" w:ascii="微软雅黑" w:hAnsi="微软雅黑" w:eastAsia="微软雅黑" w:cs="微软雅黑"/>
          <w:color w:val="auto"/>
          <w:sz w:val="24"/>
          <w:highlight w:val="none"/>
        </w:rPr>
      </w:pPr>
    </w:p>
    <w:p w14:paraId="519E852D">
      <w:pPr>
        <w:tabs>
          <w:tab w:val="left" w:pos="6300"/>
        </w:tabs>
        <w:snapToGrid w:val="0"/>
        <w:ind w:firstLine="570"/>
        <w:rPr>
          <w:rFonts w:hint="eastAsia" w:ascii="微软雅黑" w:hAnsi="微软雅黑" w:eastAsia="微软雅黑" w:cs="微软雅黑"/>
          <w:color w:val="auto"/>
          <w:sz w:val="24"/>
          <w:highlight w:val="none"/>
        </w:rPr>
      </w:pPr>
    </w:p>
    <w:p w14:paraId="6F34E9FE">
      <w:pPr>
        <w:tabs>
          <w:tab w:val="left" w:pos="6300"/>
        </w:tabs>
        <w:snapToGrid w:val="0"/>
        <w:ind w:firstLine="570"/>
        <w:rPr>
          <w:rFonts w:hint="eastAsia" w:ascii="微软雅黑" w:hAnsi="微软雅黑" w:eastAsia="微软雅黑" w:cs="微软雅黑"/>
          <w:color w:val="auto"/>
          <w:sz w:val="24"/>
          <w:highlight w:val="none"/>
        </w:rPr>
      </w:pPr>
    </w:p>
    <w:p w14:paraId="7F800881">
      <w:pPr>
        <w:tabs>
          <w:tab w:val="left" w:pos="6300"/>
        </w:tabs>
        <w:snapToGrid w:val="0"/>
        <w:ind w:firstLine="57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highlight w:val="none"/>
        </w:rPr>
        <w:t>（四）法定代表人授权委托书（格式）</w:t>
      </w:r>
    </w:p>
    <w:p w14:paraId="0363274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06BE6C49">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2A40F37F">
      <w:pPr>
        <w:tabs>
          <w:tab w:val="left" w:pos="6300"/>
        </w:tabs>
        <w:snapToGrid w:val="0"/>
        <w:ind w:firstLine="570"/>
        <w:rPr>
          <w:rFonts w:hint="eastAsia" w:ascii="微软雅黑" w:hAnsi="微软雅黑" w:eastAsia="微软雅黑" w:cs="微软雅黑"/>
          <w:color w:val="auto"/>
          <w:sz w:val="24"/>
          <w:highlight w:val="none"/>
        </w:rPr>
      </w:pPr>
    </w:p>
    <w:p w14:paraId="78F380D2">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w:t>
      </w:r>
    </w:p>
    <w:p w14:paraId="775E7A87">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、签约等具体工作，并签署全部有关文件、协议及合同。</w:t>
      </w:r>
    </w:p>
    <w:p w14:paraId="751A3BA2">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我单位对被授权人的签字负全部责任。</w:t>
      </w:r>
    </w:p>
    <w:p w14:paraId="1750C880">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在撤消授权的书面通知以前，本授权书一直有效。被授权人在授权书有效期内签署的所有文件不因授权的撤消而失效。</w:t>
      </w:r>
    </w:p>
    <w:p w14:paraId="665A450B">
      <w:pPr>
        <w:tabs>
          <w:tab w:val="left" w:pos="6300"/>
        </w:tabs>
        <w:snapToGrid w:val="0"/>
        <w:ind w:firstLine="570"/>
        <w:rPr>
          <w:rFonts w:hint="eastAsia" w:ascii="微软雅黑" w:hAnsi="微软雅黑" w:eastAsia="微软雅黑" w:cs="微软雅黑"/>
          <w:color w:val="auto"/>
          <w:sz w:val="24"/>
          <w:highlight w:val="none"/>
        </w:rPr>
      </w:pPr>
    </w:p>
    <w:p w14:paraId="1DE4EF3B">
      <w:pPr>
        <w:tabs>
          <w:tab w:val="left" w:pos="6300"/>
        </w:tabs>
        <w:snapToGrid w:val="0"/>
        <w:ind w:firstLine="570"/>
        <w:rPr>
          <w:rFonts w:hint="eastAsia" w:ascii="微软雅黑" w:hAnsi="微软雅黑" w:eastAsia="微软雅黑" w:cs="微软雅黑"/>
          <w:color w:val="auto"/>
          <w:sz w:val="24"/>
          <w:highlight w:val="none"/>
        </w:rPr>
      </w:pPr>
    </w:p>
    <w:p w14:paraId="37AA748D">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供应商法定代表人：</w:t>
      </w:r>
    </w:p>
    <w:p w14:paraId="73D666AD">
      <w:pPr>
        <w:tabs>
          <w:tab w:val="left" w:pos="6300"/>
        </w:tabs>
        <w:snapToGrid w:val="0"/>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（签字或盖章）                                （签字或盖章）</w:t>
      </w:r>
    </w:p>
    <w:p w14:paraId="5684F3CD">
      <w:pPr>
        <w:tabs>
          <w:tab w:val="left" w:pos="6300"/>
        </w:tabs>
        <w:snapToGrid w:val="0"/>
        <w:ind w:firstLine="570"/>
        <w:rPr>
          <w:rFonts w:hint="eastAsia" w:ascii="微软雅黑" w:hAnsi="微软雅黑" w:eastAsia="微软雅黑" w:cs="微软雅黑"/>
          <w:color w:val="auto"/>
          <w:sz w:val="24"/>
          <w:szCs w:val="28"/>
          <w:highlight w:val="none"/>
        </w:rPr>
      </w:pPr>
    </w:p>
    <w:p w14:paraId="2B2EE581">
      <w:pPr>
        <w:tabs>
          <w:tab w:val="left" w:pos="6300"/>
        </w:tabs>
        <w:snapToGrid w:val="0"/>
        <w:ind w:firstLine="570"/>
        <w:rPr>
          <w:rFonts w:hint="eastAsia" w:ascii="微软雅黑" w:hAnsi="微软雅黑" w:eastAsia="微软雅黑" w:cs="微软雅黑"/>
          <w:color w:val="auto"/>
          <w:sz w:val="24"/>
          <w:highlight w:val="none"/>
        </w:rPr>
      </w:pPr>
    </w:p>
    <w:p w14:paraId="59D29EA3">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4537C9A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51CBB7C3">
      <w:pPr>
        <w:tabs>
          <w:tab w:val="left" w:pos="6300"/>
        </w:tabs>
        <w:snapToGrid w:val="0"/>
        <w:ind w:firstLine="570"/>
        <w:rPr>
          <w:rFonts w:hint="eastAsia" w:ascii="微软雅黑" w:hAnsi="微软雅黑" w:eastAsia="微软雅黑" w:cs="微软雅黑"/>
          <w:color w:val="auto"/>
          <w:sz w:val="24"/>
          <w:highlight w:val="none"/>
        </w:rPr>
      </w:pPr>
    </w:p>
    <w:p w14:paraId="3E75A23C">
      <w:pPr>
        <w:tabs>
          <w:tab w:val="left" w:pos="6300"/>
        </w:tabs>
        <w:snapToGrid w:val="0"/>
        <w:ind w:firstLine="570"/>
        <w:rPr>
          <w:rFonts w:hint="eastAsia" w:ascii="微软雅黑" w:hAnsi="微软雅黑" w:eastAsia="微软雅黑" w:cs="微软雅黑"/>
          <w:color w:val="auto"/>
          <w:sz w:val="24"/>
          <w:highlight w:val="none"/>
        </w:rPr>
      </w:pPr>
    </w:p>
    <w:p w14:paraId="04E1672A">
      <w:pPr>
        <w:tabs>
          <w:tab w:val="left" w:pos="6300"/>
        </w:tabs>
        <w:snapToGrid w:val="0"/>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0742D788">
      <w:pPr>
        <w:tabs>
          <w:tab w:val="left" w:pos="6300"/>
        </w:tabs>
        <w:snapToGrid w:val="0"/>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4CEF6541">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highlight w:val="none"/>
        </w:rPr>
        <w:t>（五）基本资格条件承诺函</w:t>
      </w:r>
    </w:p>
    <w:p w14:paraId="47A31E72">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0F2F458D">
      <w:pPr>
        <w:tabs>
          <w:tab w:val="left" w:pos="6300"/>
        </w:tabs>
        <w:snapToGrid w:val="0"/>
        <w:spacing w:line="530" w:lineRule="exact"/>
        <w:rPr>
          <w:rFonts w:hint="eastAsia" w:ascii="宋体" w:hAnsi="宋体" w:cs="宋体"/>
          <w:color w:val="auto"/>
          <w:sz w:val="24"/>
          <w:highlight w:val="none"/>
        </w:rPr>
      </w:pPr>
    </w:p>
    <w:p w14:paraId="0E314D75">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1F32A70">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00A0522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）我方具有良好的商业信誉和健全的财务会计制度</w:t>
      </w:r>
    </w:p>
    <w:p w14:paraId="3C8C9BB4">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）我方具有履行合同所必需的设备和专业技术能力</w:t>
      </w:r>
    </w:p>
    <w:p w14:paraId="35D4DB64">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）我方有依法缴纳税收和社会保障金的良好记录</w:t>
      </w:r>
    </w:p>
    <w:p w14:paraId="1CF4CFA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）我方参加政府采购活动前三年内，在经营活动中没有重大违法记录</w:t>
      </w:r>
    </w:p>
    <w:p w14:paraId="06DBC2C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）法律、行政法规规定的其他条件</w:t>
      </w:r>
    </w:p>
    <w:p w14:paraId="33010CD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BB9DCA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6E953F2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45FC9B6C">
      <w:pPr>
        <w:tabs>
          <w:tab w:val="left" w:pos="6300"/>
        </w:tabs>
        <w:snapToGrid w:val="0"/>
        <w:spacing w:line="500" w:lineRule="exact"/>
        <w:ind w:firstLine="480" w:firstLineChars="200"/>
        <w:rPr>
          <w:rFonts w:hint="eastAsia" w:ascii="宋体" w:hAnsi="宋体" w:cs="宋体"/>
          <w:color w:val="auto"/>
          <w:sz w:val="24"/>
          <w:highlight w:val="none"/>
        </w:rPr>
      </w:pPr>
    </w:p>
    <w:p w14:paraId="554FA35F">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19B53CA2">
      <w:pPr>
        <w:tabs>
          <w:tab w:val="left" w:pos="6300"/>
        </w:tabs>
        <w:snapToGrid w:val="0"/>
        <w:spacing w:line="500" w:lineRule="exact"/>
        <w:ind w:firstLine="7920" w:firstLineChars="3300"/>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58267608">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bookmarkEnd w:id="104"/>
      <w:bookmarkEnd w:id="105"/>
      <w:bookmarkEnd w:id="106"/>
      <w:bookmarkStart w:id="107" w:name="_Toc11858802"/>
      <w:r>
        <w:rPr>
          <w:rFonts w:hint="eastAsia" w:ascii="微软雅黑" w:hAnsi="微软雅黑" w:eastAsia="微软雅黑" w:cs="微软雅黑"/>
          <w:color w:val="auto"/>
          <w:highlight w:val="none"/>
          <w:lang w:val="en-US" w:eastAsia="zh-CN"/>
        </w:rPr>
        <w:t>六</w:t>
      </w:r>
      <w:r>
        <w:rPr>
          <w:rFonts w:hint="eastAsia" w:ascii="微软雅黑" w:hAnsi="微软雅黑" w:eastAsia="微软雅黑" w:cs="微软雅黑"/>
          <w:color w:val="auto"/>
          <w:highlight w:val="none"/>
        </w:rPr>
        <w:t>、其他应提供的资料</w:t>
      </w:r>
      <w:bookmarkEnd w:id="107"/>
    </w:p>
    <w:p w14:paraId="7B392EDB">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26CCBC2D">
      <w:pPr>
        <w:tabs>
          <w:tab w:val="left" w:pos="6300"/>
        </w:tabs>
        <w:snapToGrid w:val="0"/>
        <w:spacing w:line="500" w:lineRule="exact"/>
        <w:ind w:firstLine="560" w:firstLineChars="200"/>
        <w:jc w:val="center"/>
        <w:rPr>
          <w:rFonts w:hint="eastAsia" w:ascii="宋体" w:hAnsi="宋体" w:cs="宋体"/>
          <w:color w:val="auto"/>
          <w:highlight w:val="none"/>
        </w:rPr>
      </w:pPr>
      <w:r>
        <w:rPr>
          <w:rFonts w:hint="eastAsia" w:ascii="宋体" w:hAnsi="宋体" w:cs="宋体"/>
          <w:color w:val="auto"/>
          <w:highlight w:val="none"/>
        </w:rPr>
        <w:t>中小企业声明函</w:t>
      </w:r>
    </w:p>
    <w:p w14:paraId="3A73FB23">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本公司（联合体）郑重声明，根据《政府采购促进中小企业发展管理办法》（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）的规定，本公司（联合体）参加</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w:t>
      </w:r>
      <w:r>
        <w:rPr>
          <w:rFonts w:hint="eastAsia" w:ascii="宋体" w:hAnsi="宋体" w:cs="宋体"/>
          <w:color w:val="auto"/>
          <w:sz w:val="24"/>
          <w:szCs w:val="28"/>
          <w:highlight w:val="none"/>
        </w:rPr>
        <w:t>服务全部</w:t>
      </w:r>
      <w:r>
        <w:rPr>
          <w:rFonts w:hint="eastAsia" w:ascii="宋体" w:hAnsi="宋体" w:cs="宋体"/>
          <w:color w:val="auto"/>
          <w:sz w:val="24"/>
          <w:szCs w:val="28"/>
          <w:highlight w:val="none"/>
        </w:rPr>
        <w:t>由符合政策要求的中小企业承接。相关企业（含联合体中的中小企业、签订分包意向协议的中小企业）的具体情况如下：</w:t>
      </w:r>
    </w:p>
    <w:p w14:paraId="10574067">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0D3BFB94">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p>
    <w:p w14:paraId="2A217A74">
      <w:pPr>
        <w:tabs>
          <w:tab w:val="left" w:pos="6300"/>
        </w:tabs>
        <w:snapToGrid w:val="0"/>
        <w:spacing w:line="500" w:lineRule="exact"/>
        <w:ind w:firstLine="480" w:firstLineChars="200"/>
        <w:rPr>
          <w:rFonts w:hint="eastAsia" w:ascii="宋体" w:hAnsi="宋体" w:cs="宋体"/>
          <w:color w:val="auto"/>
          <w:sz w:val="24"/>
          <w:szCs w:val="28"/>
          <w:highlight w:val="none"/>
        </w:rPr>
      </w:pPr>
    </w:p>
    <w:p w14:paraId="331E0F33">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5721107D">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0F9BE3B6">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62B11ED">
      <w:pPr>
        <w:tabs>
          <w:tab w:val="left" w:pos="6300"/>
        </w:tabs>
        <w:snapToGrid w:val="0"/>
        <w:spacing w:line="500" w:lineRule="exact"/>
        <w:ind w:firstLine="6120" w:firstLineChars="25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7556A11A">
      <w:pPr>
        <w:tabs>
          <w:tab w:val="left" w:pos="6300"/>
        </w:tabs>
        <w:snapToGrid w:val="0"/>
        <w:spacing w:line="500" w:lineRule="exact"/>
        <w:ind w:right="784" w:firstLine="6120" w:firstLineChars="2550"/>
        <w:rPr>
          <w:rFonts w:hint="eastAsia" w:ascii="宋体" w:hAnsi="宋体" w:cs="宋体"/>
          <w:color w:val="auto"/>
          <w:sz w:val="24"/>
          <w:highlight w:val="none"/>
        </w:rPr>
      </w:pPr>
      <w:r>
        <w:rPr>
          <w:rFonts w:hint="eastAsia" w:ascii="宋体" w:hAnsi="宋体" w:cs="宋体"/>
          <w:color w:val="auto"/>
          <w:sz w:val="24"/>
          <w:szCs w:val="28"/>
          <w:highlight w:val="none"/>
        </w:rPr>
        <w:t>日期：</w:t>
      </w:r>
    </w:p>
    <w:p w14:paraId="71B512F2">
      <w:pPr>
        <w:tabs>
          <w:tab w:val="left" w:pos="6300"/>
        </w:tabs>
        <w:snapToGrid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26DBED93">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2D72A049">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0AF093E2">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710FADD8">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476B0DD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6805BD8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23CA6A1">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FCF6F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7E458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E1DDA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E23683">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B418F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8F2DB3C">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CE336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5B3B2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F0ED48">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98D0E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699DBC">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001A78">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33C39D6">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8E9066">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74D3348">
      <w:pPr>
        <w:tabs>
          <w:tab w:val="left" w:pos="6300"/>
        </w:tabs>
        <w:snapToGrid w:val="0"/>
        <w:spacing w:line="500" w:lineRule="exact"/>
        <w:ind w:firstLine="480" w:firstLineChars="200"/>
        <w:jc w:val="center"/>
        <w:rPr>
          <w:rFonts w:hint="eastAsia"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554A1B29">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15B9AC1B">
      <w:pPr>
        <w:tabs>
          <w:tab w:val="left" w:pos="6300"/>
        </w:tabs>
        <w:snapToGrid w:val="0"/>
        <w:spacing w:line="500" w:lineRule="exact"/>
        <w:ind w:firstLine="480" w:firstLineChars="200"/>
        <w:jc w:val="center"/>
        <w:rPr>
          <w:rFonts w:hint="eastAsia"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残疾人福利性单位声明函</w:t>
      </w:r>
    </w:p>
    <w:p w14:paraId="5EC276C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8F204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0BBD117">
      <w:pPr>
        <w:tabs>
          <w:tab w:val="left" w:pos="6300"/>
        </w:tabs>
        <w:snapToGrid w:val="0"/>
        <w:spacing w:line="500" w:lineRule="exact"/>
        <w:ind w:firstLine="480" w:firstLineChars="200"/>
        <w:rPr>
          <w:rFonts w:hint="eastAsia" w:ascii="宋体" w:hAnsi="宋体" w:cs="宋体"/>
          <w:color w:val="auto"/>
          <w:sz w:val="24"/>
          <w:highlight w:val="none"/>
        </w:rPr>
      </w:pPr>
    </w:p>
    <w:p w14:paraId="0ADD85C8">
      <w:pPr>
        <w:tabs>
          <w:tab w:val="left" w:pos="6300"/>
        </w:tabs>
        <w:snapToGrid w:val="0"/>
        <w:spacing w:line="500" w:lineRule="exact"/>
        <w:ind w:firstLine="480" w:firstLineChars="200"/>
        <w:rPr>
          <w:rFonts w:hint="eastAsia" w:ascii="宋体" w:hAnsi="宋体" w:cs="宋体"/>
          <w:color w:val="auto"/>
          <w:sz w:val="24"/>
          <w:highlight w:val="none"/>
        </w:rPr>
      </w:pPr>
    </w:p>
    <w:p w14:paraId="37C854B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供应商名称（盖章）：</w:t>
      </w:r>
    </w:p>
    <w:p w14:paraId="30FC31D9">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35DD8549">
      <w:pPr>
        <w:snapToGrid w:val="0"/>
        <w:spacing w:line="440" w:lineRule="exact"/>
        <w:ind w:firstLine="480" w:firstLineChars="200"/>
        <w:rPr>
          <w:rFonts w:hint="eastAsia" w:ascii="宋体" w:hAnsi="宋体" w:cs="宋体"/>
          <w:color w:val="auto"/>
          <w:sz w:val="24"/>
          <w:highlight w:val="none"/>
        </w:rPr>
      </w:pPr>
    </w:p>
    <w:p w14:paraId="2D060835">
      <w:pPr>
        <w:snapToGrid w:val="0"/>
        <w:spacing w:line="440" w:lineRule="exact"/>
        <w:ind w:firstLine="480" w:firstLineChars="200"/>
        <w:rPr>
          <w:rFonts w:hint="eastAsia" w:ascii="宋体" w:hAnsi="宋体" w:cs="宋体"/>
          <w:color w:val="auto"/>
          <w:sz w:val="24"/>
          <w:highlight w:val="none"/>
        </w:rPr>
      </w:pPr>
    </w:p>
    <w:p w14:paraId="3B2F32DF">
      <w:pPr>
        <w:snapToGrid w:val="0"/>
        <w:spacing w:line="440" w:lineRule="exact"/>
        <w:ind w:firstLine="480" w:firstLineChars="200"/>
        <w:rPr>
          <w:rFonts w:hint="eastAsia" w:ascii="宋体" w:hAnsi="宋体" w:cs="宋体"/>
          <w:color w:val="auto"/>
          <w:sz w:val="24"/>
          <w:highlight w:val="none"/>
        </w:rPr>
      </w:pPr>
    </w:p>
    <w:p w14:paraId="69A51D0C">
      <w:pPr>
        <w:snapToGrid w:val="0"/>
        <w:spacing w:line="440" w:lineRule="exact"/>
        <w:ind w:firstLine="480" w:firstLineChars="200"/>
        <w:rPr>
          <w:rFonts w:hint="eastAsia" w:ascii="宋体" w:hAnsi="宋体" w:cs="宋体"/>
          <w:color w:val="auto"/>
          <w:sz w:val="24"/>
          <w:highlight w:val="none"/>
        </w:rPr>
      </w:pPr>
    </w:p>
    <w:p w14:paraId="109F749A">
      <w:pPr>
        <w:snapToGrid w:val="0"/>
        <w:spacing w:line="440" w:lineRule="exact"/>
        <w:ind w:firstLine="480" w:firstLineChars="200"/>
        <w:rPr>
          <w:rFonts w:hint="eastAsia" w:ascii="宋体" w:hAnsi="宋体" w:cs="宋体"/>
          <w:color w:val="auto"/>
          <w:sz w:val="24"/>
          <w:highlight w:val="none"/>
        </w:rPr>
      </w:pPr>
    </w:p>
    <w:p w14:paraId="0D9C9857">
      <w:pPr>
        <w:snapToGrid w:val="0"/>
        <w:spacing w:line="440" w:lineRule="exact"/>
        <w:ind w:firstLine="480" w:firstLineChars="200"/>
        <w:rPr>
          <w:rFonts w:hint="eastAsia" w:ascii="宋体" w:hAnsi="宋体" w:cs="宋体"/>
          <w:color w:val="auto"/>
          <w:sz w:val="24"/>
          <w:highlight w:val="none"/>
        </w:rPr>
      </w:pPr>
    </w:p>
    <w:p w14:paraId="2819A7FB">
      <w:pPr>
        <w:snapToGrid w:val="0"/>
        <w:spacing w:line="440" w:lineRule="exact"/>
        <w:ind w:firstLine="480" w:firstLineChars="200"/>
        <w:rPr>
          <w:rFonts w:hint="eastAsia" w:ascii="宋体" w:hAnsi="宋体" w:cs="宋体"/>
          <w:color w:val="auto"/>
          <w:sz w:val="24"/>
          <w:highlight w:val="none"/>
        </w:rPr>
      </w:pPr>
    </w:p>
    <w:p w14:paraId="625405A8">
      <w:pPr>
        <w:snapToGrid w:val="0"/>
        <w:spacing w:line="440" w:lineRule="exact"/>
        <w:ind w:firstLine="480" w:firstLineChars="200"/>
        <w:rPr>
          <w:rFonts w:hint="eastAsia" w:ascii="宋体" w:hAnsi="宋体" w:cs="宋体"/>
          <w:color w:val="auto"/>
          <w:sz w:val="24"/>
          <w:highlight w:val="none"/>
        </w:rPr>
      </w:pPr>
    </w:p>
    <w:p w14:paraId="36C45F54">
      <w:pPr>
        <w:snapToGrid w:val="0"/>
        <w:spacing w:line="440" w:lineRule="exact"/>
        <w:ind w:firstLine="480" w:firstLineChars="200"/>
        <w:rPr>
          <w:rFonts w:hint="eastAsia" w:ascii="宋体" w:hAnsi="宋体" w:cs="宋体"/>
          <w:color w:val="auto"/>
          <w:sz w:val="24"/>
          <w:highlight w:val="none"/>
        </w:rPr>
      </w:pPr>
    </w:p>
    <w:p w14:paraId="146158B3">
      <w:pPr>
        <w:snapToGrid w:val="0"/>
        <w:spacing w:line="440" w:lineRule="exact"/>
        <w:ind w:firstLine="480" w:firstLineChars="200"/>
        <w:rPr>
          <w:rFonts w:hint="eastAsia" w:ascii="宋体" w:hAnsi="宋体" w:cs="宋体"/>
          <w:color w:val="auto"/>
          <w:sz w:val="24"/>
          <w:highlight w:val="none"/>
        </w:rPr>
      </w:pPr>
    </w:p>
    <w:p w14:paraId="66522B1E">
      <w:pPr>
        <w:snapToGrid w:val="0"/>
        <w:spacing w:line="440" w:lineRule="exact"/>
        <w:ind w:firstLine="480" w:firstLineChars="200"/>
        <w:rPr>
          <w:rFonts w:hint="eastAsia" w:ascii="宋体" w:hAnsi="宋体" w:cs="宋体"/>
          <w:color w:val="auto"/>
          <w:sz w:val="24"/>
          <w:highlight w:val="none"/>
        </w:rPr>
      </w:pPr>
    </w:p>
    <w:p w14:paraId="05312F37">
      <w:pPr>
        <w:snapToGrid w:val="0"/>
        <w:spacing w:line="440" w:lineRule="exact"/>
        <w:ind w:firstLine="480" w:firstLineChars="200"/>
        <w:rPr>
          <w:rFonts w:hint="eastAsia" w:ascii="宋体" w:hAnsi="宋体" w:cs="宋体"/>
          <w:color w:val="auto"/>
          <w:sz w:val="24"/>
          <w:highlight w:val="none"/>
        </w:rPr>
      </w:pPr>
    </w:p>
    <w:p w14:paraId="02759282">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61E12EC2">
      <w:pPr>
        <w:tabs>
          <w:tab w:val="left" w:pos="6300"/>
        </w:tabs>
        <w:snapToGrid w:val="0"/>
        <w:spacing w:line="500" w:lineRule="exact"/>
        <w:ind w:firstLine="570"/>
        <w:jc w:val="left"/>
        <w:rPr>
          <w:rFonts w:hint="eastAsia" w:ascii="微软雅黑" w:hAnsi="微软雅黑" w:eastAsia="微软雅黑"/>
          <w:color w:val="auto"/>
          <w:highlight w:val="none"/>
        </w:rPr>
      </w:pPr>
    </w:p>
    <w:p w14:paraId="5D3B46D7">
      <w:pPr>
        <w:tabs>
          <w:tab w:val="left" w:pos="6300"/>
        </w:tabs>
        <w:snapToGrid w:val="0"/>
        <w:ind w:firstLine="570"/>
        <w:rPr>
          <w:rFonts w:hint="eastAsia" w:ascii="微软雅黑" w:hAnsi="微软雅黑" w:eastAsia="微软雅黑"/>
          <w:color w:val="auto"/>
          <w:sz w:val="24"/>
          <w:szCs w:val="24"/>
          <w:highlight w:val="none"/>
        </w:rPr>
      </w:pPr>
      <w:r>
        <w:rPr>
          <w:rFonts w:hint="eastAsia" w:ascii="方正仿宋_GBK" w:hAnsi="仿宋" w:eastAsia="方正仿宋_GBK"/>
          <w:color w:val="auto"/>
          <w:highlight w:val="none"/>
        </w:rPr>
        <w:br w:type="page"/>
      </w:r>
      <w:r>
        <w:rPr>
          <w:rFonts w:hint="eastAsia" w:ascii="微软雅黑" w:hAnsi="微软雅黑" w:eastAsia="微软雅黑" w:cs="微软雅黑"/>
          <w:color w:val="auto"/>
          <w:highlight w:val="none"/>
        </w:rPr>
        <w:t>（二）其他与项目有关的资料（自附）</w:t>
      </w:r>
    </w:p>
    <w:p w14:paraId="2EAB299B">
      <w:pPr>
        <w:spacing w:line="360" w:lineRule="auto"/>
        <w:ind w:firstLine="480" w:firstLineChars="200"/>
        <w:rPr>
          <w:rFonts w:hint="eastAsia" w:ascii="方正仿宋_GBK" w:hAnsi="宋体" w:eastAsia="方正仿宋_GBK"/>
          <w:color w:val="auto"/>
          <w:sz w:val="24"/>
          <w:szCs w:val="24"/>
          <w:highlight w:val="none"/>
        </w:rPr>
      </w:pPr>
    </w:p>
    <w:p w14:paraId="469BCC5A">
      <w:pPr>
        <w:spacing w:line="360" w:lineRule="auto"/>
        <w:ind w:firstLine="480" w:firstLineChars="200"/>
        <w:jc w:val="center"/>
        <w:rPr>
          <w:rFonts w:hint="eastAsia" w:ascii="方正仿宋_GBK" w:hAnsi="宋体" w:eastAsia="方正仿宋_GBK"/>
          <w:color w:val="auto"/>
          <w:sz w:val="24"/>
          <w:szCs w:val="24"/>
          <w:highlight w:val="none"/>
        </w:rPr>
      </w:pPr>
    </w:p>
    <w:p w14:paraId="6ADFAF1A">
      <w:pPr>
        <w:spacing w:line="360" w:lineRule="auto"/>
        <w:ind w:firstLine="480" w:firstLineChars="200"/>
        <w:jc w:val="center"/>
        <w:rPr>
          <w:rFonts w:hint="eastAsia" w:ascii="方正仿宋_GBK" w:hAnsi="宋体" w:eastAsia="方正仿宋_GBK"/>
          <w:color w:val="auto"/>
          <w:sz w:val="24"/>
          <w:szCs w:val="24"/>
          <w:highlight w:val="none"/>
        </w:rPr>
      </w:pPr>
    </w:p>
    <w:p w14:paraId="12B730AC">
      <w:pPr>
        <w:spacing w:line="360" w:lineRule="auto"/>
        <w:ind w:firstLine="480" w:firstLineChars="200"/>
        <w:jc w:val="center"/>
        <w:rPr>
          <w:rFonts w:hint="eastAsia" w:ascii="方正仿宋_GBK" w:hAnsi="宋体" w:eastAsia="方正仿宋_GBK"/>
          <w:color w:val="auto"/>
          <w:sz w:val="24"/>
          <w:szCs w:val="24"/>
          <w:highlight w:val="none"/>
        </w:rPr>
      </w:pPr>
    </w:p>
    <w:p w14:paraId="0619952C">
      <w:pPr>
        <w:spacing w:line="360" w:lineRule="auto"/>
        <w:ind w:firstLine="480" w:firstLineChars="200"/>
        <w:jc w:val="center"/>
        <w:rPr>
          <w:rFonts w:hint="eastAsia" w:ascii="方正仿宋_GBK" w:hAnsi="宋体" w:eastAsia="方正仿宋_GBK"/>
          <w:color w:val="auto"/>
          <w:sz w:val="24"/>
          <w:szCs w:val="24"/>
          <w:highlight w:val="none"/>
        </w:rPr>
      </w:pPr>
    </w:p>
    <w:p w14:paraId="0DD65852">
      <w:pPr>
        <w:spacing w:line="360" w:lineRule="auto"/>
        <w:ind w:firstLine="480" w:firstLineChars="200"/>
        <w:jc w:val="center"/>
        <w:rPr>
          <w:rFonts w:hint="eastAsia" w:ascii="方正仿宋_GBK" w:hAnsi="宋体" w:eastAsia="方正仿宋_GBK"/>
          <w:color w:val="auto"/>
          <w:sz w:val="24"/>
          <w:szCs w:val="24"/>
          <w:highlight w:val="none"/>
        </w:rPr>
      </w:pPr>
    </w:p>
    <w:p w14:paraId="6E317718">
      <w:pPr>
        <w:spacing w:line="360" w:lineRule="auto"/>
        <w:ind w:firstLine="480" w:firstLineChars="200"/>
        <w:jc w:val="center"/>
        <w:rPr>
          <w:rFonts w:hint="eastAsia" w:ascii="方正仿宋_GBK" w:hAnsi="宋体" w:eastAsia="方正仿宋_GBK"/>
          <w:color w:val="auto"/>
          <w:sz w:val="24"/>
          <w:szCs w:val="24"/>
          <w:highlight w:val="none"/>
        </w:rPr>
      </w:pPr>
    </w:p>
    <w:p w14:paraId="251EE45F">
      <w:pPr>
        <w:spacing w:line="360" w:lineRule="auto"/>
        <w:ind w:firstLine="480" w:firstLineChars="200"/>
        <w:jc w:val="center"/>
        <w:rPr>
          <w:rFonts w:hint="eastAsia" w:ascii="方正仿宋_GBK" w:hAnsi="宋体" w:eastAsia="方正仿宋_GBK"/>
          <w:color w:val="auto"/>
          <w:sz w:val="24"/>
          <w:szCs w:val="24"/>
          <w:highlight w:val="none"/>
        </w:rPr>
      </w:pPr>
    </w:p>
    <w:p w14:paraId="23DA6ACE">
      <w:pPr>
        <w:spacing w:line="360" w:lineRule="auto"/>
        <w:ind w:firstLine="480" w:firstLineChars="200"/>
        <w:jc w:val="center"/>
        <w:rPr>
          <w:rFonts w:hint="eastAsia" w:ascii="方正仿宋_GBK" w:hAnsi="宋体" w:eastAsia="方正仿宋_GBK"/>
          <w:color w:val="auto"/>
          <w:sz w:val="24"/>
          <w:szCs w:val="24"/>
          <w:highlight w:val="none"/>
        </w:rPr>
      </w:pPr>
    </w:p>
    <w:p w14:paraId="514357E6">
      <w:pPr>
        <w:spacing w:line="360" w:lineRule="auto"/>
        <w:ind w:firstLine="480" w:firstLineChars="200"/>
        <w:jc w:val="center"/>
        <w:rPr>
          <w:rFonts w:hint="eastAsia" w:ascii="方正仿宋_GBK" w:hAnsi="宋体" w:eastAsia="方正仿宋_GBK"/>
          <w:color w:val="auto"/>
          <w:sz w:val="24"/>
          <w:szCs w:val="24"/>
          <w:highlight w:val="none"/>
        </w:rPr>
      </w:pPr>
    </w:p>
    <w:p w14:paraId="34D6076A">
      <w:pPr>
        <w:spacing w:line="360" w:lineRule="auto"/>
        <w:ind w:firstLine="480" w:firstLineChars="200"/>
        <w:jc w:val="center"/>
        <w:rPr>
          <w:rFonts w:hint="eastAsia" w:ascii="方正仿宋_GBK" w:hAnsi="宋体" w:eastAsia="方正仿宋_GBK"/>
          <w:color w:val="auto"/>
          <w:sz w:val="24"/>
          <w:szCs w:val="24"/>
          <w:highlight w:val="none"/>
        </w:rPr>
      </w:pPr>
    </w:p>
    <w:p w14:paraId="5D45AD53">
      <w:pPr>
        <w:spacing w:line="360" w:lineRule="auto"/>
        <w:ind w:firstLine="480" w:firstLineChars="200"/>
        <w:jc w:val="center"/>
        <w:rPr>
          <w:rFonts w:hint="eastAsia" w:ascii="方正仿宋_GBK" w:hAnsi="宋体" w:eastAsia="方正仿宋_GBK"/>
          <w:color w:val="auto"/>
          <w:sz w:val="24"/>
          <w:szCs w:val="24"/>
          <w:highlight w:val="none"/>
        </w:rPr>
      </w:pPr>
    </w:p>
    <w:p w14:paraId="17151F48">
      <w:pPr>
        <w:spacing w:line="360" w:lineRule="auto"/>
        <w:ind w:firstLine="480" w:firstLineChars="200"/>
        <w:jc w:val="center"/>
        <w:rPr>
          <w:rFonts w:hint="eastAsia" w:ascii="方正仿宋_GBK" w:hAnsi="宋体" w:eastAsia="方正仿宋_GBK"/>
          <w:color w:val="auto"/>
          <w:sz w:val="24"/>
          <w:szCs w:val="24"/>
          <w:highlight w:val="none"/>
        </w:rPr>
      </w:pPr>
    </w:p>
    <w:p w14:paraId="0B6FB667">
      <w:pPr>
        <w:spacing w:line="360" w:lineRule="auto"/>
        <w:ind w:firstLine="480" w:firstLineChars="200"/>
        <w:jc w:val="center"/>
        <w:rPr>
          <w:rFonts w:hint="eastAsia" w:ascii="方正仿宋_GBK" w:hAnsi="宋体" w:eastAsia="方正仿宋_GBK"/>
          <w:color w:val="auto"/>
          <w:sz w:val="24"/>
          <w:szCs w:val="24"/>
          <w:highlight w:val="none"/>
        </w:rPr>
      </w:pPr>
    </w:p>
    <w:p w14:paraId="602CC97F">
      <w:pPr>
        <w:spacing w:line="360" w:lineRule="auto"/>
        <w:ind w:firstLine="480" w:firstLineChars="200"/>
        <w:jc w:val="center"/>
        <w:rPr>
          <w:rFonts w:hint="eastAsia" w:ascii="方正仿宋_GBK" w:hAnsi="宋体" w:eastAsia="方正仿宋_GBK"/>
          <w:color w:val="auto"/>
          <w:sz w:val="24"/>
          <w:szCs w:val="24"/>
          <w:highlight w:val="none"/>
        </w:rPr>
      </w:pPr>
    </w:p>
    <w:p w14:paraId="37D66C9B">
      <w:pPr>
        <w:spacing w:line="360" w:lineRule="auto"/>
        <w:ind w:firstLine="480" w:firstLineChars="200"/>
        <w:jc w:val="center"/>
        <w:rPr>
          <w:rFonts w:hint="eastAsia" w:ascii="方正仿宋_GBK" w:hAnsi="宋体" w:eastAsia="方正仿宋_GBK"/>
          <w:color w:val="auto"/>
          <w:sz w:val="24"/>
          <w:szCs w:val="24"/>
          <w:highlight w:val="none"/>
        </w:rPr>
      </w:pPr>
    </w:p>
    <w:p w14:paraId="23DFCB8E">
      <w:pPr>
        <w:spacing w:line="360" w:lineRule="auto"/>
        <w:ind w:firstLine="480" w:firstLineChars="200"/>
        <w:jc w:val="center"/>
        <w:rPr>
          <w:rFonts w:hint="eastAsia" w:ascii="方正仿宋_GBK" w:hAnsi="宋体" w:eastAsia="方正仿宋_GBK"/>
          <w:color w:val="auto"/>
          <w:sz w:val="24"/>
          <w:szCs w:val="24"/>
          <w:highlight w:val="none"/>
        </w:rPr>
      </w:pPr>
    </w:p>
    <w:p w14:paraId="1D06A0B3">
      <w:pPr>
        <w:spacing w:line="360" w:lineRule="auto"/>
        <w:ind w:firstLine="480" w:firstLineChars="200"/>
        <w:jc w:val="center"/>
        <w:rPr>
          <w:rFonts w:hint="eastAsia" w:ascii="方正仿宋_GBK" w:hAnsi="宋体" w:eastAsia="方正仿宋_GBK"/>
          <w:color w:val="auto"/>
          <w:sz w:val="24"/>
          <w:szCs w:val="24"/>
          <w:highlight w:val="none"/>
        </w:rPr>
      </w:pPr>
    </w:p>
    <w:p w14:paraId="1C22353E">
      <w:pPr>
        <w:spacing w:line="360" w:lineRule="auto"/>
        <w:ind w:firstLine="480" w:firstLineChars="200"/>
        <w:jc w:val="center"/>
        <w:rPr>
          <w:rFonts w:hint="eastAsia" w:ascii="方正仿宋_GBK" w:hAnsi="宋体" w:eastAsia="方正仿宋_GBK"/>
          <w:color w:val="auto"/>
          <w:sz w:val="24"/>
          <w:szCs w:val="24"/>
          <w:highlight w:val="none"/>
        </w:rPr>
      </w:pPr>
    </w:p>
    <w:p w14:paraId="78AADB24">
      <w:pPr>
        <w:spacing w:line="360" w:lineRule="auto"/>
        <w:jc w:val="center"/>
        <w:rPr>
          <w:rFonts w:hint="eastAsia" w:ascii="微软雅黑" w:hAnsi="微软雅黑" w:eastAsia="微软雅黑"/>
          <w:color w:val="auto"/>
          <w:highlight w:val="none"/>
        </w:rPr>
      </w:pPr>
      <w:r>
        <w:rPr>
          <w:rFonts w:hint="eastAsia" w:ascii="微软雅黑" w:hAnsi="微软雅黑" w:eastAsia="微软雅黑"/>
          <w:color w:val="auto"/>
          <w:highlight w:val="none"/>
        </w:rPr>
        <w:t>（结束）</w:t>
      </w:r>
    </w:p>
    <w:p w14:paraId="30ADA60C">
      <w:pPr>
        <w:tabs>
          <w:tab w:val="left" w:pos="6300"/>
        </w:tabs>
        <w:snapToGrid w:val="0"/>
        <w:ind w:firstLine="560" w:firstLineChars="200"/>
        <w:rPr>
          <w:rFonts w:hint="eastAsia" w:ascii="微软雅黑" w:hAnsi="微软雅黑" w:eastAsia="微软雅黑" w:cs="微软雅黑"/>
          <w:color w:val="auto"/>
          <w:highlight w:val="none"/>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A05030-7840-4351-AE51-FB218AEBF25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2" w:fontKey="{2C4F3CA3-E465-4A3F-8283-08769712FFEB}"/>
  </w:font>
  <w:font w:name="仿宋">
    <w:panose1 w:val="02010609060101010101"/>
    <w:charset w:val="86"/>
    <w:family w:val="auto"/>
    <w:pitch w:val="default"/>
    <w:sig w:usb0="800002BF" w:usb1="38CF7CFA" w:usb2="00000016" w:usb3="00000000" w:csb0="00040001" w:csb1="00000000"/>
    <w:embedRegular r:id="rId3" w:fontKey="{0644D7A8-FEDF-4AF2-8E22-DFDE791D0A2A}"/>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8499C673-7DBD-4BAB-8695-F68A84A23966}"/>
  </w:font>
  <w:font w:name="方正小标宋_GBK">
    <w:panose1 w:val="03000509000000000000"/>
    <w:charset w:val="86"/>
    <w:family w:val="script"/>
    <w:pitch w:val="default"/>
    <w:sig w:usb0="00000001" w:usb1="080E0000" w:usb2="00000000" w:usb3="00000000" w:csb0="00040000" w:csb1="00000000"/>
    <w:embedRegular r:id="rId5" w:fontKey="{17E17FFE-077F-4972-9D1D-2333D88B67ED}"/>
  </w:font>
  <w:font w:name="方正仿宋_GBK">
    <w:panose1 w:val="03000509000000000000"/>
    <w:charset w:val="86"/>
    <w:family w:val="script"/>
    <w:pitch w:val="default"/>
    <w:sig w:usb0="00000001" w:usb1="080E0000" w:usb2="00000000" w:usb3="00000000" w:csb0="00040000" w:csb1="00000000"/>
    <w:embedRegular r:id="rId6" w:fontKey="{36A816D2-D625-4481-AE25-1D1E21ED91CB}"/>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63D7">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- 15 -</w:t>
    </w:r>
    <w:r>
      <w:rPr>
        <w:rFonts w:ascii="宋体"/>
        <w:sz w:val="21"/>
        <w:szCs w:val="21"/>
      </w:rPr>
      <w:fldChar w:fldCharType="end"/>
    </w:r>
  </w:p>
  <w:p w14:paraId="57FA9405">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9FC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1770C22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85EB">
    <w:pPr>
      <w:pStyle w:val="35"/>
      <w:framePr w:wrap="around" w:vAnchor="text" w:hAnchor="margin" w:xAlign="center" w:y="1"/>
      <w:rPr>
        <w:rStyle w:val="61"/>
      </w:rPr>
    </w:pPr>
  </w:p>
  <w:p w14:paraId="1E3F7A7E">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B11C">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F43D">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26D9B4DD">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0226">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AD7A">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49DD">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FDD8">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C16F">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4433">
    <w:pPr>
      <w:pStyle w:val="36"/>
      <w:ind w:firstLine="420" w:firstLineChars="200"/>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0DD44"/>
    <w:multiLevelType w:val="singleLevel"/>
    <w:tmpl w:val="E190DD44"/>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2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27"/>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3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66"/>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4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65AF889"/>
    <w:multiLevelType w:val="singleLevel"/>
    <w:tmpl w:val="465AF889"/>
    <w:lvl w:ilvl="0" w:tentative="0">
      <w:start w:val="5"/>
      <w:numFmt w:val="chineseCounting"/>
      <w:suff w:val="nothing"/>
      <w:lvlText w:val="（%1）"/>
      <w:lvlJc w:val="left"/>
      <w:rPr>
        <w:rFonts w:hint="eastAsia"/>
      </w:rPr>
    </w:lvl>
  </w:abstractNum>
  <w:abstractNum w:abstractNumId="14">
    <w:nsid w:val="514ED979"/>
    <w:multiLevelType w:val="singleLevel"/>
    <w:tmpl w:val="514ED979"/>
    <w:lvl w:ilvl="0" w:tentative="0">
      <w:start w:val="1"/>
      <w:numFmt w:val="decimal"/>
      <w:suff w:val="space"/>
      <w:lvlText w:val="%1."/>
      <w:lvlJc w:val="left"/>
    </w:lvl>
  </w:abstractNum>
  <w:num w:numId="1">
    <w:abstractNumId w:val="9"/>
  </w:num>
  <w:num w:numId="2">
    <w:abstractNumId w:val="6"/>
  </w:num>
  <w:num w:numId="3">
    <w:abstractNumId w:val="4"/>
  </w:num>
  <w:num w:numId="4">
    <w:abstractNumId w:val="10"/>
  </w:num>
  <w:num w:numId="5">
    <w:abstractNumId w:val="2"/>
  </w:num>
  <w:num w:numId="6">
    <w:abstractNumId w:val="1"/>
  </w:num>
  <w:num w:numId="7">
    <w:abstractNumId w:val="5"/>
  </w:num>
  <w:num w:numId="8">
    <w:abstractNumId w:val="11"/>
  </w:num>
  <w:num w:numId="9">
    <w:abstractNumId w:val="8"/>
  </w:num>
  <w:num w:numId="10">
    <w:abstractNumId w:val="7"/>
  </w:num>
  <w:num w:numId="11">
    <w:abstractNumId w:val="3"/>
  </w:num>
  <w:num w:numId="12">
    <w:abstractNumId w:val="12"/>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jU2Zjk3YzY3YTExNDM2NzRhZmE0ZjEwNGQ5YmUifQ=="/>
  </w:docVars>
  <w:rsids>
    <w:rsidRoot w:val="00172A27"/>
    <w:rsid w:val="00002EAF"/>
    <w:rsid w:val="000040DE"/>
    <w:rsid w:val="00005A02"/>
    <w:rsid w:val="00015A2E"/>
    <w:rsid w:val="00016ACA"/>
    <w:rsid w:val="00016B79"/>
    <w:rsid w:val="00026AFF"/>
    <w:rsid w:val="0003226E"/>
    <w:rsid w:val="000358F8"/>
    <w:rsid w:val="0003632F"/>
    <w:rsid w:val="00036537"/>
    <w:rsid w:val="00037126"/>
    <w:rsid w:val="00040526"/>
    <w:rsid w:val="00043C9B"/>
    <w:rsid w:val="000446C0"/>
    <w:rsid w:val="0005298B"/>
    <w:rsid w:val="000549FF"/>
    <w:rsid w:val="000576E1"/>
    <w:rsid w:val="00062822"/>
    <w:rsid w:val="00063981"/>
    <w:rsid w:val="00064FA3"/>
    <w:rsid w:val="00072A8C"/>
    <w:rsid w:val="00091B1C"/>
    <w:rsid w:val="000938CD"/>
    <w:rsid w:val="000946B8"/>
    <w:rsid w:val="0009587E"/>
    <w:rsid w:val="00096E0E"/>
    <w:rsid w:val="000A164E"/>
    <w:rsid w:val="000A5AFA"/>
    <w:rsid w:val="000B0154"/>
    <w:rsid w:val="000B031B"/>
    <w:rsid w:val="000B0F88"/>
    <w:rsid w:val="000B2A49"/>
    <w:rsid w:val="000B42F4"/>
    <w:rsid w:val="000B7377"/>
    <w:rsid w:val="000B7F54"/>
    <w:rsid w:val="000C04DB"/>
    <w:rsid w:val="000C337E"/>
    <w:rsid w:val="000C34DA"/>
    <w:rsid w:val="000C5B30"/>
    <w:rsid w:val="000D40BA"/>
    <w:rsid w:val="000D67E0"/>
    <w:rsid w:val="000E3259"/>
    <w:rsid w:val="000F07FB"/>
    <w:rsid w:val="000F3752"/>
    <w:rsid w:val="000F48FD"/>
    <w:rsid w:val="000F7DBF"/>
    <w:rsid w:val="00100639"/>
    <w:rsid w:val="00103DDC"/>
    <w:rsid w:val="001045D8"/>
    <w:rsid w:val="00111BEA"/>
    <w:rsid w:val="00113E89"/>
    <w:rsid w:val="00116856"/>
    <w:rsid w:val="00120259"/>
    <w:rsid w:val="001206D7"/>
    <w:rsid w:val="00120851"/>
    <w:rsid w:val="0012277A"/>
    <w:rsid w:val="001266BF"/>
    <w:rsid w:val="00133D16"/>
    <w:rsid w:val="0013496A"/>
    <w:rsid w:val="001363B2"/>
    <w:rsid w:val="001376CB"/>
    <w:rsid w:val="001401FF"/>
    <w:rsid w:val="001409DD"/>
    <w:rsid w:val="00140E25"/>
    <w:rsid w:val="00147FB4"/>
    <w:rsid w:val="0015011C"/>
    <w:rsid w:val="001503AB"/>
    <w:rsid w:val="00150429"/>
    <w:rsid w:val="0015351E"/>
    <w:rsid w:val="0016035A"/>
    <w:rsid w:val="0016303B"/>
    <w:rsid w:val="0017477B"/>
    <w:rsid w:val="00177DD5"/>
    <w:rsid w:val="00180ACB"/>
    <w:rsid w:val="00181A7F"/>
    <w:rsid w:val="0018347E"/>
    <w:rsid w:val="00183B9C"/>
    <w:rsid w:val="00184278"/>
    <w:rsid w:val="0018465A"/>
    <w:rsid w:val="00186623"/>
    <w:rsid w:val="0018699A"/>
    <w:rsid w:val="001A0016"/>
    <w:rsid w:val="001A3CE5"/>
    <w:rsid w:val="001A4270"/>
    <w:rsid w:val="001A5310"/>
    <w:rsid w:val="001A6DCC"/>
    <w:rsid w:val="001A72F6"/>
    <w:rsid w:val="001B2365"/>
    <w:rsid w:val="001B3DBD"/>
    <w:rsid w:val="001B4377"/>
    <w:rsid w:val="001B47C3"/>
    <w:rsid w:val="001B6655"/>
    <w:rsid w:val="001D2321"/>
    <w:rsid w:val="001D2DCD"/>
    <w:rsid w:val="001D5055"/>
    <w:rsid w:val="001D7B29"/>
    <w:rsid w:val="001E04EC"/>
    <w:rsid w:val="001E5CAC"/>
    <w:rsid w:val="001E5EB4"/>
    <w:rsid w:val="001E725F"/>
    <w:rsid w:val="001E75B9"/>
    <w:rsid w:val="001F1AF7"/>
    <w:rsid w:val="001F1CA8"/>
    <w:rsid w:val="001F2107"/>
    <w:rsid w:val="001F48D9"/>
    <w:rsid w:val="001F4964"/>
    <w:rsid w:val="001F7063"/>
    <w:rsid w:val="00200186"/>
    <w:rsid w:val="00202B04"/>
    <w:rsid w:val="00202E36"/>
    <w:rsid w:val="00203456"/>
    <w:rsid w:val="00204936"/>
    <w:rsid w:val="002100EE"/>
    <w:rsid w:val="00211874"/>
    <w:rsid w:val="00211A92"/>
    <w:rsid w:val="00215AB6"/>
    <w:rsid w:val="0022065B"/>
    <w:rsid w:val="00220AF5"/>
    <w:rsid w:val="00222097"/>
    <w:rsid w:val="0022517B"/>
    <w:rsid w:val="00225B78"/>
    <w:rsid w:val="00227BA9"/>
    <w:rsid w:val="00230604"/>
    <w:rsid w:val="00230E95"/>
    <w:rsid w:val="00231B8C"/>
    <w:rsid w:val="00235F8F"/>
    <w:rsid w:val="00237759"/>
    <w:rsid w:val="00241C6F"/>
    <w:rsid w:val="00247920"/>
    <w:rsid w:val="00250F65"/>
    <w:rsid w:val="002533D4"/>
    <w:rsid w:val="0025448B"/>
    <w:rsid w:val="00263B41"/>
    <w:rsid w:val="00263F49"/>
    <w:rsid w:val="002643C1"/>
    <w:rsid w:val="00267DDF"/>
    <w:rsid w:val="00271A27"/>
    <w:rsid w:val="00271D47"/>
    <w:rsid w:val="002721EA"/>
    <w:rsid w:val="002747F8"/>
    <w:rsid w:val="00275DB0"/>
    <w:rsid w:val="00280E8A"/>
    <w:rsid w:val="00280FCE"/>
    <w:rsid w:val="002829FA"/>
    <w:rsid w:val="00283A40"/>
    <w:rsid w:val="00283B57"/>
    <w:rsid w:val="00285164"/>
    <w:rsid w:val="00294B7B"/>
    <w:rsid w:val="00295381"/>
    <w:rsid w:val="00295B27"/>
    <w:rsid w:val="00297E57"/>
    <w:rsid w:val="002A215B"/>
    <w:rsid w:val="002A4956"/>
    <w:rsid w:val="002A6710"/>
    <w:rsid w:val="002A7622"/>
    <w:rsid w:val="002B3C24"/>
    <w:rsid w:val="002B5A26"/>
    <w:rsid w:val="002B66E7"/>
    <w:rsid w:val="002B7904"/>
    <w:rsid w:val="002B7C4B"/>
    <w:rsid w:val="002C2507"/>
    <w:rsid w:val="002C2E6E"/>
    <w:rsid w:val="002C39C5"/>
    <w:rsid w:val="002D29D3"/>
    <w:rsid w:val="002E487D"/>
    <w:rsid w:val="002E6109"/>
    <w:rsid w:val="002E7F03"/>
    <w:rsid w:val="002F1B06"/>
    <w:rsid w:val="002F26FF"/>
    <w:rsid w:val="002F3DE3"/>
    <w:rsid w:val="002F44DD"/>
    <w:rsid w:val="002F4A66"/>
    <w:rsid w:val="002F4F34"/>
    <w:rsid w:val="002F632E"/>
    <w:rsid w:val="0030024A"/>
    <w:rsid w:val="00302F56"/>
    <w:rsid w:val="003030ED"/>
    <w:rsid w:val="0030643E"/>
    <w:rsid w:val="00307685"/>
    <w:rsid w:val="00310AF9"/>
    <w:rsid w:val="003123D1"/>
    <w:rsid w:val="00312897"/>
    <w:rsid w:val="0031396A"/>
    <w:rsid w:val="0031465E"/>
    <w:rsid w:val="00314E6F"/>
    <w:rsid w:val="00315742"/>
    <w:rsid w:val="003163B3"/>
    <w:rsid w:val="003174CA"/>
    <w:rsid w:val="00317698"/>
    <w:rsid w:val="00320B04"/>
    <w:rsid w:val="00323FD5"/>
    <w:rsid w:val="003331A4"/>
    <w:rsid w:val="003360A8"/>
    <w:rsid w:val="00341DEB"/>
    <w:rsid w:val="00343C3E"/>
    <w:rsid w:val="00346A3D"/>
    <w:rsid w:val="00350C20"/>
    <w:rsid w:val="0035138F"/>
    <w:rsid w:val="0035143D"/>
    <w:rsid w:val="003548FA"/>
    <w:rsid w:val="00355A74"/>
    <w:rsid w:val="00361427"/>
    <w:rsid w:val="00361D5B"/>
    <w:rsid w:val="00363A39"/>
    <w:rsid w:val="0036458B"/>
    <w:rsid w:val="00371328"/>
    <w:rsid w:val="00371D2F"/>
    <w:rsid w:val="00372D5B"/>
    <w:rsid w:val="00373E94"/>
    <w:rsid w:val="00376299"/>
    <w:rsid w:val="003766A6"/>
    <w:rsid w:val="00381FF1"/>
    <w:rsid w:val="0038344F"/>
    <w:rsid w:val="00384161"/>
    <w:rsid w:val="003872DC"/>
    <w:rsid w:val="00387610"/>
    <w:rsid w:val="00387FCC"/>
    <w:rsid w:val="003973D3"/>
    <w:rsid w:val="003A0448"/>
    <w:rsid w:val="003A0892"/>
    <w:rsid w:val="003A449E"/>
    <w:rsid w:val="003A57F1"/>
    <w:rsid w:val="003A71F3"/>
    <w:rsid w:val="003A7656"/>
    <w:rsid w:val="003B19F5"/>
    <w:rsid w:val="003B47A3"/>
    <w:rsid w:val="003B5CEB"/>
    <w:rsid w:val="003B7B71"/>
    <w:rsid w:val="003C0A38"/>
    <w:rsid w:val="003C28F0"/>
    <w:rsid w:val="003C52C8"/>
    <w:rsid w:val="003D0E0A"/>
    <w:rsid w:val="003D1569"/>
    <w:rsid w:val="003E1F8A"/>
    <w:rsid w:val="003E5842"/>
    <w:rsid w:val="003E5E67"/>
    <w:rsid w:val="003F78E1"/>
    <w:rsid w:val="00402B32"/>
    <w:rsid w:val="004067DD"/>
    <w:rsid w:val="004106EF"/>
    <w:rsid w:val="00410C93"/>
    <w:rsid w:val="00411B4A"/>
    <w:rsid w:val="00425EDA"/>
    <w:rsid w:val="0043290D"/>
    <w:rsid w:val="004353BF"/>
    <w:rsid w:val="004400CA"/>
    <w:rsid w:val="00446CCF"/>
    <w:rsid w:val="004474F3"/>
    <w:rsid w:val="004515DA"/>
    <w:rsid w:val="004521EF"/>
    <w:rsid w:val="00455AB4"/>
    <w:rsid w:val="0046070E"/>
    <w:rsid w:val="00462878"/>
    <w:rsid w:val="0046531A"/>
    <w:rsid w:val="004657EA"/>
    <w:rsid w:val="00466C30"/>
    <w:rsid w:val="00485AA2"/>
    <w:rsid w:val="00491BC3"/>
    <w:rsid w:val="004953EC"/>
    <w:rsid w:val="004A015E"/>
    <w:rsid w:val="004A0DE1"/>
    <w:rsid w:val="004A2410"/>
    <w:rsid w:val="004A27AC"/>
    <w:rsid w:val="004A2B68"/>
    <w:rsid w:val="004A3550"/>
    <w:rsid w:val="004B00CC"/>
    <w:rsid w:val="004B59C9"/>
    <w:rsid w:val="004B73BC"/>
    <w:rsid w:val="004C1DD0"/>
    <w:rsid w:val="004C64E4"/>
    <w:rsid w:val="004D7767"/>
    <w:rsid w:val="004E0650"/>
    <w:rsid w:val="004E13E0"/>
    <w:rsid w:val="004E3234"/>
    <w:rsid w:val="004E4405"/>
    <w:rsid w:val="004E4EFB"/>
    <w:rsid w:val="004E55DB"/>
    <w:rsid w:val="004F49A2"/>
    <w:rsid w:val="004F72F2"/>
    <w:rsid w:val="0050000C"/>
    <w:rsid w:val="00500D8B"/>
    <w:rsid w:val="00502B2F"/>
    <w:rsid w:val="00503406"/>
    <w:rsid w:val="00505F40"/>
    <w:rsid w:val="0050676B"/>
    <w:rsid w:val="00512D00"/>
    <w:rsid w:val="00513CCC"/>
    <w:rsid w:val="00514179"/>
    <w:rsid w:val="005170E4"/>
    <w:rsid w:val="00517CD0"/>
    <w:rsid w:val="00520C36"/>
    <w:rsid w:val="00522621"/>
    <w:rsid w:val="00524D8A"/>
    <w:rsid w:val="00526627"/>
    <w:rsid w:val="005320C1"/>
    <w:rsid w:val="005460D5"/>
    <w:rsid w:val="00551A88"/>
    <w:rsid w:val="005536A0"/>
    <w:rsid w:val="00556AA7"/>
    <w:rsid w:val="005573AE"/>
    <w:rsid w:val="00562860"/>
    <w:rsid w:val="0056645F"/>
    <w:rsid w:val="00566A85"/>
    <w:rsid w:val="00571368"/>
    <w:rsid w:val="00573AE3"/>
    <w:rsid w:val="0057754D"/>
    <w:rsid w:val="00580687"/>
    <w:rsid w:val="00581B74"/>
    <w:rsid w:val="00583950"/>
    <w:rsid w:val="005902D9"/>
    <w:rsid w:val="00590B75"/>
    <w:rsid w:val="00590D88"/>
    <w:rsid w:val="00591E01"/>
    <w:rsid w:val="0059244D"/>
    <w:rsid w:val="005962BF"/>
    <w:rsid w:val="00596AB7"/>
    <w:rsid w:val="005970D0"/>
    <w:rsid w:val="005A1EA7"/>
    <w:rsid w:val="005A7D38"/>
    <w:rsid w:val="005B0724"/>
    <w:rsid w:val="005B1E46"/>
    <w:rsid w:val="005B33A8"/>
    <w:rsid w:val="005B33E4"/>
    <w:rsid w:val="005C0014"/>
    <w:rsid w:val="005C4036"/>
    <w:rsid w:val="005C42AC"/>
    <w:rsid w:val="005C4F84"/>
    <w:rsid w:val="005C5383"/>
    <w:rsid w:val="005C58F0"/>
    <w:rsid w:val="005D12E2"/>
    <w:rsid w:val="005D3F52"/>
    <w:rsid w:val="005D42C7"/>
    <w:rsid w:val="005D703E"/>
    <w:rsid w:val="005E370D"/>
    <w:rsid w:val="005E7E9D"/>
    <w:rsid w:val="005F31F6"/>
    <w:rsid w:val="00605074"/>
    <w:rsid w:val="0060543A"/>
    <w:rsid w:val="00610C5F"/>
    <w:rsid w:val="0061332A"/>
    <w:rsid w:val="00613410"/>
    <w:rsid w:val="00615434"/>
    <w:rsid w:val="0061717E"/>
    <w:rsid w:val="00617986"/>
    <w:rsid w:val="0062265F"/>
    <w:rsid w:val="006407FF"/>
    <w:rsid w:val="00643143"/>
    <w:rsid w:val="00644923"/>
    <w:rsid w:val="00654A48"/>
    <w:rsid w:val="00654C6B"/>
    <w:rsid w:val="006552FD"/>
    <w:rsid w:val="0065651B"/>
    <w:rsid w:val="00660330"/>
    <w:rsid w:val="00661C35"/>
    <w:rsid w:val="00664607"/>
    <w:rsid w:val="00666518"/>
    <w:rsid w:val="00670089"/>
    <w:rsid w:val="00680AE4"/>
    <w:rsid w:val="00680D15"/>
    <w:rsid w:val="00684E51"/>
    <w:rsid w:val="00685659"/>
    <w:rsid w:val="00697534"/>
    <w:rsid w:val="006A100B"/>
    <w:rsid w:val="006A143A"/>
    <w:rsid w:val="006A28FB"/>
    <w:rsid w:val="006A3285"/>
    <w:rsid w:val="006A516F"/>
    <w:rsid w:val="006A55C3"/>
    <w:rsid w:val="006A685D"/>
    <w:rsid w:val="006B0048"/>
    <w:rsid w:val="006B17C8"/>
    <w:rsid w:val="006B3770"/>
    <w:rsid w:val="006B39DB"/>
    <w:rsid w:val="006B5E7E"/>
    <w:rsid w:val="006B72DE"/>
    <w:rsid w:val="006C5CFD"/>
    <w:rsid w:val="006C5FC1"/>
    <w:rsid w:val="006C7BE9"/>
    <w:rsid w:val="006D38EC"/>
    <w:rsid w:val="006D44E1"/>
    <w:rsid w:val="006E19FD"/>
    <w:rsid w:val="006E1A2B"/>
    <w:rsid w:val="006E21FA"/>
    <w:rsid w:val="006E5BF7"/>
    <w:rsid w:val="006E7D18"/>
    <w:rsid w:val="006F03F0"/>
    <w:rsid w:val="006F0DEB"/>
    <w:rsid w:val="006F0FB7"/>
    <w:rsid w:val="006F1300"/>
    <w:rsid w:val="006F354D"/>
    <w:rsid w:val="006F53F5"/>
    <w:rsid w:val="006F7C11"/>
    <w:rsid w:val="00701184"/>
    <w:rsid w:val="00704E5D"/>
    <w:rsid w:val="00705739"/>
    <w:rsid w:val="00714800"/>
    <w:rsid w:val="0071489C"/>
    <w:rsid w:val="0071605B"/>
    <w:rsid w:val="00716429"/>
    <w:rsid w:val="007165D7"/>
    <w:rsid w:val="007169DE"/>
    <w:rsid w:val="00721B4D"/>
    <w:rsid w:val="00724F97"/>
    <w:rsid w:val="00726088"/>
    <w:rsid w:val="00730B6A"/>
    <w:rsid w:val="00730BFB"/>
    <w:rsid w:val="00731622"/>
    <w:rsid w:val="007330C5"/>
    <w:rsid w:val="00733E78"/>
    <w:rsid w:val="00734C8D"/>
    <w:rsid w:val="00736D88"/>
    <w:rsid w:val="00736DD2"/>
    <w:rsid w:val="007420B2"/>
    <w:rsid w:val="0074275A"/>
    <w:rsid w:val="00743D93"/>
    <w:rsid w:val="0074484E"/>
    <w:rsid w:val="00745FA2"/>
    <w:rsid w:val="0074681C"/>
    <w:rsid w:val="00746B5E"/>
    <w:rsid w:val="00746EC2"/>
    <w:rsid w:val="0075231B"/>
    <w:rsid w:val="007558C9"/>
    <w:rsid w:val="00761D9B"/>
    <w:rsid w:val="00764860"/>
    <w:rsid w:val="0076486C"/>
    <w:rsid w:val="00771617"/>
    <w:rsid w:val="0077733B"/>
    <w:rsid w:val="00777433"/>
    <w:rsid w:val="00784D3D"/>
    <w:rsid w:val="00785F86"/>
    <w:rsid w:val="00790514"/>
    <w:rsid w:val="00795042"/>
    <w:rsid w:val="007958DA"/>
    <w:rsid w:val="007959AC"/>
    <w:rsid w:val="00796036"/>
    <w:rsid w:val="00796B41"/>
    <w:rsid w:val="007A20E0"/>
    <w:rsid w:val="007A21EC"/>
    <w:rsid w:val="007A2D82"/>
    <w:rsid w:val="007B2204"/>
    <w:rsid w:val="007B410D"/>
    <w:rsid w:val="007B4B60"/>
    <w:rsid w:val="007C075F"/>
    <w:rsid w:val="007C2EAC"/>
    <w:rsid w:val="007C4A0F"/>
    <w:rsid w:val="007D1493"/>
    <w:rsid w:val="007D3CA6"/>
    <w:rsid w:val="007D49CC"/>
    <w:rsid w:val="007D4D31"/>
    <w:rsid w:val="007E07CB"/>
    <w:rsid w:val="007E0D9F"/>
    <w:rsid w:val="007E298C"/>
    <w:rsid w:val="007E3989"/>
    <w:rsid w:val="007E6179"/>
    <w:rsid w:val="007E7B5F"/>
    <w:rsid w:val="007F1CAA"/>
    <w:rsid w:val="007F3CCE"/>
    <w:rsid w:val="007F5C55"/>
    <w:rsid w:val="007F6A65"/>
    <w:rsid w:val="008041D4"/>
    <w:rsid w:val="008109A2"/>
    <w:rsid w:val="0081156A"/>
    <w:rsid w:val="0082617D"/>
    <w:rsid w:val="00827398"/>
    <w:rsid w:val="00832559"/>
    <w:rsid w:val="008352E1"/>
    <w:rsid w:val="00842974"/>
    <w:rsid w:val="0084353E"/>
    <w:rsid w:val="00851805"/>
    <w:rsid w:val="00853FE4"/>
    <w:rsid w:val="00854BF8"/>
    <w:rsid w:val="0085545B"/>
    <w:rsid w:val="0085550A"/>
    <w:rsid w:val="008556A7"/>
    <w:rsid w:val="008570A7"/>
    <w:rsid w:val="008616EF"/>
    <w:rsid w:val="00861E1A"/>
    <w:rsid w:val="00863C25"/>
    <w:rsid w:val="008705BC"/>
    <w:rsid w:val="00875A42"/>
    <w:rsid w:val="0087608D"/>
    <w:rsid w:val="00883BD5"/>
    <w:rsid w:val="0088564C"/>
    <w:rsid w:val="00886E11"/>
    <w:rsid w:val="00887969"/>
    <w:rsid w:val="008904A8"/>
    <w:rsid w:val="00891344"/>
    <w:rsid w:val="00891465"/>
    <w:rsid w:val="008A2B68"/>
    <w:rsid w:val="008A2EFF"/>
    <w:rsid w:val="008A48FC"/>
    <w:rsid w:val="008B12E9"/>
    <w:rsid w:val="008B38E2"/>
    <w:rsid w:val="008B3E81"/>
    <w:rsid w:val="008B63A1"/>
    <w:rsid w:val="008C28C6"/>
    <w:rsid w:val="008C2FC9"/>
    <w:rsid w:val="008C3708"/>
    <w:rsid w:val="008C510F"/>
    <w:rsid w:val="008D1D7B"/>
    <w:rsid w:val="008D4DD3"/>
    <w:rsid w:val="008D5F01"/>
    <w:rsid w:val="008E0E94"/>
    <w:rsid w:val="008E1EDE"/>
    <w:rsid w:val="008E4CCC"/>
    <w:rsid w:val="008E66B8"/>
    <w:rsid w:val="008F1988"/>
    <w:rsid w:val="008F25DB"/>
    <w:rsid w:val="008F2AD5"/>
    <w:rsid w:val="008F2D73"/>
    <w:rsid w:val="008F6252"/>
    <w:rsid w:val="008F6EB2"/>
    <w:rsid w:val="008F770B"/>
    <w:rsid w:val="009008CF"/>
    <w:rsid w:val="009022A7"/>
    <w:rsid w:val="009023F3"/>
    <w:rsid w:val="0090383C"/>
    <w:rsid w:val="00905382"/>
    <w:rsid w:val="00905D25"/>
    <w:rsid w:val="009066C0"/>
    <w:rsid w:val="00907FFD"/>
    <w:rsid w:val="00911ACF"/>
    <w:rsid w:val="00912132"/>
    <w:rsid w:val="00912A05"/>
    <w:rsid w:val="00913AEF"/>
    <w:rsid w:val="00914637"/>
    <w:rsid w:val="00917422"/>
    <w:rsid w:val="00922FAD"/>
    <w:rsid w:val="00924452"/>
    <w:rsid w:val="00924F0A"/>
    <w:rsid w:val="0092708B"/>
    <w:rsid w:val="009275F2"/>
    <w:rsid w:val="009313BB"/>
    <w:rsid w:val="009349D9"/>
    <w:rsid w:val="0093578C"/>
    <w:rsid w:val="00937713"/>
    <w:rsid w:val="00943FB2"/>
    <w:rsid w:val="00944383"/>
    <w:rsid w:val="00953B1F"/>
    <w:rsid w:val="00954464"/>
    <w:rsid w:val="00960A15"/>
    <w:rsid w:val="00961B10"/>
    <w:rsid w:val="00963C95"/>
    <w:rsid w:val="00966820"/>
    <w:rsid w:val="00967A56"/>
    <w:rsid w:val="00973679"/>
    <w:rsid w:val="00974A54"/>
    <w:rsid w:val="009753A0"/>
    <w:rsid w:val="009767D2"/>
    <w:rsid w:val="00980037"/>
    <w:rsid w:val="0098029A"/>
    <w:rsid w:val="00983B43"/>
    <w:rsid w:val="009935C9"/>
    <w:rsid w:val="0099517E"/>
    <w:rsid w:val="009965A7"/>
    <w:rsid w:val="00996D2C"/>
    <w:rsid w:val="009975ED"/>
    <w:rsid w:val="009A070C"/>
    <w:rsid w:val="009A1541"/>
    <w:rsid w:val="009B5D23"/>
    <w:rsid w:val="009C032D"/>
    <w:rsid w:val="009C3034"/>
    <w:rsid w:val="009C4958"/>
    <w:rsid w:val="009C56D6"/>
    <w:rsid w:val="009C7E81"/>
    <w:rsid w:val="009D01D6"/>
    <w:rsid w:val="009D44F8"/>
    <w:rsid w:val="009D6652"/>
    <w:rsid w:val="009E151E"/>
    <w:rsid w:val="009E36CD"/>
    <w:rsid w:val="009E737D"/>
    <w:rsid w:val="009E749B"/>
    <w:rsid w:val="009F1A10"/>
    <w:rsid w:val="009F5335"/>
    <w:rsid w:val="00A01EA3"/>
    <w:rsid w:val="00A03977"/>
    <w:rsid w:val="00A050D4"/>
    <w:rsid w:val="00A1020A"/>
    <w:rsid w:val="00A11AC1"/>
    <w:rsid w:val="00A16C2A"/>
    <w:rsid w:val="00A24F2C"/>
    <w:rsid w:val="00A26FF7"/>
    <w:rsid w:val="00A30B50"/>
    <w:rsid w:val="00A330D4"/>
    <w:rsid w:val="00A35338"/>
    <w:rsid w:val="00A3571D"/>
    <w:rsid w:val="00A41EE2"/>
    <w:rsid w:val="00A42BD2"/>
    <w:rsid w:val="00A445DC"/>
    <w:rsid w:val="00A44BEA"/>
    <w:rsid w:val="00A46710"/>
    <w:rsid w:val="00A542D9"/>
    <w:rsid w:val="00A566D5"/>
    <w:rsid w:val="00A56F7D"/>
    <w:rsid w:val="00A575D9"/>
    <w:rsid w:val="00A57A7E"/>
    <w:rsid w:val="00A60C8A"/>
    <w:rsid w:val="00A63ECE"/>
    <w:rsid w:val="00A66DEB"/>
    <w:rsid w:val="00A67DFB"/>
    <w:rsid w:val="00A711C6"/>
    <w:rsid w:val="00A7358D"/>
    <w:rsid w:val="00A73BDE"/>
    <w:rsid w:val="00A743A9"/>
    <w:rsid w:val="00A75ABC"/>
    <w:rsid w:val="00A80B36"/>
    <w:rsid w:val="00A837D7"/>
    <w:rsid w:val="00A84863"/>
    <w:rsid w:val="00A9155A"/>
    <w:rsid w:val="00A930D0"/>
    <w:rsid w:val="00A95D95"/>
    <w:rsid w:val="00A97113"/>
    <w:rsid w:val="00A977EC"/>
    <w:rsid w:val="00AA1C6A"/>
    <w:rsid w:val="00AA3FD1"/>
    <w:rsid w:val="00AA58B5"/>
    <w:rsid w:val="00AB0701"/>
    <w:rsid w:val="00AB25E0"/>
    <w:rsid w:val="00AB5ED3"/>
    <w:rsid w:val="00AB6B0C"/>
    <w:rsid w:val="00AB70CD"/>
    <w:rsid w:val="00AC0ECF"/>
    <w:rsid w:val="00AC2047"/>
    <w:rsid w:val="00AC28C5"/>
    <w:rsid w:val="00AC48B3"/>
    <w:rsid w:val="00AC6BCD"/>
    <w:rsid w:val="00AC7AC9"/>
    <w:rsid w:val="00AD23EF"/>
    <w:rsid w:val="00AD2504"/>
    <w:rsid w:val="00AD361A"/>
    <w:rsid w:val="00AD558A"/>
    <w:rsid w:val="00AD6A95"/>
    <w:rsid w:val="00AE1920"/>
    <w:rsid w:val="00AE4C0B"/>
    <w:rsid w:val="00AF01B3"/>
    <w:rsid w:val="00AF0F02"/>
    <w:rsid w:val="00AF0F13"/>
    <w:rsid w:val="00AF2967"/>
    <w:rsid w:val="00AF65E5"/>
    <w:rsid w:val="00AF75D1"/>
    <w:rsid w:val="00AF7992"/>
    <w:rsid w:val="00B00831"/>
    <w:rsid w:val="00B00AB3"/>
    <w:rsid w:val="00B00B4D"/>
    <w:rsid w:val="00B0498C"/>
    <w:rsid w:val="00B04AB7"/>
    <w:rsid w:val="00B14C52"/>
    <w:rsid w:val="00B200AA"/>
    <w:rsid w:val="00B20B91"/>
    <w:rsid w:val="00B21225"/>
    <w:rsid w:val="00B21731"/>
    <w:rsid w:val="00B22593"/>
    <w:rsid w:val="00B22A7A"/>
    <w:rsid w:val="00B3004C"/>
    <w:rsid w:val="00B314B4"/>
    <w:rsid w:val="00B34EB0"/>
    <w:rsid w:val="00B36D6C"/>
    <w:rsid w:val="00B4023A"/>
    <w:rsid w:val="00B43E8E"/>
    <w:rsid w:val="00B47534"/>
    <w:rsid w:val="00B478C3"/>
    <w:rsid w:val="00B47F11"/>
    <w:rsid w:val="00B50A8F"/>
    <w:rsid w:val="00B51BBE"/>
    <w:rsid w:val="00B51D5D"/>
    <w:rsid w:val="00B539F6"/>
    <w:rsid w:val="00B55406"/>
    <w:rsid w:val="00B56DC1"/>
    <w:rsid w:val="00B61348"/>
    <w:rsid w:val="00B6263F"/>
    <w:rsid w:val="00B64178"/>
    <w:rsid w:val="00B67114"/>
    <w:rsid w:val="00B702D7"/>
    <w:rsid w:val="00B7070B"/>
    <w:rsid w:val="00B72852"/>
    <w:rsid w:val="00B72D41"/>
    <w:rsid w:val="00B73E31"/>
    <w:rsid w:val="00B75449"/>
    <w:rsid w:val="00B75D4C"/>
    <w:rsid w:val="00B83F05"/>
    <w:rsid w:val="00B91E89"/>
    <w:rsid w:val="00B924FD"/>
    <w:rsid w:val="00B93463"/>
    <w:rsid w:val="00BA26B3"/>
    <w:rsid w:val="00BA3854"/>
    <w:rsid w:val="00BA3FFF"/>
    <w:rsid w:val="00BA527C"/>
    <w:rsid w:val="00BA67CA"/>
    <w:rsid w:val="00BA6F7B"/>
    <w:rsid w:val="00BB02CB"/>
    <w:rsid w:val="00BB16D4"/>
    <w:rsid w:val="00BB4092"/>
    <w:rsid w:val="00BB5D6B"/>
    <w:rsid w:val="00BB7494"/>
    <w:rsid w:val="00BC20E0"/>
    <w:rsid w:val="00BC6B58"/>
    <w:rsid w:val="00BD071F"/>
    <w:rsid w:val="00BD0FBA"/>
    <w:rsid w:val="00BD4517"/>
    <w:rsid w:val="00BD7955"/>
    <w:rsid w:val="00BE07A9"/>
    <w:rsid w:val="00BE0A4E"/>
    <w:rsid w:val="00BE4484"/>
    <w:rsid w:val="00BF0D99"/>
    <w:rsid w:val="00BF186E"/>
    <w:rsid w:val="00BF4FCD"/>
    <w:rsid w:val="00BF5230"/>
    <w:rsid w:val="00BF7EE4"/>
    <w:rsid w:val="00C1090C"/>
    <w:rsid w:val="00C23C73"/>
    <w:rsid w:val="00C240C8"/>
    <w:rsid w:val="00C26513"/>
    <w:rsid w:val="00C266F9"/>
    <w:rsid w:val="00C3055E"/>
    <w:rsid w:val="00C37F72"/>
    <w:rsid w:val="00C40520"/>
    <w:rsid w:val="00C420C1"/>
    <w:rsid w:val="00C440A8"/>
    <w:rsid w:val="00C451A2"/>
    <w:rsid w:val="00C4525F"/>
    <w:rsid w:val="00C45963"/>
    <w:rsid w:val="00C472B8"/>
    <w:rsid w:val="00C53124"/>
    <w:rsid w:val="00C5326B"/>
    <w:rsid w:val="00C5391D"/>
    <w:rsid w:val="00C53B2E"/>
    <w:rsid w:val="00C55080"/>
    <w:rsid w:val="00C6160A"/>
    <w:rsid w:val="00C636D4"/>
    <w:rsid w:val="00C65570"/>
    <w:rsid w:val="00C67B4B"/>
    <w:rsid w:val="00C72998"/>
    <w:rsid w:val="00C76ECD"/>
    <w:rsid w:val="00C7740F"/>
    <w:rsid w:val="00C83C75"/>
    <w:rsid w:val="00C84763"/>
    <w:rsid w:val="00C848E6"/>
    <w:rsid w:val="00C84E04"/>
    <w:rsid w:val="00C85FEB"/>
    <w:rsid w:val="00C86681"/>
    <w:rsid w:val="00C8791A"/>
    <w:rsid w:val="00C910BE"/>
    <w:rsid w:val="00C922BE"/>
    <w:rsid w:val="00C930A6"/>
    <w:rsid w:val="00C951AE"/>
    <w:rsid w:val="00CA583A"/>
    <w:rsid w:val="00CA5844"/>
    <w:rsid w:val="00CA7415"/>
    <w:rsid w:val="00CB265C"/>
    <w:rsid w:val="00CB4FB7"/>
    <w:rsid w:val="00CB5158"/>
    <w:rsid w:val="00CB6E2A"/>
    <w:rsid w:val="00CB7A07"/>
    <w:rsid w:val="00CB7B00"/>
    <w:rsid w:val="00CC1C0C"/>
    <w:rsid w:val="00CC59BB"/>
    <w:rsid w:val="00CD0734"/>
    <w:rsid w:val="00CD635D"/>
    <w:rsid w:val="00CD71AD"/>
    <w:rsid w:val="00CD7492"/>
    <w:rsid w:val="00CD7CED"/>
    <w:rsid w:val="00CE04C7"/>
    <w:rsid w:val="00CF156B"/>
    <w:rsid w:val="00CF1E02"/>
    <w:rsid w:val="00CF2D68"/>
    <w:rsid w:val="00CF329B"/>
    <w:rsid w:val="00CF50C4"/>
    <w:rsid w:val="00CF57F8"/>
    <w:rsid w:val="00CF597A"/>
    <w:rsid w:val="00CF71BF"/>
    <w:rsid w:val="00D05BAA"/>
    <w:rsid w:val="00D121B8"/>
    <w:rsid w:val="00D13B7A"/>
    <w:rsid w:val="00D167F5"/>
    <w:rsid w:val="00D22C4B"/>
    <w:rsid w:val="00D230C7"/>
    <w:rsid w:val="00D23E7D"/>
    <w:rsid w:val="00D2405F"/>
    <w:rsid w:val="00D30C7F"/>
    <w:rsid w:val="00D35D2A"/>
    <w:rsid w:val="00D36DC0"/>
    <w:rsid w:val="00D41BA9"/>
    <w:rsid w:val="00D423D5"/>
    <w:rsid w:val="00D456F3"/>
    <w:rsid w:val="00D52376"/>
    <w:rsid w:val="00D57B9E"/>
    <w:rsid w:val="00D612C2"/>
    <w:rsid w:val="00D64080"/>
    <w:rsid w:val="00D66A2D"/>
    <w:rsid w:val="00D70246"/>
    <w:rsid w:val="00D74023"/>
    <w:rsid w:val="00D7443A"/>
    <w:rsid w:val="00D745E0"/>
    <w:rsid w:val="00D746FE"/>
    <w:rsid w:val="00D74CF9"/>
    <w:rsid w:val="00D74E8E"/>
    <w:rsid w:val="00D76AA3"/>
    <w:rsid w:val="00D80604"/>
    <w:rsid w:val="00D80F73"/>
    <w:rsid w:val="00D858F8"/>
    <w:rsid w:val="00D86212"/>
    <w:rsid w:val="00D87544"/>
    <w:rsid w:val="00D9460E"/>
    <w:rsid w:val="00D95990"/>
    <w:rsid w:val="00DA086B"/>
    <w:rsid w:val="00DA0B92"/>
    <w:rsid w:val="00DA1BD3"/>
    <w:rsid w:val="00DA565F"/>
    <w:rsid w:val="00DA7E05"/>
    <w:rsid w:val="00DB0DFE"/>
    <w:rsid w:val="00DB3A55"/>
    <w:rsid w:val="00DB3D9F"/>
    <w:rsid w:val="00DB4794"/>
    <w:rsid w:val="00DB4BDE"/>
    <w:rsid w:val="00DB5C3E"/>
    <w:rsid w:val="00DB628E"/>
    <w:rsid w:val="00DB7614"/>
    <w:rsid w:val="00DC1E05"/>
    <w:rsid w:val="00DC24AE"/>
    <w:rsid w:val="00DD1761"/>
    <w:rsid w:val="00DD2771"/>
    <w:rsid w:val="00DD2F78"/>
    <w:rsid w:val="00DD474B"/>
    <w:rsid w:val="00DE1E3E"/>
    <w:rsid w:val="00DE2697"/>
    <w:rsid w:val="00DE7ABF"/>
    <w:rsid w:val="00DF121C"/>
    <w:rsid w:val="00DF3046"/>
    <w:rsid w:val="00DF348B"/>
    <w:rsid w:val="00DF782C"/>
    <w:rsid w:val="00E01CD5"/>
    <w:rsid w:val="00E021A9"/>
    <w:rsid w:val="00E02BE3"/>
    <w:rsid w:val="00E030A0"/>
    <w:rsid w:val="00E04962"/>
    <w:rsid w:val="00E124E3"/>
    <w:rsid w:val="00E14812"/>
    <w:rsid w:val="00E14BE1"/>
    <w:rsid w:val="00E15DCC"/>
    <w:rsid w:val="00E15DDE"/>
    <w:rsid w:val="00E2339E"/>
    <w:rsid w:val="00E23758"/>
    <w:rsid w:val="00E308E8"/>
    <w:rsid w:val="00E3245B"/>
    <w:rsid w:val="00E347ED"/>
    <w:rsid w:val="00E352F8"/>
    <w:rsid w:val="00E36BE2"/>
    <w:rsid w:val="00E3707B"/>
    <w:rsid w:val="00E4024B"/>
    <w:rsid w:val="00E40B32"/>
    <w:rsid w:val="00E40D48"/>
    <w:rsid w:val="00E44A6F"/>
    <w:rsid w:val="00E45CAF"/>
    <w:rsid w:val="00E4710C"/>
    <w:rsid w:val="00E50685"/>
    <w:rsid w:val="00E52A75"/>
    <w:rsid w:val="00E570D9"/>
    <w:rsid w:val="00E57F6B"/>
    <w:rsid w:val="00E605A6"/>
    <w:rsid w:val="00E67E24"/>
    <w:rsid w:val="00E70316"/>
    <w:rsid w:val="00E71934"/>
    <w:rsid w:val="00E7342C"/>
    <w:rsid w:val="00E844DF"/>
    <w:rsid w:val="00E8648C"/>
    <w:rsid w:val="00EA010E"/>
    <w:rsid w:val="00EA415F"/>
    <w:rsid w:val="00EA5715"/>
    <w:rsid w:val="00EB0E2D"/>
    <w:rsid w:val="00EB1E33"/>
    <w:rsid w:val="00EB6DB0"/>
    <w:rsid w:val="00EB706C"/>
    <w:rsid w:val="00EC0215"/>
    <w:rsid w:val="00EC0881"/>
    <w:rsid w:val="00EC3AB1"/>
    <w:rsid w:val="00ED0742"/>
    <w:rsid w:val="00ED1157"/>
    <w:rsid w:val="00ED2AB3"/>
    <w:rsid w:val="00ED46E7"/>
    <w:rsid w:val="00EE061A"/>
    <w:rsid w:val="00EE30AF"/>
    <w:rsid w:val="00EE68E4"/>
    <w:rsid w:val="00EF06C2"/>
    <w:rsid w:val="00EF3816"/>
    <w:rsid w:val="00F01628"/>
    <w:rsid w:val="00F11A47"/>
    <w:rsid w:val="00F134B1"/>
    <w:rsid w:val="00F13738"/>
    <w:rsid w:val="00F17DBB"/>
    <w:rsid w:val="00F20FF1"/>
    <w:rsid w:val="00F21CBB"/>
    <w:rsid w:val="00F2359F"/>
    <w:rsid w:val="00F24C08"/>
    <w:rsid w:val="00F25205"/>
    <w:rsid w:val="00F31987"/>
    <w:rsid w:val="00F33604"/>
    <w:rsid w:val="00F35457"/>
    <w:rsid w:val="00F3595B"/>
    <w:rsid w:val="00F36398"/>
    <w:rsid w:val="00F4097C"/>
    <w:rsid w:val="00F419CC"/>
    <w:rsid w:val="00F426A6"/>
    <w:rsid w:val="00F429FD"/>
    <w:rsid w:val="00F449C4"/>
    <w:rsid w:val="00F45EAD"/>
    <w:rsid w:val="00F52339"/>
    <w:rsid w:val="00F538D9"/>
    <w:rsid w:val="00F5531F"/>
    <w:rsid w:val="00F56399"/>
    <w:rsid w:val="00F6510D"/>
    <w:rsid w:val="00F70269"/>
    <w:rsid w:val="00F7213B"/>
    <w:rsid w:val="00F725B2"/>
    <w:rsid w:val="00F74901"/>
    <w:rsid w:val="00F751AB"/>
    <w:rsid w:val="00F764A4"/>
    <w:rsid w:val="00F7750A"/>
    <w:rsid w:val="00F80006"/>
    <w:rsid w:val="00F80084"/>
    <w:rsid w:val="00F81648"/>
    <w:rsid w:val="00F845A6"/>
    <w:rsid w:val="00F95676"/>
    <w:rsid w:val="00F96174"/>
    <w:rsid w:val="00FA0979"/>
    <w:rsid w:val="00FA5AA0"/>
    <w:rsid w:val="00FB4EDB"/>
    <w:rsid w:val="00FC3EBE"/>
    <w:rsid w:val="00FC66C2"/>
    <w:rsid w:val="00FC6FA8"/>
    <w:rsid w:val="00FD0CE6"/>
    <w:rsid w:val="00FD1542"/>
    <w:rsid w:val="00FD2093"/>
    <w:rsid w:val="00FD2470"/>
    <w:rsid w:val="00FD366A"/>
    <w:rsid w:val="00FD5823"/>
    <w:rsid w:val="00FD5D1F"/>
    <w:rsid w:val="00FE1C27"/>
    <w:rsid w:val="00FE215B"/>
    <w:rsid w:val="00FE5C31"/>
    <w:rsid w:val="00FE68B1"/>
    <w:rsid w:val="00FE6E39"/>
    <w:rsid w:val="00FF11A5"/>
    <w:rsid w:val="00FF57EB"/>
    <w:rsid w:val="00FF748B"/>
    <w:rsid w:val="00FF7623"/>
    <w:rsid w:val="010827C0"/>
    <w:rsid w:val="010A6538"/>
    <w:rsid w:val="014E2148"/>
    <w:rsid w:val="019C3F67"/>
    <w:rsid w:val="01CF32DE"/>
    <w:rsid w:val="01D6466C"/>
    <w:rsid w:val="01E054EB"/>
    <w:rsid w:val="0204567E"/>
    <w:rsid w:val="02337D11"/>
    <w:rsid w:val="024C5E48"/>
    <w:rsid w:val="02C40969"/>
    <w:rsid w:val="02CC0298"/>
    <w:rsid w:val="02D0730E"/>
    <w:rsid w:val="02E442FF"/>
    <w:rsid w:val="02E44816"/>
    <w:rsid w:val="031142B5"/>
    <w:rsid w:val="0361265C"/>
    <w:rsid w:val="03803A65"/>
    <w:rsid w:val="03830824"/>
    <w:rsid w:val="038D3451"/>
    <w:rsid w:val="03A32C74"/>
    <w:rsid w:val="03C90FB9"/>
    <w:rsid w:val="03E219EE"/>
    <w:rsid w:val="03F4527E"/>
    <w:rsid w:val="03FA6D38"/>
    <w:rsid w:val="043F474B"/>
    <w:rsid w:val="04402CEA"/>
    <w:rsid w:val="04732647"/>
    <w:rsid w:val="0486237A"/>
    <w:rsid w:val="049C150C"/>
    <w:rsid w:val="04A90297"/>
    <w:rsid w:val="04A919F3"/>
    <w:rsid w:val="04BB3270"/>
    <w:rsid w:val="04C11604"/>
    <w:rsid w:val="04C66C1A"/>
    <w:rsid w:val="04D46D43"/>
    <w:rsid w:val="04E92477"/>
    <w:rsid w:val="05106822"/>
    <w:rsid w:val="05776166"/>
    <w:rsid w:val="05F8461F"/>
    <w:rsid w:val="060A6FDB"/>
    <w:rsid w:val="061F2A86"/>
    <w:rsid w:val="063F4ED6"/>
    <w:rsid w:val="067C415F"/>
    <w:rsid w:val="06862B05"/>
    <w:rsid w:val="06CF496A"/>
    <w:rsid w:val="06D25D4A"/>
    <w:rsid w:val="06DB1FC1"/>
    <w:rsid w:val="07155C37"/>
    <w:rsid w:val="07294946"/>
    <w:rsid w:val="07571DAC"/>
    <w:rsid w:val="0768220B"/>
    <w:rsid w:val="07AD2313"/>
    <w:rsid w:val="07B436A2"/>
    <w:rsid w:val="07CB76E7"/>
    <w:rsid w:val="07F7358F"/>
    <w:rsid w:val="082A37F9"/>
    <w:rsid w:val="082A5712"/>
    <w:rsid w:val="085F360E"/>
    <w:rsid w:val="0897000B"/>
    <w:rsid w:val="08B077CA"/>
    <w:rsid w:val="08D8717C"/>
    <w:rsid w:val="08E04EDC"/>
    <w:rsid w:val="09573101"/>
    <w:rsid w:val="096609CC"/>
    <w:rsid w:val="099A2423"/>
    <w:rsid w:val="099E1F14"/>
    <w:rsid w:val="09B645B2"/>
    <w:rsid w:val="0A397E8E"/>
    <w:rsid w:val="0A6A6D69"/>
    <w:rsid w:val="0A8A5906"/>
    <w:rsid w:val="0A92134D"/>
    <w:rsid w:val="0A947778"/>
    <w:rsid w:val="0AA83E2E"/>
    <w:rsid w:val="0ABA6B0C"/>
    <w:rsid w:val="0B0F5706"/>
    <w:rsid w:val="0B1526A9"/>
    <w:rsid w:val="0B163D2C"/>
    <w:rsid w:val="0B1D3AD1"/>
    <w:rsid w:val="0B401DD6"/>
    <w:rsid w:val="0B61769D"/>
    <w:rsid w:val="0B817B4E"/>
    <w:rsid w:val="0BAE0408"/>
    <w:rsid w:val="0BB04180"/>
    <w:rsid w:val="0BD85FDD"/>
    <w:rsid w:val="0BF40511"/>
    <w:rsid w:val="0C2974B8"/>
    <w:rsid w:val="0C3B1C9C"/>
    <w:rsid w:val="0C4C3EA9"/>
    <w:rsid w:val="0C632FA1"/>
    <w:rsid w:val="0C840865"/>
    <w:rsid w:val="0CA43CE5"/>
    <w:rsid w:val="0CA737D5"/>
    <w:rsid w:val="0D762087"/>
    <w:rsid w:val="0D7A67F4"/>
    <w:rsid w:val="0D7C256C"/>
    <w:rsid w:val="0DA34BAE"/>
    <w:rsid w:val="0DC857B1"/>
    <w:rsid w:val="0DDC0B98"/>
    <w:rsid w:val="0DF2455B"/>
    <w:rsid w:val="0DF81B4E"/>
    <w:rsid w:val="0E14000F"/>
    <w:rsid w:val="0E5E7EC3"/>
    <w:rsid w:val="0E745939"/>
    <w:rsid w:val="0EA208CE"/>
    <w:rsid w:val="0EA24254"/>
    <w:rsid w:val="0EBE6BB4"/>
    <w:rsid w:val="0F2F6254"/>
    <w:rsid w:val="0F6A48A4"/>
    <w:rsid w:val="0F7D081D"/>
    <w:rsid w:val="0F876871"/>
    <w:rsid w:val="0F930041"/>
    <w:rsid w:val="0FB00BF3"/>
    <w:rsid w:val="0FD71B51"/>
    <w:rsid w:val="0FDA5C70"/>
    <w:rsid w:val="101B119C"/>
    <w:rsid w:val="10264A11"/>
    <w:rsid w:val="10667503"/>
    <w:rsid w:val="107C4FE0"/>
    <w:rsid w:val="10AF2C58"/>
    <w:rsid w:val="10C1473A"/>
    <w:rsid w:val="10D206F5"/>
    <w:rsid w:val="10D40911"/>
    <w:rsid w:val="10E263B2"/>
    <w:rsid w:val="10EA0134"/>
    <w:rsid w:val="10FE14EA"/>
    <w:rsid w:val="110C3C07"/>
    <w:rsid w:val="110F58E7"/>
    <w:rsid w:val="117479FE"/>
    <w:rsid w:val="118C2F9A"/>
    <w:rsid w:val="119507B7"/>
    <w:rsid w:val="11AD23C7"/>
    <w:rsid w:val="11D0732A"/>
    <w:rsid w:val="11D84431"/>
    <w:rsid w:val="11F7111E"/>
    <w:rsid w:val="121D3BF2"/>
    <w:rsid w:val="12852524"/>
    <w:rsid w:val="12EA441C"/>
    <w:rsid w:val="12FE1C75"/>
    <w:rsid w:val="13103978"/>
    <w:rsid w:val="13286CF2"/>
    <w:rsid w:val="133731E5"/>
    <w:rsid w:val="13445DCC"/>
    <w:rsid w:val="134C478E"/>
    <w:rsid w:val="1381676B"/>
    <w:rsid w:val="13AF1C54"/>
    <w:rsid w:val="13DB528A"/>
    <w:rsid w:val="14321BD6"/>
    <w:rsid w:val="143E4A1F"/>
    <w:rsid w:val="14465580"/>
    <w:rsid w:val="145A6BFB"/>
    <w:rsid w:val="14640772"/>
    <w:rsid w:val="14C842E9"/>
    <w:rsid w:val="14DD478A"/>
    <w:rsid w:val="14DE00E2"/>
    <w:rsid w:val="1505553D"/>
    <w:rsid w:val="1546345F"/>
    <w:rsid w:val="156404B5"/>
    <w:rsid w:val="15681628"/>
    <w:rsid w:val="159E329B"/>
    <w:rsid w:val="15B72D10"/>
    <w:rsid w:val="15D867AD"/>
    <w:rsid w:val="16142F1B"/>
    <w:rsid w:val="16157A01"/>
    <w:rsid w:val="161A0B74"/>
    <w:rsid w:val="164D50AD"/>
    <w:rsid w:val="164F4883"/>
    <w:rsid w:val="16557DFE"/>
    <w:rsid w:val="168E5998"/>
    <w:rsid w:val="169F72CB"/>
    <w:rsid w:val="17255A22"/>
    <w:rsid w:val="173C2D6C"/>
    <w:rsid w:val="175011B4"/>
    <w:rsid w:val="17833C2E"/>
    <w:rsid w:val="17984446"/>
    <w:rsid w:val="17A0779F"/>
    <w:rsid w:val="17BA7166"/>
    <w:rsid w:val="17E53404"/>
    <w:rsid w:val="17EE5BFF"/>
    <w:rsid w:val="17F11DA8"/>
    <w:rsid w:val="17F3167D"/>
    <w:rsid w:val="18047D2E"/>
    <w:rsid w:val="183103F7"/>
    <w:rsid w:val="18371EB1"/>
    <w:rsid w:val="184F7FBB"/>
    <w:rsid w:val="18826EA4"/>
    <w:rsid w:val="18C94165"/>
    <w:rsid w:val="18E831AB"/>
    <w:rsid w:val="19053DEB"/>
    <w:rsid w:val="192F3F45"/>
    <w:rsid w:val="19C57049"/>
    <w:rsid w:val="1A4268EB"/>
    <w:rsid w:val="1A69031C"/>
    <w:rsid w:val="1A9D1D74"/>
    <w:rsid w:val="1AA749A0"/>
    <w:rsid w:val="1ADE4866"/>
    <w:rsid w:val="1AF24BE0"/>
    <w:rsid w:val="1B3C3C0E"/>
    <w:rsid w:val="1BA5121F"/>
    <w:rsid w:val="1BAA0BEC"/>
    <w:rsid w:val="1BCC0FFC"/>
    <w:rsid w:val="1BEA723A"/>
    <w:rsid w:val="1C174926"/>
    <w:rsid w:val="1C321544"/>
    <w:rsid w:val="1C3E30E2"/>
    <w:rsid w:val="1C4E70D5"/>
    <w:rsid w:val="1C4F709D"/>
    <w:rsid w:val="1CAD0994"/>
    <w:rsid w:val="1CDC3027"/>
    <w:rsid w:val="1CFE11EF"/>
    <w:rsid w:val="1D1E0C3E"/>
    <w:rsid w:val="1D291FE4"/>
    <w:rsid w:val="1D2D3A9C"/>
    <w:rsid w:val="1D33076D"/>
    <w:rsid w:val="1D641A3B"/>
    <w:rsid w:val="1D7E40DE"/>
    <w:rsid w:val="1DF1193F"/>
    <w:rsid w:val="1E320096"/>
    <w:rsid w:val="1E6E4153"/>
    <w:rsid w:val="1E876FC3"/>
    <w:rsid w:val="1EA0393A"/>
    <w:rsid w:val="1EA044C3"/>
    <w:rsid w:val="1F0C74C8"/>
    <w:rsid w:val="1F0D74C7"/>
    <w:rsid w:val="1F132604"/>
    <w:rsid w:val="1F5657A5"/>
    <w:rsid w:val="1F5F5E48"/>
    <w:rsid w:val="1F615A66"/>
    <w:rsid w:val="1F666BD8"/>
    <w:rsid w:val="1F9D2020"/>
    <w:rsid w:val="202F346E"/>
    <w:rsid w:val="205D2C8F"/>
    <w:rsid w:val="207277FE"/>
    <w:rsid w:val="20AE4CDA"/>
    <w:rsid w:val="20B41BC5"/>
    <w:rsid w:val="20C22534"/>
    <w:rsid w:val="20D80B50"/>
    <w:rsid w:val="20E254E8"/>
    <w:rsid w:val="211E2441"/>
    <w:rsid w:val="21260D15"/>
    <w:rsid w:val="21315885"/>
    <w:rsid w:val="213B7DF6"/>
    <w:rsid w:val="218B501C"/>
    <w:rsid w:val="219A525F"/>
    <w:rsid w:val="21BF6A73"/>
    <w:rsid w:val="221814C0"/>
    <w:rsid w:val="2221328A"/>
    <w:rsid w:val="222608A0"/>
    <w:rsid w:val="224401B8"/>
    <w:rsid w:val="224F6049"/>
    <w:rsid w:val="22F12226"/>
    <w:rsid w:val="2320469F"/>
    <w:rsid w:val="232529A9"/>
    <w:rsid w:val="235C6C70"/>
    <w:rsid w:val="236F3554"/>
    <w:rsid w:val="2376306C"/>
    <w:rsid w:val="23AE4FF1"/>
    <w:rsid w:val="23CE2F9E"/>
    <w:rsid w:val="23E46C65"/>
    <w:rsid w:val="23E80503"/>
    <w:rsid w:val="23ED36D5"/>
    <w:rsid w:val="241237D2"/>
    <w:rsid w:val="24434176"/>
    <w:rsid w:val="24482D50"/>
    <w:rsid w:val="2454722D"/>
    <w:rsid w:val="245B32B8"/>
    <w:rsid w:val="246B4C91"/>
    <w:rsid w:val="24877D1C"/>
    <w:rsid w:val="248A0A7D"/>
    <w:rsid w:val="25A16BBC"/>
    <w:rsid w:val="25A22934"/>
    <w:rsid w:val="25BE5E47"/>
    <w:rsid w:val="25D52D09"/>
    <w:rsid w:val="25F74497"/>
    <w:rsid w:val="2613702C"/>
    <w:rsid w:val="26BC751D"/>
    <w:rsid w:val="26BE7476"/>
    <w:rsid w:val="26C62652"/>
    <w:rsid w:val="26E4757F"/>
    <w:rsid w:val="27040F27"/>
    <w:rsid w:val="2737475D"/>
    <w:rsid w:val="273E043A"/>
    <w:rsid w:val="275859A0"/>
    <w:rsid w:val="276B7B29"/>
    <w:rsid w:val="27AE15FB"/>
    <w:rsid w:val="283C2BCC"/>
    <w:rsid w:val="2858552C"/>
    <w:rsid w:val="287865BB"/>
    <w:rsid w:val="28920A3E"/>
    <w:rsid w:val="28BA172F"/>
    <w:rsid w:val="28EF3AAA"/>
    <w:rsid w:val="29015BC3"/>
    <w:rsid w:val="290D4568"/>
    <w:rsid w:val="291476A5"/>
    <w:rsid w:val="2916341D"/>
    <w:rsid w:val="292A511A"/>
    <w:rsid w:val="293D6BFB"/>
    <w:rsid w:val="29455AB0"/>
    <w:rsid w:val="29A94291"/>
    <w:rsid w:val="29B669AE"/>
    <w:rsid w:val="29B82726"/>
    <w:rsid w:val="29F559BF"/>
    <w:rsid w:val="29F63F49"/>
    <w:rsid w:val="2A0E0598"/>
    <w:rsid w:val="2A2102CB"/>
    <w:rsid w:val="2A4E6BE6"/>
    <w:rsid w:val="2A5D132D"/>
    <w:rsid w:val="2AA2341D"/>
    <w:rsid w:val="2AE337D3"/>
    <w:rsid w:val="2AE412F9"/>
    <w:rsid w:val="2AE9366F"/>
    <w:rsid w:val="2B286BC5"/>
    <w:rsid w:val="2B3466B2"/>
    <w:rsid w:val="2B732DA8"/>
    <w:rsid w:val="2B9B22FF"/>
    <w:rsid w:val="2B9E76FA"/>
    <w:rsid w:val="2BB807BB"/>
    <w:rsid w:val="2BBB141F"/>
    <w:rsid w:val="2BE414A3"/>
    <w:rsid w:val="2BFA5278"/>
    <w:rsid w:val="2C151749"/>
    <w:rsid w:val="2C697D08"/>
    <w:rsid w:val="2C6B3A80"/>
    <w:rsid w:val="2C6C40DE"/>
    <w:rsid w:val="2C8503B5"/>
    <w:rsid w:val="2C892158"/>
    <w:rsid w:val="2CA441A5"/>
    <w:rsid w:val="2D6055AE"/>
    <w:rsid w:val="2E2A76A8"/>
    <w:rsid w:val="2E567C52"/>
    <w:rsid w:val="2E76670C"/>
    <w:rsid w:val="2EB02B08"/>
    <w:rsid w:val="2F404633"/>
    <w:rsid w:val="2F57706B"/>
    <w:rsid w:val="2F810ECF"/>
    <w:rsid w:val="2FB27C17"/>
    <w:rsid w:val="2FDF2566"/>
    <w:rsid w:val="2FE3217B"/>
    <w:rsid w:val="2FF73203"/>
    <w:rsid w:val="2FFF10AF"/>
    <w:rsid w:val="305D2063"/>
    <w:rsid w:val="30656A38"/>
    <w:rsid w:val="309F019C"/>
    <w:rsid w:val="30E6401D"/>
    <w:rsid w:val="30EA184C"/>
    <w:rsid w:val="30F5600E"/>
    <w:rsid w:val="31070655"/>
    <w:rsid w:val="31374878"/>
    <w:rsid w:val="313D4203"/>
    <w:rsid w:val="316A69FC"/>
    <w:rsid w:val="318D3859"/>
    <w:rsid w:val="31C54436"/>
    <w:rsid w:val="321F369F"/>
    <w:rsid w:val="32430E48"/>
    <w:rsid w:val="32566F80"/>
    <w:rsid w:val="32674243"/>
    <w:rsid w:val="328C0BF4"/>
    <w:rsid w:val="32CE6BBC"/>
    <w:rsid w:val="32F10A57"/>
    <w:rsid w:val="32F742BF"/>
    <w:rsid w:val="33010AFA"/>
    <w:rsid w:val="330257C9"/>
    <w:rsid w:val="335E433E"/>
    <w:rsid w:val="33811DDB"/>
    <w:rsid w:val="339C42B5"/>
    <w:rsid w:val="33CF7516"/>
    <w:rsid w:val="33D91C40"/>
    <w:rsid w:val="33E83C08"/>
    <w:rsid w:val="33F06D4A"/>
    <w:rsid w:val="34000F51"/>
    <w:rsid w:val="34525525"/>
    <w:rsid w:val="345B3646"/>
    <w:rsid w:val="345D2848"/>
    <w:rsid w:val="345E3ECA"/>
    <w:rsid w:val="348953EB"/>
    <w:rsid w:val="348E0C53"/>
    <w:rsid w:val="34A42225"/>
    <w:rsid w:val="34AF2A59"/>
    <w:rsid w:val="34BB30CA"/>
    <w:rsid w:val="35103416"/>
    <w:rsid w:val="351865FB"/>
    <w:rsid w:val="35260E8C"/>
    <w:rsid w:val="35613C72"/>
    <w:rsid w:val="35B9514A"/>
    <w:rsid w:val="35EF5040"/>
    <w:rsid w:val="36121410"/>
    <w:rsid w:val="36270212"/>
    <w:rsid w:val="36511F38"/>
    <w:rsid w:val="368A544A"/>
    <w:rsid w:val="36B272B1"/>
    <w:rsid w:val="36C414F1"/>
    <w:rsid w:val="36D63FF5"/>
    <w:rsid w:val="371263ED"/>
    <w:rsid w:val="3727713D"/>
    <w:rsid w:val="3733163E"/>
    <w:rsid w:val="37555A58"/>
    <w:rsid w:val="376A04F8"/>
    <w:rsid w:val="379E7A8F"/>
    <w:rsid w:val="379F4F25"/>
    <w:rsid w:val="37C14E9C"/>
    <w:rsid w:val="37EA3748"/>
    <w:rsid w:val="38482DA6"/>
    <w:rsid w:val="384B29B7"/>
    <w:rsid w:val="386F48F8"/>
    <w:rsid w:val="388E424E"/>
    <w:rsid w:val="38F31085"/>
    <w:rsid w:val="391A62A5"/>
    <w:rsid w:val="39784D33"/>
    <w:rsid w:val="39974106"/>
    <w:rsid w:val="39C649EB"/>
    <w:rsid w:val="3A82413B"/>
    <w:rsid w:val="3A84050A"/>
    <w:rsid w:val="3AB26D1E"/>
    <w:rsid w:val="3ACC7DDF"/>
    <w:rsid w:val="3AD13648"/>
    <w:rsid w:val="3AF70957"/>
    <w:rsid w:val="3B003F2D"/>
    <w:rsid w:val="3B063FFD"/>
    <w:rsid w:val="3B252996"/>
    <w:rsid w:val="3B44206B"/>
    <w:rsid w:val="3B4958D4"/>
    <w:rsid w:val="3B716BD9"/>
    <w:rsid w:val="3B922629"/>
    <w:rsid w:val="3B9308FD"/>
    <w:rsid w:val="3BC1546A"/>
    <w:rsid w:val="3BC60CD2"/>
    <w:rsid w:val="3BC767F9"/>
    <w:rsid w:val="3BF07AFD"/>
    <w:rsid w:val="3BF13876"/>
    <w:rsid w:val="3C0752F3"/>
    <w:rsid w:val="3C544530"/>
    <w:rsid w:val="3C677A85"/>
    <w:rsid w:val="3C695A77"/>
    <w:rsid w:val="3C7626F9"/>
    <w:rsid w:val="3CB44FCF"/>
    <w:rsid w:val="3CC367D8"/>
    <w:rsid w:val="3CCD6091"/>
    <w:rsid w:val="3CD70CBD"/>
    <w:rsid w:val="3CDD5E81"/>
    <w:rsid w:val="3CDE58E9"/>
    <w:rsid w:val="3CE97620"/>
    <w:rsid w:val="3CF163A3"/>
    <w:rsid w:val="3CFD25D6"/>
    <w:rsid w:val="3D122EF7"/>
    <w:rsid w:val="3D1403E6"/>
    <w:rsid w:val="3D18555E"/>
    <w:rsid w:val="3D3B2FFA"/>
    <w:rsid w:val="3D3F7D8D"/>
    <w:rsid w:val="3D4A76E1"/>
    <w:rsid w:val="3D510A70"/>
    <w:rsid w:val="3D6562C9"/>
    <w:rsid w:val="3D714C6E"/>
    <w:rsid w:val="3D7A7FC6"/>
    <w:rsid w:val="3D9A6EB3"/>
    <w:rsid w:val="3DA23079"/>
    <w:rsid w:val="3DA83401"/>
    <w:rsid w:val="3DE6740A"/>
    <w:rsid w:val="3E0F2D2F"/>
    <w:rsid w:val="3E200816"/>
    <w:rsid w:val="3E241CE0"/>
    <w:rsid w:val="3E4545E7"/>
    <w:rsid w:val="3E554590"/>
    <w:rsid w:val="3E6622F9"/>
    <w:rsid w:val="3E7B6225"/>
    <w:rsid w:val="3E960E57"/>
    <w:rsid w:val="3ED5122D"/>
    <w:rsid w:val="3EE057E1"/>
    <w:rsid w:val="3EED47C8"/>
    <w:rsid w:val="3EFD6405"/>
    <w:rsid w:val="3F0D4E6A"/>
    <w:rsid w:val="3F2555FA"/>
    <w:rsid w:val="3F2C57D3"/>
    <w:rsid w:val="3F2D1069"/>
    <w:rsid w:val="3F401D03"/>
    <w:rsid w:val="3F56236D"/>
    <w:rsid w:val="3F8951C8"/>
    <w:rsid w:val="3F95733A"/>
    <w:rsid w:val="3FAB4137"/>
    <w:rsid w:val="3FB11C9A"/>
    <w:rsid w:val="3FB944C5"/>
    <w:rsid w:val="3FD11C44"/>
    <w:rsid w:val="3FE756BB"/>
    <w:rsid w:val="40562A1D"/>
    <w:rsid w:val="405F34A4"/>
    <w:rsid w:val="40646598"/>
    <w:rsid w:val="40842F0A"/>
    <w:rsid w:val="40AF1DA6"/>
    <w:rsid w:val="40AF61D9"/>
    <w:rsid w:val="40D804AB"/>
    <w:rsid w:val="413606A8"/>
    <w:rsid w:val="41390199"/>
    <w:rsid w:val="414932BD"/>
    <w:rsid w:val="414A7725"/>
    <w:rsid w:val="414C48A8"/>
    <w:rsid w:val="419D0727"/>
    <w:rsid w:val="41CF4659"/>
    <w:rsid w:val="41D13F2D"/>
    <w:rsid w:val="41D37CA5"/>
    <w:rsid w:val="41F36599"/>
    <w:rsid w:val="42024A2E"/>
    <w:rsid w:val="42042555"/>
    <w:rsid w:val="42075BA1"/>
    <w:rsid w:val="422C783B"/>
    <w:rsid w:val="42410097"/>
    <w:rsid w:val="42415557"/>
    <w:rsid w:val="429E4757"/>
    <w:rsid w:val="42B66F36"/>
    <w:rsid w:val="42F73368"/>
    <w:rsid w:val="43040332"/>
    <w:rsid w:val="430A3EE5"/>
    <w:rsid w:val="4311195E"/>
    <w:rsid w:val="431C567C"/>
    <w:rsid w:val="432D5ADB"/>
    <w:rsid w:val="43562BAD"/>
    <w:rsid w:val="43760A1F"/>
    <w:rsid w:val="43A049F8"/>
    <w:rsid w:val="43A55671"/>
    <w:rsid w:val="442C18EF"/>
    <w:rsid w:val="4487121B"/>
    <w:rsid w:val="44B87626"/>
    <w:rsid w:val="44B87F57"/>
    <w:rsid w:val="44E83EA4"/>
    <w:rsid w:val="44F9064D"/>
    <w:rsid w:val="450665E4"/>
    <w:rsid w:val="45246F22"/>
    <w:rsid w:val="452E5288"/>
    <w:rsid w:val="454E7545"/>
    <w:rsid w:val="455B735E"/>
    <w:rsid w:val="45646B3F"/>
    <w:rsid w:val="45700BA9"/>
    <w:rsid w:val="45AC0035"/>
    <w:rsid w:val="45B778DE"/>
    <w:rsid w:val="45C5024D"/>
    <w:rsid w:val="45CC759A"/>
    <w:rsid w:val="45E0600D"/>
    <w:rsid w:val="460A3F80"/>
    <w:rsid w:val="46492C2C"/>
    <w:rsid w:val="464949DA"/>
    <w:rsid w:val="466C2476"/>
    <w:rsid w:val="467001B9"/>
    <w:rsid w:val="46CB1893"/>
    <w:rsid w:val="46FF778E"/>
    <w:rsid w:val="470E0187"/>
    <w:rsid w:val="471A0124"/>
    <w:rsid w:val="472965B9"/>
    <w:rsid w:val="47F57AAC"/>
    <w:rsid w:val="48270D4B"/>
    <w:rsid w:val="484A4A39"/>
    <w:rsid w:val="485B6EDA"/>
    <w:rsid w:val="48625D94"/>
    <w:rsid w:val="486A6E89"/>
    <w:rsid w:val="48AB372A"/>
    <w:rsid w:val="48BD3414"/>
    <w:rsid w:val="48FD7CFE"/>
    <w:rsid w:val="49170DBF"/>
    <w:rsid w:val="492F1A7F"/>
    <w:rsid w:val="49382AE4"/>
    <w:rsid w:val="494B0A69"/>
    <w:rsid w:val="49565367"/>
    <w:rsid w:val="496D4E83"/>
    <w:rsid w:val="497F6965"/>
    <w:rsid w:val="49807271"/>
    <w:rsid w:val="49C01457"/>
    <w:rsid w:val="49C8030C"/>
    <w:rsid w:val="49ED7F9F"/>
    <w:rsid w:val="4A496D4D"/>
    <w:rsid w:val="4A4D25BF"/>
    <w:rsid w:val="4A932324"/>
    <w:rsid w:val="4AF173EE"/>
    <w:rsid w:val="4AFD2237"/>
    <w:rsid w:val="4B0F7229"/>
    <w:rsid w:val="4B35117A"/>
    <w:rsid w:val="4B617810"/>
    <w:rsid w:val="4B7778F3"/>
    <w:rsid w:val="4B95731A"/>
    <w:rsid w:val="4B9D0613"/>
    <w:rsid w:val="4C017B05"/>
    <w:rsid w:val="4C0B44E0"/>
    <w:rsid w:val="4C136406"/>
    <w:rsid w:val="4C341C88"/>
    <w:rsid w:val="4C58405B"/>
    <w:rsid w:val="4C855396"/>
    <w:rsid w:val="4CEC4311"/>
    <w:rsid w:val="4D137AF0"/>
    <w:rsid w:val="4D1A0E7E"/>
    <w:rsid w:val="4D257ACC"/>
    <w:rsid w:val="4D33274C"/>
    <w:rsid w:val="4D405120"/>
    <w:rsid w:val="4D553C64"/>
    <w:rsid w:val="4D592DC1"/>
    <w:rsid w:val="4DB766CD"/>
    <w:rsid w:val="4DDA060D"/>
    <w:rsid w:val="4DEF5EB6"/>
    <w:rsid w:val="4E0B07C7"/>
    <w:rsid w:val="4E3A10AC"/>
    <w:rsid w:val="4E3B202D"/>
    <w:rsid w:val="4E3F2D9E"/>
    <w:rsid w:val="4E4125AE"/>
    <w:rsid w:val="4E7C0A4B"/>
    <w:rsid w:val="4EBF4741"/>
    <w:rsid w:val="4EC72940"/>
    <w:rsid w:val="4ED41A61"/>
    <w:rsid w:val="4EDD03B5"/>
    <w:rsid w:val="4EE03A01"/>
    <w:rsid w:val="4F2064F4"/>
    <w:rsid w:val="4F3D2C02"/>
    <w:rsid w:val="4F405DC2"/>
    <w:rsid w:val="4F822D0B"/>
    <w:rsid w:val="4F8F4266"/>
    <w:rsid w:val="4FBB7FCB"/>
    <w:rsid w:val="4FEC1735"/>
    <w:rsid w:val="50153B7F"/>
    <w:rsid w:val="501E6ED7"/>
    <w:rsid w:val="50306F92"/>
    <w:rsid w:val="50955BAB"/>
    <w:rsid w:val="509F155E"/>
    <w:rsid w:val="50A373DC"/>
    <w:rsid w:val="50C730CB"/>
    <w:rsid w:val="51181B78"/>
    <w:rsid w:val="5153495F"/>
    <w:rsid w:val="51542485"/>
    <w:rsid w:val="516E30C8"/>
    <w:rsid w:val="51894824"/>
    <w:rsid w:val="519A07DF"/>
    <w:rsid w:val="519A4076"/>
    <w:rsid w:val="51AD2F45"/>
    <w:rsid w:val="51C67AB0"/>
    <w:rsid w:val="520E6AD8"/>
    <w:rsid w:val="521045FE"/>
    <w:rsid w:val="52214A5D"/>
    <w:rsid w:val="522818DE"/>
    <w:rsid w:val="52665D9A"/>
    <w:rsid w:val="527B23BF"/>
    <w:rsid w:val="527C1C93"/>
    <w:rsid w:val="52AC3970"/>
    <w:rsid w:val="52DE64AA"/>
    <w:rsid w:val="52EF6540"/>
    <w:rsid w:val="530C74BB"/>
    <w:rsid w:val="5325232B"/>
    <w:rsid w:val="532C5467"/>
    <w:rsid w:val="53394028"/>
    <w:rsid w:val="533D62D3"/>
    <w:rsid w:val="534530AA"/>
    <w:rsid w:val="53A96AB8"/>
    <w:rsid w:val="53AE2320"/>
    <w:rsid w:val="53D74AA8"/>
    <w:rsid w:val="53DE687C"/>
    <w:rsid w:val="53F64E08"/>
    <w:rsid w:val="53FA5565"/>
    <w:rsid w:val="53FD32A8"/>
    <w:rsid w:val="54352A41"/>
    <w:rsid w:val="545C6AF1"/>
    <w:rsid w:val="54613BF0"/>
    <w:rsid w:val="546E7D01"/>
    <w:rsid w:val="548060EE"/>
    <w:rsid w:val="54C21C1D"/>
    <w:rsid w:val="54D77655"/>
    <w:rsid w:val="54ED7895"/>
    <w:rsid w:val="551E34D6"/>
    <w:rsid w:val="551F2369"/>
    <w:rsid w:val="55472A2C"/>
    <w:rsid w:val="555B64D8"/>
    <w:rsid w:val="55825812"/>
    <w:rsid w:val="55990DAE"/>
    <w:rsid w:val="55992B5C"/>
    <w:rsid w:val="55E22705"/>
    <w:rsid w:val="566A53D4"/>
    <w:rsid w:val="56AE2637"/>
    <w:rsid w:val="56C1680E"/>
    <w:rsid w:val="56C407A9"/>
    <w:rsid w:val="56C41E5B"/>
    <w:rsid w:val="56CC72D7"/>
    <w:rsid w:val="56D025AE"/>
    <w:rsid w:val="56E0500A"/>
    <w:rsid w:val="56E524FD"/>
    <w:rsid w:val="56EE7171"/>
    <w:rsid w:val="56F21D17"/>
    <w:rsid w:val="57157FF3"/>
    <w:rsid w:val="57430FD1"/>
    <w:rsid w:val="5748483A"/>
    <w:rsid w:val="574F5BC8"/>
    <w:rsid w:val="575B631B"/>
    <w:rsid w:val="576467FF"/>
    <w:rsid w:val="576A2A02"/>
    <w:rsid w:val="579E445A"/>
    <w:rsid w:val="57CC7219"/>
    <w:rsid w:val="57D802A3"/>
    <w:rsid w:val="582B2191"/>
    <w:rsid w:val="582F5242"/>
    <w:rsid w:val="58580AAD"/>
    <w:rsid w:val="586B4F13"/>
    <w:rsid w:val="588F2219"/>
    <w:rsid w:val="58BE1257"/>
    <w:rsid w:val="593C217C"/>
    <w:rsid w:val="595C45CC"/>
    <w:rsid w:val="59A815C0"/>
    <w:rsid w:val="59B578F8"/>
    <w:rsid w:val="59BD6D86"/>
    <w:rsid w:val="59BF3E59"/>
    <w:rsid w:val="59D9651C"/>
    <w:rsid w:val="59E56370"/>
    <w:rsid w:val="59EF4D8B"/>
    <w:rsid w:val="5A1D3D5C"/>
    <w:rsid w:val="5A224874"/>
    <w:rsid w:val="5AA04A12"/>
    <w:rsid w:val="5AB67D0C"/>
    <w:rsid w:val="5AC73CC7"/>
    <w:rsid w:val="5AC95C92"/>
    <w:rsid w:val="5AE825BC"/>
    <w:rsid w:val="5B4A6DD2"/>
    <w:rsid w:val="5B8A5DF7"/>
    <w:rsid w:val="5B8C73EB"/>
    <w:rsid w:val="5BBE156E"/>
    <w:rsid w:val="5C741AED"/>
    <w:rsid w:val="5C882E46"/>
    <w:rsid w:val="5C8C6F77"/>
    <w:rsid w:val="5C8E7193"/>
    <w:rsid w:val="5CA46E35"/>
    <w:rsid w:val="5CEA0E91"/>
    <w:rsid w:val="5D0607CD"/>
    <w:rsid w:val="5D096246"/>
    <w:rsid w:val="5D1B313B"/>
    <w:rsid w:val="5D431D2B"/>
    <w:rsid w:val="5D520569"/>
    <w:rsid w:val="5D537A94"/>
    <w:rsid w:val="5D5831E2"/>
    <w:rsid w:val="5D867E6A"/>
    <w:rsid w:val="5D9E51B4"/>
    <w:rsid w:val="5DA5165C"/>
    <w:rsid w:val="5DAF73C1"/>
    <w:rsid w:val="5DBD1BFF"/>
    <w:rsid w:val="5DC56E06"/>
    <w:rsid w:val="5DDB2B96"/>
    <w:rsid w:val="5E251431"/>
    <w:rsid w:val="5E3E0745"/>
    <w:rsid w:val="5E4A70E9"/>
    <w:rsid w:val="5E4C4C10"/>
    <w:rsid w:val="5E910B3F"/>
    <w:rsid w:val="5E930A90"/>
    <w:rsid w:val="5E9E54E7"/>
    <w:rsid w:val="5EB9445A"/>
    <w:rsid w:val="5EFE2E50"/>
    <w:rsid w:val="5F055763"/>
    <w:rsid w:val="5F0F23DA"/>
    <w:rsid w:val="5F296CFF"/>
    <w:rsid w:val="5F5D4BFA"/>
    <w:rsid w:val="5F6B5569"/>
    <w:rsid w:val="5F775CBC"/>
    <w:rsid w:val="5F88611B"/>
    <w:rsid w:val="5F8E477B"/>
    <w:rsid w:val="5FE175D9"/>
    <w:rsid w:val="5FEB66AA"/>
    <w:rsid w:val="60031C46"/>
    <w:rsid w:val="600A4D82"/>
    <w:rsid w:val="6054424F"/>
    <w:rsid w:val="608F7035"/>
    <w:rsid w:val="60A2320D"/>
    <w:rsid w:val="60A76116"/>
    <w:rsid w:val="60BF3DBF"/>
    <w:rsid w:val="60D07D7A"/>
    <w:rsid w:val="60D84E80"/>
    <w:rsid w:val="60DB04CD"/>
    <w:rsid w:val="60EF3BA9"/>
    <w:rsid w:val="60F15F42"/>
    <w:rsid w:val="61194650"/>
    <w:rsid w:val="61265BEC"/>
    <w:rsid w:val="61371BA7"/>
    <w:rsid w:val="613D4CE3"/>
    <w:rsid w:val="61490800"/>
    <w:rsid w:val="6151078F"/>
    <w:rsid w:val="616E1341"/>
    <w:rsid w:val="6186757B"/>
    <w:rsid w:val="61AF5DE8"/>
    <w:rsid w:val="61B155C2"/>
    <w:rsid w:val="61C55405"/>
    <w:rsid w:val="61D2367E"/>
    <w:rsid w:val="61E12D57"/>
    <w:rsid w:val="622625A3"/>
    <w:rsid w:val="62774225"/>
    <w:rsid w:val="62894684"/>
    <w:rsid w:val="62AF39BF"/>
    <w:rsid w:val="62FB0BE7"/>
    <w:rsid w:val="62FD1D28"/>
    <w:rsid w:val="63365FCF"/>
    <w:rsid w:val="6357614B"/>
    <w:rsid w:val="63750765"/>
    <w:rsid w:val="638E5CCA"/>
    <w:rsid w:val="63B73872"/>
    <w:rsid w:val="63CA5825"/>
    <w:rsid w:val="641C6E32"/>
    <w:rsid w:val="64253DBE"/>
    <w:rsid w:val="64281C7B"/>
    <w:rsid w:val="64283A29"/>
    <w:rsid w:val="64597590"/>
    <w:rsid w:val="647E189B"/>
    <w:rsid w:val="64833355"/>
    <w:rsid w:val="6487730D"/>
    <w:rsid w:val="64A130EA"/>
    <w:rsid w:val="650224CC"/>
    <w:rsid w:val="65907AD8"/>
    <w:rsid w:val="65C21C5B"/>
    <w:rsid w:val="65C77271"/>
    <w:rsid w:val="65DD6A95"/>
    <w:rsid w:val="66124991"/>
    <w:rsid w:val="661701F9"/>
    <w:rsid w:val="662841B4"/>
    <w:rsid w:val="66326080"/>
    <w:rsid w:val="66391F1D"/>
    <w:rsid w:val="665F74AA"/>
    <w:rsid w:val="666F3B91"/>
    <w:rsid w:val="66C03A2B"/>
    <w:rsid w:val="670047E9"/>
    <w:rsid w:val="672D1B51"/>
    <w:rsid w:val="67344568"/>
    <w:rsid w:val="67395F4D"/>
    <w:rsid w:val="673D5A3D"/>
    <w:rsid w:val="673E5311"/>
    <w:rsid w:val="67535261"/>
    <w:rsid w:val="67550FD9"/>
    <w:rsid w:val="678054D1"/>
    <w:rsid w:val="67962EA7"/>
    <w:rsid w:val="67C717AB"/>
    <w:rsid w:val="68152516"/>
    <w:rsid w:val="683540E9"/>
    <w:rsid w:val="683F7593"/>
    <w:rsid w:val="684E3FC3"/>
    <w:rsid w:val="68790CF7"/>
    <w:rsid w:val="68863217"/>
    <w:rsid w:val="688A2F04"/>
    <w:rsid w:val="68BF2482"/>
    <w:rsid w:val="68CD4F2E"/>
    <w:rsid w:val="68E349D8"/>
    <w:rsid w:val="68E51EE8"/>
    <w:rsid w:val="69AE49D0"/>
    <w:rsid w:val="69C67F6C"/>
    <w:rsid w:val="69CE04C4"/>
    <w:rsid w:val="69F12B0F"/>
    <w:rsid w:val="6A002D52"/>
    <w:rsid w:val="6A042842"/>
    <w:rsid w:val="6A2C1D99"/>
    <w:rsid w:val="6A353738"/>
    <w:rsid w:val="6A527A52"/>
    <w:rsid w:val="6A77474D"/>
    <w:rsid w:val="6A82779B"/>
    <w:rsid w:val="6A8E65B0"/>
    <w:rsid w:val="6AA302AD"/>
    <w:rsid w:val="6ADF1441"/>
    <w:rsid w:val="6B022971"/>
    <w:rsid w:val="6B5576D8"/>
    <w:rsid w:val="6B746B99"/>
    <w:rsid w:val="6BAD2A66"/>
    <w:rsid w:val="6BD85D34"/>
    <w:rsid w:val="6BDD159D"/>
    <w:rsid w:val="6BEC17E0"/>
    <w:rsid w:val="6BF85EE0"/>
    <w:rsid w:val="6BFB5EC7"/>
    <w:rsid w:val="6C0552AC"/>
    <w:rsid w:val="6C0637C4"/>
    <w:rsid w:val="6C0C59DE"/>
    <w:rsid w:val="6C8B0FF9"/>
    <w:rsid w:val="6C8F3454"/>
    <w:rsid w:val="6C953C26"/>
    <w:rsid w:val="6CAE4CE7"/>
    <w:rsid w:val="6CBF2C32"/>
    <w:rsid w:val="6CE607D0"/>
    <w:rsid w:val="6CEA21C3"/>
    <w:rsid w:val="6D17288C"/>
    <w:rsid w:val="6D6E7BCF"/>
    <w:rsid w:val="6D82064E"/>
    <w:rsid w:val="6DD32C57"/>
    <w:rsid w:val="6DF40B85"/>
    <w:rsid w:val="6E113780"/>
    <w:rsid w:val="6E277B0B"/>
    <w:rsid w:val="6E3631E6"/>
    <w:rsid w:val="6E494CC8"/>
    <w:rsid w:val="6E562D48"/>
    <w:rsid w:val="6E5A6ED5"/>
    <w:rsid w:val="6E69536A"/>
    <w:rsid w:val="6EB42449"/>
    <w:rsid w:val="6EE55075"/>
    <w:rsid w:val="6EF07DBA"/>
    <w:rsid w:val="6EF32E85"/>
    <w:rsid w:val="6F15104E"/>
    <w:rsid w:val="6F1B2B08"/>
    <w:rsid w:val="6F2B0871"/>
    <w:rsid w:val="6F3239AE"/>
    <w:rsid w:val="6F5D4E25"/>
    <w:rsid w:val="6F9C351D"/>
    <w:rsid w:val="6FA97DFB"/>
    <w:rsid w:val="6FD1766A"/>
    <w:rsid w:val="6FDB6980"/>
    <w:rsid w:val="6FDD600F"/>
    <w:rsid w:val="6FE3075E"/>
    <w:rsid w:val="6FFB02DB"/>
    <w:rsid w:val="700B3298"/>
    <w:rsid w:val="703025E3"/>
    <w:rsid w:val="707A2683"/>
    <w:rsid w:val="70DA254F"/>
    <w:rsid w:val="71004202"/>
    <w:rsid w:val="710475CC"/>
    <w:rsid w:val="71087374"/>
    <w:rsid w:val="71265794"/>
    <w:rsid w:val="713779A1"/>
    <w:rsid w:val="71436346"/>
    <w:rsid w:val="71593474"/>
    <w:rsid w:val="71E005C4"/>
    <w:rsid w:val="71F118FE"/>
    <w:rsid w:val="71FD4747"/>
    <w:rsid w:val="720A0C12"/>
    <w:rsid w:val="721C3F61"/>
    <w:rsid w:val="72361A07"/>
    <w:rsid w:val="724265FE"/>
    <w:rsid w:val="72573E26"/>
    <w:rsid w:val="72712A3F"/>
    <w:rsid w:val="73233911"/>
    <w:rsid w:val="736D76AA"/>
    <w:rsid w:val="737F118B"/>
    <w:rsid w:val="738B5D82"/>
    <w:rsid w:val="743106D8"/>
    <w:rsid w:val="74942A15"/>
    <w:rsid w:val="74C2635F"/>
    <w:rsid w:val="750E239F"/>
    <w:rsid w:val="751B4DE5"/>
    <w:rsid w:val="752E10BB"/>
    <w:rsid w:val="753C5586"/>
    <w:rsid w:val="75534B2E"/>
    <w:rsid w:val="75763DA0"/>
    <w:rsid w:val="75A42ACC"/>
    <w:rsid w:val="75CB06B8"/>
    <w:rsid w:val="75F55735"/>
    <w:rsid w:val="765246D1"/>
    <w:rsid w:val="765949AE"/>
    <w:rsid w:val="76634D94"/>
    <w:rsid w:val="76654669"/>
    <w:rsid w:val="76780840"/>
    <w:rsid w:val="76796366"/>
    <w:rsid w:val="768C6099"/>
    <w:rsid w:val="76CE0460"/>
    <w:rsid w:val="76FA1255"/>
    <w:rsid w:val="772905E8"/>
    <w:rsid w:val="77360313"/>
    <w:rsid w:val="775268FF"/>
    <w:rsid w:val="775D19FB"/>
    <w:rsid w:val="776C1A27"/>
    <w:rsid w:val="777D6C79"/>
    <w:rsid w:val="77FF4BD7"/>
    <w:rsid w:val="78066D81"/>
    <w:rsid w:val="780C0BC5"/>
    <w:rsid w:val="78157F9B"/>
    <w:rsid w:val="783E36BD"/>
    <w:rsid w:val="78467662"/>
    <w:rsid w:val="789D27E0"/>
    <w:rsid w:val="78AB2AF6"/>
    <w:rsid w:val="78DD2BDC"/>
    <w:rsid w:val="78E26444"/>
    <w:rsid w:val="791A5BDE"/>
    <w:rsid w:val="792A3948"/>
    <w:rsid w:val="79522E9F"/>
    <w:rsid w:val="79667075"/>
    <w:rsid w:val="79701CA2"/>
    <w:rsid w:val="79A201CB"/>
    <w:rsid w:val="79A33E26"/>
    <w:rsid w:val="79B80F53"/>
    <w:rsid w:val="79C124FE"/>
    <w:rsid w:val="79F4095F"/>
    <w:rsid w:val="7A5B224F"/>
    <w:rsid w:val="7AA53BCD"/>
    <w:rsid w:val="7AE71AF0"/>
    <w:rsid w:val="7B1448AF"/>
    <w:rsid w:val="7B205002"/>
    <w:rsid w:val="7B2C7E4B"/>
    <w:rsid w:val="7B827A6B"/>
    <w:rsid w:val="7B954F14"/>
    <w:rsid w:val="7BEE6EAE"/>
    <w:rsid w:val="7C440305"/>
    <w:rsid w:val="7C7F1265"/>
    <w:rsid w:val="7CB315B9"/>
    <w:rsid w:val="7CB64C17"/>
    <w:rsid w:val="7D1943FF"/>
    <w:rsid w:val="7D6A3C5C"/>
    <w:rsid w:val="7D7F5021"/>
    <w:rsid w:val="7D8555F0"/>
    <w:rsid w:val="7D9D293A"/>
    <w:rsid w:val="7DB55ED6"/>
    <w:rsid w:val="7DB859C6"/>
    <w:rsid w:val="7DC4436B"/>
    <w:rsid w:val="7DED1FB1"/>
    <w:rsid w:val="7DEE7639"/>
    <w:rsid w:val="7E837D82"/>
    <w:rsid w:val="7E867872"/>
    <w:rsid w:val="7E8E6727"/>
    <w:rsid w:val="7E90329C"/>
    <w:rsid w:val="7EB47985"/>
    <w:rsid w:val="7EE36D11"/>
    <w:rsid w:val="7F294DD7"/>
    <w:rsid w:val="7F5A3D9F"/>
    <w:rsid w:val="7FA1112F"/>
    <w:rsid w:val="7FAD4202"/>
    <w:rsid w:val="7FAE7080"/>
    <w:rsid w:val="7FDD7A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2">
    <w:name w:val="Body Text Indent 2"/>
    <w:basedOn w:val="1"/>
    <w:link w:val="72"/>
    <w:qFormat/>
    <w:uiPriority w:val="0"/>
    <w:pPr>
      <w:snapToGrid w:val="0"/>
      <w:spacing w:line="560" w:lineRule="atLeast"/>
      <w:ind w:firstLine="54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next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4"/>
    <w:next w:val="1"/>
    <w:link w:val="75"/>
    <w:qFormat/>
    <w:uiPriority w:val="0"/>
    <w:pPr>
      <w:spacing w:after="120" w:afterLines="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99"/>
    <w:rPr>
      <w:sz w:val="21"/>
      <w:szCs w:val="21"/>
    </w:rPr>
  </w:style>
  <w:style w:type="character" w:styleId="66">
    <w:name w:val="footnote reference"/>
    <w:qFormat/>
    <w:uiPriority w:val="0"/>
    <w:rPr>
      <w:position w:val="6"/>
      <w:sz w:val="14"/>
      <w:vertAlign w:val="superscript"/>
    </w:rPr>
  </w:style>
  <w:style w:type="character" w:customStyle="1" w:styleId="67">
    <w:name w:val=" Char Char19"/>
    <w:link w:val="4"/>
    <w:qFormat/>
    <w:uiPriority w:val="0"/>
    <w:rPr>
      <w:rFonts w:ascii="Arial" w:hAnsi="Arial" w:eastAsia="黑体"/>
      <w:b/>
      <w:kern w:val="2"/>
      <w:sz w:val="32"/>
    </w:rPr>
  </w:style>
  <w:style w:type="character" w:customStyle="1" w:styleId="68">
    <w:name w:val=" Char Char18"/>
    <w:link w:val="5"/>
    <w:qFormat/>
    <w:uiPriority w:val="0"/>
    <w:rPr>
      <w:rFonts w:eastAsia="宋体"/>
      <w:b/>
      <w:kern w:val="2"/>
      <w:sz w:val="32"/>
      <w:lang w:val="en-US" w:eastAsia="zh-CN"/>
    </w:rPr>
  </w:style>
  <w:style w:type="character" w:customStyle="1" w:styleId="69">
    <w:name w:val=" Char Char13"/>
    <w:link w:val="20"/>
    <w:qFormat/>
    <w:uiPriority w:val="0"/>
    <w:rPr>
      <w:sz w:val="24"/>
    </w:rPr>
  </w:style>
  <w:style w:type="character" w:customStyle="1" w:styleId="70">
    <w:name w:val=" Char Char12"/>
    <w:link w:val="24"/>
    <w:qFormat/>
    <w:uiPriority w:val="0"/>
    <w:rPr>
      <w:kern w:val="2"/>
      <w:sz w:val="44"/>
    </w:rPr>
  </w:style>
  <w:style w:type="character" w:customStyle="1" w:styleId="71">
    <w:name w:val=" Char Char10"/>
    <w:link w:val="33"/>
    <w:qFormat/>
    <w:uiPriority w:val="0"/>
    <w:rPr>
      <w:kern w:val="2"/>
      <w:sz w:val="28"/>
    </w:rPr>
  </w:style>
  <w:style w:type="character" w:customStyle="1" w:styleId="72">
    <w:name w:val=" Char Char17"/>
    <w:link w:val="2"/>
    <w:qFormat/>
    <w:uiPriority w:val="0"/>
    <w:rPr>
      <w:kern w:val="2"/>
      <w:sz w:val="28"/>
    </w:rPr>
  </w:style>
  <w:style w:type="character" w:customStyle="1" w:styleId="73">
    <w:name w:val=" Char Char14"/>
    <w:link w:val="40"/>
    <w:qFormat/>
    <w:uiPriority w:val="0"/>
    <w:rPr>
      <w:kern w:val="2"/>
      <w:sz w:val="18"/>
    </w:rPr>
  </w:style>
  <w:style w:type="character" w:customStyle="1" w:styleId="74">
    <w:name w:val=" Char Char9"/>
    <w:basedOn w:val="69"/>
    <w:link w:val="54"/>
    <w:qFormat/>
    <w:uiPriority w:val="0"/>
  </w:style>
  <w:style w:type="character" w:customStyle="1" w:styleId="75">
    <w:name w:val=" Char Char15"/>
    <w:basedOn w:val="70"/>
    <w:link w:val="56"/>
    <w:qFormat/>
    <w:uiPriority w:val="0"/>
  </w:style>
  <w:style w:type="character" w:customStyle="1" w:styleId="76">
    <w:name w:val="title_emph1"/>
    <w:qFormat/>
    <w:uiPriority w:val="0"/>
    <w:rPr>
      <w:rFonts w:hint="default" w:ascii="Arial" w:hAnsi="Arial"/>
      <w:b/>
      <w:sz w:val="20"/>
    </w:rPr>
  </w:style>
  <w:style w:type="character" w:customStyle="1" w:styleId="77">
    <w:name w:val=" Char Char3"/>
    <w:qFormat/>
    <w:uiPriority w:val="0"/>
    <w:rPr>
      <w:rFonts w:eastAsia="宋体"/>
      <w:kern w:val="2"/>
      <w:sz w:val="18"/>
      <w:lang w:val="en-US" w:eastAsia="zh-CN"/>
    </w:rPr>
  </w:style>
  <w:style w:type="character" w:customStyle="1" w:styleId="78">
    <w:name w:val=" Char Char"/>
    <w:qFormat/>
    <w:uiPriority w:val="0"/>
    <w:rPr>
      <w:rFonts w:ascii="宋体" w:hAnsi="宋体" w:eastAsia="宋体"/>
      <w:kern w:val="2"/>
      <w:sz w:val="24"/>
      <w:lang w:val="en-US" w:eastAsia="zh-CN" w:bidi="ar-SA"/>
    </w:rPr>
  </w:style>
  <w:style w:type="character" w:customStyle="1" w:styleId="79">
    <w:name w:val=" Char Char11"/>
    <w:qFormat/>
    <w:uiPriority w:val="0"/>
    <w:rPr>
      <w:rFonts w:ascii="宋体"/>
      <w:kern w:val="2"/>
      <w:sz w:val="28"/>
    </w:rPr>
  </w:style>
  <w:style w:type="character" w:customStyle="1" w:styleId="80">
    <w:name w:val="标书正文:  0.74 厘米 Char1"/>
    <w:qFormat/>
    <w:uiPriority w:val="0"/>
    <w:rPr>
      <w:rFonts w:eastAsia="宋体"/>
      <w:kern w:val="2"/>
      <w:sz w:val="24"/>
      <w:lang w:val="en-US" w:eastAsia="zh-CN"/>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正文 + 三号 Char"/>
    <w:qFormat/>
    <w:uiPriority w:val="0"/>
    <w:rPr>
      <w:rFonts w:eastAsia="宋体"/>
      <w:kern w:val="2"/>
      <w:sz w:val="21"/>
      <w:lang w:val="en-US" w:eastAsia="zh-CN"/>
    </w:rPr>
  </w:style>
  <w:style w:type="character" w:customStyle="1" w:styleId="83">
    <w:name w:val="v151"/>
    <w:qFormat/>
    <w:uiPriority w:val="0"/>
    <w:rPr>
      <w:sz w:val="18"/>
    </w:rPr>
  </w:style>
  <w:style w:type="character" w:customStyle="1" w:styleId="84">
    <w:name w:val=" Char Char4"/>
    <w:qFormat/>
    <w:uiPriority w:val="0"/>
    <w:rPr>
      <w:rFonts w:eastAsia="宋体"/>
      <w:b/>
      <w:kern w:val="2"/>
      <w:sz w:val="21"/>
      <w:lang w:val="en-US" w:eastAsia="zh-CN"/>
    </w:rPr>
  </w:style>
  <w:style w:type="character" w:customStyle="1" w:styleId="85">
    <w:name w:val="content-white1"/>
    <w:qFormat/>
    <w:uiPriority w:val="0"/>
    <w:rPr>
      <w:rFonts w:ascii="_x000B__x000C_" w:hAnsi="_x000B__x000C_"/>
      <w:color w:val="auto"/>
      <w:sz w:val="18"/>
      <w:u w:val="none"/>
    </w:rPr>
  </w:style>
  <w:style w:type="character" w:customStyle="1" w:styleId="86">
    <w:name w:val="top-det1"/>
    <w:qFormat/>
    <w:uiPriority w:val="0"/>
    <w:rPr>
      <w:b/>
      <w:color w:val="000000"/>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font11"/>
    <w:basedOn w:val="59"/>
    <w:qFormat/>
    <w:uiPriority w:val="99"/>
    <w:rPr>
      <w:rFonts w:ascii="宋体" w:hAnsi="宋体" w:eastAsia="宋体" w:cs="宋体"/>
      <w:b/>
      <w:color w:val="000000"/>
      <w:sz w:val="21"/>
      <w:szCs w:val="21"/>
      <w:u w:val="none"/>
    </w:rPr>
  </w:style>
  <w:style w:type="character" w:customStyle="1" w:styleId="89">
    <w:name w:val="Table Text Char Char Char Char"/>
    <w:link w:val="90"/>
    <w:qFormat/>
    <w:uiPriority w:val="0"/>
    <w:rPr>
      <w:rFonts w:ascii="Arial" w:hAnsi="Arial"/>
      <w:kern w:val="2"/>
      <w:sz w:val="18"/>
      <w:lang w:val="en-US" w:eastAsia="zh-CN" w:bidi="ar-SA"/>
    </w:rPr>
  </w:style>
  <w:style w:type="paragraph" w:customStyle="1" w:styleId="90">
    <w:name w:val="Table Text Char Char Char"/>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Table Text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 Char Char2"/>
    <w:qFormat/>
    <w:uiPriority w:val="0"/>
    <w:rPr>
      <w:rFonts w:eastAsia="宋体"/>
      <w:kern w:val="2"/>
      <w:sz w:val="18"/>
      <w:lang w:val="en-US" w:eastAsia="zh-CN"/>
    </w:rPr>
  </w:style>
  <w:style w:type="character" w:customStyle="1" w:styleId="94">
    <w:name w:val="文字 Char"/>
    <w:link w:val="95"/>
    <w:qFormat/>
    <w:uiPriority w:val="0"/>
    <w:rPr>
      <w:rFonts w:ascii="宋体"/>
      <w:kern w:val="2"/>
      <w:sz w:val="28"/>
    </w:rPr>
  </w:style>
  <w:style w:type="paragraph" w:customStyle="1" w:styleId="95">
    <w:name w:val="文字"/>
    <w:basedOn w:val="1"/>
    <w:link w:val="94"/>
    <w:qFormat/>
    <w:uiPriority w:val="0"/>
    <w:pPr>
      <w:tabs>
        <w:tab w:val="left" w:pos="8520"/>
      </w:tabs>
      <w:spacing w:line="312" w:lineRule="auto"/>
      <w:ind w:right="-210" w:firstLine="556"/>
    </w:pPr>
    <w:rPr>
      <w:rFonts w:ascii="宋体"/>
    </w:rPr>
  </w:style>
  <w:style w:type="character" w:customStyle="1" w:styleId="96">
    <w:name w:val="font21"/>
    <w:basedOn w:val="59"/>
    <w:qFormat/>
    <w:uiPriority w:val="99"/>
    <w:rPr>
      <w:rFonts w:ascii="Calibri" w:hAnsi="Calibri" w:cs="Calibri"/>
      <w:color w:val="000000"/>
      <w:sz w:val="21"/>
      <w:szCs w:val="21"/>
      <w:u w:val="none"/>
    </w:rPr>
  </w:style>
  <w:style w:type="character" w:customStyle="1" w:styleId="97">
    <w:name w:val="未命名11"/>
    <w:qFormat/>
    <w:uiPriority w:val="0"/>
    <w:rPr>
      <w:color w:val="77FFFF"/>
      <w:sz w:val="24"/>
    </w:rPr>
  </w:style>
  <w:style w:type="character" w:customStyle="1" w:styleId="98">
    <w:name w:val="样式 宋体"/>
    <w:qFormat/>
    <w:uiPriority w:val="0"/>
    <w:rPr>
      <w:rFonts w:ascii="宋体" w:hAnsi="宋体" w:eastAsia="宋体"/>
      <w:sz w:val="28"/>
    </w:rPr>
  </w:style>
  <w:style w:type="character" w:customStyle="1" w:styleId="99">
    <w:name w:val="font41"/>
    <w:basedOn w:val="59"/>
    <w:qFormat/>
    <w:uiPriority w:val="99"/>
    <w:rPr>
      <w:rFonts w:ascii="宋体" w:hAnsi="宋体" w:eastAsia="宋体" w:cs="宋体"/>
      <w:color w:val="000000"/>
      <w:sz w:val="21"/>
      <w:szCs w:val="21"/>
      <w:u w:val="none"/>
    </w:rPr>
  </w:style>
  <w:style w:type="character" w:customStyle="1" w:styleId="100">
    <w:name w:val=" Char Char6"/>
    <w:qFormat/>
    <w:uiPriority w:val="0"/>
    <w:rPr>
      <w:rFonts w:ascii="仿宋_GB2312" w:eastAsia="仿宋_GB2312"/>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font1"/>
    <w:qFormat/>
    <w:uiPriority w:val="0"/>
    <w:rPr>
      <w:color w:val="000000"/>
      <w:sz w:val="18"/>
    </w:rPr>
  </w:style>
  <w:style w:type="character" w:customStyle="1" w:styleId="103">
    <w:name w:val=" Char Char7"/>
    <w:qFormat/>
    <w:uiPriority w:val="0"/>
    <w:rPr>
      <w:rFonts w:ascii="宋体" w:hAnsi="宋体" w:eastAsia="宋体"/>
      <w:kern w:val="2"/>
      <w:sz w:val="28"/>
    </w:rPr>
  </w:style>
  <w:style w:type="character" w:customStyle="1" w:styleId="104">
    <w:name w:val="Plain Text Char"/>
    <w:basedOn w:val="59"/>
    <w:link w:val="105"/>
    <w:qFormat/>
    <w:locked/>
    <w:uiPriority w:val="99"/>
    <w:rPr>
      <w:rFonts w:ascii="宋体" w:hAnsi="Courier New" w:cs="Courier New"/>
      <w:sz w:val="21"/>
      <w:szCs w:val="21"/>
    </w:rPr>
  </w:style>
  <w:style w:type="paragraph" w:customStyle="1" w:styleId="105">
    <w:name w:val="Plain Text1"/>
    <w:basedOn w:val="1"/>
    <w:link w:val="104"/>
    <w:qFormat/>
    <w:uiPriority w:val="99"/>
    <w:rPr>
      <w:rFonts w:ascii="宋体" w:hAnsi="Courier New" w:cs="Courier New"/>
      <w:kern w:val="0"/>
      <w:sz w:val="21"/>
      <w:szCs w:val="21"/>
    </w:rPr>
  </w:style>
  <w:style w:type="character" w:customStyle="1" w:styleId="106">
    <w:name w:val="crowed11"/>
    <w:qFormat/>
    <w:uiPriority w:val="0"/>
    <w:rPr>
      <w:rFonts w:hint="default" w:ascii="_x000B__x000C_" w:hAnsi="_x000B__x000C_"/>
      <w:sz w:val="24"/>
    </w:rPr>
  </w:style>
  <w:style w:type="character" w:customStyle="1" w:styleId="107">
    <w:name w:val="font01"/>
    <w:basedOn w:val="59"/>
    <w:qFormat/>
    <w:uiPriority w:val="99"/>
    <w:rPr>
      <w:rFonts w:ascii="宋体" w:hAnsi="宋体" w:eastAsia="宋体" w:cs="宋体"/>
      <w:color w:val="000000"/>
      <w:sz w:val="24"/>
      <w:szCs w:val="24"/>
      <w:u w:val="none"/>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Table Text Char1 Char"/>
    <w:qFormat/>
    <w:uiPriority w:val="0"/>
    <w:rPr>
      <w:rFonts w:ascii="Arial" w:hAnsi="Arial"/>
      <w:kern w:val="2"/>
      <w:sz w:val="18"/>
      <w:lang w:val="en-US" w:eastAsia="zh-CN" w:bidi="ar-SA"/>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简单回函地址"/>
    <w:basedOn w:val="1"/>
    <w:qFormat/>
    <w:uiPriority w:val="0"/>
    <w:pPr>
      <w:adjustRightInd w:val="0"/>
      <w:snapToGrid w:val="0"/>
      <w:spacing w:line="360" w:lineRule="auto"/>
    </w:pPr>
    <w:rPr>
      <w:sz w:val="24"/>
    </w:rPr>
  </w:style>
  <w:style w:type="paragraph" w:customStyle="1" w:styleId="112">
    <w:name w:val=" Char2 Char Char Char Char Char Char"/>
    <w:basedOn w:val="1"/>
    <w:qFormat/>
    <w:uiPriority w:val="0"/>
    <w:rPr>
      <w:rFonts w:ascii="仿宋_GB2312"/>
      <w:b/>
      <w:sz w:val="30"/>
    </w:rPr>
  </w:style>
  <w:style w:type="paragraph" w:customStyle="1" w:styleId="113">
    <w:name w:val="Default"/>
    <w:next w:val="11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4">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1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6">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17">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18">
    <w:name w:val=" Char Char1 Char"/>
    <w:basedOn w:val="1"/>
    <w:qFormat/>
    <w:uiPriority w:val="0"/>
    <w:rPr>
      <w:rFonts w:ascii="Tahoma" w:hAnsi="Tahoma"/>
      <w:sz w:val="24"/>
      <w:szCs w:val="24"/>
    </w:rPr>
  </w:style>
  <w:style w:type="paragraph" w:customStyle="1" w:styleId="1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0">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24">
    <w:name w:val="二级列表"/>
    <w:basedOn w:val="125"/>
    <w:next w:val="125"/>
    <w:qFormat/>
    <w:uiPriority w:val="0"/>
    <w:pPr>
      <w:tabs>
        <w:tab w:val="left" w:pos="2120"/>
      </w:tabs>
      <w:ind w:firstLine="0" w:firstLineChars="0"/>
    </w:pPr>
    <w:rPr>
      <w:b/>
    </w:rPr>
  </w:style>
  <w:style w:type="paragraph" w:customStyle="1" w:styleId="12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6">
    <w:name w:val="二级条标题"/>
    <w:basedOn w:val="127"/>
    <w:next w:val="129"/>
    <w:qFormat/>
    <w:uiPriority w:val="0"/>
    <w:pPr>
      <w:ind w:left="840"/>
      <w:outlineLvl w:val="3"/>
    </w:pPr>
  </w:style>
  <w:style w:type="paragraph" w:customStyle="1" w:styleId="127">
    <w:name w:val="一级条标题"/>
    <w:basedOn w:val="128"/>
    <w:next w:val="129"/>
    <w:qFormat/>
    <w:uiPriority w:val="0"/>
    <w:pPr>
      <w:numPr>
        <w:ilvl w:val="1"/>
        <w:numId w:val="0"/>
      </w:numPr>
      <w:spacing w:before="0" w:beforeLines="0" w:beforeAutospacing="0" w:after="0" w:afterLines="0" w:afterAutospacing="0"/>
      <w:ind w:left="525"/>
      <w:outlineLvl w:val="2"/>
    </w:pPr>
    <w:rPr>
      <w:sz w:val="21"/>
    </w:rPr>
  </w:style>
  <w:style w:type="paragraph" w:customStyle="1" w:styleId="12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5">
    <w:name w:val="首行缩进 1"/>
    <w:basedOn w:val="1"/>
    <w:qFormat/>
    <w:uiPriority w:val="0"/>
    <w:pPr>
      <w:spacing w:after="120" w:afterLines="0" w:afterAutospacing="0" w:line="360" w:lineRule="auto"/>
      <w:ind w:firstLine="200" w:firstLineChars="200"/>
    </w:pPr>
    <w:rPr>
      <w:sz w:val="24"/>
    </w:rPr>
  </w:style>
  <w:style w:type="paragraph" w:customStyle="1" w:styleId="136">
    <w:name w:val="首行缩进"/>
    <w:basedOn w:val="1"/>
    <w:qFormat/>
    <w:uiPriority w:val="0"/>
    <w:pPr>
      <w:numPr>
        <w:ilvl w:val="0"/>
        <w:numId w:val="7"/>
      </w:numPr>
      <w:spacing w:line="360" w:lineRule="auto"/>
    </w:pPr>
    <w:rPr>
      <w:rFonts w:eastAsia="仿宋_GB2312"/>
    </w:rPr>
  </w:style>
  <w:style w:type="paragraph" w:customStyle="1" w:styleId="13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4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4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Title - Revision"/>
    <w:basedOn w:val="53"/>
    <w:qFormat/>
    <w:uiPriority w:val="0"/>
    <w:pPr>
      <w:spacing w:before="720" w:beforeLines="0" w:beforeAutospacing="0"/>
    </w:pPr>
  </w:style>
  <w:style w:type="paragraph" w:customStyle="1" w:styleId="144">
    <w:name w:val=" Char Char Char Char Char Char Char"/>
    <w:basedOn w:val="1"/>
    <w:qFormat/>
    <w:uiPriority w:val="0"/>
    <w:rPr>
      <w:rFonts w:ascii="Tahoma" w:hAnsi="Tahoma"/>
      <w:sz w:val="24"/>
    </w:rPr>
  </w:style>
  <w:style w:type="paragraph" w:customStyle="1" w:styleId="14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6">
    <w:name w:val="1"/>
    <w:basedOn w:val="1"/>
    <w:next w:val="31"/>
    <w:qFormat/>
    <w:uiPriority w:val="0"/>
    <w:rPr>
      <w:rFonts w:ascii="宋体" w:hAnsi="Courier New"/>
      <w:sz w:val="21"/>
    </w:rPr>
  </w:style>
  <w:style w:type="paragraph" w:customStyle="1" w:styleId="14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8">
    <w:name w:val="文本1"/>
    <w:basedOn w:val="1"/>
    <w:qFormat/>
    <w:uiPriority w:val="0"/>
    <w:pPr>
      <w:adjustRightInd w:val="0"/>
      <w:spacing w:line="312" w:lineRule="atLeast"/>
      <w:jc w:val="center"/>
      <w:textAlignment w:val="baseline"/>
    </w:pPr>
    <w:rPr>
      <w:kern w:val="0"/>
      <w:sz w:val="18"/>
    </w:rPr>
  </w:style>
  <w:style w:type="paragraph" w:customStyle="1" w:styleId="149">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50">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51">
    <w:name w:val="可研正文"/>
    <w:basedOn w:val="23"/>
    <w:qFormat/>
    <w:uiPriority w:val="0"/>
    <w:pPr>
      <w:adjustRightInd w:val="0"/>
      <w:snapToGrid w:val="0"/>
      <w:spacing w:line="440" w:lineRule="exact"/>
      <w:ind w:firstLine="567"/>
    </w:pPr>
    <w:rPr>
      <w:sz w:val="28"/>
    </w:rPr>
  </w:style>
  <w:style w:type="paragraph" w:customStyle="1" w:styleId="152">
    <w:name w:val="正文 + 三号"/>
    <w:basedOn w:val="1"/>
    <w:qFormat/>
    <w:uiPriority w:val="0"/>
    <w:rPr>
      <w:sz w:val="21"/>
    </w:rPr>
  </w:style>
  <w:style w:type="paragraph" w:customStyle="1" w:styleId="15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54">
    <w:name w:val="标书正文:  0.74 厘米"/>
    <w:basedOn w:val="1"/>
    <w:qFormat/>
    <w:uiPriority w:val="0"/>
    <w:pPr>
      <w:snapToGrid w:val="0"/>
      <w:spacing w:line="360" w:lineRule="auto"/>
      <w:ind w:firstLine="420"/>
    </w:pPr>
    <w:rPr>
      <w:sz w:val="24"/>
    </w:rPr>
  </w:style>
  <w:style w:type="paragraph" w:customStyle="1" w:styleId="15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56">
    <w:name w:val="正文（首行不缩进）"/>
    <w:basedOn w:val="1"/>
    <w:qFormat/>
    <w:uiPriority w:val="0"/>
    <w:pPr>
      <w:autoSpaceDE w:val="0"/>
      <w:autoSpaceDN w:val="0"/>
      <w:adjustRightInd w:val="0"/>
      <w:spacing w:line="360" w:lineRule="auto"/>
      <w:jc w:val="left"/>
    </w:pPr>
    <w:rPr>
      <w:kern w:val="0"/>
      <w:sz w:val="21"/>
    </w:rPr>
  </w:style>
  <w:style w:type="paragraph" w:customStyle="1" w:styleId="157">
    <w:name w:val="表头文本"/>
    <w:qFormat/>
    <w:uiPriority w:val="0"/>
    <w:pPr>
      <w:jc w:val="center"/>
    </w:pPr>
    <w:rPr>
      <w:rFonts w:ascii="Arial" w:hAnsi="Arial" w:eastAsia="宋体" w:cs="Times New Roman"/>
      <w:b/>
      <w:sz w:val="21"/>
      <w:lang w:val="en-US" w:eastAsia="zh-CN" w:bidi="ar-SA"/>
    </w:rPr>
  </w:style>
  <w:style w:type="paragraph" w:customStyle="1" w:styleId="15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2">
    <w:name w:val="样式1xz"/>
    <w:basedOn w:val="1"/>
    <w:qFormat/>
    <w:uiPriority w:val="0"/>
    <w:pPr>
      <w:tabs>
        <w:tab w:val="left" w:pos="1050"/>
        <w:tab w:val="right" w:leader="dot" w:pos="8296"/>
      </w:tabs>
    </w:pPr>
    <w:rPr>
      <w:caps/>
      <w:spacing w:val="20"/>
      <w:sz w:val="24"/>
    </w:rPr>
  </w:style>
  <w:style w:type="paragraph" w:customStyle="1" w:styleId="163">
    <w:name w:val=" Char Char Char Char Char Char Char Char Char Char Char Char Char Char Char Char"/>
    <w:basedOn w:val="1"/>
    <w:qFormat/>
    <w:uiPriority w:val="0"/>
    <w:pPr>
      <w:tabs>
        <w:tab w:val="left" w:pos="360"/>
      </w:tabs>
    </w:pPr>
    <w:rPr>
      <w:sz w:val="24"/>
    </w:rPr>
  </w:style>
  <w:style w:type="paragraph" w:customStyle="1" w:styleId="164">
    <w:name w:val="样式4"/>
    <w:basedOn w:val="6"/>
    <w:qFormat/>
    <w:uiPriority w:val="0"/>
    <w:pPr>
      <w:adjustRightInd w:val="0"/>
      <w:snapToGrid w:val="0"/>
    </w:pPr>
  </w:style>
  <w:style w:type="paragraph" w:customStyle="1" w:styleId="165">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8">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宋体 五号 行距: 单倍行距"/>
    <w:basedOn w:val="1"/>
    <w:qFormat/>
    <w:uiPriority w:val="0"/>
    <w:pPr>
      <w:adjustRightInd w:val="0"/>
      <w:jc w:val="left"/>
    </w:pPr>
    <w:rPr>
      <w:rFonts w:ascii="宋体" w:hAnsi="宋体"/>
      <w:kern w:val="0"/>
      <w:sz w:val="21"/>
    </w:rPr>
  </w:style>
  <w:style w:type="paragraph" w:customStyle="1" w:styleId="171">
    <w:name w:val=" Char1"/>
    <w:basedOn w:val="1"/>
    <w:qFormat/>
    <w:uiPriority w:val="0"/>
    <w:rPr>
      <w:sz w:val="21"/>
    </w:rPr>
  </w:style>
  <w:style w:type="paragraph" w:customStyle="1" w:styleId="172">
    <w:name w:val=" Char1 Char Char Char"/>
    <w:basedOn w:val="1"/>
    <w:qFormat/>
    <w:uiPriority w:val="0"/>
    <w:rPr>
      <w:rFonts w:ascii="Tahoma" w:hAnsi="Tahoma"/>
      <w:sz w:val="24"/>
    </w:rPr>
  </w:style>
  <w:style w:type="paragraph" w:customStyle="1" w:styleId="173">
    <w:name w:val="正文1"/>
    <w:basedOn w:val="1"/>
    <w:qFormat/>
    <w:uiPriority w:val="0"/>
    <w:pPr>
      <w:spacing w:line="300" w:lineRule="auto"/>
      <w:ind w:firstLine="200" w:firstLineChars="200"/>
    </w:pPr>
    <w:rPr>
      <w:sz w:val="24"/>
    </w:rPr>
  </w:style>
  <w:style w:type="paragraph" w:customStyle="1" w:styleId="174">
    <w:name w:val=" Char"/>
    <w:basedOn w:val="1"/>
    <w:qFormat/>
    <w:uiPriority w:val="0"/>
    <w:pPr>
      <w:spacing w:line="240" w:lineRule="atLeast"/>
      <w:ind w:left="420" w:firstLine="420"/>
    </w:pPr>
    <w:rPr>
      <w:kern w:val="0"/>
      <w:sz w:val="21"/>
    </w:rPr>
  </w:style>
  <w:style w:type="paragraph" w:customStyle="1" w:styleId="17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79">
    <w:name w:val="内容标题"/>
    <w:basedOn w:val="18"/>
    <w:qFormat/>
    <w:uiPriority w:val="0"/>
    <w:rPr>
      <w:rFonts w:ascii="Tahoma" w:hAnsi="Tahoma"/>
      <w:sz w:val="24"/>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图片文字"/>
    <w:basedOn w:val="1"/>
    <w:qFormat/>
    <w:uiPriority w:val="0"/>
    <w:pPr>
      <w:spacing w:line="240" w:lineRule="atLeast"/>
      <w:jc w:val="center"/>
    </w:pPr>
    <w:rPr>
      <w:sz w:val="21"/>
    </w:rPr>
  </w:style>
  <w:style w:type="paragraph" w:customStyle="1" w:styleId="184">
    <w:name w:val="表格内文字"/>
    <w:basedOn w:val="31"/>
    <w:qFormat/>
    <w:uiPriority w:val="0"/>
    <w:pPr>
      <w:adjustRightInd w:val="0"/>
    </w:pPr>
    <w:rPr>
      <w:color w:val="000000"/>
      <w:lang w:val="en-GB"/>
    </w:rPr>
  </w:style>
  <w:style w:type="paragraph" w:customStyle="1" w:styleId="185">
    <w:name w:val="样式 行距: 1.5 倍行距1"/>
    <w:basedOn w:val="1"/>
    <w:qFormat/>
    <w:uiPriority w:val="0"/>
    <w:pPr>
      <w:snapToGrid w:val="0"/>
    </w:pPr>
    <w:rPr>
      <w:sz w:val="21"/>
    </w:r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7">
    <w:name w:val="Table Contents"/>
    <w:basedOn w:val="23"/>
    <w:qFormat/>
    <w:uiPriority w:val="0"/>
    <w:pPr>
      <w:suppressAutoHyphens/>
      <w:jc w:val="left"/>
    </w:pPr>
    <w:rPr>
      <w:rFonts w:ascii="Times New Roman" w:eastAsia="Times New Roman"/>
      <w:kern w:val="0"/>
      <w:sz w:val="24"/>
    </w:rPr>
  </w:style>
  <w:style w:type="paragraph" w:customStyle="1" w:styleId="188">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89">
    <w:name w:val="表格正文"/>
    <w:basedOn w:val="1"/>
    <w:qFormat/>
    <w:uiPriority w:val="0"/>
    <w:rPr>
      <w:rFonts w:ascii="Calibri" w:hAnsi="Calibri" w:eastAsia="仿宋" w:cs="宋体"/>
      <w:sz w:val="24"/>
    </w:rPr>
  </w:style>
  <w:style w:type="paragraph" w:customStyle="1" w:styleId="190">
    <w:name w:val="编号正文"/>
    <w:basedOn w:val="130"/>
    <w:qFormat/>
    <w:uiPriority w:val="0"/>
    <w:pPr>
      <w:snapToGrid/>
      <w:spacing w:line="360" w:lineRule="auto"/>
      <w:ind w:left="1407" w:hanging="1047"/>
      <w:jc w:val="left"/>
    </w:pPr>
    <w:rPr>
      <w:rFonts w:eastAsia="仿宋_GB2312"/>
    </w:rPr>
  </w:style>
  <w:style w:type="paragraph" w:customStyle="1" w:styleId="19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2">
    <w:name w:val="表头"/>
    <w:basedOn w:val="189"/>
    <w:qFormat/>
    <w:uiPriority w:val="0"/>
    <w:pPr>
      <w:jc w:val="center"/>
    </w:pPr>
    <w:rPr>
      <w:b/>
      <w:bCs/>
    </w:rPr>
  </w:style>
  <w:style w:type="paragraph" w:customStyle="1" w:styleId="193">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4">
    <w:name w:val="Char Char Char Char Char Char Char"/>
    <w:basedOn w:val="18"/>
    <w:qFormat/>
    <w:uiPriority w:val="0"/>
    <w:rPr>
      <w:rFonts w:ascii="宋体" w:hAnsi="Tahoma"/>
    </w:rPr>
  </w:style>
  <w:style w:type="paragraph" w:customStyle="1" w:styleId="195">
    <w:name w:val="Char1 Char Char Char"/>
    <w:basedOn w:val="1"/>
    <w:qFormat/>
    <w:uiPriority w:val="0"/>
    <w:rPr>
      <w:rFonts w:ascii="Tahoma" w:hAnsi="Tahoma"/>
      <w:sz w:val="30"/>
    </w:rPr>
  </w:style>
  <w:style w:type="paragraph" w:customStyle="1" w:styleId="196">
    <w:name w:val="表格文本"/>
    <w:qFormat/>
    <w:uiPriority w:val="0"/>
    <w:pPr>
      <w:tabs>
        <w:tab w:val="decimal" w:pos="0"/>
      </w:tabs>
    </w:pPr>
    <w:rPr>
      <w:rFonts w:ascii="Arial" w:hAnsi="Arial" w:eastAsia="宋体" w:cs="Times New Roman"/>
      <w:sz w:val="21"/>
      <w:lang w:val="en-US" w:eastAsia="zh-CN" w:bidi="ar-SA"/>
    </w:rPr>
  </w:style>
  <w:style w:type="paragraph" w:customStyle="1" w:styleId="19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98">
    <w:name w:val="修订"/>
    <w:qFormat/>
    <w:uiPriority w:val="0"/>
    <w:rPr>
      <w:rFonts w:ascii="Times New Roman" w:hAnsi="Times New Roman" w:eastAsia="宋体" w:cs="Times New Roman"/>
      <w:kern w:val="2"/>
      <w:sz w:val="21"/>
      <w:lang w:val="en-US" w:eastAsia="zh-CN" w:bidi="ar-SA"/>
    </w:rPr>
  </w:style>
  <w:style w:type="paragraph" w:customStyle="1" w:styleId="199">
    <w:name w:val="Char"/>
    <w:basedOn w:val="1"/>
    <w:qFormat/>
    <w:uiPriority w:val="0"/>
    <w:pPr>
      <w:spacing w:line="240" w:lineRule="atLeast"/>
      <w:ind w:left="420" w:firstLine="420"/>
    </w:pPr>
    <w:rPr>
      <w:kern w:val="0"/>
      <w:sz w:val="21"/>
    </w:rPr>
  </w:style>
  <w:style w:type="paragraph" w:customStyle="1" w:styleId="200">
    <w:name w:val=" Char Char Char"/>
    <w:basedOn w:val="1"/>
    <w:qFormat/>
    <w:uiPriority w:val="0"/>
    <w:rPr>
      <w:rFonts w:ascii="Tahoma" w:hAnsi="Tahoma"/>
      <w:sz w:val="24"/>
    </w:rPr>
  </w:style>
  <w:style w:type="paragraph" w:customStyle="1" w:styleId="201">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2">
    <w:name w:val="默认段落字体 Para Char Char Char Char Char Char Char Char Char1 Char Char Char Char"/>
    <w:basedOn w:val="1"/>
    <w:qFormat/>
    <w:uiPriority w:val="0"/>
    <w:rPr>
      <w:rFonts w:ascii="Tahoma" w:hAnsi="Tahoma"/>
      <w:sz w:val="24"/>
    </w:rPr>
  </w:style>
  <w:style w:type="paragraph" w:customStyle="1" w:styleId="20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4">
    <w:name w:val="默认段落字体 Para Char Char Char Char Char Char Char"/>
    <w:basedOn w:val="1"/>
    <w:qFormat/>
    <w:uiPriority w:val="0"/>
    <w:rPr>
      <w:rFonts w:ascii="Tahoma" w:hAnsi="Tahoma"/>
      <w:sz w:val="24"/>
    </w:rPr>
  </w:style>
  <w:style w:type="paragraph" w:customStyle="1" w:styleId="205">
    <w:name w:val="表头样式"/>
    <w:basedOn w:val="1"/>
    <w:qFormat/>
    <w:uiPriority w:val="0"/>
    <w:pPr>
      <w:autoSpaceDE w:val="0"/>
      <w:autoSpaceDN w:val="0"/>
      <w:adjustRightInd w:val="0"/>
      <w:spacing w:line="360" w:lineRule="auto"/>
      <w:jc w:val="left"/>
    </w:pPr>
    <w:rPr>
      <w:b/>
      <w:kern w:val="0"/>
      <w:sz w:val="21"/>
    </w:rPr>
  </w:style>
  <w:style w:type="paragraph" w:customStyle="1" w:styleId="20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Title - Date"/>
    <w:basedOn w:val="53"/>
    <w:next w:val="1"/>
    <w:qFormat/>
    <w:uiPriority w:val="0"/>
    <w:pPr>
      <w:spacing w:before="240" w:beforeLines="0" w:beforeAutospacing="0" w:after="720" w:afterLines="0" w:afterAutospacing="0"/>
    </w:pPr>
    <w:rPr>
      <w:sz w:val="28"/>
    </w:rPr>
  </w:style>
  <w:style w:type="paragraph" w:customStyle="1" w:styleId="210">
    <w:name w:val="关键词"/>
    <w:basedOn w:val="1"/>
    <w:next w:val="1"/>
    <w:qFormat/>
    <w:uiPriority w:val="0"/>
    <w:pPr>
      <w:spacing w:line="360" w:lineRule="auto"/>
    </w:pPr>
    <w:rPr>
      <w:rFonts w:eastAsia="黑体"/>
      <w:sz w:val="20"/>
    </w:rPr>
  </w:style>
  <w:style w:type="paragraph" w:customStyle="1" w:styleId="21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样式 正文缩进正文（首行缩进两字）表正文正文非缩进特点标题4段1 + 首行缩进:  2 字符"/>
    <w:basedOn w:val="16"/>
    <w:qFormat/>
    <w:uiPriority w:val="0"/>
    <w:pPr>
      <w:ind w:firstLine="480" w:firstLineChars="200"/>
    </w:pPr>
  </w:style>
  <w:style w:type="paragraph" w:customStyle="1" w:styleId="214">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1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6">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8">
    <w:name w:val=" Char Char14 Char Char"/>
    <w:basedOn w:val="1"/>
    <w:qFormat/>
    <w:uiPriority w:val="0"/>
    <w:rPr>
      <w:sz w:val="21"/>
      <w:szCs w:val="24"/>
    </w:rPr>
  </w:style>
  <w:style w:type="paragraph" w:customStyle="1" w:styleId="219">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20">
    <w:name w:val="IN Feature"/>
    <w:next w:val="2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2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2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2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24">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6">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27">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31">
    <w:name w:val="表文字"/>
    <w:qFormat/>
    <w:uiPriority w:val="0"/>
    <w:rPr>
      <w:rFonts w:ascii="宋体" w:hAnsi="Times New Roman" w:eastAsia="宋体" w:cs="Times New Roman"/>
      <w:kern w:val="2"/>
      <w:lang w:val="en-US" w:eastAsia="zh-CN" w:bidi="ar-SA"/>
    </w:rPr>
  </w:style>
  <w:style w:type="paragraph" w:customStyle="1" w:styleId="232">
    <w:name w:val=" Char Char 字元 字元 字元 Char Char Char Char"/>
    <w:basedOn w:val="1"/>
    <w:qFormat/>
    <w:uiPriority w:val="0"/>
    <w:pPr>
      <w:adjustRightInd w:val="0"/>
      <w:spacing w:line="360" w:lineRule="auto"/>
    </w:pPr>
    <w:rPr>
      <w:kern w:val="0"/>
      <w:sz w:val="24"/>
    </w:rPr>
  </w:style>
  <w:style w:type="paragraph" w:customStyle="1" w:styleId="23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36">
    <w:name w:val="1.正文"/>
    <w:basedOn w:val="1"/>
    <w:qFormat/>
    <w:uiPriority w:val="0"/>
    <w:pPr>
      <w:spacing w:line="360" w:lineRule="auto"/>
      <w:ind w:left="540" w:leftChars="225" w:firstLine="540" w:firstLineChars="225"/>
    </w:pPr>
    <w:rPr>
      <w:sz w:val="24"/>
    </w:rPr>
  </w:style>
  <w:style w:type="paragraph" w:customStyle="1" w:styleId="23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38">
    <w:name w:val="文章正文"/>
    <w:basedOn w:val="1"/>
    <w:qFormat/>
    <w:uiPriority w:val="0"/>
    <w:pPr>
      <w:ind w:firstLine="560" w:firstLineChars="200"/>
    </w:pPr>
    <w:rPr>
      <w:rFonts w:ascii="仿宋_GB2312" w:hAnsi="宋体" w:eastAsia="仿宋_GB2312"/>
      <w:color w:val="000000"/>
    </w:rPr>
  </w:style>
  <w:style w:type="paragraph" w:customStyle="1" w:styleId="239">
    <w:name w:val="af"/>
    <w:basedOn w:val="1"/>
    <w:qFormat/>
    <w:uiPriority w:val="0"/>
    <w:pPr>
      <w:widowControl/>
      <w:spacing w:line="300" w:lineRule="atLeast"/>
      <w:jc w:val="left"/>
    </w:pPr>
    <w:rPr>
      <w:rFonts w:ascii="宋体" w:hAnsi="宋体"/>
      <w:kern w:val="0"/>
      <w:sz w:val="18"/>
    </w:rPr>
  </w:style>
  <w:style w:type="paragraph" w:customStyle="1" w:styleId="240">
    <w:name w:val="标题无"/>
    <w:basedOn w:val="1"/>
    <w:qFormat/>
    <w:uiPriority w:val="0"/>
    <w:pPr>
      <w:spacing w:line="360" w:lineRule="auto"/>
    </w:pPr>
    <w:rPr>
      <w:sz w:val="24"/>
    </w:rPr>
  </w:style>
  <w:style w:type="paragraph" w:customStyle="1" w:styleId="24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2">
    <w:name w:val="样式2"/>
    <w:basedOn w:val="6"/>
    <w:qFormat/>
    <w:uiPriority w:val="0"/>
    <w:pPr>
      <w:numPr>
        <w:ilvl w:val="0"/>
        <w:numId w:val="12"/>
      </w:numPr>
      <w:spacing w:before="560" w:beforeLines="0" w:line="400" w:lineRule="exact"/>
      <w:jc w:val="center"/>
      <w:outlineLvl w:val="0"/>
    </w:pPr>
    <w:rPr>
      <w:b w:val="0"/>
      <w:sz w:val="44"/>
    </w:rPr>
  </w:style>
  <w:style w:type="paragraph" w:customStyle="1" w:styleId="243">
    <w:name w:val="正文表格"/>
    <w:basedOn w:val="1"/>
    <w:qFormat/>
    <w:uiPriority w:val="0"/>
    <w:pPr>
      <w:adjustRightInd w:val="0"/>
      <w:spacing w:before="40" w:beforeLines="0" w:beforeAutospacing="0" w:after="40" w:afterLines="0" w:afterAutospacing="0"/>
    </w:pPr>
    <w:rPr>
      <w:sz w:val="24"/>
    </w:rPr>
  </w:style>
  <w:style w:type="paragraph" w:customStyle="1" w:styleId="244">
    <w:name w:val="Body Text Indent 2"/>
    <w:basedOn w:val="1"/>
    <w:qFormat/>
    <w:uiPriority w:val="0"/>
    <w:pPr>
      <w:adjustRightInd w:val="0"/>
      <w:spacing w:before="120" w:beforeLines="0" w:beforeAutospacing="0"/>
      <w:ind w:firstLine="420"/>
      <w:textAlignment w:val="baseline"/>
    </w:pPr>
    <w:rPr>
      <w:sz w:val="24"/>
    </w:rPr>
  </w:style>
  <w:style w:type="character" w:customStyle="1" w:styleId="245">
    <w:name w:val=" Char Char16"/>
    <w:qFormat/>
    <w:uiPriority w:val="0"/>
    <w:rPr>
      <w:rFonts w:eastAsia="宋体"/>
      <w:b/>
      <w:kern w:val="2"/>
      <w:sz w:val="32"/>
      <w:lang w:val="en-US" w:eastAsia="zh-CN"/>
    </w:rPr>
  </w:style>
  <w:style w:type="character" w:customStyle="1" w:styleId="246">
    <w:name w:val=" Char Char8"/>
    <w:qFormat/>
    <w:uiPriority w:val="0"/>
    <w:rPr>
      <w:kern w:val="2"/>
      <w:sz w:val="28"/>
    </w:rPr>
  </w:style>
  <w:style w:type="paragraph" w:styleId="24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9284</Words>
  <Characters>9652</Characters>
  <Lines>210</Lines>
  <Paragraphs>59</Paragraphs>
  <TotalTime>2</TotalTime>
  <ScaleCrop>false</ScaleCrop>
  <LinksUpToDate>false</LinksUpToDate>
  <CharactersWithSpaces>9860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2020-12-10T09:55:00Z</dcterms:created>
  <dc:creator>罗成</dc:creator>
  <cp:lastModifiedBy>杨建生</cp:lastModifiedBy>
  <cp:lastPrinted>2022-03-04T06:07:00Z</cp:lastPrinted>
  <dcterms:modified xsi:type="dcterms:W3CDTF">2026-03-27T09:28:19Z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25CAD02EAA534D378DAEE88712EE8569_13</vt:lpwstr>
  </property>
  <property fmtid="{D5CDD505-2E9C-101B-9397-08002B2CF9AE}" pid="4" name="KSOTemplateDocerSaveRecord">
    <vt:lpwstr>eyJoZGlkIjoiYjM2MmRmMWMwOGM0NzFiM2I5ZmUzOGJlOGFmYmQ2NDYiLCJ1c2VySWQiOiIyNTgxNTk5MTMifQ==</vt:lpwstr>
  </property>
</Properties>
</file>