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C0918">
      <w:pPr>
        <w:jc w:val="center"/>
        <w:rPr>
          <w:rFonts w:ascii="宋体" w:hAnsi="宋体"/>
          <w:b/>
          <w:color w:val="auto"/>
          <w:sz w:val="44"/>
          <w:szCs w:val="44"/>
          <w:highlight w:val="none"/>
        </w:rPr>
      </w:pPr>
      <w:bookmarkStart w:id="0" w:name="_Toc287620665"/>
    </w:p>
    <w:p w14:paraId="3FD377CF">
      <w:pPr>
        <w:spacing w:line="360" w:lineRule="auto"/>
        <w:jc w:val="center"/>
        <w:rPr>
          <w:rFonts w:ascii="宋体" w:hAnsi="宋体"/>
          <w:color w:val="auto"/>
          <w:kern w:val="0"/>
          <w:sz w:val="36"/>
          <w:szCs w:val="36"/>
          <w:highlight w:val="none"/>
        </w:rPr>
      </w:pPr>
      <w:r>
        <w:rPr>
          <w:rFonts w:hint="eastAsia" w:ascii="宋体" w:hAnsi="宋体"/>
          <w:color w:val="auto"/>
          <w:kern w:val="0"/>
          <w:sz w:val="40"/>
          <w:szCs w:val="40"/>
          <w:highlight w:val="none"/>
          <w:u w:val="none"/>
          <w:lang w:eastAsia="zh-CN"/>
        </w:rPr>
        <w:t>铜梁区第二实验小学空调供电线路安装工程</w:t>
      </w:r>
    </w:p>
    <w:p w14:paraId="0F2B056C">
      <w:pPr>
        <w:autoSpaceDE w:val="0"/>
        <w:autoSpaceDN w:val="0"/>
        <w:adjustRightInd w:val="0"/>
        <w:snapToGrid w:val="0"/>
        <w:spacing w:line="360" w:lineRule="auto"/>
        <w:jc w:val="left"/>
        <w:rPr>
          <w:rFonts w:ascii="宋体" w:hAnsi="宋体"/>
          <w:color w:val="auto"/>
          <w:kern w:val="0"/>
          <w:sz w:val="20"/>
          <w:szCs w:val="20"/>
          <w:highlight w:val="none"/>
        </w:rPr>
      </w:pPr>
    </w:p>
    <w:p w14:paraId="20CDABCC">
      <w:pPr>
        <w:autoSpaceDE w:val="0"/>
        <w:autoSpaceDN w:val="0"/>
        <w:adjustRightInd w:val="0"/>
        <w:snapToGrid w:val="0"/>
        <w:spacing w:line="360" w:lineRule="auto"/>
        <w:jc w:val="left"/>
        <w:rPr>
          <w:rFonts w:ascii="宋体" w:hAnsi="宋体"/>
          <w:color w:val="auto"/>
          <w:kern w:val="0"/>
          <w:sz w:val="20"/>
          <w:szCs w:val="20"/>
          <w:highlight w:val="none"/>
        </w:rPr>
      </w:pPr>
    </w:p>
    <w:p w14:paraId="1B428911">
      <w:pPr>
        <w:autoSpaceDE w:val="0"/>
        <w:autoSpaceDN w:val="0"/>
        <w:adjustRightInd w:val="0"/>
        <w:snapToGrid w:val="0"/>
        <w:spacing w:line="360" w:lineRule="auto"/>
        <w:jc w:val="left"/>
        <w:rPr>
          <w:rFonts w:ascii="宋体" w:hAnsi="宋体"/>
          <w:color w:val="auto"/>
          <w:kern w:val="0"/>
          <w:sz w:val="20"/>
          <w:szCs w:val="20"/>
          <w:highlight w:val="none"/>
        </w:rPr>
      </w:pPr>
    </w:p>
    <w:p w14:paraId="041D71D4">
      <w:pPr>
        <w:autoSpaceDE w:val="0"/>
        <w:autoSpaceDN w:val="0"/>
        <w:adjustRightInd w:val="0"/>
        <w:snapToGrid w:val="0"/>
        <w:spacing w:line="360" w:lineRule="auto"/>
        <w:jc w:val="left"/>
        <w:rPr>
          <w:rFonts w:ascii="宋体" w:hAnsi="宋体"/>
          <w:color w:val="auto"/>
          <w:kern w:val="0"/>
          <w:sz w:val="20"/>
          <w:szCs w:val="20"/>
          <w:highlight w:val="none"/>
        </w:rPr>
      </w:pPr>
    </w:p>
    <w:p w14:paraId="008AE733">
      <w:pPr>
        <w:pStyle w:val="2"/>
        <w:rPr>
          <w:color w:val="auto"/>
          <w:highlight w:val="none"/>
        </w:rPr>
      </w:pPr>
    </w:p>
    <w:p w14:paraId="5D2376BB">
      <w:pPr>
        <w:autoSpaceDE w:val="0"/>
        <w:autoSpaceDN w:val="0"/>
        <w:adjustRightInd w:val="0"/>
        <w:snapToGrid w:val="0"/>
        <w:spacing w:line="360" w:lineRule="auto"/>
        <w:jc w:val="left"/>
        <w:rPr>
          <w:rFonts w:ascii="宋体" w:hAnsi="宋体"/>
          <w:color w:val="auto"/>
          <w:kern w:val="0"/>
          <w:sz w:val="20"/>
          <w:szCs w:val="20"/>
          <w:highlight w:val="none"/>
        </w:rPr>
      </w:pPr>
    </w:p>
    <w:p w14:paraId="384784E0">
      <w:pPr>
        <w:pStyle w:val="2"/>
        <w:rPr>
          <w:rFonts w:ascii="宋体" w:hAnsi="宋体"/>
          <w:color w:val="auto"/>
          <w:kern w:val="0"/>
          <w:sz w:val="20"/>
          <w:szCs w:val="20"/>
          <w:highlight w:val="none"/>
        </w:rPr>
      </w:pPr>
    </w:p>
    <w:p w14:paraId="36E75104">
      <w:pPr>
        <w:rPr>
          <w:rFonts w:ascii="宋体" w:hAnsi="宋体"/>
          <w:color w:val="auto"/>
          <w:kern w:val="0"/>
          <w:sz w:val="20"/>
          <w:szCs w:val="20"/>
          <w:highlight w:val="none"/>
        </w:rPr>
      </w:pPr>
    </w:p>
    <w:p w14:paraId="5DFBB034">
      <w:pPr>
        <w:pStyle w:val="2"/>
        <w:rPr>
          <w:color w:val="auto"/>
          <w:highlight w:val="none"/>
        </w:rPr>
      </w:pPr>
    </w:p>
    <w:p w14:paraId="051489DD">
      <w:pPr>
        <w:rPr>
          <w:color w:val="auto"/>
          <w:highlight w:val="none"/>
        </w:rPr>
      </w:pPr>
    </w:p>
    <w:p w14:paraId="7D924DFF">
      <w:pPr>
        <w:autoSpaceDE w:val="0"/>
        <w:autoSpaceDN w:val="0"/>
        <w:adjustRightInd w:val="0"/>
        <w:snapToGrid w:val="0"/>
        <w:spacing w:line="360" w:lineRule="auto"/>
        <w:jc w:val="left"/>
        <w:rPr>
          <w:rFonts w:ascii="宋体" w:hAnsi="宋体"/>
          <w:color w:val="auto"/>
          <w:kern w:val="0"/>
          <w:sz w:val="20"/>
          <w:szCs w:val="20"/>
          <w:highlight w:val="none"/>
        </w:rPr>
      </w:pPr>
    </w:p>
    <w:p w14:paraId="319AC4DA">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b/>
          <w:bCs/>
          <w:color w:val="auto"/>
          <w:kern w:val="0"/>
          <w:sz w:val="84"/>
          <w:szCs w:val="84"/>
          <w:highlight w:val="none"/>
          <w:lang w:eastAsia="zh-CN"/>
        </w:rPr>
        <w:t>竞争性比选</w:t>
      </w:r>
      <w:r>
        <w:rPr>
          <w:rFonts w:ascii="宋体" w:hAnsi="宋体"/>
          <w:b/>
          <w:bCs/>
          <w:color w:val="auto"/>
          <w:kern w:val="0"/>
          <w:sz w:val="84"/>
          <w:szCs w:val="84"/>
          <w:highlight w:val="none"/>
        </w:rPr>
        <w:t>文件</w:t>
      </w:r>
    </w:p>
    <w:p w14:paraId="1D6116E2">
      <w:pPr>
        <w:autoSpaceDE w:val="0"/>
        <w:autoSpaceDN w:val="0"/>
        <w:adjustRightInd w:val="0"/>
        <w:snapToGrid w:val="0"/>
        <w:spacing w:line="360" w:lineRule="auto"/>
        <w:jc w:val="left"/>
        <w:rPr>
          <w:rFonts w:ascii="宋体" w:hAnsi="宋体"/>
          <w:color w:val="auto"/>
          <w:kern w:val="0"/>
          <w:sz w:val="10"/>
          <w:szCs w:val="10"/>
          <w:highlight w:val="none"/>
        </w:rPr>
      </w:pPr>
    </w:p>
    <w:p w14:paraId="7C4FACA0">
      <w:pPr>
        <w:autoSpaceDE w:val="0"/>
        <w:autoSpaceDN w:val="0"/>
        <w:adjustRightInd w:val="0"/>
        <w:snapToGrid w:val="0"/>
        <w:spacing w:line="360" w:lineRule="auto"/>
        <w:jc w:val="left"/>
        <w:rPr>
          <w:rFonts w:ascii="宋体" w:hAnsi="宋体"/>
          <w:color w:val="auto"/>
          <w:kern w:val="0"/>
          <w:sz w:val="20"/>
          <w:szCs w:val="20"/>
          <w:highlight w:val="none"/>
        </w:rPr>
      </w:pPr>
    </w:p>
    <w:p w14:paraId="558D0FF1">
      <w:pPr>
        <w:autoSpaceDE w:val="0"/>
        <w:autoSpaceDN w:val="0"/>
        <w:adjustRightInd w:val="0"/>
        <w:snapToGrid w:val="0"/>
        <w:spacing w:line="360" w:lineRule="auto"/>
        <w:jc w:val="left"/>
        <w:rPr>
          <w:rFonts w:ascii="宋体" w:hAnsi="宋体"/>
          <w:color w:val="auto"/>
          <w:kern w:val="0"/>
          <w:sz w:val="20"/>
          <w:szCs w:val="20"/>
          <w:highlight w:val="none"/>
        </w:rPr>
      </w:pPr>
    </w:p>
    <w:p w14:paraId="53AEBF7C">
      <w:pPr>
        <w:autoSpaceDE w:val="0"/>
        <w:autoSpaceDN w:val="0"/>
        <w:adjustRightInd w:val="0"/>
        <w:snapToGrid w:val="0"/>
        <w:spacing w:line="360" w:lineRule="auto"/>
        <w:jc w:val="left"/>
        <w:rPr>
          <w:rFonts w:ascii="宋体" w:hAnsi="宋体"/>
          <w:color w:val="auto"/>
          <w:kern w:val="0"/>
          <w:sz w:val="20"/>
          <w:szCs w:val="20"/>
          <w:highlight w:val="none"/>
        </w:rPr>
      </w:pPr>
    </w:p>
    <w:p w14:paraId="3EB9A66E">
      <w:pPr>
        <w:autoSpaceDE w:val="0"/>
        <w:autoSpaceDN w:val="0"/>
        <w:adjustRightInd w:val="0"/>
        <w:snapToGrid w:val="0"/>
        <w:spacing w:line="360" w:lineRule="auto"/>
        <w:jc w:val="left"/>
        <w:rPr>
          <w:rFonts w:ascii="宋体" w:hAnsi="宋体"/>
          <w:color w:val="auto"/>
          <w:kern w:val="0"/>
          <w:sz w:val="20"/>
          <w:szCs w:val="20"/>
          <w:highlight w:val="none"/>
        </w:rPr>
      </w:pPr>
    </w:p>
    <w:p w14:paraId="700F1D87">
      <w:pPr>
        <w:autoSpaceDE w:val="0"/>
        <w:autoSpaceDN w:val="0"/>
        <w:adjustRightInd w:val="0"/>
        <w:snapToGrid w:val="0"/>
        <w:spacing w:line="360" w:lineRule="auto"/>
        <w:jc w:val="left"/>
        <w:rPr>
          <w:rFonts w:ascii="宋体" w:hAnsi="宋体"/>
          <w:color w:val="auto"/>
          <w:kern w:val="0"/>
          <w:sz w:val="20"/>
          <w:szCs w:val="20"/>
          <w:highlight w:val="none"/>
        </w:rPr>
      </w:pPr>
    </w:p>
    <w:p w14:paraId="54C9E367">
      <w:pPr>
        <w:autoSpaceDE w:val="0"/>
        <w:autoSpaceDN w:val="0"/>
        <w:adjustRightInd w:val="0"/>
        <w:snapToGrid w:val="0"/>
        <w:spacing w:line="360" w:lineRule="auto"/>
        <w:jc w:val="left"/>
        <w:rPr>
          <w:rFonts w:ascii="宋体" w:hAnsi="宋体"/>
          <w:color w:val="auto"/>
          <w:kern w:val="0"/>
          <w:sz w:val="20"/>
          <w:szCs w:val="20"/>
          <w:highlight w:val="none"/>
        </w:rPr>
      </w:pPr>
    </w:p>
    <w:p w14:paraId="4D1EB7B6">
      <w:pPr>
        <w:autoSpaceDE w:val="0"/>
        <w:autoSpaceDN w:val="0"/>
        <w:adjustRightInd w:val="0"/>
        <w:snapToGrid w:val="0"/>
        <w:spacing w:line="360" w:lineRule="auto"/>
        <w:jc w:val="left"/>
        <w:rPr>
          <w:rFonts w:ascii="宋体" w:hAnsi="宋体"/>
          <w:color w:val="auto"/>
          <w:kern w:val="0"/>
          <w:sz w:val="20"/>
          <w:szCs w:val="20"/>
          <w:highlight w:val="none"/>
        </w:rPr>
      </w:pPr>
    </w:p>
    <w:p w14:paraId="29A1BEDF">
      <w:pPr>
        <w:autoSpaceDE w:val="0"/>
        <w:autoSpaceDN w:val="0"/>
        <w:adjustRightInd w:val="0"/>
        <w:snapToGrid w:val="0"/>
        <w:spacing w:line="360" w:lineRule="auto"/>
        <w:rPr>
          <w:rFonts w:ascii="宋体" w:hAnsi="宋体"/>
          <w:color w:val="auto"/>
          <w:kern w:val="0"/>
          <w:sz w:val="20"/>
          <w:szCs w:val="20"/>
          <w:highlight w:val="none"/>
        </w:rPr>
      </w:pPr>
    </w:p>
    <w:p w14:paraId="49C505FA">
      <w:pPr>
        <w:autoSpaceDE w:val="0"/>
        <w:autoSpaceDN w:val="0"/>
        <w:adjustRightInd w:val="0"/>
        <w:snapToGrid w:val="0"/>
        <w:spacing w:line="360" w:lineRule="auto"/>
        <w:rPr>
          <w:rFonts w:ascii="宋体" w:hAnsi="宋体"/>
          <w:color w:val="auto"/>
          <w:kern w:val="0"/>
          <w:sz w:val="20"/>
          <w:szCs w:val="20"/>
          <w:highlight w:val="none"/>
        </w:rPr>
      </w:pPr>
    </w:p>
    <w:p w14:paraId="0D61AC14">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eastAsia="zh-CN"/>
        </w:rPr>
        <w:t>比选</w:t>
      </w:r>
      <w:r>
        <w:rPr>
          <w:rFonts w:ascii="宋体" w:hAnsi="宋体"/>
          <w:b/>
          <w:color w:val="auto"/>
          <w:w w:val="99"/>
          <w:kern w:val="0"/>
          <w:sz w:val="28"/>
          <w:szCs w:val="28"/>
          <w:highlight w:val="none"/>
        </w:rPr>
        <w:t>人：</w:t>
      </w:r>
      <w:r>
        <w:rPr>
          <w:rFonts w:hint="eastAsia" w:ascii="宋体" w:hAnsi="宋体"/>
          <w:color w:val="auto"/>
          <w:kern w:val="0"/>
          <w:sz w:val="28"/>
          <w:szCs w:val="28"/>
          <w:highlight w:val="none"/>
          <w:u w:val="single"/>
          <w:lang w:eastAsia="zh-CN"/>
        </w:rPr>
        <w:t>重庆市铜梁区第二实验小学</w:t>
      </w:r>
      <w:r>
        <w:rPr>
          <w:rFonts w:ascii="宋体" w:hAnsi="宋体"/>
          <w:b/>
          <w:color w:val="auto"/>
          <w:w w:val="99"/>
          <w:kern w:val="0"/>
          <w:sz w:val="28"/>
          <w:szCs w:val="28"/>
          <w:highlight w:val="none"/>
        </w:rPr>
        <w:t>（盖单位法人章）</w:t>
      </w:r>
    </w:p>
    <w:p w14:paraId="12D84316">
      <w:pPr>
        <w:tabs>
          <w:tab w:val="left" w:pos="6252"/>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eastAsia="zh-CN"/>
        </w:rPr>
        <w:t>比选</w:t>
      </w:r>
      <w:r>
        <w:rPr>
          <w:rFonts w:ascii="宋体" w:hAnsi="宋体"/>
          <w:b/>
          <w:color w:val="auto"/>
          <w:spacing w:val="8"/>
          <w:kern w:val="0"/>
          <w:sz w:val="28"/>
          <w:szCs w:val="28"/>
          <w:highlight w:val="none"/>
        </w:rPr>
        <w:t>代理机构：</w:t>
      </w:r>
      <w:r>
        <w:rPr>
          <w:rFonts w:hint="eastAsia" w:ascii="宋体" w:hAnsi="宋体"/>
          <w:color w:val="auto"/>
          <w:kern w:val="0"/>
          <w:sz w:val="28"/>
          <w:szCs w:val="28"/>
          <w:highlight w:val="none"/>
          <w:u w:val="single"/>
          <w:lang w:eastAsia="zh-CN"/>
        </w:rPr>
        <w:t>重庆垚森工程管理咨询有限公司</w:t>
      </w:r>
      <w:r>
        <w:rPr>
          <w:rFonts w:ascii="宋体" w:hAnsi="宋体"/>
          <w:b/>
          <w:color w:val="auto"/>
          <w:w w:val="99"/>
          <w:kern w:val="0"/>
          <w:sz w:val="28"/>
          <w:szCs w:val="28"/>
          <w:highlight w:val="none"/>
        </w:rPr>
        <w:t>（盖单位法人章）</w:t>
      </w:r>
    </w:p>
    <w:p w14:paraId="51187506">
      <w:pPr>
        <w:autoSpaceDE w:val="0"/>
        <w:autoSpaceDN w:val="0"/>
        <w:adjustRightInd w:val="0"/>
        <w:snapToGrid w:val="0"/>
        <w:spacing w:line="360" w:lineRule="auto"/>
        <w:jc w:val="center"/>
        <w:rPr>
          <w:rFonts w:ascii="宋体" w:hAnsi="宋体"/>
          <w:b/>
          <w:color w:val="auto"/>
          <w:kern w:val="0"/>
          <w:sz w:val="20"/>
          <w:szCs w:val="20"/>
          <w:highlight w:val="none"/>
        </w:rPr>
      </w:pPr>
    </w:p>
    <w:p w14:paraId="4A4E7D45">
      <w:pPr>
        <w:autoSpaceDE w:val="0"/>
        <w:autoSpaceDN w:val="0"/>
        <w:adjustRightInd w:val="0"/>
        <w:snapToGrid w:val="0"/>
        <w:spacing w:line="360" w:lineRule="auto"/>
        <w:jc w:val="center"/>
        <w:rPr>
          <w:rFonts w:ascii="宋体" w:hAnsi="宋体"/>
          <w:b/>
          <w:color w:val="auto"/>
          <w:kern w:val="0"/>
          <w:sz w:val="28"/>
          <w:szCs w:val="28"/>
          <w:highlight w:val="none"/>
        </w:rPr>
      </w:pPr>
    </w:p>
    <w:p w14:paraId="5DC3A063">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u w:val="single"/>
        </w:rPr>
        <w:t>　</w:t>
      </w:r>
      <w:bookmarkStart w:id="1" w:name="_Toc536621766"/>
      <w:bookmarkStart w:id="2" w:name="_Toc536796736"/>
      <w:bookmarkStart w:id="3" w:name="_Toc536797277"/>
      <w:bookmarkStart w:id="4" w:name="_Toc13210649"/>
      <w:bookmarkStart w:id="5" w:name="_Toc509218549"/>
      <w:r>
        <w:rPr>
          <w:rFonts w:ascii="宋体" w:hAnsi="宋体"/>
          <w:b/>
          <w:color w:val="auto"/>
          <w:spacing w:val="8"/>
          <w:kern w:val="0"/>
          <w:sz w:val="28"/>
          <w:szCs w:val="28"/>
          <w:highlight w:val="none"/>
        </w:rPr>
        <w:t>年</w:t>
      </w:r>
      <w:r>
        <w:rPr>
          <w:rFonts w:ascii="宋体" w:hAnsi="宋体"/>
          <w:b/>
          <w:color w:val="auto"/>
          <w:spacing w:val="8"/>
          <w:kern w:val="0"/>
          <w:sz w:val="28"/>
          <w:szCs w:val="28"/>
          <w:highlight w:val="none"/>
          <w:u w:val="single"/>
        </w:rPr>
        <w:t>　</w:t>
      </w:r>
      <w:r>
        <w:rPr>
          <w:rFonts w:hint="eastAsia" w:ascii="宋体" w:hAnsi="宋体"/>
          <w:b/>
          <w:color w:val="auto"/>
          <w:spacing w:val="8"/>
          <w:kern w:val="0"/>
          <w:sz w:val="28"/>
          <w:szCs w:val="28"/>
          <w:highlight w:val="none"/>
          <w:u w:val="single"/>
          <w:lang w:val="en-US" w:eastAsia="zh-CN"/>
        </w:rPr>
        <w:t>6</w:t>
      </w:r>
      <w:r>
        <w:rPr>
          <w:rFonts w:ascii="宋体" w:hAnsi="宋体"/>
          <w:b/>
          <w:color w:val="auto"/>
          <w:spacing w:val="8"/>
          <w:kern w:val="0"/>
          <w:sz w:val="28"/>
          <w:szCs w:val="28"/>
          <w:highlight w:val="none"/>
          <w:u w:val="single"/>
        </w:rPr>
        <w:t>　</w:t>
      </w:r>
      <w:r>
        <w:rPr>
          <w:rFonts w:ascii="宋体" w:hAnsi="宋体"/>
          <w:b/>
          <w:color w:val="auto"/>
          <w:spacing w:val="8"/>
          <w:kern w:val="0"/>
          <w:sz w:val="28"/>
          <w:szCs w:val="28"/>
          <w:highlight w:val="none"/>
        </w:rPr>
        <w:t>月</w:t>
      </w:r>
      <w:bookmarkEnd w:id="1"/>
      <w:bookmarkEnd w:id="2"/>
      <w:bookmarkEnd w:id="3"/>
      <w:bookmarkEnd w:id="4"/>
      <w:bookmarkEnd w:id="5"/>
    </w:p>
    <w:p w14:paraId="70F4EF63">
      <w:pPr>
        <w:pStyle w:val="3"/>
        <w:spacing w:line="360" w:lineRule="auto"/>
        <w:jc w:val="center"/>
        <w:rPr>
          <w:rFonts w:ascii="宋体" w:hAnsi="宋体"/>
          <w:color w:val="auto"/>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p>
    <w:p w14:paraId="2733A02D">
      <w:pPr>
        <w:pStyle w:val="118"/>
        <w:jc w:val="center"/>
        <w:rPr>
          <w:rFonts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4AA3B52A">
      <w:pPr>
        <w:pStyle w:val="31"/>
        <w:tabs>
          <w:tab w:val="right" w:leader="dot" w:pos="9469"/>
        </w:tabs>
        <w:rPr>
          <w:b w:val="0"/>
          <w:bCs w:val="0"/>
          <w:i w:val="0"/>
          <w:iCs w:val="0"/>
          <w:color w:val="auto"/>
          <w:sz w:val="24"/>
          <w:szCs w:val="24"/>
          <w:highlight w:val="none"/>
        </w:rPr>
      </w:pPr>
      <w:r>
        <w:rPr>
          <w:rFonts w:ascii="宋体" w:hAnsi="宋体"/>
          <w:i w:val="0"/>
          <w:iCs w:val="0"/>
          <w:color w:val="auto"/>
          <w:highlight w:val="none"/>
        </w:rPr>
        <w:fldChar w:fldCharType="begin"/>
      </w:r>
      <w:r>
        <w:rPr>
          <w:rFonts w:ascii="宋体" w:hAnsi="宋体"/>
          <w:i w:val="0"/>
          <w:iCs w:val="0"/>
          <w:color w:val="auto"/>
          <w:highlight w:val="none"/>
        </w:rPr>
        <w:instrText xml:space="preserve"> TOC \o "1-3" \h \z \u </w:instrText>
      </w:r>
      <w:r>
        <w:rPr>
          <w:rFonts w:ascii="宋体" w:hAnsi="宋体"/>
          <w:i w:val="0"/>
          <w:iCs w:val="0"/>
          <w:color w:val="auto"/>
          <w:highlight w:val="none"/>
        </w:rPr>
        <w:fldChar w:fldCharType="separate"/>
      </w:r>
      <w:r>
        <w:rPr>
          <w:rFonts w:ascii="宋体" w:hAnsi="宋体"/>
          <w:b w:val="0"/>
          <w:bCs w:val="0"/>
          <w:i w:val="0"/>
          <w:iCs w:val="0"/>
          <w:color w:val="auto"/>
          <w:sz w:val="24"/>
          <w:szCs w:val="24"/>
          <w:highlight w:val="none"/>
        </w:rPr>
        <w:fldChar w:fldCharType="begin"/>
      </w:r>
      <w:r>
        <w:rPr>
          <w:rFonts w:ascii="宋体" w:hAnsi="宋体"/>
          <w:b w:val="0"/>
          <w:bCs w:val="0"/>
          <w:i w:val="0"/>
          <w:iCs w:val="0"/>
          <w:color w:val="auto"/>
          <w:sz w:val="24"/>
          <w:szCs w:val="24"/>
          <w:highlight w:val="none"/>
        </w:rPr>
        <w:instrText xml:space="preserve"> HYPERLINK \l _Toc26627 </w:instrText>
      </w:r>
      <w:r>
        <w:rPr>
          <w:rFonts w:ascii="宋体" w:hAnsi="宋体"/>
          <w:b w:val="0"/>
          <w:bCs w:val="0"/>
          <w:i w:val="0"/>
          <w:iCs w:val="0"/>
          <w:color w:val="auto"/>
          <w:sz w:val="24"/>
          <w:szCs w:val="24"/>
          <w:highlight w:val="none"/>
        </w:rPr>
        <w:fldChar w:fldCharType="separate"/>
      </w:r>
      <w:r>
        <w:rPr>
          <w:rFonts w:ascii="宋体" w:hAnsi="宋体"/>
          <w:b w:val="0"/>
          <w:bCs w:val="0"/>
          <w:i w:val="0"/>
          <w:iCs w:val="0"/>
          <w:snapToGrid w:val="0"/>
          <w:color w:val="auto"/>
          <w:kern w:val="0"/>
          <w:sz w:val="24"/>
          <w:szCs w:val="24"/>
          <w:highlight w:val="none"/>
        </w:rPr>
        <w:t xml:space="preserve">第一章  </w:t>
      </w:r>
      <w:r>
        <w:rPr>
          <w:rFonts w:hint="eastAsia" w:ascii="宋体" w:hAnsi="宋体"/>
          <w:b w:val="0"/>
          <w:bCs w:val="0"/>
          <w:i w:val="0"/>
          <w:iCs w:val="0"/>
          <w:snapToGrid w:val="0"/>
          <w:color w:val="auto"/>
          <w:kern w:val="0"/>
          <w:sz w:val="24"/>
          <w:szCs w:val="24"/>
          <w:highlight w:val="none"/>
          <w:lang w:eastAsia="zh-CN"/>
        </w:rPr>
        <w:t>竞争性比选</w:t>
      </w:r>
      <w:r>
        <w:rPr>
          <w:rFonts w:ascii="宋体" w:hAnsi="宋体"/>
          <w:b w:val="0"/>
          <w:bCs w:val="0"/>
          <w:i w:val="0"/>
          <w:iCs w:val="0"/>
          <w:snapToGrid w:val="0"/>
          <w:color w:val="auto"/>
          <w:kern w:val="0"/>
          <w:sz w:val="24"/>
          <w:szCs w:val="24"/>
          <w:highlight w:val="none"/>
        </w:rPr>
        <w:t>公告</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_Toc26627 \h </w:instrText>
      </w:r>
      <w:r>
        <w:rPr>
          <w:b w:val="0"/>
          <w:bCs w:val="0"/>
          <w:i w:val="0"/>
          <w:iCs w:val="0"/>
          <w:color w:val="auto"/>
          <w:sz w:val="24"/>
          <w:szCs w:val="24"/>
          <w:highlight w:val="none"/>
        </w:rPr>
        <w:fldChar w:fldCharType="separate"/>
      </w:r>
      <w:r>
        <w:rPr>
          <w:b w:val="0"/>
          <w:bCs w:val="0"/>
          <w:i w:val="0"/>
          <w:iCs w:val="0"/>
          <w:color w:val="auto"/>
          <w:sz w:val="24"/>
          <w:szCs w:val="24"/>
          <w:highlight w:val="none"/>
        </w:rPr>
        <w:t>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rPr>
        <w:fldChar w:fldCharType="end"/>
      </w:r>
    </w:p>
    <w:p w14:paraId="69667F00">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_Toc21596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snapToGrid w:val="0"/>
          <w:color w:val="auto"/>
          <w:kern w:val="0"/>
          <w:sz w:val="24"/>
          <w:szCs w:val="24"/>
          <w:highlight w:val="none"/>
        </w:rPr>
        <w:t>第二章  投标人须知</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_Toc21596 \h </w:instrText>
      </w:r>
      <w:r>
        <w:rPr>
          <w:b w:val="0"/>
          <w:bCs w:val="0"/>
          <w:i w:val="0"/>
          <w:iCs w:val="0"/>
          <w:color w:val="auto"/>
          <w:sz w:val="24"/>
          <w:szCs w:val="24"/>
          <w:highlight w:val="none"/>
        </w:rPr>
        <w:fldChar w:fldCharType="separate"/>
      </w:r>
      <w:r>
        <w:rPr>
          <w:b w:val="0"/>
          <w:bCs w:val="0"/>
          <w:i w:val="0"/>
          <w:iCs w:val="0"/>
          <w:color w:val="auto"/>
          <w:sz w:val="24"/>
          <w:szCs w:val="24"/>
          <w:highlight w:val="none"/>
        </w:rPr>
        <w:t>4</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C090B81">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_Toc3173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snapToGrid w:val="0"/>
          <w:color w:val="auto"/>
          <w:kern w:val="0"/>
          <w:sz w:val="24"/>
          <w:szCs w:val="24"/>
          <w:highlight w:val="none"/>
        </w:rPr>
        <w:t xml:space="preserve">第三章 </w:t>
      </w:r>
      <w:r>
        <w:rPr>
          <w:rFonts w:hint="eastAsia" w:ascii="宋体" w:hAnsi="宋体"/>
          <w:b w:val="0"/>
          <w:bCs w:val="0"/>
          <w:i w:val="0"/>
          <w:iCs w:val="0"/>
          <w:snapToGrid w:val="0"/>
          <w:color w:val="auto"/>
          <w:kern w:val="0"/>
          <w:sz w:val="24"/>
          <w:szCs w:val="24"/>
          <w:highlight w:val="none"/>
        </w:rPr>
        <w:t xml:space="preserve"> </w:t>
      </w:r>
      <w:r>
        <w:rPr>
          <w:rFonts w:ascii="宋体" w:hAnsi="宋体"/>
          <w:b w:val="0"/>
          <w:bCs w:val="0"/>
          <w:i w:val="0"/>
          <w:iCs w:val="0"/>
          <w:snapToGrid w:val="0"/>
          <w:color w:val="auto"/>
          <w:kern w:val="0"/>
          <w:sz w:val="24"/>
          <w:szCs w:val="24"/>
          <w:highlight w:val="none"/>
        </w:rPr>
        <w:t>评标办法（</w:t>
      </w:r>
      <w:r>
        <w:rPr>
          <w:rFonts w:hint="eastAsia" w:ascii="宋体" w:hAnsi="宋体"/>
          <w:b w:val="0"/>
          <w:bCs w:val="0"/>
          <w:i w:val="0"/>
          <w:iCs w:val="0"/>
          <w:snapToGrid w:val="0"/>
          <w:color w:val="auto"/>
          <w:kern w:val="0"/>
          <w:sz w:val="24"/>
          <w:szCs w:val="24"/>
          <w:highlight w:val="none"/>
        </w:rPr>
        <w:t>经评审的最低投标价法</w:t>
      </w:r>
      <w:r>
        <w:rPr>
          <w:rFonts w:ascii="宋体" w:hAnsi="宋体"/>
          <w:b w:val="0"/>
          <w:bCs w:val="0"/>
          <w:i w:val="0"/>
          <w:iCs w:val="0"/>
          <w:snapToGrid w:val="0"/>
          <w:color w:val="auto"/>
          <w:kern w:val="0"/>
          <w:sz w:val="24"/>
          <w:szCs w:val="24"/>
          <w:highlight w:val="none"/>
        </w:rPr>
        <w:t>）</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_Toc3173 \h </w:instrText>
      </w:r>
      <w:r>
        <w:rPr>
          <w:b w:val="0"/>
          <w:bCs w:val="0"/>
          <w:i w:val="0"/>
          <w:iCs w:val="0"/>
          <w:color w:val="auto"/>
          <w:sz w:val="24"/>
          <w:szCs w:val="24"/>
          <w:highlight w:val="none"/>
        </w:rPr>
        <w:fldChar w:fldCharType="separate"/>
      </w:r>
      <w:r>
        <w:rPr>
          <w:b w:val="0"/>
          <w:bCs w:val="0"/>
          <w:i w:val="0"/>
          <w:iCs w:val="0"/>
          <w:color w:val="auto"/>
          <w:sz w:val="24"/>
          <w:szCs w:val="24"/>
          <w:highlight w:val="none"/>
        </w:rPr>
        <w:t>25</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7DD38A95">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_Toc14106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kern w:val="0"/>
          <w:sz w:val="24"/>
          <w:szCs w:val="24"/>
          <w:highlight w:val="none"/>
        </w:rPr>
        <w:t>第四章  合同条款及格式</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_Toc14106 \h </w:instrText>
      </w:r>
      <w:r>
        <w:rPr>
          <w:b w:val="0"/>
          <w:bCs w:val="0"/>
          <w:i w:val="0"/>
          <w:iCs w:val="0"/>
          <w:color w:val="auto"/>
          <w:sz w:val="24"/>
          <w:szCs w:val="24"/>
          <w:highlight w:val="none"/>
        </w:rPr>
        <w:fldChar w:fldCharType="separate"/>
      </w:r>
      <w:r>
        <w:rPr>
          <w:b w:val="0"/>
          <w:bCs w:val="0"/>
          <w:i w:val="0"/>
          <w:iCs w:val="0"/>
          <w:color w:val="auto"/>
          <w:sz w:val="24"/>
          <w:szCs w:val="24"/>
          <w:highlight w:val="none"/>
        </w:rPr>
        <w:t>32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42700C8">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_Toc29526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第五章  工程量清单</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_Toc29526 \h </w:instrText>
      </w:r>
      <w:r>
        <w:rPr>
          <w:b w:val="0"/>
          <w:bCs w:val="0"/>
          <w:i w:val="0"/>
          <w:iCs w:val="0"/>
          <w:color w:val="auto"/>
          <w:sz w:val="24"/>
          <w:szCs w:val="24"/>
          <w:highlight w:val="none"/>
        </w:rPr>
        <w:fldChar w:fldCharType="separate"/>
      </w:r>
      <w:r>
        <w:rPr>
          <w:b w:val="0"/>
          <w:bCs w:val="0"/>
          <w:i w:val="0"/>
          <w:iCs w:val="0"/>
          <w:color w:val="auto"/>
          <w:sz w:val="24"/>
          <w:szCs w:val="24"/>
          <w:highlight w:val="none"/>
        </w:rPr>
        <w:t>52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166BEF49">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_Toc20092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第六章  图纸</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_Toc20092 \h </w:instrText>
      </w:r>
      <w:r>
        <w:rPr>
          <w:b w:val="0"/>
          <w:bCs w:val="0"/>
          <w:i w:val="0"/>
          <w:iCs w:val="0"/>
          <w:color w:val="auto"/>
          <w:sz w:val="24"/>
          <w:szCs w:val="24"/>
          <w:highlight w:val="none"/>
        </w:rPr>
        <w:fldChar w:fldCharType="separate"/>
      </w:r>
      <w:r>
        <w:rPr>
          <w:b w:val="0"/>
          <w:bCs w:val="0"/>
          <w:i w:val="0"/>
          <w:iCs w:val="0"/>
          <w:color w:val="auto"/>
          <w:sz w:val="24"/>
          <w:szCs w:val="24"/>
          <w:highlight w:val="none"/>
        </w:rPr>
        <w:t>53</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69A78E8D">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_Toc12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color w:val="auto"/>
          <w:sz w:val="24"/>
          <w:szCs w:val="24"/>
          <w:highlight w:val="none"/>
        </w:rPr>
        <w:t>第七章</w:t>
      </w:r>
      <w:r>
        <w:rPr>
          <w:rFonts w:hint="eastAsia" w:ascii="宋体" w:hAnsi="宋体"/>
          <w:b w:val="0"/>
          <w:bCs w:val="0"/>
          <w:i w:val="0"/>
          <w:iCs w:val="0"/>
          <w:color w:val="auto"/>
          <w:sz w:val="24"/>
          <w:szCs w:val="24"/>
          <w:highlight w:val="none"/>
        </w:rPr>
        <w:t xml:space="preserve">  </w:t>
      </w:r>
      <w:r>
        <w:rPr>
          <w:rFonts w:ascii="宋体" w:hAnsi="宋体"/>
          <w:b w:val="0"/>
          <w:bCs w:val="0"/>
          <w:i w:val="0"/>
          <w:iCs w:val="0"/>
          <w:color w:val="auto"/>
          <w:sz w:val="24"/>
          <w:szCs w:val="24"/>
          <w:highlight w:val="none"/>
        </w:rPr>
        <w:t>技术标准和要求</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_Toc12 \h </w:instrText>
      </w:r>
      <w:r>
        <w:rPr>
          <w:b w:val="0"/>
          <w:bCs w:val="0"/>
          <w:i w:val="0"/>
          <w:iCs w:val="0"/>
          <w:color w:val="auto"/>
          <w:sz w:val="24"/>
          <w:szCs w:val="24"/>
          <w:highlight w:val="none"/>
        </w:rPr>
        <w:fldChar w:fldCharType="separate"/>
      </w:r>
      <w:r>
        <w:rPr>
          <w:b w:val="0"/>
          <w:bCs w:val="0"/>
          <w:i w:val="0"/>
          <w:iCs w:val="0"/>
          <w:color w:val="auto"/>
          <w:sz w:val="24"/>
          <w:szCs w:val="24"/>
          <w:highlight w:val="none"/>
        </w:rPr>
        <w:t>54</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B43FE0C">
      <w:pPr>
        <w:pStyle w:val="31"/>
        <w:tabs>
          <w:tab w:val="right" w:leader="dot" w:pos="9469"/>
        </w:tabs>
        <w:rPr>
          <w:i w:val="0"/>
          <w:iCs w:val="0"/>
          <w:color w:val="auto"/>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_Toc13509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第八章  投标文件格式</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_Toc13509 \h </w:instrText>
      </w:r>
      <w:r>
        <w:rPr>
          <w:b w:val="0"/>
          <w:bCs w:val="0"/>
          <w:i w:val="0"/>
          <w:iCs w:val="0"/>
          <w:color w:val="auto"/>
          <w:sz w:val="24"/>
          <w:szCs w:val="24"/>
          <w:highlight w:val="none"/>
        </w:rPr>
        <w:fldChar w:fldCharType="separate"/>
      </w:r>
      <w:r>
        <w:rPr>
          <w:b w:val="0"/>
          <w:bCs w:val="0"/>
          <w:i w:val="0"/>
          <w:iCs w:val="0"/>
          <w:color w:val="auto"/>
          <w:sz w:val="24"/>
          <w:szCs w:val="24"/>
          <w:highlight w:val="none"/>
        </w:rPr>
        <w:t>55</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43C74BDC">
      <w:pPr>
        <w:pStyle w:val="22"/>
        <w:tabs>
          <w:tab w:val="right" w:leader="dot" w:pos="9469"/>
        </w:tabs>
        <w:rPr>
          <w:i w:val="0"/>
          <w:iCs w:val="0"/>
          <w:color w:val="auto"/>
          <w:highlight w:val="none"/>
        </w:rPr>
      </w:pPr>
    </w:p>
    <w:p w14:paraId="09B16321">
      <w:pPr>
        <w:rPr>
          <w:rFonts w:ascii="宋体" w:hAnsi="宋体"/>
          <w:color w:val="auto"/>
          <w:highlight w:val="none"/>
        </w:rPr>
      </w:pPr>
      <w:r>
        <w:rPr>
          <w:rFonts w:ascii="宋体" w:hAnsi="宋体"/>
          <w:bCs/>
          <w:i w:val="0"/>
          <w:iCs w:val="0"/>
          <w:color w:val="auto"/>
          <w:szCs w:val="20"/>
          <w:highlight w:val="none"/>
          <w:lang w:val="zh-CN"/>
        </w:rPr>
        <w:fldChar w:fldCharType="end"/>
      </w:r>
    </w:p>
    <w:bookmarkEnd w:id="0"/>
    <w:p w14:paraId="489EF56E">
      <w:pPr>
        <w:spacing w:line="20" w:lineRule="exact"/>
        <w:rPr>
          <w:rFonts w:ascii="宋体" w:hAnsi="宋体"/>
          <w:color w:val="auto"/>
          <w:highlight w:val="none"/>
        </w:rPr>
      </w:pPr>
      <w:bookmarkStart w:id="8" w:name="_Toc430530414"/>
    </w:p>
    <w:p w14:paraId="7EDBB2ED">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8"/>
    <w:p w14:paraId="1C8F02C1">
      <w:pPr>
        <w:pStyle w:val="3"/>
        <w:spacing w:line="360" w:lineRule="auto"/>
        <w:jc w:val="center"/>
        <w:rPr>
          <w:rFonts w:ascii="宋体" w:hAnsi="宋体"/>
          <w:snapToGrid w:val="0"/>
          <w:color w:val="auto"/>
          <w:kern w:val="0"/>
          <w:highlight w:val="none"/>
        </w:rPr>
      </w:pPr>
      <w:bookmarkStart w:id="9" w:name="_Toc509218691"/>
      <w:bookmarkStart w:id="10" w:name="_Toc287607727"/>
      <w:bookmarkStart w:id="11" w:name="_Toc26627"/>
      <w:bookmarkStart w:id="12" w:name="_Toc277082535"/>
      <w:bookmarkStart w:id="13" w:name="_Toc430530415"/>
      <w:bookmarkStart w:id="14" w:name="_Toc287620666"/>
      <w:bookmarkStart w:id="15" w:name="_Toc224103298"/>
      <w:bookmarkStart w:id="16" w:name="_Toc12819"/>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竞争性比选</w:t>
      </w:r>
      <w:r>
        <w:rPr>
          <w:rFonts w:ascii="宋体" w:hAnsi="宋体"/>
          <w:snapToGrid w:val="0"/>
          <w:color w:val="auto"/>
          <w:kern w:val="0"/>
          <w:highlight w:val="none"/>
        </w:rPr>
        <w:t>公告</w:t>
      </w:r>
      <w:bookmarkEnd w:id="9"/>
      <w:bookmarkEnd w:id="10"/>
      <w:bookmarkEnd w:id="11"/>
      <w:bookmarkEnd w:id="12"/>
      <w:bookmarkEnd w:id="13"/>
      <w:bookmarkEnd w:id="14"/>
      <w:bookmarkEnd w:id="15"/>
      <w:bookmarkEnd w:id="16"/>
    </w:p>
    <w:p w14:paraId="2269CCB7">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lang w:eastAsia="zh-CN"/>
        </w:rPr>
        <w:t>铜梁区第二实验小学空调供电线路安装工程</w:t>
      </w:r>
      <w:r>
        <w:rPr>
          <w:rFonts w:hint="eastAsia" w:ascii="宋体" w:hAnsi="宋体"/>
          <w:snapToGrid w:val="0"/>
          <w:color w:val="auto"/>
          <w:w w:val="99"/>
          <w:kern w:val="0"/>
          <w:sz w:val="28"/>
          <w:szCs w:val="28"/>
          <w:highlight w:val="none"/>
          <w:lang w:eastAsia="zh-CN"/>
        </w:rPr>
        <w:t>比选</w:t>
      </w:r>
      <w:r>
        <w:rPr>
          <w:rFonts w:ascii="宋体" w:hAnsi="宋体"/>
          <w:snapToGrid w:val="0"/>
          <w:color w:val="auto"/>
          <w:w w:val="99"/>
          <w:kern w:val="0"/>
          <w:sz w:val="28"/>
          <w:szCs w:val="28"/>
          <w:highlight w:val="none"/>
        </w:rPr>
        <w:t>公告</w:t>
      </w:r>
    </w:p>
    <w:p w14:paraId="284AD70D">
      <w:pPr>
        <w:pStyle w:val="4"/>
        <w:spacing w:before="100" w:after="100" w:line="460" w:lineRule="exact"/>
        <w:rPr>
          <w:rFonts w:ascii="宋体" w:hAnsi="宋体"/>
          <w:snapToGrid w:val="0"/>
          <w:color w:val="auto"/>
          <w:sz w:val="28"/>
          <w:szCs w:val="28"/>
          <w:highlight w:val="none"/>
        </w:rPr>
      </w:pPr>
      <w:bookmarkStart w:id="17" w:name="_Toc509218692"/>
      <w:bookmarkStart w:id="18" w:name="_Toc287620667"/>
      <w:bookmarkStart w:id="19" w:name="_Toc224103299"/>
      <w:bookmarkStart w:id="20" w:name="_Toc287607728"/>
      <w:bookmarkStart w:id="21" w:name="_Toc200359238"/>
      <w:bookmarkStart w:id="22" w:name="_Toc27491"/>
      <w:bookmarkStart w:id="23" w:name="_Toc30134"/>
      <w:bookmarkStart w:id="24" w:name="_Toc277082536"/>
      <w:bookmarkStart w:id="25" w:name="_Toc430530416"/>
      <w:bookmarkStart w:id="26" w:name="_Toc20035942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竞争性比选</w:t>
      </w:r>
      <w:r>
        <w:rPr>
          <w:rFonts w:ascii="宋体" w:hAnsi="宋体"/>
          <w:snapToGrid w:val="0"/>
          <w:color w:val="auto"/>
          <w:sz w:val="28"/>
          <w:szCs w:val="28"/>
          <w:highlight w:val="none"/>
        </w:rPr>
        <w:t>条件</w:t>
      </w:r>
      <w:bookmarkEnd w:id="17"/>
      <w:bookmarkEnd w:id="18"/>
      <w:bookmarkEnd w:id="19"/>
      <w:bookmarkEnd w:id="20"/>
      <w:bookmarkEnd w:id="21"/>
      <w:bookmarkEnd w:id="22"/>
      <w:bookmarkEnd w:id="23"/>
      <w:bookmarkEnd w:id="24"/>
      <w:bookmarkEnd w:id="25"/>
      <w:bookmarkEnd w:id="26"/>
    </w:p>
    <w:p w14:paraId="05F567BE">
      <w:pPr>
        <w:tabs>
          <w:tab w:val="left" w:pos="3315"/>
          <w:tab w:val="left" w:pos="3390"/>
          <w:tab w:val="left" w:pos="6120"/>
          <w:tab w:val="left" w:pos="8850"/>
        </w:tabs>
        <w:autoSpaceDE w:val="0"/>
        <w:autoSpaceDN w:val="0"/>
        <w:adjustRightInd w:val="0"/>
        <w:snapToGrid w:val="0"/>
        <w:spacing w:line="460" w:lineRule="exact"/>
        <w:ind w:firstLine="420"/>
        <w:jc w:val="both"/>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铜梁区第二实验小学空调供电线路安装工程</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重庆市铜梁区第二实验小学</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区财政资金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重庆市铜梁区第二实验小学</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w:t>
      </w:r>
      <w:r>
        <w:rPr>
          <w:rFonts w:ascii="宋体" w:hAnsi="宋体"/>
          <w:snapToGrid w:val="0"/>
          <w:color w:val="auto"/>
          <w:kern w:val="0"/>
          <w:position w:val="-2"/>
          <w:szCs w:val="21"/>
          <w:highlight w:val="none"/>
        </w:rPr>
        <w:t>。</w:t>
      </w:r>
    </w:p>
    <w:p w14:paraId="27B6D750">
      <w:pPr>
        <w:pStyle w:val="4"/>
        <w:spacing w:before="100" w:after="100" w:line="460" w:lineRule="exact"/>
        <w:rPr>
          <w:rFonts w:ascii="宋体" w:hAnsi="宋体"/>
          <w:snapToGrid w:val="0"/>
          <w:color w:val="auto"/>
          <w:sz w:val="28"/>
          <w:szCs w:val="28"/>
          <w:highlight w:val="none"/>
        </w:rPr>
      </w:pPr>
      <w:bookmarkStart w:id="27" w:name="_Toc200359239"/>
      <w:bookmarkStart w:id="28" w:name="_Toc200359428"/>
      <w:bookmarkStart w:id="29" w:name="_Toc287620668"/>
      <w:bookmarkStart w:id="30" w:name="_Toc287607729"/>
      <w:bookmarkStart w:id="31" w:name="_Toc20699"/>
      <w:bookmarkStart w:id="32" w:name="_Toc277082537"/>
      <w:bookmarkStart w:id="33" w:name="_Toc16344"/>
      <w:bookmarkStart w:id="34" w:name="_Toc509218693"/>
      <w:bookmarkStart w:id="35" w:name="_Toc224103300"/>
      <w:bookmarkStart w:id="36" w:name="_Toc43053041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范围</w:t>
      </w:r>
      <w:bookmarkEnd w:id="27"/>
      <w:bookmarkEnd w:id="28"/>
      <w:bookmarkEnd w:id="29"/>
      <w:bookmarkEnd w:id="30"/>
      <w:bookmarkEnd w:id="31"/>
      <w:bookmarkEnd w:id="32"/>
      <w:bookmarkEnd w:id="33"/>
      <w:bookmarkEnd w:id="34"/>
      <w:bookmarkEnd w:id="35"/>
      <w:bookmarkEnd w:id="36"/>
    </w:p>
    <w:p w14:paraId="1A8A57C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lang w:eastAsia="zh-CN"/>
        </w:rPr>
        <w:t>重庆市铜梁区第二实验小学校园内。</w:t>
      </w:r>
    </w:p>
    <w:p w14:paraId="62BA34C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eastAsia="zh-CN"/>
        </w:rPr>
        <w:t>主要包含土石方挖填、电缆敷设、电线敷设、配管安装、配电箱安装、桥架安装、防雷接地安装等，具体内容详见本工程工程量清单。</w:t>
      </w:r>
    </w:p>
    <w:p w14:paraId="7EF53861">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本次招标项目工程总投资额：</w:t>
      </w:r>
      <w:r>
        <w:rPr>
          <w:rFonts w:hint="eastAsia" w:ascii="宋体" w:hAnsi="宋体"/>
          <w:snapToGrid w:val="0"/>
          <w:color w:val="auto"/>
          <w:kern w:val="0"/>
          <w:szCs w:val="21"/>
          <w:highlight w:val="none"/>
          <w:u w:val="single"/>
          <w:lang w:eastAsia="zh-CN"/>
        </w:rPr>
        <w:t>187981.45</w:t>
      </w:r>
      <w:r>
        <w:rPr>
          <w:rFonts w:hint="eastAsia" w:ascii="宋体" w:hAnsi="宋体"/>
          <w:snapToGrid w:val="0"/>
          <w:color w:val="auto"/>
          <w:kern w:val="0"/>
          <w:szCs w:val="21"/>
          <w:highlight w:val="none"/>
          <w:u w:val="single"/>
          <w:lang w:val="en-US" w:eastAsia="zh-CN"/>
        </w:rPr>
        <w:t>元</w:t>
      </w:r>
    </w:p>
    <w:p w14:paraId="6CE15A5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eastAsia="zh-CN"/>
        </w:rPr>
        <w:t>本工程施工图设计所示工程内容，具体详见本工程工程量清单。</w:t>
      </w:r>
    </w:p>
    <w:p w14:paraId="20CDAF0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40日历天</w:t>
      </w:r>
    </w:p>
    <w:p w14:paraId="47A0303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p w14:paraId="438295BA">
      <w:pPr>
        <w:pStyle w:val="4"/>
        <w:spacing w:before="100" w:after="100" w:line="460" w:lineRule="exact"/>
        <w:rPr>
          <w:rFonts w:ascii="宋体" w:hAnsi="宋体"/>
          <w:snapToGrid w:val="0"/>
          <w:color w:val="auto"/>
          <w:sz w:val="28"/>
          <w:szCs w:val="28"/>
          <w:highlight w:val="none"/>
        </w:rPr>
      </w:pPr>
      <w:bookmarkStart w:id="37" w:name="_Toc224103301"/>
      <w:bookmarkStart w:id="38" w:name="_Toc287620669"/>
      <w:bookmarkStart w:id="39" w:name="_Toc277082538"/>
      <w:bookmarkStart w:id="40" w:name="_Toc19513"/>
      <w:bookmarkStart w:id="41" w:name="_Toc27677"/>
      <w:bookmarkStart w:id="42" w:name="_Toc200359240"/>
      <w:bookmarkStart w:id="43" w:name="_Toc200359429"/>
      <w:bookmarkStart w:id="44" w:name="_Toc430530418"/>
      <w:bookmarkStart w:id="45" w:name="_Toc287607730"/>
      <w:bookmarkStart w:id="46" w:name="_Toc509218694"/>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7"/>
      <w:bookmarkEnd w:id="38"/>
      <w:bookmarkEnd w:id="39"/>
      <w:bookmarkEnd w:id="40"/>
      <w:bookmarkEnd w:id="41"/>
      <w:bookmarkEnd w:id="42"/>
      <w:bookmarkEnd w:id="43"/>
      <w:bookmarkEnd w:id="44"/>
      <w:bookmarkEnd w:id="45"/>
      <w:bookmarkEnd w:id="46"/>
    </w:p>
    <w:p w14:paraId="54ED43B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14:paraId="1CE9CA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要求投标人具备的资质条件：</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具备建设行政主管部门颁发的</w:t>
      </w:r>
      <w:r>
        <w:rPr>
          <w:rFonts w:hint="eastAsia" w:ascii="宋体" w:hAnsi="宋体" w:cs="宋体"/>
          <w:i w:val="0"/>
          <w:iCs w:val="0"/>
          <w:caps w:val="0"/>
          <w:color w:val="auto"/>
          <w:spacing w:val="0"/>
          <w:kern w:val="0"/>
          <w:sz w:val="21"/>
          <w:szCs w:val="21"/>
          <w:highlight w:val="none"/>
          <w:u w:val="single"/>
          <w:shd w:val="clear" w:color="auto" w:fill="FFFFFF"/>
          <w:lang w:val="en-US" w:eastAsia="zh-CN" w:bidi="ar"/>
        </w:rPr>
        <w:t>有效的</w:t>
      </w:r>
      <w:r>
        <w:rPr>
          <w:rFonts w:hint="eastAsia" w:ascii="宋体" w:hAnsi="宋体" w:cs="宋体"/>
          <w:b/>
          <w:bCs/>
          <w:i w:val="0"/>
          <w:iCs w:val="0"/>
          <w:caps w:val="0"/>
          <w:color w:val="auto"/>
          <w:spacing w:val="0"/>
          <w:kern w:val="0"/>
          <w:sz w:val="21"/>
          <w:szCs w:val="21"/>
          <w:highlight w:val="none"/>
          <w:u w:val="single"/>
          <w:shd w:val="clear" w:color="auto" w:fill="FFFFFF"/>
          <w:lang w:val="en-US" w:eastAsia="zh-CN" w:bidi="ar"/>
        </w:rPr>
        <w:t>建筑工程施工总承包叁级</w:t>
      </w:r>
      <w:r>
        <w:rPr>
          <w:rFonts w:hint="eastAsia" w:ascii="宋体" w:hAnsi="宋体" w:eastAsia="宋体" w:cs="宋体"/>
          <w:b/>
          <w:bCs/>
          <w:i w:val="0"/>
          <w:iCs w:val="0"/>
          <w:caps w:val="0"/>
          <w:color w:val="auto"/>
          <w:spacing w:val="0"/>
          <w:kern w:val="0"/>
          <w:sz w:val="21"/>
          <w:szCs w:val="21"/>
          <w:highlight w:val="none"/>
          <w:u w:val="single"/>
          <w:shd w:val="clear" w:color="auto" w:fill="FFFFFF"/>
          <w:lang w:val="en-US" w:eastAsia="zh-CN" w:bidi="ar"/>
        </w:rPr>
        <w:t>及以上</w:t>
      </w:r>
      <w:r>
        <w:rPr>
          <w:rFonts w:hint="eastAsia" w:ascii="宋体" w:hAnsi="宋体" w:cs="宋体"/>
          <w:i w:val="0"/>
          <w:iCs w:val="0"/>
          <w:caps w:val="0"/>
          <w:color w:val="auto"/>
          <w:spacing w:val="0"/>
          <w:kern w:val="0"/>
          <w:sz w:val="21"/>
          <w:szCs w:val="21"/>
          <w:highlight w:val="none"/>
          <w:u w:val="single"/>
          <w:shd w:val="clear" w:color="auto" w:fill="FFFFFF"/>
          <w:lang w:val="en-US" w:eastAsia="zh-CN" w:bidi="ar"/>
        </w:rPr>
        <w:t>资质</w:t>
      </w:r>
      <w:r>
        <w:rPr>
          <w:rFonts w:hint="eastAsia" w:ascii="宋体" w:hAnsi="宋体"/>
          <w:snapToGrid w:val="0"/>
          <w:color w:val="auto"/>
          <w:kern w:val="0"/>
          <w:szCs w:val="21"/>
          <w:highlight w:val="none"/>
        </w:rPr>
        <w:t>；</w:t>
      </w:r>
    </w:p>
    <w:p w14:paraId="6E989BB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投标人还应在人员、设备、资金等方面具有相应的施工能力，详见</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第二章投标人须知前附表第1.4.1项内容。</w:t>
      </w:r>
    </w:p>
    <w:p w14:paraId="0C7540D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2A9460B6">
      <w:pPr>
        <w:pStyle w:val="4"/>
        <w:spacing w:before="100" w:after="100" w:line="460" w:lineRule="exact"/>
        <w:rPr>
          <w:rFonts w:ascii="宋体" w:hAnsi="宋体"/>
          <w:snapToGrid w:val="0"/>
          <w:color w:val="auto"/>
          <w:sz w:val="28"/>
          <w:szCs w:val="28"/>
          <w:highlight w:val="none"/>
        </w:rPr>
      </w:pPr>
      <w:bookmarkStart w:id="47" w:name="_Toc10229"/>
      <w:bookmarkStart w:id="48" w:name="_Toc430530419"/>
      <w:bookmarkStart w:id="49" w:name="_Toc287607731"/>
      <w:bookmarkStart w:id="50" w:name="_Toc200359430"/>
      <w:bookmarkStart w:id="51" w:name="_Toc224103302"/>
      <w:bookmarkStart w:id="52" w:name="_Toc287620670"/>
      <w:bookmarkStart w:id="53" w:name="_Toc277082539"/>
      <w:bookmarkStart w:id="54" w:name="_Toc10508"/>
      <w:bookmarkStart w:id="55" w:name="_Toc200359241"/>
      <w:bookmarkStart w:id="56" w:name="_Toc509218695"/>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w:t>
      </w:r>
      <w:bookmarkEnd w:id="47"/>
      <w:bookmarkEnd w:id="48"/>
      <w:bookmarkEnd w:id="49"/>
      <w:bookmarkEnd w:id="50"/>
      <w:bookmarkEnd w:id="51"/>
      <w:bookmarkEnd w:id="52"/>
      <w:bookmarkEnd w:id="53"/>
      <w:bookmarkEnd w:id="54"/>
      <w:bookmarkEnd w:id="55"/>
      <w:bookmarkEnd w:id="56"/>
      <w:r>
        <w:rPr>
          <w:rFonts w:hint="eastAsia" w:ascii="宋体" w:hAnsi="宋体"/>
          <w:snapToGrid w:val="0"/>
          <w:color w:val="auto"/>
          <w:sz w:val="28"/>
          <w:szCs w:val="28"/>
          <w:highlight w:val="none"/>
          <w:lang w:eastAsia="zh-CN"/>
        </w:rPr>
        <w:t>有关说明</w:t>
      </w:r>
    </w:p>
    <w:p w14:paraId="0E308BD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4.1  投标人应通过“行采家”（www.gec123.com）登记加入“供应商库”。</w:t>
      </w:r>
    </w:p>
    <w:p w14:paraId="4CEDC6B9">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4.2  </w:t>
      </w:r>
      <w:r>
        <w:rPr>
          <w:rFonts w:hint="eastAsia" w:ascii="宋体" w:hAnsi="宋体" w:cs="宋体"/>
          <w:color w:val="auto"/>
          <w:kern w:val="2"/>
          <w:sz w:val="21"/>
          <w:szCs w:val="21"/>
          <w:highlight w:val="none"/>
        </w:rPr>
        <w:t>凡有意参加</w:t>
      </w:r>
      <w:r>
        <w:rPr>
          <w:rFonts w:hint="eastAsia" w:ascii="宋体" w:hAnsi="宋体" w:cs="宋体"/>
          <w:color w:val="auto"/>
          <w:kern w:val="2"/>
          <w:sz w:val="21"/>
          <w:szCs w:val="21"/>
          <w:highlight w:val="none"/>
          <w:lang w:eastAsia="zh-CN"/>
        </w:rPr>
        <w:t>投标</w:t>
      </w:r>
      <w:r>
        <w:rPr>
          <w:rFonts w:hint="eastAsia" w:ascii="宋体" w:hAnsi="宋体" w:cs="宋体"/>
          <w:color w:val="auto"/>
          <w:kern w:val="2"/>
          <w:sz w:val="21"/>
          <w:szCs w:val="21"/>
          <w:highlight w:val="none"/>
        </w:rPr>
        <w:t>者</w:t>
      </w:r>
      <w:r>
        <w:rPr>
          <w:rFonts w:hint="eastAsia" w:ascii="宋体" w:hAnsi="宋体"/>
          <w:snapToGrid w:val="0"/>
          <w:color w:val="auto"/>
          <w:kern w:val="0"/>
          <w:szCs w:val="21"/>
          <w:highlight w:val="none"/>
          <w:lang w:val="en-US" w:eastAsia="zh-CN"/>
        </w:rPr>
        <w:t>，请在“行采家”（www.gec123.com）上下载或到比选代理机构处领取本项目竞争性比选文件、工程量清单、图纸以及变更等比选前公布的所有项目资料，无论投标人下载或领取与否，均视为已知晓所有比选实质性要求内容。</w:t>
      </w:r>
    </w:p>
    <w:p w14:paraId="0878E03E">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投标人可</w:t>
      </w:r>
      <w:r>
        <w:rPr>
          <w:rFonts w:hint="eastAsia" w:ascii="宋体" w:hAnsi="宋体"/>
          <w:snapToGrid w:val="0"/>
          <w:color w:val="auto"/>
          <w:kern w:val="0"/>
          <w:szCs w:val="21"/>
          <w:highlight w:val="none"/>
          <w:lang w:eastAsia="zh-CN"/>
        </w:rPr>
        <w:t>向比选人和比选代理机构提出疑问</w:t>
      </w:r>
      <w:r>
        <w:rPr>
          <w:rFonts w:hint="eastAsia" w:ascii="宋体" w:hAnsi="宋体"/>
          <w:snapToGrid w:val="0"/>
          <w:color w:val="auto"/>
          <w:kern w:val="0"/>
          <w:szCs w:val="21"/>
          <w:highlight w:val="none"/>
        </w:rPr>
        <w:t>，提问时间从本公告发布至</w:t>
      </w:r>
      <w:r>
        <w:rPr>
          <w:rFonts w:hint="eastAsia" w:ascii="宋体" w:hAnsi="宋体" w:cs="宋体"/>
          <w:color w:val="auto"/>
          <w:kern w:val="0"/>
          <w:szCs w:val="21"/>
          <w:highlight w:val="none"/>
          <w:u w:val="single"/>
          <w:lang w:val="en-US" w:eastAsia="zh-CN"/>
        </w:rPr>
        <w:t>2025</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16</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12</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w:t>
      </w:r>
    </w:p>
    <w:p w14:paraId="71741F1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应于</w:t>
      </w:r>
      <w:r>
        <w:rPr>
          <w:rFonts w:hint="eastAsia" w:ascii="宋体" w:hAnsi="宋体" w:cs="宋体"/>
          <w:color w:val="auto"/>
          <w:kern w:val="0"/>
          <w:szCs w:val="21"/>
          <w:highlight w:val="none"/>
          <w:u w:val="singl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16</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18</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032CFAB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4.5  线上报价</w:t>
      </w:r>
    </w:p>
    <w:p w14:paraId="501EAF1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4.5.1 线上报价时间：以网上公告规定的报价截止时间为准。</w:t>
      </w:r>
    </w:p>
    <w:p w14:paraId="529C3F4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4.5.2 线上报价要求：按本项目规定的时间在“行采家-电子竞采平台”（https://www.gec123.com/xe/）进行网上报价并</w:t>
      </w:r>
      <w:r>
        <w:rPr>
          <w:rFonts w:hint="eastAsia" w:ascii="宋体" w:hAnsi="宋体"/>
          <w:snapToGrid w:val="0"/>
          <w:color w:val="auto"/>
          <w:kern w:val="0"/>
          <w:szCs w:val="21"/>
          <w:highlight w:val="none"/>
        </w:rPr>
        <w:t>上传签字盖章完毕的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val="en-US" w:eastAsia="zh-CN"/>
        </w:rPr>
        <w:t>。</w:t>
      </w:r>
    </w:p>
    <w:p w14:paraId="7CA47A51">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w:t>
      </w:r>
    </w:p>
    <w:p w14:paraId="0E8D4039">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①投标人上传的投标文件电子文档将作为评标委员会评审的依据。</w:t>
      </w:r>
    </w:p>
    <w:p w14:paraId="254C6524">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②</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上传的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文件应按照</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文件格式要求制作，规定签字、盖章的地方必须按</w:t>
      </w:r>
      <w:r>
        <w:rPr>
          <w:rFonts w:hint="eastAsia" w:ascii="宋体" w:hAnsi="宋体"/>
          <w:snapToGrid w:val="0"/>
          <w:color w:val="auto"/>
          <w:kern w:val="0"/>
          <w:szCs w:val="21"/>
          <w:highlight w:val="none"/>
          <w:lang w:eastAsia="zh-CN"/>
        </w:rPr>
        <w:t>其</w:t>
      </w:r>
      <w:r>
        <w:rPr>
          <w:rFonts w:hint="eastAsia" w:ascii="宋体" w:hAnsi="宋体"/>
          <w:snapToGrid w:val="0"/>
          <w:color w:val="auto"/>
          <w:kern w:val="0"/>
          <w:szCs w:val="21"/>
          <w:highlight w:val="none"/>
        </w:rPr>
        <w:t>规定签字、盖章，未按要求制作</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文件的</w:t>
      </w:r>
      <w:r>
        <w:rPr>
          <w:rFonts w:hint="eastAsia" w:ascii="宋体" w:hAnsi="宋体"/>
          <w:color w:val="auto"/>
          <w:szCs w:val="21"/>
          <w:highlight w:val="none"/>
        </w:rPr>
        <w:t>由评标委员会作否决投标处理</w:t>
      </w:r>
      <w:r>
        <w:rPr>
          <w:rFonts w:hint="eastAsia" w:ascii="宋体" w:hAnsi="宋体"/>
          <w:snapToGrid w:val="0"/>
          <w:color w:val="auto"/>
          <w:kern w:val="0"/>
          <w:szCs w:val="21"/>
          <w:highlight w:val="none"/>
          <w:lang w:val="en-US" w:eastAsia="zh-CN"/>
        </w:rPr>
        <w:t>。</w:t>
      </w:r>
    </w:p>
    <w:p w14:paraId="00E6BAE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③</w:t>
      </w:r>
      <w:r>
        <w:rPr>
          <w:rFonts w:hint="eastAsia" w:ascii="宋体" w:hAnsi="宋体"/>
          <w:snapToGrid w:val="0"/>
          <w:color w:val="auto"/>
          <w:kern w:val="0"/>
          <w:szCs w:val="21"/>
          <w:highlight w:val="none"/>
        </w:rPr>
        <w:t>网上报价应与</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文件报价一致，</w:t>
      </w:r>
      <w:r>
        <w:rPr>
          <w:rFonts w:hint="eastAsia" w:ascii="宋体" w:hAnsi="宋体"/>
          <w:color w:val="auto"/>
          <w:szCs w:val="21"/>
          <w:highlight w:val="none"/>
        </w:rPr>
        <w:t>否则由评标委员会作否决投标处理</w:t>
      </w:r>
      <w:r>
        <w:rPr>
          <w:rFonts w:hint="eastAsia" w:ascii="宋体" w:hAnsi="宋体"/>
          <w:color w:val="auto"/>
          <w:szCs w:val="21"/>
          <w:highlight w:val="none"/>
          <w:lang w:eastAsia="zh-CN"/>
        </w:rPr>
        <w:t>。</w:t>
      </w:r>
    </w:p>
    <w:p w14:paraId="192E5F3B">
      <w:pPr>
        <w:pStyle w:val="4"/>
        <w:spacing w:before="100" w:after="100" w:line="460" w:lineRule="exact"/>
        <w:rPr>
          <w:rFonts w:ascii="宋体" w:hAnsi="宋体"/>
          <w:snapToGrid w:val="0"/>
          <w:color w:val="auto"/>
          <w:sz w:val="28"/>
          <w:szCs w:val="28"/>
          <w:highlight w:val="none"/>
        </w:rPr>
      </w:pPr>
      <w:bookmarkStart w:id="57" w:name="_Toc430530420"/>
      <w:bookmarkStart w:id="58" w:name="_Toc200359242"/>
      <w:bookmarkStart w:id="59" w:name="_Toc509218696"/>
      <w:bookmarkStart w:id="60" w:name="_Toc200359431"/>
      <w:bookmarkStart w:id="61" w:name="_Toc287620671"/>
      <w:bookmarkStart w:id="62" w:name="_Toc287607732"/>
      <w:bookmarkStart w:id="63" w:name="_Toc224103303"/>
      <w:bookmarkStart w:id="64" w:name="_Toc28449"/>
      <w:bookmarkStart w:id="65" w:name="_Toc277082540"/>
      <w:bookmarkStart w:id="66" w:name="_Toc20615"/>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7"/>
      <w:bookmarkEnd w:id="58"/>
      <w:bookmarkEnd w:id="59"/>
      <w:bookmarkEnd w:id="60"/>
      <w:bookmarkEnd w:id="61"/>
      <w:bookmarkEnd w:id="62"/>
      <w:bookmarkEnd w:id="63"/>
      <w:bookmarkEnd w:id="64"/>
      <w:bookmarkEnd w:id="65"/>
      <w:bookmarkEnd w:id="66"/>
      <w:bookmarkStart w:id="841" w:name="_GoBack"/>
      <w:bookmarkEnd w:id="841"/>
    </w:p>
    <w:p w14:paraId="4C14209F">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本项目采用线上报价线下评审的方式，投标人按网上公告规定的报价时间内在行采家-电子竞采平台进行线上报价，并上传</w:t>
      </w:r>
      <w:r>
        <w:rPr>
          <w:rFonts w:hint="eastAsia" w:ascii="宋体" w:hAnsi="宋体"/>
          <w:snapToGrid w:val="0"/>
          <w:color w:val="auto"/>
          <w:kern w:val="0"/>
          <w:szCs w:val="21"/>
          <w:highlight w:val="none"/>
        </w:rPr>
        <w:t>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eastAsia="zh-CN"/>
        </w:rPr>
        <w:t>一份</w:t>
      </w:r>
      <w:r>
        <w:rPr>
          <w:rFonts w:hint="eastAsia" w:ascii="宋体" w:hAnsi="宋体"/>
          <w:snapToGrid w:val="0"/>
          <w:color w:val="auto"/>
          <w:kern w:val="0"/>
          <w:szCs w:val="21"/>
          <w:highlight w:val="none"/>
          <w:lang w:val="en-US" w:eastAsia="zh-CN"/>
        </w:rPr>
        <w:t>。投标文件内容应清晰、无涂改，若因文件内容模糊、无法打开、不完整等导致无法进行评审，由此造成的后果由投标人自行承担。</w:t>
      </w:r>
    </w:p>
    <w:p w14:paraId="33E0A7C7">
      <w:pPr>
        <w:pStyle w:val="4"/>
        <w:spacing w:before="100" w:after="100" w:line="460" w:lineRule="exact"/>
        <w:rPr>
          <w:rFonts w:ascii="宋体" w:hAnsi="宋体"/>
          <w:snapToGrid w:val="0"/>
          <w:color w:val="auto"/>
          <w:sz w:val="28"/>
          <w:szCs w:val="28"/>
          <w:highlight w:val="none"/>
        </w:rPr>
      </w:pPr>
      <w:bookmarkStart w:id="67" w:name="_Toc277082541"/>
      <w:bookmarkStart w:id="68" w:name="_Toc8166"/>
      <w:bookmarkStart w:id="69" w:name="_Toc200359243"/>
      <w:bookmarkStart w:id="70" w:name="_Toc287607733"/>
      <w:bookmarkStart w:id="71" w:name="_Toc287620672"/>
      <w:bookmarkStart w:id="72" w:name="_Toc509218697"/>
      <w:bookmarkStart w:id="73" w:name="_Toc29618"/>
      <w:bookmarkStart w:id="74" w:name="_Toc200359432"/>
      <w:bookmarkStart w:id="75" w:name="_Toc224103304"/>
      <w:bookmarkStart w:id="76" w:name="_Toc430530421"/>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7"/>
      <w:bookmarkEnd w:id="68"/>
      <w:bookmarkEnd w:id="69"/>
      <w:bookmarkEnd w:id="70"/>
      <w:bookmarkEnd w:id="71"/>
      <w:bookmarkEnd w:id="72"/>
      <w:bookmarkEnd w:id="73"/>
      <w:bookmarkEnd w:id="74"/>
      <w:bookmarkEnd w:id="75"/>
      <w:bookmarkEnd w:id="76"/>
    </w:p>
    <w:p w14:paraId="6198E360">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“行采家”（www.gec123.com）</w:t>
      </w:r>
      <w:r>
        <w:rPr>
          <w:rFonts w:ascii="宋体" w:hAnsi="宋体"/>
          <w:snapToGrid w:val="0"/>
          <w:color w:val="auto"/>
          <w:kern w:val="0"/>
          <w:szCs w:val="21"/>
          <w:highlight w:val="none"/>
        </w:rPr>
        <w:t>上发布。</w:t>
      </w:r>
    </w:p>
    <w:p w14:paraId="458D26DB">
      <w:pPr>
        <w:pStyle w:val="4"/>
        <w:spacing w:before="100" w:after="100" w:line="460" w:lineRule="exact"/>
        <w:rPr>
          <w:rFonts w:ascii="宋体" w:hAnsi="宋体"/>
          <w:snapToGrid w:val="0"/>
          <w:color w:val="auto"/>
          <w:sz w:val="28"/>
          <w:szCs w:val="28"/>
          <w:highlight w:val="none"/>
        </w:rPr>
      </w:pPr>
      <w:bookmarkStart w:id="77" w:name="_Toc31352"/>
      <w:bookmarkStart w:id="78" w:name="_Toc14240"/>
      <w:bookmarkStart w:id="79" w:name="_Toc509218698"/>
      <w:bookmarkStart w:id="80" w:name="_Toc430530422"/>
      <w:bookmarkStart w:id="81" w:name="_Toc287620673"/>
      <w:bookmarkStart w:id="82" w:name="_Toc287607734"/>
      <w:bookmarkStart w:id="83" w:name="_Toc24575"/>
      <w:bookmarkStart w:id="84" w:name="_Toc277082542"/>
      <w:bookmarkStart w:id="85" w:name="_Toc224103305"/>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77"/>
      <w:bookmarkEnd w:id="78"/>
      <w:bookmarkStart w:id="86" w:name="_Toc589"/>
      <w:r>
        <w:rPr>
          <w:rFonts w:ascii="宋体" w:hAnsi="宋体"/>
          <w:snapToGrid w:val="0"/>
          <w:color w:val="auto"/>
          <w:sz w:val="28"/>
          <w:szCs w:val="28"/>
          <w:highlight w:val="none"/>
        </w:rPr>
        <w:t>联系方式</w:t>
      </w:r>
      <w:bookmarkEnd w:id="79"/>
      <w:bookmarkEnd w:id="80"/>
      <w:bookmarkEnd w:id="81"/>
      <w:bookmarkEnd w:id="82"/>
      <w:bookmarkEnd w:id="83"/>
      <w:bookmarkEnd w:id="84"/>
      <w:bookmarkEnd w:id="85"/>
      <w:bookmarkEnd w:id="86"/>
    </w:p>
    <w:p w14:paraId="43069986">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选</w:t>
      </w:r>
      <w:r>
        <w:rPr>
          <w:rFonts w:ascii="宋体" w:hAnsi="宋体"/>
          <w:snapToGrid w:val="0"/>
          <w:color w:val="auto"/>
          <w:kern w:val="0"/>
          <w:szCs w:val="21"/>
          <w:highlight w:val="none"/>
        </w:rPr>
        <w:t xml:space="preserve"> 人：</w:t>
      </w:r>
      <w:r>
        <w:rPr>
          <w:rFonts w:hint="eastAsia" w:ascii="宋体" w:hAnsi="宋体"/>
          <w:snapToGrid w:val="0"/>
          <w:color w:val="auto"/>
          <w:kern w:val="0"/>
          <w:szCs w:val="21"/>
          <w:highlight w:val="none"/>
          <w:u w:val="single"/>
          <w:lang w:eastAsia="zh-CN"/>
        </w:rPr>
        <w:t>重庆市铜梁区第二实验小学</w:t>
      </w:r>
    </w:p>
    <w:p w14:paraId="618C0A8C">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position w:val="-3"/>
          <w:szCs w:val="21"/>
          <w:highlight w:val="none"/>
          <w:u w:val="single"/>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eastAsia="zh-CN"/>
        </w:rPr>
        <w:t>重庆市铜梁区蒲吕街道汇贤路99号</w:t>
      </w:r>
    </w:p>
    <w:p w14:paraId="16DC6CC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eastAsia="zh-CN"/>
        </w:rPr>
        <w:t>张老师</w:t>
      </w:r>
      <w:r>
        <w:rPr>
          <w:rFonts w:ascii="宋体" w:hAnsi="宋体"/>
          <w:snapToGrid w:val="0"/>
          <w:color w:val="auto"/>
          <w:kern w:val="0"/>
          <w:szCs w:val="21"/>
          <w:highlight w:val="none"/>
          <w:u w:val="single"/>
        </w:rPr>
        <w:t xml:space="preserve">                       </w:t>
      </w:r>
    </w:p>
    <w:p w14:paraId="0D644A3A">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eastAsia="zh-CN"/>
        </w:rPr>
        <w:t>18996302035</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14:paraId="74931CE1">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u w:val="single"/>
          <w:lang w:eastAsia="zh-CN"/>
        </w:rPr>
        <w:t>重庆垚森工程管理咨询有限公司</w:t>
      </w:r>
      <w:r>
        <w:rPr>
          <w:rFonts w:ascii="宋体" w:hAnsi="宋体"/>
          <w:snapToGrid w:val="0"/>
          <w:color w:val="auto"/>
          <w:kern w:val="0"/>
          <w:szCs w:val="21"/>
          <w:highlight w:val="none"/>
          <w:u w:val="single"/>
        </w:rPr>
        <w:t xml:space="preserve"> </w:t>
      </w:r>
    </w:p>
    <w:p w14:paraId="25A0FB03">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position w:val="-3"/>
          <w:szCs w:val="21"/>
          <w:highlight w:val="none"/>
          <w:u w:val="single"/>
          <w:lang w:val="en-US" w:eastAsia="zh-CN"/>
        </w:rPr>
      </w:pPr>
      <w:r>
        <w:rPr>
          <w:rFonts w:ascii="宋体" w:hAnsi="宋体"/>
          <w:snapToGrid w:val="0"/>
          <w:color w:val="auto"/>
          <w:kern w:val="0"/>
          <w:szCs w:val="21"/>
          <w:highlight w:val="none"/>
        </w:rPr>
        <w:t>地    址：</w:t>
      </w:r>
      <w:r>
        <w:rPr>
          <w:rFonts w:hint="eastAsia" w:ascii="宋体" w:hAnsi="宋体"/>
          <w:snapToGrid w:val="0"/>
          <w:color w:val="auto"/>
          <w:kern w:val="0"/>
          <w:position w:val="-3"/>
          <w:szCs w:val="21"/>
          <w:highlight w:val="none"/>
          <w:u w:val="single"/>
          <w:lang w:eastAsia="zh-CN"/>
        </w:rPr>
        <w:t>重庆市铜梁区金龙大道3号家乐汇建材市场A4栋</w:t>
      </w:r>
    </w:p>
    <w:p w14:paraId="256E5A7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eastAsia="zh-CN"/>
        </w:rPr>
        <w:t>童老师</w:t>
      </w:r>
      <w:r>
        <w:rPr>
          <w:rFonts w:ascii="宋体" w:hAnsi="宋体"/>
          <w:snapToGrid w:val="0"/>
          <w:color w:val="auto"/>
          <w:kern w:val="0"/>
          <w:szCs w:val="21"/>
          <w:highlight w:val="none"/>
          <w:u w:val="single"/>
        </w:rPr>
        <w:t xml:space="preserve">                          </w:t>
      </w:r>
    </w:p>
    <w:p w14:paraId="3AE1A02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 xml:space="preserve">18375658179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p>
    <w:p w14:paraId="6E2111A0">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6</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13</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7BA02F7">
      <w:pPr>
        <w:pStyle w:val="3"/>
        <w:keepNext/>
        <w:keepLines/>
        <w:pageBreakBefore w:val="0"/>
        <w:widowControl w:val="0"/>
        <w:kinsoku/>
        <w:wordWrap/>
        <w:overflowPunct/>
        <w:topLinePunct w:val="0"/>
        <w:autoSpaceDE/>
        <w:autoSpaceDN/>
        <w:bidi w:val="0"/>
        <w:adjustRightInd/>
        <w:snapToGrid/>
        <w:spacing w:before="340" w:after="330" w:line="360" w:lineRule="auto"/>
        <w:jc w:val="center"/>
        <w:textAlignment w:val="auto"/>
        <w:rPr>
          <w:rFonts w:ascii="宋体" w:hAnsi="宋体"/>
          <w:snapToGrid w:val="0"/>
          <w:color w:val="auto"/>
          <w:kern w:val="0"/>
          <w:highlight w:val="none"/>
        </w:rPr>
      </w:pPr>
      <w:r>
        <w:rPr>
          <w:rFonts w:ascii="宋体" w:hAnsi="宋体"/>
          <w:snapToGrid w:val="0"/>
          <w:color w:val="auto"/>
          <w:kern w:val="0"/>
          <w:szCs w:val="21"/>
          <w:highlight w:val="none"/>
        </w:rPr>
        <w:br w:type="page"/>
      </w:r>
      <w:bookmarkStart w:id="87" w:name="_Toc287620683"/>
      <w:bookmarkStart w:id="88" w:name="_Toc430530432"/>
      <w:bookmarkStart w:id="89" w:name="_Toc224103315"/>
      <w:bookmarkStart w:id="90" w:name="_Toc287607744"/>
      <w:bookmarkStart w:id="91" w:name="_Toc21596"/>
      <w:bookmarkStart w:id="92" w:name="_Toc32148"/>
      <w:r>
        <w:rPr>
          <w:rFonts w:ascii="宋体" w:hAnsi="宋体"/>
          <w:snapToGrid w:val="0"/>
          <w:color w:val="auto"/>
          <w:kern w:val="0"/>
          <w:highlight w:val="none"/>
        </w:rPr>
        <w:t>第二章  投标人须知</w:t>
      </w:r>
      <w:bookmarkEnd w:id="87"/>
      <w:bookmarkEnd w:id="88"/>
      <w:bookmarkEnd w:id="89"/>
      <w:bookmarkEnd w:id="90"/>
      <w:bookmarkEnd w:id="91"/>
      <w:bookmarkEnd w:id="92"/>
      <w:bookmarkStart w:id="93" w:name="_Toc287620684"/>
      <w:bookmarkStart w:id="94" w:name="_Toc430530433"/>
      <w:bookmarkStart w:id="95" w:name="_Toc287607745"/>
      <w:bookmarkStart w:id="96" w:name="_Toc224103316"/>
      <w:bookmarkStart w:id="97" w:name="_Toc277082551"/>
    </w:p>
    <w:p w14:paraId="2CB4C472">
      <w:pPr>
        <w:pStyle w:val="4"/>
        <w:spacing w:before="100" w:after="100" w:line="360" w:lineRule="auto"/>
        <w:rPr>
          <w:rFonts w:ascii="宋体" w:hAnsi="宋体"/>
          <w:color w:val="auto"/>
          <w:highlight w:val="none"/>
        </w:rPr>
      </w:pPr>
      <w:bookmarkStart w:id="98" w:name="_Toc8005"/>
      <w:bookmarkStart w:id="99" w:name="_Toc23402"/>
      <w:bookmarkStart w:id="100" w:name="_Toc509218708"/>
      <w:r>
        <w:rPr>
          <w:rFonts w:hint="eastAsia" w:ascii="宋体" w:hAnsi="宋体"/>
          <w:color w:val="auto"/>
          <w:highlight w:val="none"/>
        </w:rPr>
        <w:t>投标人须知前附表</w:t>
      </w:r>
      <w:bookmarkEnd w:id="93"/>
      <w:bookmarkEnd w:id="94"/>
      <w:bookmarkEnd w:id="95"/>
      <w:bookmarkEnd w:id="96"/>
      <w:bookmarkEnd w:id="97"/>
      <w:bookmarkEnd w:id="98"/>
      <w:bookmarkEnd w:id="99"/>
      <w:bookmarkEnd w:id="100"/>
    </w:p>
    <w:p w14:paraId="18E9C226">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6751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01793B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1D0F3BBD">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D4EE16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4C105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02B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24BEA7ED">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07D5EF18">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名称：重庆市铜梁区第二实验小学</w:t>
            </w:r>
          </w:p>
          <w:p w14:paraId="5012FD54">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地址：重庆市铜梁区蒲吕街道汇贤路99号</w:t>
            </w:r>
          </w:p>
          <w:p w14:paraId="28ED88C6">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联系人：张老师</w:t>
            </w:r>
          </w:p>
          <w:p w14:paraId="26AD159B">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color w:val="auto"/>
                <w:szCs w:val="21"/>
                <w:highlight w:val="none"/>
                <w:lang w:eastAsia="zh-CN"/>
              </w:rPr>
              <w:t>电话：18996302035</w:t>
            </w:r>
          </w:p>
        </w:tc>
      </w:tr>
      <w:tr w14:paraId="57D24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6F0F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8EA910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代理机构</w:t>
            </w:r>
          </w:p>
        </w:tc>
        <w:tc>
          <w:tcPr>
            <w:tcW w:w="6490" w:type="dxa"/>
            <w:vAlign w:val="center"/>
          </w:tcPr>
          <w:p w14:paraId="7F5225DB">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名称：重庆垚森工程管理咨询有限公司</w:t>
            </w:r>
          </w:p>
          <w:p w14:paraId="6A852E26">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地址：重庆市铜梁区金龙大道3号家乐汇建材市场A4栋</w:t>
            </w:r>
          </w:p>
          <w:p w14:paraId="7D4AE805">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联系人：童老师</w:t>
            </w:r>
          </w:p>
          <w:p w14:paraId="52430FD5">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color w:val="auto"/>
                <w:szCs w:val="21"/>
                <w:highlight w:val="none"/>
                <w:lang w:eastAsia="zh-CN"/>
              </w:rPr>
              <w:t>电话：</w:t>
            </w:r>
            <w:r>
              <w:rPr>
                <w:rFonts w:hint="eastAsia" w:ascii="宋体" w:hAnsi="宋体"/>
                <w:color w:val="auto"/>
                <w:szCs w:val="21"/>
                <w:highlight w:val="none"/>
                <w:lang w:val="en-US" w:eastAsia="zh-CN"/>
              </w:rPr>
              <w:t>18375658179</w:t>
            </w:r>
          </w:p>
        </w:tc>
      </w:tr>
      <w:tr w14:paraId="0B549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29BE4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6EB742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7893FF0">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铜梁区第二实验小学空调供电线路安装工程</w:t>
            </w:r>
          </w:p>
        </w:tc>
      </w:tr>
      <w:tr w14:paraId="5C1C5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B71C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EBC4B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170AC5A1">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重庆市铜梁区第二实验小学校园内</w:t>
            </w:r>
          </w:p>
        </w:tc>
      </w:tr>
      <w:tr w14:paraId="55C89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6841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96EF5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04EFC89">
            <w:pPr>
              <w:tabs>
                <w:tab w:val="left" w:pos="3840"/>
                <w:tab w:val="left" w:pos="5300"/>
              </w:tabs>
              <w:autoSpaceDE w:val="0"/>
              <w:autoSpaceDN w:val="0"/>
              <w:adjustRightInd w:val="0"/>
              <w:snapToGrid w:val="0"/>
              <w:spacing w:line="460" w:lineRule="exact"/>
              <w:rPr>
                <w:rFonts w:hint="eastAsia" w:ascii="宋体" w:hAnsi="宋体" w:eastAsia="宋体"/>
                <w:i/>
                <w:snapToGrid w:val="0"/>
                <w:color w:val="auto"/>
                <w:kern w:val="0"/>
                <w:szCs w:val="21"/>
                <w:highlight w:val="none"/>
                <w:lang w:eastAsia="zh-CN"/>
              </w:rPr>
            </w:pPr>
            <w:r>
              <w:rPr>
                <w:rFonts w:hint="eastAsia" w:ascii="宋体" w:hAnsi="宋体"/>
                <w:color w:val="auto"/>
                <w:szCs w:val="21"/>
                <w:highlight w:val="none"/>
                <w:lang w:eastAsia="zh-CN"/>
              </w:rPr>
              <w:t>主要包含土石方挖填、电缆敷设、电线敷设、配管安装、配电箱安装、桥架安装、防雷接地安装等，具体内容详见本工程工程量清单。</w:t>
            </w:r>
          </w:p>
        </w:tc>
      </w:tr>
      <w:tr w14:paraId="01DCE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A905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2B6D17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11EA235E">
            <w:pPr>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区财政资金</w:t>
            </w:r>
          </w:p>
        </w:tc>
      </w:tr>
      <w:tr w14:paraId="5F59C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C528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432476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4DBE7A9D">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100%</w:t>
            </w:r>
          </w:p>
        </w:tc>
      </w:tr>
      <w:tr w14:paraId="71A36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26E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FDA42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40881153">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已落实</w:t>
            </w:r>
          </w:p>
        </w:tc>
      </w:tr>
      <w:tr w14:paraId="43863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6BC43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C6BB96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范围</w:t>
            </w:r>
          </w:p>
        </w:tc>
        <w:tc>
          <w:tcPr>
            <w:tcW w:w="6490" w:type="dxa"/>
            <w:vAlign w:val="center"/>
          </w:tcPr>
          <w:p w14:paraId="14193812">
            <w:pPr>
              <w:snapToGrid w:val="0"/>
              <w:spacing w:line="400" w:lineRule="exact"/>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本工程施工图设计所示工程内容，具体详见本工程工程量清单。</w:t>
            </w:r>
          </w:p>
        </w:tc>
      </w:tr>
      <w:tr w14:paraId="4921B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127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38F29E6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54516A1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21778467">
            <w:pPr>
              <w:snapToGrid w:val="0"/>
              <w:spacing w:line="400" w:lineRule="exac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40日历天</w:t>
            </w:r>
          </w:p>
          <w:p w14:paraId="5512ECB3">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tc>
      </w:tr>
      <w:tr w14:paraId="01F35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730C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CF348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F224A83">
            <w:pPr>
              <w:snapToGrid w:val="0"/>
              <w:spacing w:line="400" w:lineRule="exact"/>
              <w:rPr>
                <w:rFonts w:ascii="宋体" w:hAnsi="宋体"/>
                <w:color w:val="auto"/>
                <w:szCs w:val="21"/>
                <w:highlight w:val="none"/>
              </w:rPr>
            </w:pP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45852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35" w:type="dxa"/>
            <w:vAlign w:val="center"/>
          </w:tcPr>
          <w:p w14:paraId="0298AEDB">
            <w:pPr>
              <w:snapToGrid w:val="0"/>
              <w:spacing w:line="400" w:lineRule="exact"/>
              <w:jc w:val="center"/>
              <w:rPr>
                <w:rFonts w:ascii="宋体" w:hAnsi="宋体"/>
                <w:color w:val="auto"/>
                <w:kern w:val="0"/>
                <w:szCs w:val="21"/>
                <w:highlight w:val="none"/>
              </w:rPr>
            </w:pPr>
          </w:p>
          <w:p w14:paraId="31DEBCFE">
            <w:pPr>
              <w:snapToGrid w:val="0"/>
              <w:spacing w:line="400" w:lineRule="exact"/>
              <w:jc w:val="center"/>
              <w:rPr>
                <w:rFonts w:ascii="宋体" w:hAnsi="宋体"/>
                <w:color w:val="auto"/>
                <w:kern w:val="0"/>
                <w:szCs w:val="21"/>
                <w:highlight w:val="none"/>
              </w:rPr>
            </w:pPr>
          </w:p>
          <w:p w14:paraId="4FA328CC">
            <w:pPr>
              <w:snapToGrid w:val="0"/>
              <w:spacing w:line="400" w:lineRule="exact"/>
              <w:jc w:val="center"/>
              <w:rPr>
                <w:rFonts w:ascii="宋体" w:hAnsi="宋体"/>
                <w:color w:val="auto"/>
                <w:kern w:val="0"/>
                <w:szCs w:val="21"/>
                <w:highlight w:val="none"/>
              </w:rPr>
            </w:pPr>
          </w:p>
          <w:p w14:paraId="1CC9A84E">
            <w:pPr>
              <w:snapToGrid w:val="0"/>
              <w:spacing w:line="400" w:lineRule="exact"/>
              <w:jc w:val="center"/>
              <w:rPr>
                <w:rFonts w:ascii="宋体" w:hAnsi="宋体"/>
                <w:color w:val="auto"/>
                <w:kern w:val="0"/>
                <w:szCs w:val="21"/>
                <w:highlight w:val="none"/>
              </w:rPr>
            </w:pPr>
          </w:p>
          <w:p w14:paraId="124B6464">
            <w:pPr>
              <w:snapToGrid w:val="0"/>
              <w:spacing w:line="400" w:lineRule="exact"/>
              <w:jc w:val="center"/>
              <w:rPr>
                <w:rFonts w:ascii="宋体" w:hAnsi="宋体"/>
                <w:color w:val="auto"/>
                <w:kern w:val="0"/>
                <w:szCs w:val="21"/>
                <w:highlight w:val="none"/>
              </w:rPr>
            </w:pPr>
          </w:p>
          <w:p w14:paraId="62687A56">
            <w:pPr>
              <w:snapToGrid w:val="0"/>
              <w:spacing w:line="400" w:lineRule="exact"/>
              <w:jc w:val="center"/>
              <w:rPr>
                <w:rFonts w:ascii="宋体" w:hAnsi="宋体"/>
                <w:color w:val="auto"/>
                <w:kern w:val="0"/>
                <w:szCs w:val="21"/>
                <w:highlight w:val="none"/>
              </w:rPr>
            </w:pPr>
          </w:p>
          <w:p w14:paraId="3AB910A8">
            <w:pPr>
              <w:snapToGrid w:val="0"/>
              <w:spacing w:line="400" w:lineRule="exact"/>
              <w:jc w:val="center"/>
              <w:rPr>
                <w:rFonts w:ascii="宋体" w:hAnsi="宋体"/>
                <w:color w:val="auto"/>
                <w:kern w:val="0"/>
                <w:szCs w:val="21"/>
                <w:highlight w:val="none"/>
              </w:rPr>
            </w:pPr>
          </w:p>
          <w:p w14:paraId="0A75FF6B">
            <w:pPr>
              <w:snapToGrid w:val="0"/>
              <w:spacing w:line="400" w:lineRule="exact"/>
              <w:jc w:val="center"/>
              <w:rPr>
                <w:rFonts w:ascii="宋体" w:hAnsi="宋体"/>
                <w:color w:val="auto"/>
                <w:kern w:val="0"/>
                <w:szCs w:val="21"/>
                <w:highlight w:val="none"/>
              </w:rPr>
            </w:pPr>
          </w:p>
          <w:p w14:paraId="2C12D29E">
            <w:pPr>
              <w:snapToGrid w:val="0"/>
              <w:spacing w:line="400" w:lineRule="exact"/>
              <w:jc w:val="center"/>
              <w:rPr>
                <w:rFonts w:ascii="宋体" w:hAnsi="宋体"/>
                <w:color w:val="auto"/>
                <w:kern w:val="0"/>
                <w:szCs w:val="21"/>
                <w:highlight w:val="none"/>
              </w:rPr>
            </w:pPr>
          </w:p>
          <w:p w14:paraId="5D3FF135">
            <w:pPr>
              <w:snapToGrid w:val="0"/>
              <w:spacing w:line="400" w:lineRule="exact"/>
              <w:jc w:val="center"/>
              <w:rPr>
                <w:rFonts w:ascii="宋体" w:hAnsi="宋体"/>
                <w:color w:val="auto"/>
                <w:kern w:val="0"/>
                <w:szCs w:val="21"/>
                <w:highlight w:val="none"/>
              </w:rPr>
            </w:pPr>
          </w:p>
          <w:p w14:paraId="34FDEFBB">
            <w:pPr>
              <w:snapToGrid w:val="0"/>
              <w:spacing w:line="400" w:lineRule="exact"/>
              <w:jc w:val="center"/>
              <w:rPr>
                <w:rFonts w:ascii="宋体" w:hAnsi="宋体"/>
                <w:color w:val="auto"/>
                <w:kern w:val="0"/>
                <w:szCs w:val="21"/>
                <w:highlight w:val="none"/>
              </w:rPr>
            </w:pPr>
          </w:p>
          <w:p w14:paraId="39D41EF3">
            <w:pPr>
              <w:snapToGrid w:val="0"/>
              <w:spacing w:line="400" w:lineRule="exact"/>
              <w:jc w:val="center"/>
              <w:rPr>
                <w:rFonts w:ascii="宋体" w:hAnsi="宋体"/>
                <w:color w:val="auto"/>
                <w:kern w:val="0"/>
                <w:szCs w:val="21"/>
                <w:highlight w:val="none"/>
              </w:rPr>
            </w:pPr>
          </w:p>
          <w:p w14:paraId="7BB29EF2">
            <w:pPr>
              <w:snapToGrid w:val="0"/>
              <w:spacing w:line="400" w:lineRule="exact"/>
              <w:jc w:val="center"/>
              <w:rPr>
                <w:rFonts w:ascii="宋体" w:hAnsi="宋体"/>
                <w:color w:val="auto"/>
                <w:kern w:val="0"/>
                <w:szCs w:val="21"/>
                <w:highlight w:val="none"/>
              </w:rPr>
            </w:pPr>
          </w:p>
          <w:p w14:paraId="4FDC04E6">
            <w:pPr>
              <w:snapToGrid w:val="0"/>
              <w:spacing w:line="400" w:lineRule="exact"/>
              <w:jc w:val="center"/>
              <w:rPr>
                <w:rFonts w:ascii="宋体" w:hAnsi="宋体"/>
                <w:color w:val="auto"/>
                <w:kern w:val="0"/>
                <w:szCs w:val="21"/>
                <w:highlight w:val="none"/>
              </w:rPr>
            </w:pPr>
          </w:p>
          <w:p w14:paraId="46A8BE40">
            <w:pPr>
              <w:snapToGrid w:val="0"/>
              <w:spacing w:line="400" w:lineRule="exact"/>
              <w:jc w:val="center"/>
              <w:rPr>
                <w:rFonts w:ascii="宋体" w:hAnsi="宋体"/>
                <w:color w:val="auto"/>
                <w:kern w:val="0"/>
                <w:szCs w:val="21"/>
                <w:highlight w:val="none"/>
              </w:rPr>
            </w:pPr>
          </w:p>
          <w:p w14:paraId="1FECA4C8">
            <w:pPr>
              <w:snapToGrid w:val="0"/>
              <w:spacing w:line="400" w:lineRule="exact"/>
              <w:jc w:val="center"/>
              <w:rPr>
                <w:rFonts w:ascii="宋体" w:hAnsi="宋体"/>
                <w:color w:val="auto"/>
                <w:kern w:val="0"/>
                <w:szCs w:val="21"/>
                <w:highlight w:val="none"/>
              </w:rPr>
            </w:pPr>
          </w:p>
          <w:p w14:paraId="7F1B93AC">
            <w:pPr>
              <w:snapToGrid w:val="0"/>
              <w:spacing w:line="400" w:lineRule="exact"/>
              <w:jc w:val="center"/>
              <w:rPr>
                <w:rFonts w:ascii="宋体" w:hAnsi="宋体"/>
                <w:color w:val="auto"/>
                <w:kern w:val="0"/>
                <w:szCs w:val="21"/>
                <w:highlight w:val="none"/>
              </w:rPr>
            </w:pPr>
          </w:p>
          <w:p w14:paraId="4BC668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69E97C1">
            <w:pPr>
              <w:snapToGrid w:val="0"/>
              <w:spacing w:line="400" w:lineRule="exact"/>
              <w:jc w:val="center"/>
              <w:rPr>
                <w:rFonts w:ascii="宋体" w:hAnsi="宋体"/>
                <w:color w:val="auto"/>
                <w:kern w:val="0"/>
                <w:szCs w:val="21"/>
                <w:highlight w:val="none"/>
              </w:rPr>
            </w:pPr>
          </w:p>
          <w:p w14:paraId="60C5F92F">
            <w:pPr>
              <w:snapToGrid w:val="0"/>
              <w:spacing w:line="400" w:lineRule="exact"/>
              <w:jc w:val="center"/>
              <w:rPr>
                <w:rFonts w:ascii="宋体" w:hAnsi="宋体"/>
                <w:color w:val="auto"/>
                <w:kern w:val="0"/>
                <w:szCs w:val="21"/>
                <w:highlight w:val="none"/>
              </w:rPr>
            </w:pPr>
          </w:p>
          <w:p w14:paraId="789BE5B7">
            <w:pPr>
              <w:snapToGrid w:val="0"/>
              <w:spacing w:line="400" w:lineRule="exact"/>
              <w:jc w:val="center"/>
              <w:rPr>
                <w:rFonts w:ascii="宋体" w:hAnsi="宋体"/>
                <w:color w:val="auto"/>
                <w:kern w:val="0"/>
                <w:szCs w:val="21"/>
                <w:highlight w:val="none"/>
              </w:rPr>
            </w:pPr>
          </w:p>
          <w:p w14:paraId="4179D4BE">
            <w:pPr>
              <w:snapToGrid w:val="0"/>
              <w:spacing w:line="400" w:lineRule="exact"/>
              <w:jc w:val="center"/>
              <w:rPr>
                <w:rFonts w:ascii="宋体" w:hAnsi="宋体"/>
                <w:color w:val="auto"/>
                <w:kern w:val="0"/>
                <w:szCs w:val="21"/>
                <w:highlight w:val="none"/>
              </w:rPr>
            </w:pPr>
          </w:p>
          <w:p w14:paraId="4D5EB7D0">
            <w:pPr>
              <w:snapToGrid w:val="0"/>
              <w:spacing w:line="400" w:lineRule="exact"/>
              <w:jc w:val="center"/>
              <w:rPr>
                <w:rFonts w:ascii="宋体" w:hAnsi="宋体"/>
                <w:color w:val="auto"/>
                <w:kern w:val="0"/>
                <w:szCs w:val="21"/>
                <w:highlight w:val="none"/>
              </w:rPr>
            </w:pPr>
          </w:p>
          <w:p w14:paraId="659D2C74">
            <w:pPr>
              <w:snapToGrid w:val="0"/>
              <w:spacing w:line="400" w:lineRule="exact"/>
              <w:jc w:val="center"/>
              <w:rPr>
                <w:rFonts w:ascii="宋体" w:hAnsi="宋体"/>
                <w:color w:val="auto"/>
                <w:kern w:val="0"/>
                <w:szCs w:val="21"/>
                <w:highlight w:val="none"/>
              </w:rPr>
            </w:pPr>
          </w:p>
          <w:p w14:paraId="321518FA">
            <w:pPr>
              <w:snapToGrid w:val="0"/>
              <w:spacing w:line="400" w:lineRule="exact"/>
              <w:jc w:val="center"/>
              <w:rPr>
                <w:rFonts w:ascii="宋体" w:hAnsi="宋体"/>
                <w:color w:val="auto"/>
                <w:kern w:val="0"/>
                <w:szCs w:val="21"/>
                <w:highlight w:val="none"/>
              </w:rPr>
            </w:pPr>
          </w:p>
          <w:p w14:paraId="1C546C8B">
            <w:pPr>
              <w:snapToGrid w:val="0"/>
              <w:spacing w:line="400" w:lineRule="exact"/>
              <w:jc w:val="center"/>
              <w:rPr>
                <w:rFonts w:ascii="宋体" w:hAnsi="宋体"/>
                <w:color w:val="auto"/>
                <w:kern w:val="0"/>
                <w:szCs w:val="21"/>
                <w:highlight w:val="none"/>
              </w:rPr>
            </w:pPr>
          </w:p>
          <w:p w14:paraId="1C4D6E5C">
            <w:pPr>
              <w:snapToGrid w:val="0"/>
              <w:spacing w:line="400" w:lineRule="exact"/>
              <w:jc w:val="center"/>
              <w:rPr>
                <w:rFonts w:ascii="宋体" w:hAnsi="宋体"/>
                <w:color w:val="auto"/>
                <w:kern w:val="0"/>
                <w:szCs w:val="21"/>
                <w:highlight w:val="none"/>
              </w:rPr>
            </w:pPr>
          </w:p>
          <w:p w14:paraId="73994D4A">
            <w:pPr>
              <w:snapToGrid w:val="0"/>
              <w:spacing w:line="400" w:lineRule="exact"/>
              <w:jc w:val="center"/>
              <w:rPr>
                <w:rFonts w:ascii="宋体" w:hAnsi="宋体"/>
                <w:color w:val="auto"/>
                <w:kern w:val="0"/>
                <w:szCs w:val="21"/>
                <w:highlight w:val="none"/>
              </w:rPr>
            </w:pPr>
          </w:p>
          <w:p w14:paraId="078A51C0">
            <w:pPr>
              <w:snapToGrid w:val="0"/>
              <w:spacing w:line="400" w:lineRule="exact"/>
              <w:jc w:val="center"/>
              <w:rPr>
                <w:rFonts w:ascii="宋体" w:hAnsi="宋体"/>
                <w:color w:val="auto"/>
                <w:kern w:val="0"/>
                <w:szCs w:val="21"/>
                <w:highlight w:val="none"/>
              </w:rPr>
            </w:pPr>
          </w:p>
          <w:p w14:paraId="1DA0B4C9">
            <w:pPr>
              <w:snapToGrid w:val="0"/>
              <w:spacing w:line="400" w:lineRule="exact"/>
              <w:jc w:val="center"/>
              <w:rPr>
                <w:rFonts w:ascii="宋体" w:hAnsi="宋体"/>
                <w:color w:val="auto"/>
                <w:kern w:val="0"/>
                <w:szCs w:val="21"/>
                <w:highlight w:val="none"/>
              </w:rPr>
            </w:pPr>
          </w:p>
          <w:p w14:paraId="46367B32">
            <w:pPr>
              <w:snapToGrid w:val="0"/>
              <w:spacing w:line="400" w:lineRule="exact"/>
              <w:jc w:val="center"/>
              <w:rPr>
                <w:rFonts w:ascii="宋体" w:hAnsi="宋体"/>
                <w:color w:val="auto"/>
                <w:kern w:val="0"/>
                <w:szCs w:val="21"/>
                <w:highlight w:val="none"/>
              </w:rPr>
            </w:pPr>
          </w:p>
          <w:p w14:paraId="28F65F8D">
            <w:pPr>
              <w:snapToGrid w:val="0"/>
              <w:spacing w:line="400" w:lineRule="exact"/>
              <w:jc w:val="center"/>
              <w:rPr>
                <w:rFonts w:ascii="宋体" w:hAnsi="宋体"/>
                <w:color w:val="auto"/>
                <w:kern w:val="0"/>
                <w:szCs w:val="21"/>
                <w:highlight w:val="none"/>
              </w:rPr>
            </w:pPr>
          </w:p>
          <w:p w14:paraId="27757F0A">
            <w:pPr>
              <w:snapToGrid w:val="0"/>
              <w:spacing w:line="400" w:lineRule="exact"/>
              <w:jc w:val="center"/>
              <w:rPr>
                <w:rFonts w:ascii="宋体" w:hAnsi="宋体"/>
                <w:color w:val="auto"/>
                <w:kern w:val="0"/>
                <w:szCs w:val="21"/>
                <w:highlight w:val="none"/>
              </w:rPr>
            </w:pPr>
          </w:p>
          <w:p w14:paraId="57F07CE9">
            <w:pPr>
              <w:snapToGrid w:val="0"/>
              <w:spacing w:line="400" w:lineRule="exact"/>
              <w:jc w:val="center"/>
              <w:rPr>
                <w:rFonts w:ascii="宋体" w:hAnsi="宋体"/>
                <w:color w:val="auto"/>
                <w:kern w:val="0"/>
                <w:szCs w:val="21"/>
                <w:highlight w:val="none"/>
              </w:rPr>
            </w:pPr>
          </w:p>
          <w:p w14:paraId="3026D5A5">
            <w:pPr>
              <w:snapToGrid w:val="0"/>
              <w:spacing w:line="400" w:lineRule="exact"/>
              <w:jc w:val="center"/>
              <w:rPr>
                <w:rFonts w:ascii="宋体" w:hAnsi="宋体"/>
                <w:color w:val="auto"/>
                <w:kern w:val="0"/>
                <w:szCs w:val="21"/>
                <w:highlight w:val="none"/>
              </w:rPr>
            </w:pPr>
          </w:p>
          <w:p w14:paraId="45FE1FAE">
            <w:pPr>
              <w:snapToGrid w:val="0"/>
              <w:spacing w:line="400" w:lineRule="exact"/>
              <w:jc w:val="center"/>
              <w:rPr>
                <w:rFonts w:ascii="宋体" w:hAnsi="宋体"/>
                <w:color w:val="auto"/>
                <w:kern w:val="0"/>
                <w:szCs w:val="21"/>
                <w:highlight w:val="none"/>
              </w:rPr>
            </w:pPr>
          </w:p>
          <w:p w14:paraId="40567022">
            <w:pPr>
              <w:snapToGrid w:val="0"/>
              <w:spacing w:line="400" w:lineRule="exact"/>
              <w:jc w:val="center"/>
              <w:rPr>
                <w:rFonts w:ascii="宋体" w:hAnsi="宋体"/>
                <w:color w:val="auto"/>
                <w:kern w:val="0"/>
                <w:szCs w:val="21"/>
                <w:highlight w:val="none"/>
              </w:rPr>
            </w:pPr>
          </w:p>
          <w:p w14:paraId="285F52A7">
            <w:pPr>
              <w:snapToGrid w:val="0"/>
              <w:spacing w:line="400" w:lineRule="exact"/>
              <w:jc w:val="center"/>
              <w:rPr>
                <w:rFonts w:ascii="宋体" w:hAnsi="宋体"/>
                <w:color w:val="auto"/>
                <w:kern w:val="0"/>
                <w:szCs w:val="21"/>
                <w:highlight w:val="none"/>
              </w:rPr>
            </w:pPr>
          </w:p>
          <w:p w14:paraId="369149B0">
            <w:pPr>
              <w:snapToGrid w:val="0"/>
              <w:spacing w:line="400" w:lineRule="exact"/>
              <w:jc w:val="center"/>
              <w:rPr>
                <w:rFonts w:ascii="宋体" w:hAnsi="宋体"/>
                <w:color w:val="auto"/>
                <w:kern w:val="0"/>
                <w:szCs w:val="21"/>
                <w:highlight w:val="none"/>
              </w:rPr>
            </w:pPr>
          </w:p>
          <w:p w14:paraId="53B8C537">
            <w:pPr>
              <w:snapToGrid w:val="0"/>
              <w:spacing w:line="400" w:lineRule="exact"/>
              <w:jc w:val="center"/>
              <w:rPr>
                <w:rFonts w:ascii="宋体" w:hAnsi="宋体"/>
                <w:color w:val="auto"/>
                <w:kern w:val="0"/>
                <w:szCs w:val="21"/>
                <w:highlight w:val="none"/>
              </w:rPr>
            </w:pPr>
          </w:p>
          <w:p w14:paraId="030E04A3">
            <w:pPr>
              <w:snapToGrid w:val="0"/>
              <w:spacing w:line="400" w:lineRule="exact"/>
              <w:jc w:val="center"/>
              <w:rPr>
                <w:rFonts w:ascii="宋体" w:hAnsi="宋体"/>
                <w:color w:val="auto"/>
                <w:kern w:val="0"/>
                <w:szCs w:val="21"/>
                <w:highlight w:val="none"/>
              </w:rPr>
            </w:pPr>
          </w:p>
          <w:p w14:paraId="4D60D917">
            <w:pPr>
              <w:snapToGrid w:val="0"/>
              <w:spacing w:line="400" w:lineRule="exact"/>
              <w:jc w:val="center"/>
              <w:rPr>
                <w:rFonts w:ascii="宋体" w:hAnsi="宋体"/>
                <w:color w:val="auto"/>
                <w:kern w:val="0"/>
                <w:szCs w:val="21"/>
                <w:highlight w:val="none"/>
              </w:rPr>
            </w:pPr>
          </w:p>
          <w:p w14:paraId="77D2ADC2">
            <w:pPr>
              <w:snapToGrid w:val="0"/>
              <w:spacing w:line="400" w:lineRule="exact"/>
              <w:jc w:val="center"/>
              <w:rPr>
                <w:rFonts w:ascii="宋体" w:hAnsi="宋体"/>
                <w:color w:val="auto"/>
                <w:kern w:val="0"/>
                <w:szCs w:val="21"/>
                <w:highlight w:val="none"/>
              </w:rPr>
            </w:pPr>
          </w:p>
          <w:p w14:paraId="4DC45D8C">
            <w:pPr>
              <w:snapToGrid w:val="0"/>
              <w:spacing w:line="400" w:lineRule="exact"/>
              <w:jc w:val="center"/>
              <w:rPr>
                <w:rFonts w:ascii="宋体" w:hAnsi="宋体"/>
                <w:color w:val="auto"/>
                <w:kern w:val="0"/>
                <w:szCs w:val="21"/>
                <w:highlight w:val="none"/>
              </w:rPr>
            </w:pPr>
          </w:p>
          <w:p w14:paraId="0A49325D">
            <w:pPr>
              <w:snapToGrid w:val="0"/>
              <w:spacing w:line="400" w:lineRule="exact"/>
              <w:jc w:val="center"/>
              <w:rPr>
                <w:rFonts w:ascii="宋体" w:hAnsi="宋体"/>
                <w:color w:val="auto"/>
                <w:kern w:val="0"/>
                <w:szCs w:val="21"/>
                <w:highlight w:val="none"/>
              </w:rPr>
            </w:pPr>
          </w:p>
          <w:p w14:paraId="7CBE4435">
            <w:pPr>
              <w:snapToGrid w:val="0"/>
              <w:spacing w:line="400" w:lineRule="exact"/>
              <w:jc w:val="center"/>
              <w:rPr>
                <w:rFonts w:ascii="宋体" w:hAnsi="宋体"/>
                <w:color w:val="auto"/>
                <w:kern w:val="0"/>
                <w:szCs w:val="21"/>
                <w:highlight w:val="none"/>
              </w:rPr>
            </w:pPr>
          </w:p>
          <w:p w14:paraId="3A808D08">
            <w:pPr>
              <w:snapToGrid w:val="0"/>
              <w:spacing w:line="400" w:lineRule="exact"/>
              <w:jc w:val="center"/>
              <w:rPr>
                <w:rFonts w:ascii="宋体" w:hAnsi="宋体"/>
                <w:color w:val="auto"/>
                <w:kern w:val="0"/>
                <w:szCs w:val="21"/>
                <w:highlight w:val="none"/>
              </w:rPr>
            </w:pPr>
          </w:p>
          <w:p w14:paraId="39EF74FB">
            <w:pPr>
              <w:snapToGrid w:val="0"/>
              <w:spacing w:line="400" w:lineRule="exact"/>
              <w:jc w:val="center"/>
              <w:rPr>
                <w:rFonts w:ascii="宋体" w:hAnsi="宋体"/>
                <w:color w:val="auto"/>
                <w:kern w:val="0"/>
                <w:szCs w:val="21"/>
                <w:highlight w:val="none"/>
              </w:rPr>
            </w:pPr>
          </w:p>
          <w:p w14:paraId="6C531640">
            <w:pPr>
              <w:snapToGrid w:val="0"/>
              <w:spacing w:line="400" w:lineRule="exact"/>
              <w:jc w:val="center"/>
              <w:rPr>
                <w:rFonts w:ascii="宋体" w:hAnsi="宋体"/>
                <w:color w:val="auto"/>
                <w:kern w:val="0"/>
                <w:szCs w:val="21"/>
                <w:highlight w:val="none"/>
              </w:rPr>
            </w:pPr>
          </w:p>
          <w:p w14:paraId="66F442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B67F87B">
            <w:pPr>
              <w:snapToGrid w:val="0"/>
              <w:spacing w:line="400" w:lineRule="exact"/>
              <w:jc w:val="center"/>
              <w:rPr>
                <w:rFonts w:ascii="宋体" w:hAnsi="宋体"/>
                <w:color w:val="auto"/>
                <w:kern w:val="0"/>
                <w:szCs w:val="21"/>
                <w:highlight w:val="none"/>
              </w:rPr>
            </w:pPr>
          </w:p>
          <w:p w14:paraId="18DB8F6E">
            <w:pPr>
              <w:snapToGrid w:val="0"/>
              <w:spacing w:line="400" w:lineRule="exact"/>
              <w:jc w:val="center"/>
              <w:rPr>
                <w:rFonts w:ascii="宋体" w:hAnsi="宋体"/>
                <w:color w:val="auto"/>
                <w:kern w:val="0"/>
                <w:szCs w:val="21"/>
                <w:highlight w:val="none"/>
              </w:rPr>
            </w:pPr>
          </w:p>
          <w:p w14:paraId="095FA43B">
            <w:pPr>
              <w:snapToGrid w:val="0"/>
              <w:spacing w:line="400" w:lineRule="exact"/>
              <w:jc w:val="center"/>
              <w:rPr>
                <w:rFonts w:ascii="宋体" w:hAnsi="宋体"/>
                <w:color w:val="auto"/>
                <w:kern w:val="0"/>
                <w:szCs w:val="21"/>
                <w:highlight w:val="none"/>
              </w:rPr>
            </w:pPr>
          </w:p>
          <w:p w14:paraId="7E0BC7DC">
            <w:pPr>
              <w:snapToGrid w:val="0"/>
              <w:spacing w:line="400" w:lineRule="exact"/>
              <w:jc w:val="center"/>
              <w:rPr>
                <w:rFonts w:ascii="宋体" w:hAnsi="宋体"/>
                <w:color w:val="auto"/>
                <w:kern w:val="0"/>
                <w:szCs w:val="21"/>
                <w:highlight w:val="none"/>
              </w:rPr>
            </w:pPr>
          </w:p>
          <w:p w14:paraId="0CAF080E">
            <w:pPr>
              <w:snapToGrid w:val="0"/>
              <w:spacing w:line="400" w:lineRule="exact"/>
              <w:jc w:val="center"/>
              <w:rPr>
                <w:rFonts w:ascii="宋体" w:hAnsi="宋体"/>
                <w:color w:val="auto"/>
                <w:kern w:val="0"/>
                <w:szCs w:val="21"/>
                <w:highlight w:val="none"/>
              </w:rPr>
            </w:pPr>
          </w:p>
          <w:p w14:paraId="608FDCF6">
            <w:pPr>
              <w:snapToGrid w:val="0"/>
              <w:spacing w:line="400" w:lineRule="exact"/>
              <w:jc w:val="center"/>
              <w:rPr>
                <w:rFonts w:ascii="宋体" w:hAnsi="宋体"/>
                <w:color w:val="auto"/>
                <w:kern w:val="0"/>
                <w:szCs w:val="21"/>
                <w:highlight w:val="none"/>
              </w:rPr>
            </w:pPr>
          </w:p>
          <w:p w14:paraId="676FA8DF">
            <w:pPr>
              <w:snapToGrid w:val="0"/>
              <w:spacing w:line="400" w:lineRule="exact"/>
              <w:jc w:val="center"/>
              <w:rPr>
                <w:rFonts w:ascii="宋体" w:hAnsi="宋体"/>
                <w:color w:val="auto"/>
                <w:kern w:val="0"/>
                <w:szCs w:val="21"/>
                <w:highlight w:val="none"/>
              </w:rPr>
            </w:pPr>
          </w:p>
          <w:p w14:paraId="30DD19D1">
            <w:pPr>
              <w:snapToGrid w:val="0"/>
              <w:spacing w:line="400" w:lineRule="exact"/>
              <w:jc w:val="center"/>
              <w:rPr>
                <w:rFonts w:ascii="宋体" w:hAnsi="宋体"/>
                <w:color w:val="auto"/>
                <w:kern w:val="0"/>
                <w:szCs w:val="21"/>
                <w:highlight w:val="none"/>
              </w:rPr>
            </w:pPr>
          </w:p>
          <w:p w14:paraId="14B48E11">
            <w:pPr>
              <w:snapToGrid w:val="0"/>
              <w:spacing w:line="400" w:lineRule="exact"/>
              <w:jc w:val="center"/>
              <w:rPr>
                <w:rFonts w:ascii="宋体" w:hAnsi="宋体"/>
                <w:color w:val="auto"/>
                <w:kern w:val="0"/>
                <w:szCs w:val="21"/>
                <w:highlight w:val="none"/>
              </w:rPr>
            </w:pPr>
          </w:p>
          <w:p w14:paraId="7BD9E9D0">
            <w:pPr>
              <w:snapToGrid w:val="0"/>
              <w:spacing w:line="400" w:lineRule="exact"/>
              <w:jc w:val="center"/>
              <w:rPr>
                <w:rFonts w:ascii="宋体" w:hAnsi="宋体"/>
                <w:color w:val="auto"/>
                <w:kern w:val="0"/>
                <w:szCs w:val="21"/>
                <w:highlight w:val="none"/>
              </w:rPr>
            </w:pPr>
          </w:p>
          <w:p w14:paraId="0E5B26B9">
            <w:pPr>
              <w:snapToGrid w:val="0"/>
              <w:spacing w:line="400" w:lineRule="exact"/>
              <w:jc w:val="center"/>
              <w:rPr>
                <w:rFonts w:ascii="宋体" w:hAnsi="宋体"/>
                <w:color w:val="auto"/>
                <w:kern w:val="0"/>
                <w:szCs w:val="21"/>
                <w:highlight w:val="none"/>
              </w:rPr>
            </w:pPr>
          </w:p>
          <w:p w14:paraId="2A7847BC">
            <w:pPr>
              <w:snapToGrid w:val="0"/>
              <w:spacing w:line="400" w:lineRule="exact"/>
              <w:jc w:val="center"/>
              <w:rPr>
                <w:rFonts w:ascii="宋体" w:hAnsi="宋体"/>
                <w:color w:val="auto"/>
                <w:kern w:val="0"/>
                <w:szCs w:val="21"/>
                <w:highlight w:val="none"/>
              </w:rPr>
            </w:pPr>
          </w:p>
          <w:p w14:paraId="2EAB0A4D">
            <w:pPr>
              <w:snapToGrid w:val="0"/>
              <w:spacing w:line="400" w:lineRule="exact"/>
              <w:jc w:val="center"/>
              <w:rPr>
                <w:rFonts w:ascii="宋体" w:hAnsi="宋体"/>
                <w:color w:val="auto"/>
                <w:kern w:val="0"/>
                <w:szCs w:val="21"/>
                <w:highlight w:val="none"/>
              </w:rPr>
            </w:pPr>
          </w:p>
          <w:p w14:paraId="1904A436">
            <w:pPr>
              <w:snapToGrid w:val="0"/>
              <w:spacing w:line="400" w:lineRule="exact"/>
              <w:jc w:val="center"/>
              <w:rPr>
                <w:rFonts w:ascii="宋体" w:hAnsi="宋体"/>
                <w:color w:val="auto"/>
                <w:kern w:val="0"/>
                <w:szCs w:val="21"/>
                <w:highlight w:val="none"/>
              </w:rPr>
            </w:pPr>
          </w:p>
          <w:p w14:paraId="67CC568B">
            <w:pPr>
              <w:snapToGrid w:val="0"/>
              <w:spacing w:line="400" w:lineRule="exact"/>
              <w:jc w:val="center"/>
              <w:rPr>
                <w:rFonts w:ascii="宋体" w:hAnsi="宋体"/>
                <w:color w:val="auto"/>
                <w:kern w:val="0"/>
                <w:szCs w:val="21"/>
                <w:highlight w:val="none"/>
              </w:rPr>
            </w:pPr>
          </w:p>
          <w:p w14:paraId="62A374F0">
            <w:pPr>
              <w:snapToGrid w:val="0"/>
              <w:spacing w:line="400" w:lineRule="exact"/>
              <w:jc w:val="center"/>
              <w:rPr>
                <w:rFonts w:ascii="宋体" w:hAnsi="宋体"/>
                <w:color w:val="auto"/>
                <w:kern w:val="0"/>
                <w:szCs w:val="21"/>
                <w:highlight w:val="none"/>
              </w:rPr>
            </w:pPr>
          </w:p>
          <w:p w14:paraId="5DE4E690">
            <w:pPr>
              <w:snapToGrid w:val="0"/>
              <w:spacing w:line="400" w:lineRule="exact"/>
              <w:jc w:val="center"/>
              <w:rPr>
                <w:rFonts w:ascii="宋体" w:hAnsi="宋体"/>
                <w:color w:val="auto"/>
                <w:kern w:val="0"/>
                <w:szCs w:val="21"/>
                <w:highlight w:val="none"/>
              </w:rPr>
            </w:pPr>
          </w:p>
          <w:p w14:paraId="033F22E4">
            <w:pPr>
              <w:snapToGrid w:val="0"/>
              <w:spacing w:line="400" w:lineRule="exact"/>
              <w:jc w:val="center"/>
              <w:rPr>
                <w:rFonts w:ascii="宋体" w:hAnsi="宋体"/>
                <w:color w:val="auto"/>
                <w:kern w:val="0"/>
                <w:szCs w:val="21"/>
                <w:highlight w:val="none"/>
              </w:rPr>
            </w:pPr>
          </w:p>
          <w:p w14:paraId="4081907F">
            <w:pPr>
              <w:snapToGrid w:val="0"/>
              <w:spacing w:line="400" w:lineRule="exact"/>
              <w:jc w:val="center"/>
              <w:rPr>
                <w:rFonts w:ascii="宋体" w:hAnsi="宋体"/>
                <w:color w:val="auto"/>
                <w:kern w:val="0"/>
                <w:szCs w:val="21"/>
                <w:highlight w:val="none"/>
              </w:rPr>
            </w:pPr>
          </w:p>
          <w:p w14:paraId="5F53B728">
            <w:pPr>
              <w:snapToGrid w:val="0"/>
              <w:spacing w:line="400" w:lineRule="exact"/>
              <w:jc w:val="center"/>
              <w:rPr>
                <w:rFonts w:ascii="宋体" w:hAnsi="宋体"/>
                <w:color w:val="auto"/>
                <w:kern w:val="0"/>
                <w:szCs w:val="21"/>
                <w:highlight w:val="none"/>
              </w:rPr>
            </w:pPr>
          </w:p>
          <w:p w14:paraId="1DC73843">
            <w:pPr>
              <w:snapToGrid w:val="0"/>
              <w:spacing w:line="400" w:lineRule="exact"/>
              <w:jc w:val="center"/>
              <w:rPr>
                <w:rFonts w:ascii="宋体" w:hAnsi="宋体"/>
                <w:color w:val="auto"/>
                <w:kern w:val="0"/>
                <w:szCs w:val="21"/>
                <w:highlight w:val="none"/>
              </w:rPr>
            </w:pPr>
          </w:p>
          <w:p w14:paraId="2A7D4150">
            <w:pPr>
              <w:snapToGrid w:val="0"/>
              <w:spacing w:line="400" w:lineRule="exact"/>
              <w:jc w:val="center"/>
              <w:rPr>
                <w:rFonts w:ascii="宋体" w:hAnsi="宋体"/>
                <w:color w:val="auto"/>
                <w:kern w:val="0"/>
                <w:szCs w:val="21"/>
                <w:highlight w:val="none"/>
              </w:rPr>
            </w:pPr>
          </w:p>
          <w:p w14:paraId="15A4F27C">
            <w:pPr>
              <w:snapToGrid w:val="0"/>
              <w:spacing w:line="400" w:lineRule="exact"/>
              <w:jc w:val="center"/>
              <w:rPr>
                <w:rFonts w:ascii="宋体" w:hAnsi="宋体"/>
                <w:color w:val="auto"/>
                <w:kern w:val="0"/>
                <w:szCs w:val="21"/>
                <w:highlight w:val="none"/>
              </w:rPr>
            </w:pPr>
          </w:p>
          <w:p w14:paraId="1BF18B1B">
            <w:pPr>
              <w:snapToGrid w:val="0"/>
              <w:spacing w:line="400" w:lineRule="exact"/>
              <w:jc w:val="center"/>
              <w:rPr>
                <w:rFonts w:ascii="宋体" w:hAnsi="宋体"/>
                <w:color w:val="auto"/>
                <w:kern w:val="0"/>
                <w:szCs w:val="21"/>
                <w:highlight w:val="none"/>
              </w:rPr>
            </w:pPr>
          </w:p>
          <w:p w14:paraId="7BFAE7A1">
            <w:pPr>
              <w:snapToGrid w:val="0"/>
              <w:spacing w:line="400" w:lineRule="exact"/>
              <w:jc w:val="center"/>
              <w:rPr>
                <w:rFonts w:ascii="宋体" w:hAnsi="宋体"/>
                <w:color w:val="auto"/>
                <w:kern w:val="0"/>
                <w:szCs w:val="21"/>
                <w:highlight w:val="none"/>
              </w:rPr>
            </w:pPr>
          </w:p>
          <w:p w14:paraId="3DD0F13E">
            <w:pPr>
              <w:snapToGrid w:val="0"/>
              <w:spacing w:line="400" w:lineRule="exact"/>
              <w:jc w:val="center"/>
              <w:rPr>
                <w:rFonts w:ascii="宋体" w:hAnsi="宋体"/>
                <w:color w:val="auto"/>
                <w:kern w:val="0"/>
                <w:szCs w:val="21"/>
                <w:highlight w:val="none"/>
              </w:rPr>
            </w:pPr>
          </w:p>
          <w:p w14:paraId="62C76AF1">
            <w:pPr>
              <w:snapToGrid w:val="0"/>
              <w:spacing w:line="400" w:lineRule="exact"/>
              <w:jc w:val="center"/>
              <w:rPr>
                <w:rFonts w:ascii="宋体" w:hAnsi="宋体"/>
                <w:color w:val="auto"/>
                <w:kern w:val="0"/>
                <w:szCs w:val="21"/>
                <w:highlight w:val="none"/>
              </w:rPr>
            </w:pPr>
          </w:p>
          <w:p w14:paraId="79CFE47A">
            <w:pPr>
              <w:snapToGrid w:val="0"/>
              <w:spacing w:line="400" w:lineRule="exact"/>
              <w:jc w:val="center"/>
              <w:rPr>
                <w:rFonts w:ascii="宋体" w:hAnsi="宋体"/>
                <w:color w:val="auto"/>
                <w:kern w:val="0"/>
                <w:szCs w:val="21"/>
                <w:highlight w:val="none"/>
              </w:rPr>
            </w:pPr>
          </w:p>
          <w:p w14:paraId="4426CA84">
            <w:pPr>
              <w:snapToGrid w:val="0"/>
              <w:spacing w:line="400" w:lineRule="exact"/>
              <w:jc w:val="center"/>
              <w:rPr>
                <w:rFonts w:ascii="宋体" w:hAnsi="宋体"/>
                <w:color w:val="auto"/>
                <w:kern w:val="0"/>
                <w:szCs w:val="21"/>
                <w:highlight w:val="none"/>
              </w:rPr>
            </w:pPr>
          </w:p>
          <w:p w14:paraId="4C51377B">
            <w:pPr>
              <w:snapToGrid w:val="0"/>
              <w:spacing w:line="400" w:lineRule="exact"/>
              <w:jc w:val="center"/>
              <w:rPr>
                <w:rFonts w:ascii="宋体" w:hAnsi="宋体"/>
                <w:color w:val="auto"/>
                <w:kern w:val="0"/>
                <w:szCs w:val="21"/>
                <w:highlight w:val="none"/>
              </w:rPr>
            </w:pPr>
          </w:p>
          <w:p w14:paraId="31F19B7A">
            <w:pPr>
              <w:snapToGrid w:val="0"/>
              <w:spacing w:line="400" w:lineRule="exact"/>
              <w:jc w:val="center"/>
              <w:rPr>
                <w:rFonts w:ascii="宋体" w:hAnsi="宋体"/>
                <w:color w:val="auto"/>
                <w:kern w:val="0"/>
                <w:szCs w:val="21"/>
                <w:highlight w:val="none"/>
              </w:rPr>
            </w:pPr>
          </w:p>
          <w:p w14:paraId="247C34D4">
            <w:pPr>
              <w:snapToGrid w:val="0"/>
              <w:spacing w:line="400" w:lineRule="exact"/>
              <w:jc w:val="center"/>
              <w:rPr>
                <w:rFonts w:ascii="宋体" w:hAnsi="宋体"/>
                <w:color w:val="auto"/>
                <w:kern w:val="0"/>
                <w:szCs w:val="21"/>
                <w:highlight w:val="none"/>
              </w:rPr>
            </w:pPr>
          </w:p>
          <w:p w14:paraId="43650E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32FCF69">
            <w:pPr>
              <w:snapToGrid w:val="0"/>
              <w:spacing w:line="400" w:lineRule="exact"/>
              <w:jc w:val="center"/>
              <w:rPr>
                <w:rFonts w:ascii="宋体" w:hAnsi="宋体"/>
                <w:color w:val="auto"/>
                <w:kern w:val="0"/>
                <w:szCs w:val="21"/>
                <w:highlight w:val="none"/>
              </w:rPr>
            </w:pPr>
          </w:p>
          <w:p w14:paraId="27A7B77D">
            <w:pPr>
              <w:snapToGrid w:val="0"/>
              <w:spacing w:line="400" w:lineRule="exact"/>
              <w:jc w:val="center"/>
              <w:rPr>
                <w:rFonts w:ascii="宋体" w:hAnsi="宋体"/>
                <w:color w:val="auto"/>
                <w:kern w:val="0"/>
                <w:szCs w:val="21"/>
                <w:highlight w:val="none"/>
              </w:rPr>
            </w:pPr>
          </w:p>
          <w:p w14:paraId="7BC97260">
            <w:pPr>
              <w:snapToGrid w:val="0"/>
              <w:spacing w:line="400" w:lineRule="exact"/>
              <w:jc w:val="center"/>
              <w:rPr>
                <w:rFonts w:ascii="宋体" w:hAnsi="宋体"/>
                <w:color w:val="auto"/>
                <w:kern w:val="0"/>
                <w:szCs w:val="21"/>
                <w:highlight w:val="none"/>
              </w:rPr>
            </w:pPr>
          </w:p>
          <w:p w14:paraId="5076256F">
            <w:pPr>
              <w:snapToGrid w:val="0"/>
              <w:spacing w:line="400" w:lineRule="exact"/>
              <w:jc w:val="center"/>
              <w:rPr>
                <w:rFonts w:ascii="宋体" w:hAnsi="宋体"/>
                <w:color w:val="auto"/>
                <w:kern w:val="0"/>
                <w:szCs w:val="21"/>
                <w:highlight w:val="none"/>
              </w:rPr>
            </w:pPr>
          </w:p>
          <w:p w14:paraId="5F482E91">
            <w:pPr>
              <w:snapToGrid w:val="0"/>
              <w:spacing w:line="400" w:lineRule="exact"/>
              <w:jc w:val="center"/>
              <w:rPr>
                <w:rFonts w:ascii="宋体" w:hAnsi="宋体"/>
                <w:color w:val="auto"/>
                <w:kern w:val="0"/>
                <w:szCs w:val="21"/>
                <w:highlight w:val="none"/>
              </w:rPr>
            </w:pPr>
          </w:p>
          <w:p w14:paraId="296E46F4">
            <w:pPr>
              <w:snapToGrid w:val="0"/>
              <w:spacing w:line="400" w:lineRule="exact"/>
              <w:jc w:val="center"/>
              <w:rPr>
                <w:rFonts w:ascii="宋体" w:hAnsi="宋体"/>
                <w:color w:val="auto"/>
                <w:kern w:val="0"/>
                <w:szCs w:val="21"/>
                <w:highlight w:val="none"/>
              </w:rPr>
            </w:pPr>
          </w:p>
          <w:p w14:paraId="1B1ADDA0">
            <w:pPr>
              <w:snapToGrid w:val="0"/>
              <w:spacing w:line="400" w:lineRule="exact"/>
              <w:jc w:val="center"/>
              <w:rPr>
                <w:rFonts w:ascii="宋体" w:hAnsi="宋体"/>
                <w:color w:val="auto"/>
                <w:kern w:val="0"/>
                <w:szCs w:val="21"/>
                <w:highlight w:val="none"/>
              </w:rPr>
            </w:pPr>
          </w:p>
          <w:p w14:paraId="41C84EAE">
            <w:pPr>
              <w:snapToGrid w:val="0"/>
              <w:spacing w:line="400" w:lineRule="exact"/>
              <w:jc w:val="center"/>
              <w:rPr>
                <w:rFonts w:ascii="宋体" w:hAnsi="宋体"/>
                <w:color w:val="auto"/>
                <w:kern w:val="0"/>
                <w:szCs w:val="21"/>
                <w:highlight w:val="none"/>
              </w:rPr>
            </w:pPr>
          </w:p>
          <w:p w14:paraId="3B44584B">
            <w:pPr>
              <w:snapToGrid w:val="0"/>
              <w:spacing w:line="400" w:lineRule="exact"/>
              <w:jc w:val="center"/>
              <w:rPr>
                <w:rFonts w:ascii="宋体" w:hAnsi="宋体"/>
                <w:color w:val="auto"/>
                <w:kern w:val="0"/>
                <w:szCs w:val="21"/>
                <w:highlight w:val="none"/>
              </w:rPr>
            </w:pPr>
          </w:p>
          <w:p w14:paraId="09BABA88">
            <w:pPr>
              <w:snapToGrid w:val="0"/>
              <w:spacing w:line="400" w:lineRule="exact"/>
              <w:jc w:val="center"/>
              <w:rPr>
                <w:rFonts w:ascii="宋体" w:hAnsi="宋体"/>
                <w:color w:val="auto"/>
                <w:kern w:val="0"/>
                <w:szCs w:val="21"/>
                <w:highlight w:val="none"/>
              </w:rPr>
            </w:pPr>
          </w:p>
          <w:p w14:paraId="7EDEDF6A">
            <w:pPr>
              <w:snapToGrid w:val="0"/>
              <w:spacing w:line="400" w:lineRule="exact"/>
              <w:jc w:val="center"/>
              <w:rPr>
                <w:rFonts w:ascii="宋体" w:hAnsi="宋体"/>
                <w:color w:val="auto"/>
                <w:kern w:val="0"/>
                <w:szCs w:val="21"/>
                <w:highlight w:val="none"/>
              </w:rPr>
            </w:pPr>
          </w:p>
          <w:p w14:paraId="79CD0074">
            <w:pPr>
              <w:snapToGrid w:val="0"/>
              <w:spacing w:line="400" w:lineRule="exact"/>
              <w:jc w:val="center"/>
              <w:rPr>
                <w:rFonts w:ascii="宋体" w:hAnsi="宋体"/>
                <w:color w:val="auto"/>
                <w:kern w:val="0"/>
                <w:szCs w:val="21"/>
                <w:highlight w:val="none"/>
              </w:rPr>
            </w:pPr>
          </w:p>
          <w:p w14:paraId="77FD85D7">
            <w:pPr>
              <w:snapToGrid w:val="0"/>
              <w:spacing w:line="400" w:lineRule="exact"/>
              <w:jc w:val="center"/>
              <w:rPr>
                <w:rFonts w:ascii="宋体" w:hAnsi="宋体"/>
                <w:color w:val="auto"/>
                <w:kern w:val="0"/>
                <w:szCs w:val="21"/>
                <w:highlight w:val="none"/>
              </w:rPr>
            </w:pPr>
          </w:p>
          <w:p w14:paraId="72E63FA5">
            <w:pPr>
              <w:snapToGrid w:val="0"/>
              <w:spacing w:line="400" w:lineRule="exact"/>
              <w:jc w:val="center"/>
              <w:rPr>
                <w:rFonts w:ascii="宋体" w:hAnsi="宋体"/>
                <w:color w:val="auto"/>
                <w:kern w:val="0"/>
                <w:szCs w:val="21"/>
                <w:highlight w:val="none"/>
              </w:rPr>
            </w:pPr>
          </w:p>
          <w:p w14:paraId="466FBE41">
            <w:pPr>
              <w:snapToGrid w:val="0"/>
              <w:spacing w:line="400" w:lineRule="exact"/>
              <w:jc w:val="center"/>
              <w:rPr>
                <w:rFonts w:ascii="宋体" w:hAnsi="宋体"/>
                <w:color w:val="auto"/>
                <w:kern w:val="0"/>
                <w:szCs w:val="21"/>
                <w:highlight w:val="none"/>
              </w:rPr>
            </w:pPr>
          </w:p>
          <w:p w14:paraId="3F9F9C38">
            <w:pPr>
              <w:snapToGrid w:val="0"/>
              <w:spacing w:line="400" w:lineRule="exact"/>
              <w:jc w:val="center"/>
              <w:rPr>
                <w:rFonts w:ascii="宋体" w:hAnsi="宋体"/>
                <w:color w:val="auto"/>
                <w:kern w:val="0"/>
                <w:szCs w:val="21"/>
                <w:highlight w:val="none"/>
              </w:rPr>
            </w:pPr>
          </w:p>
          <w:p w14:paraId="4F89F2DD">
            <w:pPr>
              <w:snapToGrid w:val="0"/>
              <w:spacing w:line="400" w:lineRule="exact"/>
              <w:jc w:val="center"/>
              <w:rPr>
                <w:rFonts w:ascii="宋体" w:hAnsi="宋体"/>
                <w:color w:val="auto"/>
                <w:kern w:val="0"/>
                <w:szCs w:val="21"/>
                <w:highlight w:val="none"/>
              </w:rPr>
            </w:pPr>
          </w:p>
          <w:p w14:paraId="1DEAA394">
            <w:pPr>
              <w:snapToGrid w:val="0"/>
              <w:spacing w:line="400" w:lineRule="exact"/>
              <w:jc w:val="center"/>
              <w:rPr>
                <w:rFonts w:ascii="宋体" w:hAnsi="宋体"/>
                <w:color w:val="auto"/>
                <w:kern w:val="0"/>
                <w:szCs w:val="21"/>
                <w:highlight w:val="none"/>
              </w:rPr>
            </w:pPr>
          </w:p>
          <w:p w14:paraId="5AC74D65">
            <w:pPr>
              <w:snapToGrid w:val="0"/>
              <w:spacing w:line="400" w:lineRule="exact"/>
              <w:jc w:val="center"/>
              <w:rPr>
                <w:rFonts w:ascii="宋体" w:hAnsi="宋体"/>
                <w:color w:val="auto"/>
                <w:kern w:val="0"/>
                <w:szCs w:val="21"/>
                <w:highlight w:val="none"/>
              </w:rPr>
            </w:pPr>
          </w:p>
          <w:p w14:paraId="1DD4E04B">
            <w:pPr>
              <w:snapToGrid w:val="0"/>
              <w:spacing w:line="400" w:lineRule="exact"/>
              <w:jc w:val="center"/>
              <w:rPr>
                <w:rFonts w:ascii="宋体" w:hAnsi="宋体"/>
                <w:color w:val="auto"/>
                <w:kern w:val="0"/>
                <w:szCs w:val="21"/>
                <w:highlight w:val="none"/>
              </w:rPr>
            </w:pPr>
          </w:p>
          <w:p w14:paraId="5BC0FE0F">
            <w:pPr>
              <w:snapToGrid w:val="0"/>
              <w:spacing w:line="400" w:lineRule="exact"/>
              <w:jc w:val="center"/>
              <w:rPr>
                <w:rFonts w:ascii="宋体" w:hAnsi="宋体"/>
                <w:color w:val="auto"/>
                <w:kern w:val="0"/>
                <w:szCs w:val="21"/>
                <w:highlight w:val="none"/>
              </w:rPr>
            </w:pPr>
          </w:p>
          <w:p w14:paraId="2A160583">
            <w:pPr>
              <w:snapToGrid w:val="0"/>
              <w:spacing w:line="400" w:lineRule="exact"/>
              <w:jc w:val="center"/>
              <w:rPr>
                <w:rFonts w:ascii="宋体" w:hAnsi="宋体"/>
                <w:color w:val="auto"/>
                <w:kern w:val="0"/>
                <w:szCs w:val="21"/>
                <w:highlight w:val="none"/>
              </w:rPr>
            </w:pPr>
          </w:p>
          <w:p w14:paraId="7E450FAF">
            <w:pPr>
              <w:snapToGrid w:val="0"/>
              <w:spacing w:line="400" w:lineRule="exact"/>
              <w:jc w:val="center"/>
              <w:rPr>
                <w:rFonts w:ascii="宋体" w:hAnsi="宋体"/>
                <w:color w:val="auto"/>
                <w:kern w:val="0"/>
                <w:szCs w:val="21"/>
                <w:highlight w:val="none"/>
              </w:rPr>
            </w:pPr>
          </w:p>
          <w:p w14:paraId="3C4C4092">
            <w:pPr>
              <w:snapToGrid w:val="0"/>
              <w:spacing w:line="400" w:lineRule="exact"/>
              <w:jc w:val="center"/>
              <w:rPr>
                <w:rFonts w:ascii="宋体" w:hAnsi="宋体"/>
                <w:color w:val="auto"/>
                <w:kern w:val="0"/>
                <w:szCs w:val="21"/>
                <w:highlight w:val="none"/>
              </w:rPr>
            </w:pPr>
          </w:p>
          <w:p w14:paraId="0B5B0754">
            <w:pPr>
              <w:snapToGrid w:val="0"/>
              <w:spacing w:line="400" w:lineRule="exact"/>
              <w:jc w:val="both"/>
              <w:rPr>
                <w:rFonts w:ascii="宋体" w:hAnsi="宋体"/>
                <w:color w:val="auto"/>
                <w:kern w:val="0"/>
                <w:szCs w:val="21"/>
                <w:highlight w:val="none"/>
              </w:rPr>
            </w:pPr>
          </w:p>
          <w:p w14:paraId="05D6ABEC">
            <w:pPr>
              <w:snapToGrid w:val="0"/>
              <w:spacing w:line="400" w:lineRule="exact"/>
              <w:jc w:val="center"/>
              <w:rPr>
                <w:rFonts w:ascii="宋体" w:hAnsi="宋体"/>
                <w:color w:val="auto"/>
                <w:kern w:val="0"/>
                <w:szCs w:val="21"/>
                <w:highlight w:val="none"/>
              </w:rPr>
            </w:pPr>
          </w:p>
        </w:tc>
        <w:tc>
          <w:tcPr>
            <w:tcW w:w="1644" w:type="dxa"/>
            <w:vAlign w:val="center"/>
          </w:tcPr>
          <w:p w14:paraId="4DE508A5">
            <w:pPr>
              <w:snapToGrid w:val="0"/>
              <w:spacing w:line="400" w:lineRule="exact"/>
              <w:jc w:val="center"/>
              <w:rPr>
                <w:rFonts w:ascii="宋体" w:hAnsi="宋体"/>
                <w:color w:val="auto"/>
                <w:kern w:val="0"/>
                <w:szCs w:val="21"/>
                <w:highlight w:val="none"/>
              </w:rPr>
            </w:pPr>
          </w:p>
          <w:p w14:paraId="48F04835">
            <w:pPr>
              <w:snapToGrid w:val="0"/>
              <w:spacing w:line="400" w:lineRule="exact"/>
              <w:jc w:val="center"/>
              <w:rPr>
                <w:rFonts w:ascii="宋体" w:hAnsi="宋体"/>
                <w:color w:val="auto"/>
                <w:kern w:val="0"/>
                <w:szCs w:val="21"/>
                <w:highlight w:val="none"/>
              </w:rPr>
            </w:pPr>
          </w:p>
          <w:p w14:paraId="7A2EA2DB">
            <w:pPr>
              <w:snapToGrid w:val="0"/>
              <w:spacing w:line="400" w:lineRule="exact"/>
              <w:jc w:val="center"/>
              <w:rPr>
                <w:rFonts w:ascii="宋体" w:hAnsi="宋体"/>
                <w:color w:val="auto"/>
                <w:kern w:val="0"/>
                <w:szCs w:val="21"/>
                <w:highlight w:val="none"/>
              </w:rPr>
            </w:pPr>
          </w:p>
          <w:p w14:paraId="7F8D09AE">
            <w:pPr>
              <w:snapToGrid w:val="0"/>
              <w:spacing w:line="400" w:lineRule="exact"/>
              <w:jc w:val="center"/>
              <w:rPr>
                <w:rFonts w:ascii="宋体" w:hAnsi="宋体"/>
                <w:color w:val="auto"/>
                <w:kern w:val="0"/>
                <w:szCs w:val="21"/>
                <w:highlight w:val="none"/>
              </w:rPr>
            </w:pPr>
          </w:p>
          <w:p w14:paraId="2F9A47AF">
            <w:pPr>
              <w:snapToGrid w:val="0"/>
              <w:spacing w:line="400" w:lineRule="exact"/>
              <w:jc w:val="center"/>
              <w:rPr>
                <w:rFonts w:ascii="宋体" w:hAnsi="宋体"/>
                <w:color w:val="auto"/>
                <w:kern w:val="0"/>
                <w:szCs w:val="21"/>
                <w:highlight w:val="none"/>
              </w:rPr>
            </w:pPr>
          </w:p>
          <w:p w14:paraId="64B358C5">
            <w:pPr>
              <w:snapToGrid w:val="0"/>
              <w:spacing w:line="400" w:lineRule="exact"/>
              <w:jc w:val="center"/>
              <w:rPr>
                <w:rFonts w:ascii="宋体" w:hAnsi="宋体"/>
                <w:color w:val="auto"/>
                <w:kern w:val="0"/>
                <w:szCs w:val="21"/>
                <w:highlight w:val="none"/>
              </w:rPr>
            </w:pPr>
          </w:p>
          <w:p w14:paraId="673698B4">
            <w:pPr>
              <w:snapToGrid w:val="0"/>
              <w:spacing w:line="400" w:lineRule="exact"/>
              <w:jc w:val="center"/>
              <w:rPr>
                <w:rFonts w:ascii="宋体" w:hAnsi="宋体"/>
                <w:color w:val="auto"/>
                <w:kern w:val="0"/>
                <w:szCs w:val="21"/>
                <w:highlight w:val="none"/>
              </w:rPr>
            </w:pPr>
          </w:p>
          <w:p w14:paraId="6E080111">
            <w:pPr>
              <w:snapToGrid w:val="0"/>
              <w:spacing w:line="400" w:lineRule="exact"/>
              <w:jc w:val="center"/>
              <w:rPr>
                <w:rFonts w:ascii="宋体" w:hAnsi="宋体"/>
                <w:color w:val="auto"/>
                <w:kern w:val="0"/>
                <w:szCs w:val="21"/>
                <w:highlight w:val="none"/>
              </w:rPr>
            </w:pPr>
          </w:p>
          <w:p w14:paraId="072B32F1">
            <w:pPr>
              <w:snapToGrid w:val="0"/>
              <w:spacing w:line="400" w:lineRule="exact"/>
              <w:jc w:val="center"/>
              <w:rPr>
                <w:rFonts w:ascii="宋体" w:hAnsi="宋体"/>
                <w:color w:val="auto"/>
                <w:kern w:val="0"/>
                <w:szCs w:val="21"/>
                <w:highlight w:val="none"/>
              </w:rPr>
            </w:pPr>
          </w:p>
          <w:p w14:paraId="2E3B0524">
            <w:pPr>
              <w:snapToGrid w:val="0"/>
              <w:spacing w:line="400" w:lineRule="exact"/>
              <w:jc w:val="center"/>
              <w:rPr>
                <w:rFonts w:ascii="宋体" w:hAnsi="宋体"/>
                <w:color w:val="auto"/>
                <w:kern w:val="0"/>
                <w:szCs w:val="21"/>
                <w:highlight w:val="none"/>
              </w:rPr>
            </w:pPr>
          </w:p>
          <w:p w14:paraId="66B2D362">
            <w:pPr>
              <w:snapToGrid w:val="0"/>
              <w:spacing w:line="400" w:lineRule="exact"/>
              <w:jc w:val="center"/>
              <w:rPr>
                <w:rFonts w:ascii="宋体" w:hAnsi="宋体"/>
                <w:color w:val="auto"/>
                <w:kern w:val="0"/>
                <w:szCs w:val="21"/>
                <w:highlight w:val="none"/>
              </w:rPr>
            </w:pPr>
          </w:p>
          <w:p w14:paraId="57C12247">
            <w:pPr>
              <w:snapToGrid w:val="0"/>
              <w:spacing w:line="400" w:lineRule="exact"/>
              <w:jc w:val="center"/>
              <w:rPr>
                <w:rFonts w:ascii="宋体" w:hAnsi="宋体"/>
                <w:color w:val="auto"/>
                <w:kern w:val="0"/>
                <w:szCs w:val="21"/>
                <w:highlight w:val="none"/>
              </w:rPr>
            </w:pPr>
          </w:p>
          <w:p w14:paraId="4871BE1B">
            <w:pPr>
              <w:snapToGrid w:val="0"/>
              <w:spacing w:line="400" w:lineRule="exact"/>
              <w:jc w:val="center"/>
              <w:rPr>
                <w:rFonts w:ascii="宋体" w:hAnsi="宋体"/>
                <w:color w:val="auto"/>
                <w:kern w:val="0"/>
                <w:szCs w:val="21"/>
                <w:highlight w:val="none"/>
              </w:rPr>
            </w:pPr>
          </w:p>
          <w:p w14:paraId="2AF6682C">
            <w:pPr>
              <w:snapToGrid w:val="0"/>
              <w:spacing w:line="400" w:lineRule="exact"/>
              <w:jc w:val="center"/>
              <w:rPr>
                <w:rFonts w:ascii="宋体" w:hAnsi="宋体"/>
                <w:color w:val="auto"/>
                <w:kern w:val="0"/>
                <w:szCs w:val="21"/>
                <w:highlight w:val="none"/>
              </w:rPr>
            </w:pPr>
          </w:p>
          <w:p w14:paraId="20455924">
            <w:pPr>
              <w:snapToGrid w:val="0"/>
              <w:spacing w:line="400" w:lineRule="exact"/>
              <w:jc w:val="center"/>
              <w:rPr>
                <w:rFonts w:ascii="宋体" w:hAnsi="宋体"/>
                <w:color w:val="auto"/>
                <w:kern w:val="0"/>
                <w:szCs w:val="21"/>
                <w:highlight w:val="none"/>
              </w:rPr>
            </w:pPr>
          </w:p>
          <w:p w14:paraId="3882AAA9">
            <w:pPr>
              <w:snapToGrid w:val="0"/>
              <w:spacing w:line="400" w:lineRule="exact"/>
              <w:jc w:val="center"/>
              <w:rPr>
                <w:rFonts w:ascii="宋体" w:hAnsi="宋体"/>
                <w:color w:val="auto"/>
                <w:kern w:val="0"/>
                <w:szCs w:val="21"/>
                <w:highlight w:val="none"/>
              </w:rPr>
            </w:pPr>
          </w:p>
          <w:p w14:paraId="3410AF34">
            <w:pPr>
              <w:snapToGrid w:val="0"/>
              <w:spacing w:line="400" w:lineRule="exact"/>
              <w:jc w:val="center"/>
              <w:rPr>
                <w:rFonts w:ascii="宋体" w:hAnsi="宋体"/>
                <w:color w:val="auto"/>
                <w:kern w:val="0"/>
                <w:szCs w:val="21"/>
                <w:highlight w:val="none"/>
              </w:rPr>
            </w:pPr>
          </w:p>
          <w:p w14:paraId="433DDD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850ED94">
            <w:pPr>
              <w:snapToGrid w:val="0"/>
              <w:spacing w:line="400" w:lineRule="exact"/>
              <w:jc w:val="center"/>
              <w:rPr>
                <w:rFonts w:ascii="宋体" w:hAnsi="宋体"/>
                <w:color w:val="auto"/>
                <w:kern w:val="0"/>
                <w:szCs w:val="21"/>
                <w:highlight w:val="none"/>
              </w:rPr>
            </w:pPr>
          </w:p>
          <w:p w14:paraId="475E83C3">
            <w:pPr>
              <w:snapToGrid w:val="0"/>
              <w:spacing w:line="400" w:lineRule="exact"/>
              <w:jc w:val="center"/>
              <w:rPr>
                <w:rFonts w:ascii="宋体" w:hAnsi="宋体"/>
                <w:color w:val="auto"/>
                <w:kern w:val="0"/>
                <w:szCs w:val="21"/>
                <w:highlight w:val="none"/>
              </w:rPr>
            </w:pPr>
          </w:p>
          <w:p w14:paraId="594A09AC">
            <w:pPr>
              <w:snapToGrid w:val="0"/>
              <w:spacing w:line="400" w:lineRule="exact"/>
              <w:jc w:val="center"/>
              <w:rPr>
                <w:rFonts w:ascii="宋体" w:hAnsi="宋体"/>
                <w:color w:val="auto"/>
                <w:kern w:val="0"/>
                <w:szCs w:val="21"/>
                <w:highlight w:val="none"/>
              </w:rPr>
            </w:pPr>
          </w:p>
          <w:p w14:paraId="01A24C6C">
            <w:pPr>
              <w:snapToGrid w:val="0"/>
              <w:spacing w:line="400" w:lineRule="exact"/>
              <w:jc w:val="center"/>
              <w:rPr>
                <w:rFonts w:ascii="宋体" w:hAnsi="宋体"/>
                <w:color w:val="auto"/>
                <w:kern w:val="0"/>
                <w:szCs w:val="21"/>
                <w:highlight w:val="none"/>
              </w:rPr>
            </w:pPr>
          </w:p>
          <w:p w14:paraId="4A1D7DB5">
            <w:pPr>
              <w:snapToGrid w:val="0"/>
              <w:spacing w:line="400" w:lineRule="exact"/>
              <w:jc w:val="center"/>
              <w:rPr>
                <w:rFonts w:ascii="宋体" w:hAnsi="宋体"/>
                <w:color w:val="auto"/>
                <w:kern w:val="0"/>
                <w:szCs w:val="21"/>
                <w:highlight w:val="none"/>
              </w:rPr>
            </w:pPr>
          </w:p>
          <w:p w14:paraId="6C941733">
            <w:pPr>
              <w:snapToGrid w:val="0"/>
              <w:spacing w:line="400" w:lineRule="exact"/>
              <w:jc w:val="center"/>
              <w:rPr>
                <w:rFonts w:ascii="宋体" w:hAnsi="宋体"/>
                <w:color w:val="auto"/>
                <w:kern w:val="0"/>
                <w:szCs w:val="21"/>
                <w:highlight w:val="none"/>
              </w:rPr>
            </w:pPr>
          </w:p>
          <w:p w14:paraId="09B9705B">
            <w:pPr>
              <w:snapToGrid w:val="0"/>
              <w:spacing w:line="400" w:lineRule="exact"/>
              <w:jc w:val="center"/>
              <w:rPr>
                <w:rFonts w:ascii="宋体" w:hAnsi="宋体"/>
                <w:color w:val="auto"/>
                <w:kern w:val="0"/>
                <w:szCs w:val="21"/>
                <w:highlight w:val="none"/>
              </w:rPr>
            </w:pPr>
          </w:p>
          <w:p w14:paraId="14559F5E">
            <w:pPr>
              <w:snapToGrid w:val="0"/>
              <w:spacing w:line="400" w:lineRule="exact"/>
              <w:jc w:val="center"/>
              <w:rPr>
                <w:rFonts w:ascii="宋体" w:hAnsi="宋体"/>
                <w:color w:val="auto"/>
                <w:kern w:val="0"/>
                <w:szCs w:val="21"/>
                <w:highlight w:val="none"/>
              </w:rPr>
            </w:pPr>
          </w:p>
          <w:p w14:paraId="706BD600">
            <w:pPr>
              <w:snapToGrid w:val="0"/>
              <w:spacing w:line="400" w:lineRule="exact"/>
              <w:jc w:val="center"/>
              <w:rPr>
                <w:rFonts w:ascii="宋体" w:hAnsi="宋体"/>
                <w:color w:val="auto"/>
                <w:kern w:val="0"/>
                <w:szCs w:val="21"/>
                <w:highlight w:val="none"/>
              </w:rPr>
            </w:pPr>
          </w:p>
          <w:p w14:paraId="29B314BD">
            <w:pPr>
              <w:snapToGrid w:val="0"/>
              <w:spacing w:line="400" w:lineRule="exact"/>
              <w:jc w:val="center"/>
              <w:rPr>
                <w:rFonts w:ascii="宋体" w:hAnsi="宋体"/>
                <w:color w:val="auto"/>
                <w:kern w:val="0"/>
                <w:szCs w:val="21"/>
                <w:highlight w:val="none"/>
              </w:rPr>
            </w:pPr>
          </w:p>
          <w:p w14:paraId="6C265E9B">
            <w:pPr>
              <w:snapToGrid w:val="0"/>
              <w:spacing w:line="400" w:lineRule="exact"/>
              <w:jc w:val="center"/>
              <w:rPr>
                <w:rFonts w:ascii="宋体" w:hAnsi="宋体"/>
                <w:color w:val="auto"/>
                <w:kern w:val="0"/>
                <w:szCs w:val="21"/>
                <w:highlight w:val="none"/>
              </w:rPr>
            </w:pPr>
          </w:p>
          <w:p w14:paraId="2BA6FAB1">
            <w:pPr>
              <w:snapToGrid w:val="0"/>
              <w:spacing w:line="400" w:lineRule="exact"/>
              <w:jc w:val="center"/>
              <w:rPr>
                <w:rFonts w:ascii="宋体" w:hAnsi="宋体"/>
                <w:color w:val="auto"/>
                <w:kern w:val="0"/>
                <w:szCs w:val="21"/>
                <w:highlight w:val="none"/>
              </w:rPr>
            </w:pPr>
          </w:p>
          <w:p w14:paraId="02327EB1">
            <w:pPr>
              <w:snapToGrid w:val="0"/>
              <w:spacing w:line="400" w:lineRule="exact"/>
              <w:jc w:val="center"/>
              <w:rPr>
                <w:rFonts w:ascii="宋体" w:hAnsi="宋体"/>
                <w:color w:val="auto"/>
                <w:kern w:val="0"/>
                <w:szCs w:val="21"/>
                <w:highlight w:val="none"/>
              </w:rPr>
            </w:pPr>
          </w:p>
          <w:p w14:paraId="3300A08B">
            <w:pPr>
              <w:snapToGrid w:val="0"/>
              <w:spacing w:line="400" w:lineRule="exact"/>
              <w:jc w:val="center"/>
              <w:rPr>
                <w:rFonts w:ascii="宋体" w:hAnsi="宋体"/>
                <w:color w:val="auto"/>
                <w:kern w:val="0"/>
                <w:szCs w:val="21"/>
                <w:highlight w:val="none"/>
              </w:rPr>
            </w:pPr>
          </w:p>
          <w:p w14:paraId="0A587369">
            <w:pPr>
              <w:snapToGrid w:val="0"/>
              <w:spacing w:line="400" w:lineRule="exact"/>
              <w:jc w:val="center"/>
              <w:rPr>
                <w:rFonts w:ascii="宋体" w:hAnsi="宋体"/>
                <w:color w:val="auto"/>
                <w:kern w:val="0"/>
                <w:szCs w:val="21"/>
                <w:highlight w:val="none"/>
              </w:rPr>
            </w:pPr>
          </w:p>
          <w:p w14:paraId="3624B196">
            <w:pPr>
              <w:snapToGrid w:val="0"/>
              <w:spacing w:line="400" w:lineRule="exact"/>
              <w:jc w:val="center"/>
              <w:rPr>
                <w:rFonts w:ascii="宋体" w:hAnsi="宋体"/>
                <w:color w:val="auto"/>
                <w:kern w:val="0"/>
                <w:szCs w:val="21"/>
                <w:highlight w:val="none"/>
              </w:rPr>
            </w:pPr>
          </w:p>
          <w:p w14:paraId="662B07D0">
            <w:pPr>
              <w:snapToGrid w:val="0"/>
              <w:spacing w:line="400" w:lineRule="exact"/>
              <w:jc w:val="center"/>
              <w:rPr>
                <w:rFonts w:ascii="宋体" w:hAnsi="宋体"/>
                <w:color w:val="auto"/>
                <w:kern w:val="0"/>
                <w:szCs w:val="21"/>
                <w:highlight w:val="none"/>
              </w:rPr>
            </w:pPr>
          </w:p>
          <w:p w14:paraId="2B104DA5">
            <w:pPr>
              <w:snapToGrid w:val="0"/>
              <w:spacing w:line="400" w:lineRule="exact"/>
              <w:jc w:val="center"/>
              <w:rPr>
                <w:rFonts w:ascii="宋体" w:hAnsi="宋体"/>
                <w:color w:val="auto"/>
                <w:kern w:val="0"/>
                <w:szCs w:val="21"/>
                <w:highlight w:val="none"/>
              </w:rPr>
            </w:pPr>
          </w:p>
          <w:p w14:paraId="526C31B8">
            <w:pPr>
              <w:snapToGrid w:val="0"/>
              <w:spacing w:line="400" w:lineRule="exact"/>
              <w:jc w:val="center"/>
              <w:rPr>
                <w:rFonts w:ascii="宋体" w:hAnsi="宋体"/>
                <w:color w:val="auto"/>
                <w:kern w:val="0"/>
                <w:szCs w:val="21"/>
                <w:highlight w:val="none"/>
              </w:rPr>
            </w:pPr>
          </w:p>
          <w:p w14:paraId="5B721F64">
            <w:pPr>
              <w:snapToGrid w:val="0"/>
              <w:spacing w:line="400" w:lineRule="exact"/>
              <w:jc w:val="center"/>
              <w:rPr>
                <w:rFonts w:ascii="宋体" w:hAnsi="宋体"/>
                <w:color w:val="auto"/>
                <w:kern w:val="0"/>
                <w:szCs w:val="21"/>
                <w:highlight w:val="none"/>
              </w:rPr>
            </w:pPr>
          </w:p>
          <w:p w14:paraId="0FA089CA">
            <w:pPr>
              <w:snapToGrid w:val="0"/>
              <w:spacing w:line="400" w:lineRule="exact"/>
              <w:jc w:val="center"/>
              <w:rPr>
                <w:rFonts w:ascii="宋体" w:hAnsi="宋体"/>
                <w:color w:val="auto"/>
                <w:kern w:val="0"/>
                <w:szCs w:val="21"/>
                <w:highlight w:val="none"/>
              </w:rPr>
            </w:pPr>
          </w:p>
          <w:p w14:paraId="1A6FBF2E">
            <w:pPr>
              <w:snapToGrid w:val="0"/>
              <w:spacing w:line="400" w:lineRule="exact"/>
              <w:jc w:val="center"/>
              <w:rPr>
                <w:rFonts w:ascii="宋体" w:hAnsi="宋体"/>
                <w:color w:val="auto"/>
                <w:kern w:val="0"/>
                <w:szCs w:val="21"/>
                <w:highlight w:val="none"/>
              </w:rPr>
            </w:pPr>
          </w:p>
          <w:p w14:paraId="2B2D9525">
            <w:pPr>
              <w:snapToGrid w:val="0"/>
              <w:spacing w:line="400" w:lineRule="exact"/>
              <w:jc w:val="center"/>
              <w:rPr>
                <w:rFonts w:ascii="宋体" w:hAnsi="宋体"/>
                <w:color w:val="auto"/>
                <w:kern w:val="0"/>
                <w:szCs w:val="21"/>
                <w:highlight w:val="none"/>
              </w:rPr>
            </w:pPr>
          </w:p>
          <w:p w14:paraId="6D63A7BB">
            <w:pPr>
              <w:snapToGrid w:val="0"/>
              <w:spacing w:line="400" w:lineRule="exact"/>
              <w:jc w:val="center"/>
              <w:rPr>
                <w:rFonts w:ascii="宋体" w:hAnsi="宋体"/>
                <w:color w:val="auto"/>
                <w:kern w:val="0"/>
                <w:szCs w:val="21"/>
                <w:highlight w:val="none"/>
              </w:rPr>
            </w:pPr>
          </w:p>
          <w:p w14:paraId="27B3C798">
            <w:pPr>
              <w:snapToGrid w:val="0"/>
              <w:spacing w:line="400" w:lineRule="exact"/>
              <w:jc w:val="center"/>
              <w:rPr>
                <w:rFonts w:ascii="宋体" w:hAnsi="宋体"/>
                <w:color w:val="auto"/>
                <w:kern w:val="0"/>
                <w:szCs w:val="21"/>
                <w:highlight w:val="none"/>
              </w:rPr>
            </w:pPr>
          </w:p>
          <w:p w14:paraId="39D2E796">
            <w:pPr>
              <w:snapToGrid w:val="0"/>
              <w:spacing w:line="400" w:lineRule="exact"/>
              <w:jc w:val="center"/>
              <w:rPr>
                <w:rFonts w:ascii="宋体" w:hAnsi="宋体"/>
                <w:color w:val="auto"/>
                <w:kern w:val="0"/>
                <w:szCs w:val="21"/>
                <w:highlight w:val="none"/>
              </w:rPr>
            </w:pPr>
          </w:p>
          <w:p w14:paraId="7DFFB52B">
            <w:pPr>
              <w:snapToGrid w:val="0"/>
              <w:spacing w:line="400" w:lineRule="exact"/>
              <w:jc w:val="center"/>
              <w:rPr>
                <w:rFonts w:ascii="宋体" w:hAnsi="宋体"/>
                <w:color w:val="auto"/>
                <w:kern w:val="0"/>
                <w:szCs w:val="21"/>
                <w:highlight w:val="none"/>
              </w:rPr>
            </w:pPr>
          </w:p>
          <w:p w14:paraId="0DCF58AF">
            <w:pPr>
              <w:snapToGrid w:val="0"/>
              <w:spacing w:line="400" w:lineRule="exact"/>
              <w:jc w:val="center"/>
              <w:rPr>
                <w:rFonts w:ascii="宋体" w:hAnsi="宋体"/>
                <w:color w:val="auto"/>
                <w:kern w:val="0"/>
                <w:szCs w:val="21"/>
                <w:highlight w:val="none"/>
              </w:rPr>
            </w:pPr>
          </w:p>
          <w:p w14:paraId="416A9C2F">
            <w:pPr>
              <w:snapToGrid w:val="0"/>
              <w:spacing w:line="400" w:lineRule="exact"/>
              <w:jc w:val="center"/>
              <w:rPr>
                <w:rFonts w:ascii="宋体" w:hAnsi="宋体"/>
                <w:color w:val="auto"/>
                <w:kern w:val="0"/>
                <w:szCs w:val="21"/>
                <w:highlight w:val="none"/>
              </w:rPr>
            </w:pPr>
          </w:p>
          <w:p w14:paraId="675621BB">
            <w:pPr>
              <w:snapToGrid w:val="0"/>
              <w:spacing w:line="400" w:lineRule="exact"/>
              <w:jc w:val="center"/>
              <w:rPr>
                <w:rFonts w:ascii="宋体" w:hAnsi="宋体"/>
                <w:color w:val="auto"/>
                <w:kern w:val="0"/>
                <w:szCs w:val="21"/>
                <w:highlight w:val="none"/>
              </w:rPr>
            </w:pPr>
          </w:p>
          <w:p w14:paraId="283761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33498308">
            <w:pPr>
              <w:snapToGrid w:val="0"/>
              <w:spacing w:line="400" w:lineRule="exact"/>
              <w:jc w:val="center"/>
              <w:rPr>
                <w:rFonts w:ascii="宋体" w:hAnsi="宋体"/>
                <w:color w:val="auto"/>
                <w:kern w:val="0"/>
                <w:szCs w:val="21"/>
                <w:highlight w:val="none"/>
              </w:rPr>
            </w:pPr>
          </w:p>
          <w:p w14:paraId="0B65C555">
            <w:pPr>
              <w:snapToGrid w:val="0"/>
              <w:spacing w:line="400" w:lineRule="exact"/>
              <w:jc w:val="center"/>
              <w:rPr>
                <w:rFonts w:ascii="宋体" w:hAnsi="宋体"/>
                <w:color w:val="auto"/>
                <w:kern w:val="0"/>
                <w:szCs w:val="21"/>
                <w:highlight w:val="none"/>
              </w:rPr>
            </w:pPr>
          </w:p>
          <w:p w14:paraId="4FFDA64E">
            <w:pPr>
              <w:snapToGrid w:val="0"/>
              <w:spacing w:line="400" w:lineRule="exact"/>
              <w:jc w:val="center"/>
              <w:rPr>
                <w:rFonts w:ascii="宋体" w:hAnsi="宋体"/>
                <w:color w:val="auto"/>
                <w:kern w:val="0"/>
                <w:szCs w:val="21"/>
                <w:highlight w:val="none"/>
              </w:rPr>
            </w:pPr>
          </w:p>
          <w:p w14:paraId="325A824D">
            <w:pPr>
              <w:snapToGrid w:val="0"/>
              <w:spacing w:line="400" w:lineRule="exact"/>
              <w:jc w:val="center"/>
              <w:rPr>
                <w:rFonts w:ascii="宋体" w:hAnsi="宋体"/>
                <w:color w:val="auto"/>
                <w:kern w:val="0"/>
                <w:szCs w:val="21"/>
                <w:highlight w:val="none"/>
              </w:rPr>
            </w:pPr>
          </w:p>
          <w:p w14:paraId="1039C735">
            <w:pPr>
              <w:snapToGrid w:val="0"/>
              <w:spacing w:line="400" w:lineRule="exact"/>
              <w:jc w:val="center"/>
              <w:rPr>
                <w:rFonts w:ascii="宋体" w:hAnsi="宋体"/>
                <w:color w:val="auto"/>
                <w:kern w:val="0"/>
                <w:szCs w:val="21"/>
                <w:highlight w:val="none"/>
              </w:rPr>
            </w:pPr>
          </w:p>
          <w:p w14:paraId="7E2CD32A">
            <w:pPr>
              <w:snapToGrid w:val="0"/>
              <w:spacing w:line="400" w:lineRule="exact"/>
              <w:jc w:val="center"/>
              <w:rPr>
                <w:rFonts w:ascii="宋体" w:hAnsi="宋体"/>
                <w:color w:val="auto"/>
                <w:kern w:val="0"/>
                <w:szCs w:val="21"/>
                <w:highlight w:val="none"/>
              </w:rPr>
            </w:pPr>
          </w:p>
          <w:p w14:paraId="7AD5D13C">
            <w:pPr>
              <w:snapToGrid w:val="0"/>
              <w:spacing w:line="400" w:lineRule="exact"/>
              <w:jc w:val="center"/>
              <w:rPr>
                <w:rFonts w:ascii="宋体" w:hAnsi="宋体"/>
                <w:color w:val="auto"/>
                <w:kern w:val="0"/>
                <w:szCs w:val="21"/>
                <w:highlight w:val="none"/>
              </w:rPr>
            </w:pPr>
          </w:p>
          <w:p w14:paraId="03D30391">
            <w:pPr>
              <w:snapToGrid w:val="0"/>
              <w:spacing w:line="400" w:lineRule="exact"/>
              <w:jc w:val="center"/>
              <w:rPr>
                <w:rFonts w:ascii="宋体" w:hAnsi="宋体"/>
                <w:color w:val="auto"/>
                <w:kern w:val="0"/>
                <w:szCs w:val="21"/>
                <w:highlight w:val="none"/>
              </w:rPr>
            </w:pPr>
          </w:p>
          <w:p w14:paraId="717A834F">
            <w:pPr>
              <w:snapToGrid w:val="0"/>
              <w:spacing w:line="400" w:lineRule="exact"/>
              <w:jc w:val="center"/>
              <w:rPr>
                <w:rFonts w:ascii="宋体" w:hAnsi="宋体"/>
                <w:color w:val="auto"/>
                <w:kern w:val="0"/>
                <w:szCs w:val="21"/>
                <w:highlight w:val="none"/>
              </w:rPr>
            </w:pPr>
          </w:p>
          <w:p w14:paraId="6DC21755">
            <w:pPr>
              <w:snapToGrid w:val="0"/>
              <w:spacing w:line="400" w:lineRule="exact"/>
              <w:jc w:val="center"/>
              <w:rPr>
                <w:rFonts w:ascii="宋体" w:hAnsi="宋体"/>
                <w:color w:val="auto"/>
                <w:kern w:val="0"/>
                <w:szCs w:val="21"/>
                <w:highlight w:val="none"/>
              </w:rPr>
            </w:pPr>
          </w:p>
          <w:p w14:paraId="4E6150B4">
            <w:pPr>
              <w:snapToGrid w:val="0"/>
              <w:spacing w:line="400" w:lineRule="exact"/>
              <w:jc w:val="center"/>
              <w:rPr>
                <w:rFonts w:ascii="宋体" w:hAnsi="宋体"/>
                <w:color w:val="auto"/>
                <w:kern w:val="0"/>
                <w:szCs w:val="21"/>
                <w:highlight w:val="none"/>
              </w:rPr>
            </w:pPr>
          </w:p>
          <w:p w14:paraId="01844A48">
            <w:pPr>
              <w:snapToGrid w:val="0"/>
              <w:spacing w:line="400" w:lineRule="exact"/>
              <w:jc w:val="center"/>
              <w:rPr>
                <w:rFonts w:ascii="宋体" w:hAnsi="宋体"/>
                <w:color w:val="auto"/>
                <w:kern w:val="0"/>
                <w:szCs w:val="21"/>
                <w:highlight w:val="none"/>
              </w:rPr>
            </w:pPr>
          </w:p>
          <w:p w14:paraId="0B03DDF9">
            <w:pPr>
              <w:snapToGrid w:val="0"/>
              <w:spacing w:line="400" w:lineRule="exact"/>
              <w:jc w:val="center"/>
              <w:rPr>
                <w:rFonts w:ascii="宋体" w:hAnsi="宋体"/>
                <w:color w:val="auto"/>
                <w:kern w:val="0"/>
                <w:szCs w:val="21"/>
                <w:highlight w:val="none"/>
              </w:rPr>
            </w:pPr>
          </w:p>
          <w:p w14:paraId="69FAB93F">
            <w:pPr>
              <w:snapToGrid w:val="0"/>
              <w:spacing w:line="400" w:lineRule="exact"/>
              <w:jc w:val="center"/>
              <w:rPr>
                <w:rFonts w:ascii="宋体" w:hAnsi="宋体"/>
                <w:color w:val="auto"/>
                <w:kern w:val="0"/>
                <w:szCs w:val="21"/>
                <w:highlight w:val="none"/>
              </w:rPr>
            </w:pPr>
          </w:p>
          <w:p w14:paraId="535F5DC3">
            <w:pPr>
              <w:snapToGrid w:val="0"/>
              <w:spacing w:line="400" w:lineRule="exact"/>
              <w:jc w:val="center"/>
              <w:rPr>
                <w:rFonts w:ascii="宋体" w:hAnsi="宋体"/>
                <w:color w:val="auto"/>
                <w:kern w:val="0"/>
                <w:szCs w:val="21"/>
                <w:highlight w:val="none"/>
              </w:rPr>
            </w:pPr>
          </w:p>
          <w:p w14:paraId="3B18A659">
            <w:pPr>
              <w:snapToGrid w:val="0"/>
              <w:spacing w:line="400" w:lineRule="exact"/>
              <w:jc w:val="center"/>
              <w:rPr>
                <w:rFonts w:ascii="宋体" w:hAnsi="宋体"/>
                <w:color w:val="auto"/>
                <w:kern w:val="0"/>
                <w:szCs w:val="21"/>
                <w:highlight w:val="none"/>
              </w:rPr>
            </w:pPr>
          </w:p>
          <w:p w14:paraId="3AD3994D">
            <w:pPr>
              <w:snapToGrid w:val="0"/>
              <w:spacing w:line="400" w:lineRule="exact"/>
              <w:jc w:val="center"/>
              <w:rPr>
                <w:rFonts w:ascii="宋体" w:hAnsi="宋体"/>
                <w:color w:val="auto"/>
                <w:kern w:val="0"/>
                <w:szCs w:val="21"/>
                <w:highlight w:val="none"/>
              </w:rPr>
            </w:pPr>
          </w:p>
          <w:p w14:paraId="533D642B">
            <w:pPr>
              <w:snapToGrid w:val="0"/>
              <w:spacing w:line="400" w:lineRule="exact"/>
              <w:jc w:val="center"/>
              <w:rPr>
                <w:rFonts w:ascii="宋体" w:hAnsi="宋体"/>
                <w:color w:val="auto"/>
                <w:kern w:val="0"/>
                <w:szCs w:val="21"/>
                <w:highlight w:val="none"/>
              </w:rPr>
            </w:pPr>
          </w:p>
          <w:p w14:paraId="2CD4466C">
            <w:pPr>
              <w:snapToGrid w:val="0"/>
              <w:spacing w:line="400" w:lineRule="exact"/>
              <w:jc w:val="center"/>
              <w:rPr>
                <w:rFonts w:ascii="宋体" w:hAnsi="宋体"/>
                <w:color w:val="auto"/>
                <w:kern w:val="0"/>
                <w:szCs w:val="21"/>
                <w:highlight w:val="none"/>
              </w:rPr>
            </w:pPr>
          </w:p>
          <w:p w14:paraId="05ADCA7A">
            <w:pPr>
              <w:snapToGrid w:val="0"/>
              <w:spacing w:line="400" w:lineRule="exact"/>
              <w:jc w:val="center"/>
              <w:rPr>
                <w:rFonts w:ascii="宋体" w:hAnsi="宋体"/>
                <w:color w:val="auto"/>
                <w:kern w:val="0"/>
                <w:szCs w:val="21"/>
                <w:highlight w:val="none"/>
              </w:rPr>
            </w:pPr>
          </w:p>
          <w:p w14:paraId="74997569">
            <w:pPr>
              <w:snapToGrid w:val="0"/>
              <w:spacing w:line="400" w:lineRule="exact"/>
              <w:jc w:val="center"/>
              <w:rPr>
                <w:rFonts w:ascii="宋体" w:hAnsi="宋体"/>
                <w:color w:val="auto"/>
                <w:kern w:val="0"/>
                <w:szCs w:val="21"/>
                <w:highlight w:val="none"/>
              </w:rPr>
            </w:pPr>
          </w:p>
          <w:p w14:paraId="5342AEB9">
            <w:pPr>
              <w:snapToGrid w:val="0"/>
              <w:spacing w:line="400" w:lineRule="exact"/>
              <w:jc w:val="center"/>
              <w:rPr>
                <w:rFonts w:ascii="宋体" w:hAnsi="宋体"/>
                <w:color w:val="auto"/>
                <w:kern w:val="0"/>
                <w:szCs w:val="21"/>
                <w:highlight w:val="none"/>
              </w:rPr>
            </w:pPr>
          </w:p>
          <w:p w14:paraId="2085E7F8">
            <w:pPr>
              <w:snapToGrid w:val="0"/>
              <w:spacing w:line="400" w:lineRule="exact"/>
              <w:jc w:val="center"/>
              <w:rPr>
                <w:rFonts w:ascii="宋体" w:hAnsi="宋体"/>
                <w:color w:val="auto"/>
                <w:kern w:val="0"/>
                <w:szCs w:val="21"/>
                <w:highlight w:val="none"/>
              </w:rPr>
            </w:pPr>
          </w:p>
          <w:p w14:paraId="6334C341">
            <w:pPr>
              <w:snapToGrid w:val="0"/>
              <w:spacing w:line="400" w:lineRule="exact"/>
              <w:jc w:val="center"/>
              <w:rPr>
                <w:rFonts w:ascii="宋体" w:hAnsi="宋体"/>
                <w:color w:val="auto"/>
                <w:kern w:val="0"/>
                <w:szCs w:val="21"/>
                <w:highlight w:val="none"/>
              </w:rPr>
            </w:pPr>
          </w:p>
          <w:p w14:paraId="17231214">
            <w:pPr>
              <w:snapToGrid w:val="0"/>
              <w:spacing w:line="400" w:lineRule="exact"/>
              <w:jc w:val="center"/>
              <w:rPr>
                <w:rFonts w:ascii="宋体" w:hAnsi="宋体"/>
                <w:color w:val="auto"/>
                <w:kern w:val="0"/>
                <w:szCs w:val="21"/>
                <w:highlight w:val="none"/>
              </w:rPr>
            </w:pPr>
          </w:p>
          <w:p w14:paraId="63F93B5E">
            <w:pPr>
              <w:snapToGrid w:val="0"/>
              <w:spacing w:line="400" w:lineRule="exact"/>
              <w:jc w:val="center"/>
              <w:rPr>
                <w:rFonts w:ascii="宋体" w:hAnsi="宋体"/>
                <w:color w:val="auto"/>
                <w:kern w:val="0"/>
                <w:szCs w:val="21"/>
                <w:highlight w:val="none"/>
              </w:rPr>
            </w:pPr>
          </w:p>
          <w:p w14:paraId="06722060">
            <w:pPr>
              <w:snapToGrid w:val="0"/>
              <w:spacing w:line="400" w:lineRule="exact"/>
              <w:jc w:val="center"/>
              <w:rPr>
                <w:rFonts w:ascii="宋体" w:hAnsi="宋体"/>
                <w:color w:val="auto"/>
                <w:kern w:val="0"/>
                <w:szCs w:val="21"/>
                <w:highlight w:val="none"/>
              </w:rPr>
            </w:pPr>
          </w:p>
          <w:p w14:paraId="69C548DC">
            <w:pPr>
              <w:snapToGrid w:val="0"/>
              <w:spacing w:line="400" w:lineRule="exact"/>
              <w:jc w:val="center"/>
              <w:rPr>
                <w:rFonts w:ascii="宋体" w:hAnsi="宋体"/>
                <w:color w:val="auto"/>
                <w:kern w:val="0"/>
                <w:szCs w:val="21"/>
                <w:highlight w:val="none"/>
              </w:rPr>
            </w:pPr>
          </w:p>
          <w:p w14:paraId="1F4A4B6A">
            <w:pPr>
              <w:snapToGrid w:val="0"/>
              <w:spacing w:line="400" w:lineRule="exact"/>
              <w:jc w:val="center"/>
              <w:rPr>
                <w:rFonts w:ascii="宋体" w:hAnsi="宋体"/>
                <w:color w:val="auto"/>
                <w:kern w:val="0"/>
                <w:szCs w:val="21"/>
                <w:highlight w:val="none"/>
              </w:rPr>
            </w:pPr>
          </w:p>
          <w:p w14:paraId="54291CEE">
            <w:pPr>
              <w:snapToGrid w:val="0"/>
              <w:spacing w:line="400" w:lineRule="exact"/>
              <w:jc w:val="center"/>
              <w:rPr>
                <w:rFonts w:ascii="宋体" w:hAnsi="宋体"/>
                <w:color w:val="auto"/>
                <w:kern w:val="0"/>
                <w:szCs w:val="21"/>
                <w:highlight w:val="none"/>
              </w:rPr>
            </w:pPr>
          </w:p>
          <w:p w14:paraId="213E8DAC">
            <w:pPr>
              <w:snapToGrid w:val="0"/>
              <w:spacing w:line="400" w:lineRule="exact"/>
              <w:jc w:val="center"/>
              <w:rPr>
                <w:rFonts w:ascii="宋体" w:hAnsi="宋体"/>
                <w:color w:val="auto"/>
                <w:kern w:val="0"/>
                <w:szCs w:val="21"/>
                <w:highlight w:val="none"/>
              </w:rPr>
            </w:pPr>
          </w:p>
          <w:p w14:paraId="741086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06C3464">
            <w:pPr>
              <w:snapToGrid w:val="0"/>
              <w:spacing w:line="400" w:lineRule="exact"/>
              <w:jc w:val="center"/>
              <w:rPr>
                <w:rFonts w:ascii="宋体" w:hAnsi="宋体"/>
                <w:color w:val="auto"/>
                <w:kern w:val="0"/>
                <w:szCs w:val="21"/>
                <w:highlight w:val="none"/>
              </w:rPr>
            </w:pPr>
          </w:p>
          <w:p w14:paraId="476945CC">
            <w:pPr>
              <w:snapToGrid w:val="0"/>
              <w:spacing w:line="400" w:lineRule="exact"/>
              <w:jc w:val="center"/>
              <w:rPr>
                <w:rFonts w:ascii="宋体" w:hAnsi="宋体"/>
                <w:color w:val="auto"/>
                <w:kern w:val="0"/>
                <w:szCs w:val="21"/>
                <w:highlight w:val="none"/>
              </w:rPr>
            </w:pPr>
          </w:p>
          <w:p w14:paraId="36E6BD8A">
            <w:pPr>
              <w:snapToGrid w:val="0"/>
              <w:spacing w:line="400" w:lineRule="exact"/>
              <w:jc w:val="center"/>
              <w:rPr>
                <w:rFonts w:ascii="宋体" w:hAnsi="宋体"/>
                <w:color w:val="auto"/>
                <w:kern w:val="0"/>
                <w:szCs w:val="21"/>
                <w:highlight w:val="none"/>
              </w:rPr>
            </w:pPr>
          </w:p>
          <w:p w14:paraId="74B64256">
            <w:pPr>
              <w:snapToGrid w:val="0"/>
              <w:spacing w:line="400" w:lineRule="exact"/>
              <w:jc w:val="center"/>
              <w:rPr>
                <w:rFonts w:ascii="宋体" w:hAnsi="宋体"/>
                <w:color w:val="auto"/>
                <w:kern w:val="0"/>
                <w:szCs w:val="21"/>
                <w:highlight w:val="none"/>
              </w:rPr>
            </w:pPr>
          </w:p>
          <w:p w14:paraId="5CC7A0D5">
            <w:pPr>
              <w:snapToGrid w:val="0"/>
              <w:spacing w:line="400" w:lineRule="exact"/>
              <w:jc w:val="center"/>
              <w:rPr>
                <w:rFonts w:ascii="宋体" w:hAnsi="宋体"/>
                <w:color w:val="auto"/>
                <w:kern w:val="0"/>
                <w:szCs w:val="21"/>
                <w:highlight w:val="none"/>
              </w:rPr>
            </w:pPr>
          </w:p>
          <w:p w14:paraId="43360A6E">
            <w:pPr>
              <w:snapToGrid w:val="0"/>
              <w:spacing w:line="400" w:lineRule="exact"/>
              <w:jc w:val="center"/>
              <w:rPr>
                <w:rFonts w:ascii="宋体" w:hAnsi="宋体"/>
                <w:color w:val="auto"/>
                <w:kern w:val="0"/>
                <w:szCs w:val="21"/>
                <w:highlight w:val="none"/>
              </w:rPr>
            </w:pPr>
          </w:p>
          <w:p w14:paraId="3FE08D91">
            <w:pPr>
              <w:snapToGrid w:val="0"/>
              <w:spacing w:line="400" w:lineRule="exact"/>
              <w:jc w:val="center"/>
              <w:rPr>
                <w:rFonts w:ascii="宋体" w:hAnsi="宋体"/>
                <w:color w:val="auto"/>
                <w:kern w:val="0"/>
                <w:szCs w:val="21"/>
                <w:highlight w:val="none"/>
              </w:rPr>
            </w:pPr>
          </w:p>
          <w:p w14:paraId="77134984">
            <w:pPr>
              <w:snapToGrid w:val="0"/>
              <w:spacing w:line="400" w:lineRule="exact"/>
              <w:jc w:val="center"/>
              <w:rPr>
                <w:rFonts w:ascii="宋体" w:hAnsi="宋体"/>
                <w:color w:val="auto"/>
                <w:kern w:val="0"/>
                <w:szCs w:val="21"/>
                <w:highlight w:val="none"/>
              </w:rPr>
            </w:pPr>
          </w:p>
          <w:p w14:paraId="1ADE00FD">
            <w:pPr>
              <w:snapToGrid w:val="0"/>
              <w:spacing w:line="400" w:lineRule="exact"/>
              <w:jc w:val="center"/>
              <w:rPr>
                <w:rFonts w:ascii="宋体" w:hAnsi="宋体"/>
                <w:color w:val="auto"/>
                <w:kern w:val="0"/>
                <w:szCs w:val="21"/>
                <w:highlight w:val="none"/>
              </w:rPr>
            </w:pPr>
          </w:p>
          <w:p w14:paraId="02FB39E8">
            <w:pPr>
              <w:snapToGrid w:val="0"/>
              <w:spacing w:line="400" w:lineRule="exact"/>
              <w:jc w:val="center"/>
              <w:rPr>
                <w:rFonts w:ascii="宋体" w:hAnsi="宋体"/>
                <w:color w:val="auto"/>
                <w:kern w:val="0"/>
                <w:szCs w:val="21"/>
                <w:highlight w:val="none"/>
              </w:rPr>
            </w:pPr>
          </w:p>
          <w:p w14:paraId="1EE9996E">
            <w:pPr>
              <w:snapToGrid w:val="0"/>
              <w:spacing w:line="400" w:lineRule="exact"/>
              <w:jc w:val="center"/>
              <w:rPr>
                <w:rFonts w:ascii="宋体" w:hAnsi="宋体"/>
                <w:color w:val="auto"/>
                <w:kern w:val="0"/>
                <w:szCs w:val="21"/>
                <w:highlight w:val="none"/>
              </w:rPr>
            </w:pPr>
          </w:p>
          <w:p w14:paraId="430E78CF">
            <w:pPr>
              <w:snapToGrid w:val="0"/>
              <w:spacing w:line="400" w:lineRule="exact"/>
              <w:jc w:val="center"/>
              <w:rPr>
                <w:rFonts w:ascii="宋体" w:hAnsi="宋体"/>
                <w:color w:val="auto"/>
                <w:kern w:val="0"/>
                <w:szCs w:val="21"/>
                <w:highlight w:val="none"/>
              </w:rPr>
            </w:pPr>
          </w:p>
          <w:p w14:paraId="4CE74B91">
            <w:pPr>
              <w:snapToGrid w:val="0"/>
              <w:spacing w:line="400" w:lineRule="exact"/>
              <w:jc w:val="center"/>
              <w:rPr>
                <w:rFonts w:ascii="宋体" w:hAnsi="宋体"/>
                <w:color w:val="auto"/>
                <w:kern w:val="0"/>
                <w:szCs w:val="21"/>
                <w:highlight w:val="none"/>
              </w:rPr>
            </w:pPr>
          </w:p>
          <w:p w14:paraId="47250D05">
            <w:pPr>
              <w:snapToGrid w:val="0"/>
              <w:spacing w:line="400" w:lineRule="exact"/>
              <w:jc w:val="center"/>
              <w:rPr>
                <w:rFonts w:ascii="宋体" w:hAnsi="宋体"/>
                <w:color w:val="auto"/>
                <w:kern w:val="0"/>
                <w:szCs w:val="21"/>
                <w:highlight w:val="none"/>
              </w:rPr>
            </w:pPr>
          </w:p>
          <w:p w14:paraId="35FB9175">
            <w:pPr>
              <w:snapToGrid w:val="0"/>
              <w:spacing w:line="400" w:lineRule="exact"/>
              <w:jc w:val="center"/>
              <w:rPr>
                <w:rFonts w:ascii="宋体" w:hAnsi="宋体"/>
                <w:color w:val="auto"/>
                <w:kern w:val="0"/>
                <w:szCs w:val="21"/>
                <w:highlight w:val="none"/>
              </w:rPr>
            </w:pPr>
          </w:p>
          <w:p w14:paraId="187249CE">
            <w:pPr>
              <w:snapToGrid w:val="0"/>
              <w:spacing w:line="400" w:lineRule="exact"/>
              <w:jc w:val="center"/>
              <w:rPr>
                <w:rFonts w:ascii="宋体" w:hAnsi="宋体"/>
                <w:color w:val="auto"/>
                <w:kern w:val="0"/>
                <w:szCs w:val="21"/>
                <w:highlight w:val="none"/>
              </w:rPr>
            </w:pPr>
          </w:p>
          <w:p w14:paraId="24B42D75">
            <w:pPr>
              <w:snapToGrid w:val="0"/>
              <w:spacing w:line="400" w:lineRule="exact"/>
              <w:jc w:val="center"/>
              <w:rPr>
                <w:rFonts w:ascii="宋体" w:hAnsi="宋体"/>
                <w:color w:val="auto"/>
                <w:kern w:val="0"/>
                <w:szCs w:val="21"/>
                <w:highlight w:val="none"/>
              </w:rPr>
            </w:pPr>
          </w:p>
          <w:p w14:paraId="2E104F3E">
            <w:pPr>
              <w:snapToGrid w:val="0"/>
              <w:spacing w:line="400" w:lineRule="exact"/>
              <w:jc w:val="center"/>
              <w:rPr>
                <w:rFonts w:ascii="宋体" w:hAnsi="宋体"/>
                <w:color w:val="auto"/>
                <w:kern w:val="0"/>
                <w:szCs w:val="21"/>
                <w:highlight w:val="none"/>
              </w:rPr>
            </w:pPr>
          </w:p>
          <w:p w14:paraId="432B1849">
            <w:pPr>
              <w:snapToGrid w:val="0"/>
              <w:spacing w:line="400" w:lineRule="exact"/>
              <w:jc w:val="center"/>
              <w:rPr>
                <w:rFonts w:ascii="宋体" w:hAnsi="宋体"/>
                <w:color w:val="auto"/>
                <w:kern w:val="0"/>
                <w:szCs w:val="21"/>
                <w:highlight w:val="none"/>
              </w:rPr>
            </w:pPr>
          </w:p>
          <w:p w14:paraId="78E1EADB">
            <w:pPr>
              <w:snapToGrid w:val="0"/>
              <w:spacing w:line="400" w:lineRule="exact"/>
              <w:jc w:val="center"/>
              <w:rPr>
                <w:rFonts w:ascii="宋体" w:hAnsi="宋体"/>
                <w:color w:val="auto"/>
                <w:kern w:val="0"/>
                <w:szCs w:val="21"/>
                <w:highlight w:val="none"/>
              </w:rPr>
            </w:pPr>
          </w:p>
          <w:p w14:paraId="033BDF08">
            <w:pPr>
              <w:snapToGrid w:val="0"/>
              <w:spacing w:line="400" w:lineRule="exact"/>
              <w:jc w:val="center"/>
              <w:rPr>
                <w:rFonts w:ascii="宋体" w:hAnsi="宋体"/>
                <w:color w:val="auto"/>
                <w:kern w:val="0"/>
                <w:szCs w:val="21"/>
                <w:highlight w:val="none"/>
              </w:rPr>
            </w:pPr>
          </w:p>
          <w:p w14:paraId="2B0CFCA1">
            <w:pPr>
              <w:snapToGrid w:val="0"/>
              <w:spacing w:line="400" w:lineRule="exact"/>
              <w:jc w:val="center"/>
              <w:rPr>
                <w:rFonts w:ascii="宋体" w:hAnsi="宋体"/>
                <w:color w:val="auto"/>
                <w:kern w:val="0"/>
                <w:szCs w:val="21"/>
                <w:highlight w:val="none"/>
              </w:rPr>
            </w:pPr>
          </w:p>
          <w:p w14:paraId="5CA69F4B">
            <w:pPr>
              <w:snapToGrid w:val="0"/>
              <w:spacing w:line="400" w:lineRule="exact"/>
              <w:jc w:val="center"/>
              <w:rPr>
                <w:rFonts w:ascii="宋体" w:hAnsi="宋体"/>
                <w:color w:val="auto"/>
                <w:kern w:val="0"/>
                <w:szCs w:val="21"/>
                <w:highlight w:val="none"/>
              </w:rPr>
            </w:pPr>
          </w:p>
          <w:p w14:paraId="0078D621">
            <w:pPr>
              <w:snapToGrid w:val="0"/>
              <w:spacing w:line="400" w:lineRule="exact"/>
              <w:jc w:val="both"/>
              <w:rPr>
                <w:rFonts w:ascii="宋体" w:hAnsi="宋体"/>
                <w:color w:val="auto"/>
                <w:kern w:val="0"/>
                <w:szCs w:val="21"/>
                <w:highlight w:val="none"/>
              </w:rPr>
            </w:pPr>
          </w:p>
        </w:tc>
        <w:tc>
          <w:tcPr>
            <w:tcW w:w="6490" w:type="dxa"/>
            <w:vAlign w:val="center"/>
          </w:tcPr>
          <w:p w14:paraId="1C5551C9">
            <w:pPr>
              <w:autoSpaceDE w:val="0"/>
              <w:autoSpaceDN w:val="0"/>
              <w:adjustRightInd w:val="0"/>
              <w:snapToGrid w:val="0"/>
              <w:spacing w:line="400" w:lineRule="exact"/>
              <w:ind w:firstLine="420" w:firstLineChars="200"/>
              <w:rPr>
                <w:rFonts w:ascii="宋体" w:hAnsi="宋体"/>
                <w:color w:val="auto"/>
                <w:szCs w:val="21"/>
                <w:highlight w:val="none"/>
              </w:rPr>
            </w:pPr>
            <w:bookmarkStart w:id="101" w:name="OLE_LINK1"/>
            <w:r>
              <w:rPr>
                <w:rFonts w:ascii="宋体" w:hAnsi="宋体"/>
                <w:color w:val="auto"/>
                <w:szCs w:val="21"/>
                <w:highlight w:val="none"/>
              </w:rPr>
              <w:t>本工程施工</w:t>
            </w:r>
            <w:r>
              <w:rPr>
                <w:rFonts w:hint="eastAsia" w:ascii="宋体" w:hAnsi="宋体"/>
                <w:color w:val="auto"/>
                <w:szCs w:val="21"/>
                <w:highlight w:val="none"/>
                <w:lang w:eastAsia="zh-CN"/>
              </w:rPr>
              <w:t>比选</w:t>
            </w:r>
            <w:r>
              <w:rPr>
                <w:rFonts w:ascii="宋体" w:hAnsi="宋体"/>
                <w:color w:val="auto"/>
                <w:szCs w:val="21"/>
                <w:highlight w:val="none"/>
              </w:rPr>
              <w:t>实行资格后审，投标人应</w:t>
            </w:r>
            <w:bookmarkStart w:id="102" w:name="一是"/>
            <w:bookmarkEnd w:id="102"/>
            <w:r>
              <w:rPr>
                <w:rFonts w:ascii="宋体" w:hAnsi="宋体"/>
                <w:color w:val="auto"/>
                <w:szCs w:val="21"/>
                <w:highlight w:val="none"/>
              </w:rPr>
              <w:t>具备以下资格条件：</w:t>
            </w:r>
          </w:p>
          <w:bookmarkEnd w:id="101"/>
          <w:p w14:paraId="6EE0A19E">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39253DA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u w:val="single"/>
                <w:lang w:eastAsia="zh-CN"/>
              </w:rPr>
              <w:t>建筑工程施工总承包叁级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14:paraId="7911E8D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4F40442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0EBFA7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提供有效的营业执照复印件。</w:t>
            </w:r>
          </w:p>
          <w:p w14:paraId="7079DF2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25E45D9D">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及安全生产考核合格证书复印件。</w:t>
            </w:r>
          </w:p>
          <w:p w14:paraId="6AE6F708">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6C105E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1E9DFF9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06F1D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2720A1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5EF216A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044D1D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6768D9DE">
            <w:pPr>
              <w:spacing w:line="400" w:lineRule="exact"/>
              <w:ind w:firstLine="420" w:firstLineChars="200"/>
              <w:rPr>
                <w:color w:val="auto"/>
                <w:highlight w:val="none"/>
              </w:rPr>
            </w:pPr>
            <w:r>
              <w:rPr>
                <w:rFonts w:hint="eastAsia"/>
                <w:color w:val="auto"/>
                <w:highlight w:val="none"/>
              </w:rPr>
              <w:t>投标人须在投标文件资格审查部分提供承诺。</w:t>
            </w:r>
          </w:p>
          <w:p w14:paraId="3DAFBEED">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.项目经理资格要求</w:t>
            </w:r>
          </w:p>
          <w:p w14:paraId="0D1E8EA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color w:val="auto"/>
                <w:szCs w:val="21"/>
                <w:highlight w:val="none"/>
              </w:rPr>
              <w:t>投标人拟派的</w:t>
            </w:r>
            <w:r>
              <w:rPr>
                <w:color w:val="auto"/>
                <w:szCs w:val="21"/>
                <w:highlight w:val="none"/>
              </w:rPr>
              <w:t>项目经理必须已在</w:t>
            </w:r>
            <w:r>
              <w:rPr>
                <w:rFonts w:hint="eastAsia"/>
                <w:color w:val="auto"/>
                <w:szCs w:val="21"/>
                <w:highlight w:val="none"/>
              </w:rPr>
              <w:t>投标人本</w:t>
            </w:r>
            <w:r>
              <w:rPr>
                <w:color w:val="auto"/>
                <w:szCs w:val="21"/>
                <w:highlight w:val="none"/>
              </w:rPr>
              <w:t>单位注册并应具有</w:t>
            </w:r>
            <w:r>
              <w:rPr>
                <w:color w:val="auto"/>
                <w:szCs w:val="21"/>
                <w:highlight w:val="none"/>
                <w:u w:val="single"/>
              </w:rPr>
              <w:t xml:space="preserve"> </w:t>
            </w:r>
            <w:r>
              <w:rPr>
                <w:rFonts w:hint="eastAsia"/>
                <w:color w:val="auto"/>
                <w:szCs w:val="21"/>
                <w:highlight w:val="none"/>
                <w:u w:val="single"/>
              </w:rPr>
              <w:t xml:space="preserve">   </w:t>
            </w:r>
            <w:r>
              <w:rPr>
                <w:rFonts w:hint="eastAsia"/>
                <w:i w:val="0"/>
                <w:iCs/>
                <w:color w:val="auto"/>
                <w:szCs w:val="21"/>
                <w:highlight w:val="none"/>
                <w:u w:val="single"/>
                <w:lang w:eastAsia="zh-CN"/>
              </w:rPr>
              <w:t>建筑工程</w:t>
            </w:r>
            <w:r>
              <w:rPr>
                <w:rFonts w:hint="eastAsia"/>
                <w:i/>
                <w:color w:val="auto"/>
                <w:szCs w:val="21"/>
                <w:highlight w:val="none"/>
                <w:u w:val="single"/>
              </w:rPr>
              <w:t xml:space="preserve">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eastAsia="zh-CN"/>
              </w:rPr>
              <w:t>二</w:t>
            </w:r>
            <w:r>
              <w:rPr>
                <w:rFonts w:hint="eastAsia"/>
                <w:color w:val="auto"/>
                <w:szCs w:val="21"/>
                <w:highlight w:val="none"/>
                <w:u w:val="single"/>
              </w:rPr>
              <w:t xml:space="preserve"> </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7F2E518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.2项目经理承诺要求：投标人须承诺拟派项目经理按注册建造师的相关规定到岗履职和未被禁止参与投标。</w:t>
            </w:r>
          </w:p>
          <w:p w14:paraId="2567513C">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造成损失的，投标人依法承担违约赔偿责任。拟派项目经理中标后不得随意更换。</w:t>
            </w:r>
          </w:p>
          <w:p w14:paraId="5D728C5A">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.2.2未被禁止参与投标承诺要求：承诺拟派项目经理未被重庆市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主管部门暂停在渝承揽新业务。若被暂停在渝承揽新业务但仍参加投标，将被否决投标；已取得中标候选人资格或中标资格的，</w:t>
            </w:r>
            <w:r>
              <w:rPr>
                <w:rFonts w:hint="eastAsia" w:ascii="宋体" w:hAnsi="宋体"/>
                <w:color w:val="auto"/>
                <w:highlight w:val="none"/>
                <w:lang w:eastAsia="zh-CN"/>
              </w:rPr>
              <w:t>比选人</w:t>
            </w:r>
            <w:r>
              <w:rPr>
                <w:rFonts w:ascii="宋体" w:hAnsi="宋体"/>
                <w:color w:val="auto"/>
                <w:highlight w:val="none"/>
              </w:rPr>
              <w:t>有权取消其中标候选人资格或中标资格；给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w:t>
            </w:r>
          </w:p>
          <w:p w14:paraId="3EA5F805">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.2.3项目经理的其它承诺要求：为保证</w:t>
            </w:r>
            <w:r>
              <w:rPr>
                <w:rFonts w:hint="eastAsia" w:ascii="宋体" w:hAnsi="宋体"/>
                <w:color w:val="auto"/>
                <w:highlight w:val="none"/>
              </w:rPr>
              <w:t>投标人</w:t>
            </w:r>
            <w:r>
              <w:rPr>
                <w:rFonts w:ascii="宋体" w:hAnsi="宋体"/>
                <w:color w:val="auto"/>
                <w:highlight w:val="none"/>
              </w:rPr>
              <w:t>拟派的项目经理到本项目到岗履职，</w:t>
            </w:r>
            <w:r>
              <w:rPr>
                <w:rFonts w:hint="eastAsia" w:ascii="宋体" w:hAnsi="宋体"/>
                <w:color w:val="auto"/>
                <w:highlight w:val="none"/>
              </w:rPr>
              <w:t>投标人</w:t>
            </w:r>
            <w:r>
              <w:rPr>
                <w:rFonts w:ascii="宋体" w:hAnsi="宋体"/>
                <w:color w:val="auto"/>
                <w:highlight w:val="none"/>
              </w:rPr>
              <w:t>还需承诺：</w:t>
            </w:r>
          </w:p>
          <w:p w14:paraId="69E6EEEA">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日（7～30日）内，办理完成放弃在其他项目任职的手续（或办理完成放弃在其他项目中标或拟中标的手续），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投标人</w:t>
            </w:r>
            <w:r>
              <w:rPr>
                <w:rFonts w:ascii="宋体" w:hAnsi="宋体"/>
                <w:color w:val="auto"/>
                <w:highlight w:val="none"/>
              </w:rPr>
              <w:t>承诺内容不符或</w:t>
            </w:r>
            <w:r>
              <w:rPr>
                <w:rFonts w:hint="eastAsia" w:ascii="宋体" w:hAnsi="宋体"/>
                <w:color w:val="auto"/>
                <w:highlight w:val="none"/>
              </w:rPr>
              <w:t>投标人</w:t>
            </w:r>
            <w:r>
              <w:rPr>
                <w:rFonts w:ascii="宋体" w:hAnsi="宋体"/>
                <w:color w:val="auto"/>
                <w:highlight w:val="none"/>
              </w:rPr>
              <w:t>未在上述时间内按照</w:t>
            </w:r>
            <w:r>
              <w:rPr>
                <w:rFonts w:hint="eastAsia" w:ascii="宋体" w:hAnsi="宋体"/>
                <w:color w:val="auto"/>
                <w:highlight w:val="none"/>
                <w:lang w:eastAsia="zh-CN"/>
              </w:rPr>
              <w:t>比选文件</w:t>
            </w:r>
            <w:r>
              <w:rPr>
                <w:rFonts w:ascii="宋体" w:hAnsi="宋体"/>
                <w:color w:val="auto"/>
                <w:highlight w:val="none"/>
              </w:rPr>
              <w:t>规定递交放弃在其他项目任职、中标或拟中标的相关资料，视为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w:t>
            </w:r>
          </w:p>
          <w:p w14:paraId="7F98204F">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73D96510">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放弃在其他项目中标或拟中标的需提供：①经中标或拟中标的其他项目建设单位同意的放弃中标函</w:t>
            </w:r>
            <w:r>
              <w:rPr>
                <w:rFonts w:hint="eastAsia" w:ascii="宋体" w:hAnsi="宋体"/>
                <w:color w:val="auto"/>
                <w:highlight w:val="none"/>
              </w:rPr>
              <w:t>。</w:t>
            </w:r>
          </w:p>
          <w:p w14:paraId="249F59F6">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lang w:val="en-US" w:eastAsia="zh-CN"/>
              </w:rPr>
              <w:t>3</w:t>
            </w:r>
            <w:r>
              <w:rPr>
                <w:rFonts w:hint="eastAsia" w:ascii="宋体" w:hAnsi="宋体"/>
                <w:color w:val="auto"/>
                <w:highlight w:val="none"/>
              </w:rPr>
              <w:t>.2.4未提供上述承诺或承诺内容不符合要求的，由评标委员会作否决投标处理</w:t>
            </w:r>
            <w:r>
              <w:rPr>
                <w:rFonts w:ascii="宋体" w:hAnsi="宋体"/>
                <w:color w:val="auto"/>
                <w:highlight w:val="none"/>
              </w:rPr>
              <w:t>。</w:t>
            </w:r>
          </w:p>
          <w:p w14:paraId="2EC82B2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14:paraId="5355920B">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7C9AE225">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5BB70E4B">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2D3711AA">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0CCB8D3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041CC89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 xml:space="preserve">工程类 </w:t>
            </w:r>
            <w:r>
              <w:rPr>
                <w:rFonts w:hint="eastAsia" w:ascii="宋体" w:hAnsi="宋体"/>
                <w:color w:val="auto"/>
                <w:szCs w:val="21"/>
                <w:highlight w:val="none"/>
                <w:u w:val="single"/>
                <w:lang w:eastAsia="zh-CN"/>
              </w:rPr>
              <w:t>中</w:t>
            </w:r>
            <w:r>
              <w:rPr>
                <w:rFonts w:hint="eastAsia" w:ascii="宋体" w:hAnsi="宋体"/>
                <w:color w:val="auto"/>
                <w:szCs w:val="21"/>
                <w:highlight w:val="none"/>
                <w:u w:val="single"/>
              </w:rPr>
              <w:t xml:space="preserve"> </w:t>
            </w:r>
            <w:r>
              <w:rPr>
                <w:rFonts w:ascii="宋体" w:hAnsi="宋体"/>
                <w:color w:val="auto"/>
                <w:szCs w:val="21"/>
                <w:highlight w:val="none"/>
                <w:u w:val="single"/>
              </w:rPr>
              <w:t>级及以上</w:t>
            </w:r>
            <w:r>
              <w:rPr>
                <w:rFonts w:ascii="宋体" w:hAnsi="宋体"/>
                <w:color w:val="auto"/>
                <w:szCs w:val="21"/>
                <w:highlight w:val="none"/>
              </w:rPr>
              <w:t>职称；</w:t>
            </w:r>
          </w:p>
          <w:p w14:paraId="2CF7072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投标人须在投标文件资格审查部分提供拟派技术负责人身份证、职称证及投标人本单位为其缴纳的养老保险证明材料复印件。</w:t>
            </w:r>
          </w:p>
          <w:p w14:paraId="0E9ADF6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14D7365C">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color w:val="auto"/>
                <w:szCs w:val="21"/>
                <w:highlight w:val="none"/>
                <w:lang w:eastAsia="zh-CN"/>
              </w:rPr>
              <w:t>比选人</w:t>
            </w:r>
            <w:r>
              <w:rPr>
                <w:rFonts w:hint="eastAsia" w:ascii="宋体" w:hAnsi="宋体"/>
                <w:color w:val="auto"/>
                <w:szCs w:val="21"/>
                <w:highlight w:val="none"/>
              </w:rPr>
              <w:t>可取消其中标资格，给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14:paraId="43BB8C69">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590BDC3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33A0774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p>
          <w:p w14:paraId="1F8341E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7C73CCA6">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2734015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上述要求须提交的相关证明材料均为扫描件（原件或复印件的扫描件均可）</w:t>
            </w:r>
            <w:r>
              <w:rPr>
                <w:rFonts w:hint="eastAsia" w:ascii="宋体" w:hAnsi="宋体" w:cs="宋体"/>
                <w:color w:val="auto"/>
                <w:szCs w:val="21"/>
                <w:highlight w:val="none"/>
                <w:lang w:eastAsia="zh-CN"/>
              </w:rPr>
              <w:t>并加盖投标人单位法人章</w:t>
            </w:r>
            <w:r>
              <w:rPr>
                <w:rFonts w:hint="eastAsia" w:ascii="宋体" w:hAnsi="宋体" w:cs="宋体"/>
                <w:color w:val="auto"/>
                <w:szCs w:val="21"/>
                <w:highlight w:val="none"/>
              </w:rPr>
              <w:t>，扫描件须清晰可辨，有一条不满足，则投标文件由评标委员会作否决投标处理</w:t>
            </w:r>
            <w:r>
              <w:rPr>
                <w:rFonts w:hint="eastAsia" w:ascii="宋体" w:hAnsi="宋体" w:cs="宋体"/>
                <w:color w:val="auto"/>
                <w:kern w:val="0"/>
                <w:szCs w:val="21"/>
                <w:highlight w:val="none"/>
              </w:rPr>
              <w:t>。</w:t>
            </w:r>
          </w:p>
          <w:p w14:paraId="45C32B31">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14:paraId="4EE3F19F">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1C6BDCE">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870D1D3">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bCs/>
                <w:snapToGrid w:val="0"/>
                <w:color w:val="auto"/>
                <w:kern w:val="0"/>
                <w:szCs w:val="21"/>
                <w:highlight w:val="none"/>
                <w:lang w:eastAsia="zh-CN"/>
              </w:rPr>
              <w:t>和委托代理人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2024</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12</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5</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75362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F438F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F0116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27D2FEA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tc>
      </w:tr>
      <w:tr w14:paraId="47DE0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C87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6CB1A4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7C433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73349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BD7C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AACB1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203CE7B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071E1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47B9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13012D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38BA02E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tc>
      </w:tr>
      <w:tr w14:paraId="6EA7E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ACE5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E6A1D5C">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的其他材料</w:t>
            </w:r>
          </w:p>
        </w:tc>
        <w:tc>
          <w:tcPr>
            <w:tcW w:w="6490" w:type="dxa"/>
            <w:vAlign w:val="center"/>
          </w:tcPr>
          <w:p w14:paraId="4EE1E4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F3B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934F5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79D849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0E7BB82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color w:val="auto"/>
                <w:kern w:val="0"/>
                <w:szCs w:val="21"/>
                <w:highlight w:val="none"/>
                <w:lang w:eastAsia="zh-CN"/>
              </w:rPr>
              <w:t>提出</w:t>
            </w:r>
            <w:r>
              <w:rPr>
                <w:rFonts w:ascii="宋体" w:hAnsi="宋体"/>
                <w:color w:val="auto"/>
                <w:kern w:val="0"/>
                <w:szCs w:val="21"/>
                <w:highlight w:val="none"/>
              </w:rPr>
              <w:t>。</w:t>
            </w:r>
          </w:p>
        </w:tc>
      </w:tr>
      <w:tr w14:paraId="590F6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E6B8B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668F03D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1B013539">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lang w:eastAsia="zh-CN"/>
              </w:rPr>
              <w:t>“行采家”（www.gec123.com）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0F5C8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9FA2041">
            <w:pPr>
              <w:snapToGrid w:val="0"/>
              <w:spacing w:line="400" w:lineRule="exact"/>
              <w:jc w:val="center"/>
              <w:rPr>
                <w:rFonts w:ascii="宋体" w:hAnsi="宋体"/>
                <w:color w:val="auto"/>
                <w:kern w:val="0"/>
                <w:szCs w:val="21"/>
                <w:highlight w:val="none"/>
              </w:rPr>
            </w:pPr>
          </w:p>
        </w:tc>
        <w:tc>
          <w:tcPr>
            <w:tcW w:w="1644" w:type="dxa"/>
            <w:vAlign w:val="center"/>
          </w:tcPr>
          <w:p w14:paraId="1486F85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5DA24CF4">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14:paraId="56455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C2B9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076900CF">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30EBD655">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14:paraId="6847C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48839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7D5FBB9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及澄清修改提出异议的截止时间</w:t>
            </w:r>
          </w:p>
        </w:tc>
        <w:tc>
          <w:tcPr>
            <w:tcW w:w="6490" w:type="dxa"/>
            <w:vAlign w:val="center"/>
          </w:tcPr>
          <w:p w14:paraId="0F070EE3">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澄清修改区发布。发布时间至投标截止时间不足</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日的，须相应延后投标截止时间</w:t>
            </w:r>
            <w:r>
              <w:rPr>
                <w:rFonts w:ascii="宋体" w:hAnsi="宋体"/>
                <w:snapToGrid w:val="0"/>
                <w:color w:val="auto"/>
                <w:kern w:val="0"/>
                <w:szCs w:val="21"/>
                <w:highlight w:val="none"/>
              </w:rPr>
              <w:t>。</w:t>
            </w:r>
          </w:p>
        </w:tc>
      </w:tr>
      <w:tr w14:paraId="11FA8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53368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2931D0E9">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50F8736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54B0B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62DC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774F9E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6C45D248">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69A01E5D">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 w:val="28"/>
                <w:szCs w:val="28"/>
                <w:highlight w:val="none"/>
                <w:vertAlign w:val="superscript"/>
              </w:rPr>
              <w:footnoteReference w:id="0"/>
            </w:r>
            <w:r>
              <w:rPr>
                <w:rFonts w:hint="eastAsia" w:ascii="宋体" w:hAnsi="宋体" w:cs="宋体"/>
                <w:color w:val="auto"/>
                <w:szCs w:val="21"/>
                <w:highlight w:val="none"/>
              </w:rPr>
              <w:t>为依据。</w:t>
            </w:r>
          </w:p>
          <w:p w14:paraId="48BAF805">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color w:val="auto"/>
                <w:szCs w:val="21"/>
                <w:highlight w:val="none"/>
              </w:rPr>
              <w:t>否决投标处理。</w:t>
            </w:r>
          </w:p>
          <w:p w14:paraId="58C182B1">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14:paraId="5D402469">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5.</w:t>
            </w:r>
            <w:r>
              <w:rPr>
                <w:rFonts w:hint="eastAsia" w:ascii="宋体" w:hAnsi="宋体" w:cs="宋体"/>
                <w:color w:val="auto"/>
                <w:szCs w:val="21"/>
                <w:highlight w:val="none"/>
              </w:rPr>
              <w:t>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依据国家税法规定选择：一般计税法</w:t>
            </w:r>
            <w:r>
              <w:rPr>
                <w:rFonts w:hint="eastAsia" w:ascii="宋体" w:hAnsi="宋体" w:cs="宋体"/>
                <w:color w:val="auto"/>
                <w:szCs w:val="21"/>
                <w:highlight w:val="none"/>
                <w:lang w:eastAsia="zh-CN"/>
              </w:rPr>
              <w:t>。</w:t>
            </w:r>
          </w:p>
          <w:p w14:paraId="18BD1B3F">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核查，除非</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以修改的形式予以更正，否则，应以工程量清单中列出的数量为准。</w:t>
            </w:r>
          </w:p>
          <w:p w14:paraId="03C39691">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，投标人不得修改</w:t>
            </w:r>
            <w:r>
              <w:rPr>
                <w:rFonts w:hint="eastAsia" w:ascii="宋体" w:hAnsi="宋体"/>
                <w:color w:val="auto"/>
                <w:szCs w:val="21"/>
                <w:highlight w:val="none"/>
              </w:rPr>
              <w:t>。</w:t>
            </w:r>
          </w:p>
          <w:p w14:paraId="4B35DC33">
            <w:pPr>
              <w:tabs>
                <w:tab w:val="left" w:pos="546"/>
                <w:tab w:val="left" w:pos="711"/>
              </w:tabs>
              <w:snapToGrid w:val="0"/>
              <w:spacing w:line="400" w:lineRule="exact"/>
              <w:ind w:firstLine="420" w:firstLineChars="200"/>
              <w:rPr>
                <w:rFonts w:hint="eastAsia" w:ascii="宋体" w:hAnsi="宋体" w:eastAsia="宋体"/>
                <w:color w:val="auto"/>
                <w:szCs w:val="21"/>
                <w:highlight w:val="none"/>
                <w:lang w:eastAsia="zh-CN"/>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本工程招标将设置投标总报价最高限价，投标总报价最高限价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u w:val="single"/>
                <w:lang w:val="en-US" w:eastAsia="zh-CN"/>
              </w:rPr>
              <w:t>187981.45</w:t>
            </w:r>
            <w:r>
              <w:rPr>
                <w:rFonts w:hint="eastAsia" w:ascii="宋体" w:hAnsi="宋体" w:cs="宋体"/>
                <w:color w:val="auto"/>
                <w:szCs w:val="21"/>
                <w:highlight w:val="none"/>
                <w:lang w:val="en-US" w:eastAsia="zh-CN"/>
              </w:rPr>
              <w:t>元（大写：</w:t>
            </w:r>
            <w:r>
              <w:rPr>
                <w:rFonts w:hint="eastAsia" w:ascii="宋体" w:hAnsi="宋体" w:cs="宋体"/>
                <w:color w:val="auto"/>
                <w:szCs w:val="21"/>
                <w:highlight w:val="none"/>
                <w:u w:val="single"/>
                <w:lang w:val="en-US" w:eastAsia="zh-CN"/>
              </w:rPr>
              <w:t>壹拾捌万柒仟玖佰捌拾壹元肆角伍分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14:paraId="0B85F8FE">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本工程招标将设置全部工程量清单综合单价最高限价，全部清单综合单价最高限价</w:t>
            </w:r>
            <w:r>
              <w:rPr>
                <w:rFonts w:hint="eastAsia" w:ascii="宋体" w:hAnsi="宋体" w:cs="宋体"/>
                <w:color w:val="auto"/>
                <w:szCs w:val="21"/>
                <w:highlight w:val="none"/>
                <w:lang w:eastAsia="zh-CN"/>
              </w:rPr>
              <w:t>详见附件工程量清单</w:t>
            </w:r>
            <w:r>
              <w:rPr>
                <w:rFonts w:hint="eastAsia" w:ascii="宋体" w:hAnsi="宋体" w:cs="宋体"/>
                <w:color w:val="auto"/>
                <w:szCs w:val="21"/>
                <w:highlight w:val="none"/>
              </w:rPr>
              <w:t>，投标人的每项清单综合单价报价不得超过每项清单综合单价最高限价，否则由评标委员会作否决投标处理</w:t>
            </w:r>
            <w:r>
              <w:rPr>
                <w:rFonts w:hint="eastAsia" w:ascii="宋体" w:hAnsi="宋体" w:cs="宋体"/>
                <w:color w:val="auto"/>
                <w:szCs w:val="21"/>
                <w:highlight w:val="none"/>
                <w:lang w:eastAsia="zh-CN"/>
              </w:rPr>
              <w:t>。</w:t>
            </w:r>
          </w:p>
          <w:p w14:paraId="54383E3D">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232B588B">
            <w:pPr>
              <w:pStyle w:val="2"/>
              <w:tabs>
                <w:tab w:val="left" w:pos="546"/>
                <w:tab w:val="left" w:pos="711"/>
              </w:tabs>
              <w:snapToGrid w:val="0"/>
              <w:spacing w:after="0"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rFonts w:hint="eastAsia" w:ascii="宋体" w:hAnsi="宋体" w:cs="宋体"/>
                <w:color w:val="auto"/>
                <w:szCs w:val="21"/>
                <w:highlight w:val="none"/>
              </w:rPr>
              <w:t>规定，安全文明施工费由安全施工费、文明施工费、环境保护费及临时设施费组成。</w:t>
            </w:r>
          </w:p>
          <w:p w14:paraId="587B163D">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9.2</w:t>
            </w:r>
            <w:r>
              <w:rPr>
                <w:color w:val="auto"/>
                <w:sz w:val="21"/>
                <w:szCs w:val="21"/>
                <w:highlight w:val="none"/>
              </w:rPr>
              <w:t>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w:t>
            </w:r>
            <w:r>
              <w:rPr>
                <w:rFonts w:hint="eastAsia"/>
                <w:color w:val="auto"/>
                <w:sz w:val="21"/>
                <w:szCs w:val="21"/>
                <w:highlight w:val="none"/>
                <w:u w:val="single"/>
                <w:lang w:val="en-US" w:eastAsia="zh-CN"/>
              </w:rPr>
              <w:t>3739.96</w:t>
            </w:r>
            <w:r>
              <w:rPr>
                <w:rFonts w:hint="eastAsia"/>
                <w:color w:val="auto"/>
                <w:sz w:val="21"/>
                <w:szCs w:val="21"/>
                <w:highlight w:val="none"/>
                <w:lang w:val="en-US" w:eastAsia="zh-CN"/>
              </w:rPr>
              <w:t>元</w:t>
            </w:r>
            <w:r>
              <w:rPr>
                <w:color w:val="auto"/>
                <w:sz w:val="21"/>
                <w:szCs w:val="21"/>
                <w:highlight w:val="none"/>
              </w:rPr>
              <w:t>。《投标函》中的安全文明施工费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w:t>
            </w:r>
            <w:r>
              <w:rPr>
                <w:rFonts w:hint="eastAsia"/>
                <w:color w:val="auto"/>
                <w:sz w:val="21"/>
                <w:szCs w:val="21"/>
                <w:highlight w:val="none"/>
                <w:lang w:eastAsia="zh-CN"/>
              </w:rPr>
              <w:t>比选人</w:t>
            </w:r>
            <w:r>
              <w:rPr>
                <w:color w:val="auto"/>
                <w:sz w:val="21"/>
                <w:szCs w:val="21"/>
                <w:highlight w:val="none"/>
              </w:rPr>
              <w:t>给出的暂定金额填报</w:t>
            </w:r>
            <w:r>
              <w:rPr>
                <w:rFonts w:hint="eastAsia"/>
                <w:color w:val="auto"/>
                <w:sz w:val="21"/>
                <w:szCs w:val="21"/>
                <w:highlight w:val="none"/>
                <w:lang w:val="en-US" w:eastAsia="zh-CN"/>
              </w:rPr>
              <w:t>的</w:t>
            </w:r>
            <w:r>
              <w:rPr>
                <w:color w:val="auto"/>
                <w:sz w:val="21"/>
                <w:szCs w:val="21"/>
                <w:highlight w:val="none"/>
              </w:rPr>
              <w:t>，视为对</w:t>
            </w:r>
            <w:r>
              <w:rPr>
                <w:rFonts w:hint="eastAsia"/>
                <w:color w:val="auto"/>
                <w:sz w:val="21"/>
                <w:szCs w:val="21"/>
                <w:highlight w:val="none"/>
                <w:lang w:eastAsia="zh-CN"/>
              </w:rPr>
              <w:t>比选</w:t>
            </w:r>
            <w:r>
              <w:rPr>
                <w:color w:val="auto"/>
                <w:sz w:val="21"/>
                <w:szCs w:val="21"/>
                <w:highlight w:val="none"/>
              </w:rPr>
              <w:t>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2F740523">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第3期</w:t>
            </w:r>
            <w:r>
              <w:rPr>
                <w:rFonts w:hint="eastAsia" w:ascii="宋体" w:hAnsi="宋体" w:cs="宋体"/>
                <w:color w:val="auto"/>
                <w:szCs w:val="21"/>
                <w:highlight w:val="none"/>
              </w:rPr>
              <w:t>《重庆工程造价信息》并结合市场行情及自身实力进行自主报价。</w:t>
            </w:r>
          </w:p>
          <w:p w14:paraId="28707CBE">
            <w:pPr>
              <w:pStyle w:val="2"/>
              <w:tabs>
                <w:tab w:val="left" w:pos="546"/>
                <w:tab w:val="left" w:pos="711"/>
              </w:tabs>
              <w:snapToGrid w:val="0"/>
              <w:spacing w:after="0" w:line="40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不调整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14:paraId="11D83EA2">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4A193EC4">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13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7EF04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DC1C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66E042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5357AF8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日历天（从提交投标文件截止日起计算）</w:t>
            </w:r>
          </w:p>
        </w:tc>
      </w:tr>
      <w:tr w14:paraId="0890A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F856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09A184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17FE7B0F">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无</w:t>
            </w:r>
          </w:p>
        </w:tc>
      </w:tr>
      <w:tr w14:paraId="25FA0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D110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5ED88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0B38334C">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5C0CA98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3F32D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476B2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26DFD63E">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0590955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85FD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5C8D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0C3F18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B500AF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w:t>
            </w:r>
            <w:r>
              <w:rPr>
                <w:rFonts w:hint="eastAsia" w:ascii="宋体" w:hAnsi="宋体"/>
                <w:color w:val="auto"/>
                <w:szCs w:val="21"/>
                <w:highlight w:val="none"/>
                <w:lang w:eastAsia="zh-CN"/>
              </w:rPr>
              <w:t>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比选文件</w:t>
            </w:r>
            <w:r>
              <w:rPr>
                <w:rFonts w:hint="eastAsia" w:ascii="宋体" w:hAnsi="宋体"/>
                <w:color w:val="auto"/>
                <w:szCs w:val="21"/>
                <w:highlight w:val="none"/>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46754F8B">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A388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35" w:type="dxa"/>
            <w:vAlign w:val="center"/>
          </w:tcPr>
          <w:p w14:paraId="421FBC7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3F5040A">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04590B58">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投标文件电子档（PDF格式）一份</w:t>
            </w:r>
          </w:p>
        </w:tc>
      </w:tr>
      <w:tr w14:paraId="35D67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335" w:type="dxa"/>
            <w:vAlign w:val="center"/>
          </w:tcPr>
          <w:p w14:paraId="3F94ED4A">
            <w:pPr>
              <w:snapToGrid w:val="0"/>
              <w:spacing w:line="400" w:lineRule="exact"/>
              <w:jc w:val="center"/>
              <w:rPr>
                <w:rFonts w:ascii="宋体" w:hAnsi="宋体"/>
                <w:color w:val="auto"/>
                <w:kern w:val="0"/>
                <w:szCs w:val="21"/>
                <w:highlight w:val="none"/>
              </w:rPr>
            </w:pPr>
            <w:r>
              <w:rPr>
                <w:rFonts w:ascii="宋体" w:hAnsi="宋体"/>
                <w:color w:val="auto"/>
                <w:kern w:val="0"/>
                <w:szCs w:val="21"/>
              </w:rPr>
              <w:t>3.7.5</w:t>
            </w:r>
          </w:p>
        </w:tc>
        <w:tc>
          <w:tcPr>
            <w:tcW w:w="1644" w:type="dxa"/>
            <w:vAlign w:val="center"/>
          </w:tcPr>
          <w:p w14:paraId="40BCF82F">
            <w:pPr>
              <w:snapToGrid w:val="0"/>
              <w:spacing w:line="400" w:lineRule="exact"/>
              <w:jc w:val="center"/>
              <w:rPr>
                <w:rFonts w:ascii="宋体" w:hAnsi="宋体"/>
                <w:color w:val="auto"/>
                <w:spacing w:val="-6"/>
                <w:kern w:val="0"/>
                <w:szCs w:val="21"/>
                <w:highlight w:val="none"/>
              </w:rPr>
            </w:pPr>
            <w:r>
              <w:rPr>
                <w:rFonts w:hint="eastAsia" w:ascii="宋体" w:hAnsi="宋体"/>
                <w:color w:val="auto"/>
                <w:kern w:val="0"/>
                <w:szCs w:val="21"/>
              </w:rPr>
              <w:t>编制</w:t>
            </w:r>
            <w:r>
              <w:rPr>
                <w:rFonts w:ascii="宋体" w:hAnsi="宋体"/>
                <w:color w:val="auto"/>
                <w:kern w:val="0"/>
                <w:szCs w:val="21"/>
              </w:rPr>
              <w:t>要求</w:t>
            </w:r>
          </w:p>
        </w:tc>
        <w:tc>
          <w:tcPr>
            <w:tcW w:w="6490" w:type="dxa"/>
            <w:vAlign w:val="center"/>
          </w:tcPr>
          <w:p w14:paraId="0493902A">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具体要求：</w:t>
            </w:r>
          </w:p>
          <w:p w14:paraId="3418DA65">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（1）投标函部分</w:t>
            </w:r>
          </w:p>
          <w:p w14:paraId="1E41DAB2">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rPr>
              <w:t>应编制目录</w:t>
            </w:r>
            <w:r>
              <w:rPr>
                <w:rFonts w:hint="eastAsia" w:asciiTheme="minorEastAsia" w:hAnsiTheme="minorEastAsia" w:eastAsiaTheme="minorEastAsia" w:cstheme="minorEastAsia"/>
                <w:color w:val="auto"/>
                <w:szCs w:val="21"/>
              </w:rPr>
              <w:t>，但不得将目录编制作为评审因素</w:t>
            </w:r>
            <w:r>
              <w:rPr>
                <w:rFonts w:hint="eastAsia" w:ascii="宋体" w:hAnsi="宋体"/>
                <w:color w:val="auto"/>
                <w:szCs w:val="21"/>
              </w:rPr>
              <w:t>。</w:t>
            </w:r>
          </w:p>
          <w:p w14:paraId="0DB4A663">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（2）经济部分</w:t>
            </w:r>
          </w:p>
          <w:p w14:paraId="127F3A11">
            <w:pPr>
              <w:adjustRightInd w:val="0"/>
              <w:snapToGrid w:val="0"/>
              <w:spacing w:line="400" w:lineRule="exact"/>
              <w:ind w:firstLine="420" w:firstLineChars="200"/>
              <w:rPr>
                <w:rStyle w:val="54"/>
                <w:color w:val="auto"/>
              </w:rPr>
            </w:pPr>
            <w:r>
              <w:rPr>
                <w:rFonts w:hint="eastAsia" w:ascii="宋体" w:hAnsi="宋体"/>
                <w:color w:val="auto"/>
                <w:szCs w:val="21"/>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rPr>
              <w:t>应编制目录</w:t>
            </w:r>
            <w:r>
              <w:rPr>
                <w:rFonts w:hint="eastAsia" w:asciiTheme="minorEastAsia" w:hAnsiTheme="minorEastAsia" w:eastAsiaTheme="minorEastAsia" w:cstheme="minorEastAsia"/>
                <w:color w:val="auto"/>
                <w:szCs w:val="21"/>
              </w:rPr>
              <w:t>，但不得将目录编制作为评审因素</w:t>
            </w:r>
            <w:r>
              <w:rPr>
                <w:rFonts w:hint="eastAsia" w:ascii="宋体" w:hAnsi="宋体"/>
                <w:color w:val="auto"/>
                <w:szCs w:val="21"/>
              </w:rPr>
              <w:t>。</w:t>
            </w:r>
          </w:p>
          <w:p w14:paraId="4516D885">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）资格审查部分</w:t>
            </w:r>
          </w:p>
          <w:p w14:paraId="3BFC651B">
            <w:pPr>
              <w:adjustRightInd w:val="0"/>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szCs w:val="21"/>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rPr>
              <w:t>应编制目录</w:t>
            </w:r>
            <w:r>
              <w:rPr>
                <w:rFonts w:hint="eastAsia" w:asciiTheme="minorEastAsia" w:hAnsiTheme="minorEastAsia" w:eastAsiaTheme="minorEastAsia" w:cstheme="minorEastAsia"/>
                <w:color w:val="auto"/>
                <w:szCs w:val="21"/>
              </w:rPr>
              <w:t>，但不得将目录编制作为评审因素</w:t>
            </w:r>
            <w:r>
              <w:rPr>
                <w:rFonts w:hint="eastAsia" w:ascii="宋体" w:hAnsi="宋体"/>
                <w:color w:val="auto"/>
                <w:szCs w:val="21"/>
              </w:rPr>
              <w:t>。</w:t>
            </w:r>
          </w:p>
        </w:tc>
      </w:tr>
      <w:tr w14:paraId="35436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962E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5675813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2B585B2D">
            <w:pPr>
              <w:snapToGrid w:val="0"/>
              <w:spacing w:line="400" w:lineRule="exact"/>
              <w:ind w:firstLine="420" w:firstLineChars="200"/>
              <w:rPr>
                <w:rFonts w:hint="default" w:ascii="宋体" w:hAnsi="宋体" w:eastAsia="宋体"/>
                <w:bCs/>
                <w:i/>
                <w:color w:val="auto"/>
                <w:szCs w:val="21"/>
                <w:highlight w:val="none"/>
                <w:lang w:val="en-US" w:eastAsia="zh-CN"/>
              </w:rPr>
            </w:pPr>
            <w:r>
              <w:rPr>
                <w:rFonts w:hint="eastAsia" w:ascii="宋体" w:hAnsi="宋体"/>
                <w:bCs/>
                <w:color w:val="auto"/>
                <w:szCs w:val="21"/>
                <w:highlight w:val="none"/>
                <w:u w:val="single"/>
                <w:lang w:val="en-US" w:eastAsia="zh-CN"/>
              </w:rPr>
              <w:t>行采家-电子竞采平台</w:t>
            </w:r>
          </w:p>
        </w:tc>
      </w:tr>
      <w:tr w14:paraId="2FF95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35" w:type="dxa"/>
            <w:vAlign w:val="center"/>
          </w:tcPr>
          <w:p w14:paraId="0218BF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81BB8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5EA0A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2C4ED6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01F4DDF8">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bCs/>
                <w:color w:val="auto"/>
                <w:szCs w:val="21"/>
                <w:highlight w:val="none"/>
                <w:u w:val="single"/>
                <w:lang w:val="en-US" w:eastAsia="zh-CN"/>
              </w:rPr>
              <w:t>行采家-电子竞采平台</w:t>
            </w:r>
          </w:p>
        </w:tc>
      </w:tr>
      <w:tr w14:paraId="56024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35" w:type="dxa"/>
            <w:vAlign w:val="center"/>
          </w:tcPr>
          <w:p w14:paraId="59992129">
            <w:pPr>
              <w:snapToGrid w:val="0"/>
              <w:spacing w:line="400" w:lineRule="exact"/>
              <w:jc w:val="center"/>
              <w:rPr>
                <w:rFonts w:ascii="宋体" w:hAnsi="宋体"/>
                <w:color w:val="auto"/>
                <w:kern w:val="0"/>
                <w:szCs w:val="21"/>
                <w:highlight w:val="none"/>
              </w:rPr>
            </w:pPr>
            <w:r>
              <w:rPr>
                <w:rFonts w:ascii="宋体" w:hAnsi="宋体"/>
                <w:color w:val="auto"/>
                <w:szCs w:val="21"/>
              </w:rPr>
              <w:t>5.2</w:t>
            </w:r>
          </w:p>
        </w:tc>
        <w:tc>
          <w:tcPr>
            <w:tcW w:w="1644" w:type="dxa"/>
            <w:vAlign w:val="center"/>
          </w:tcPr>
          <w:p w14:paraId="0728C60B">
            <w:pPr>
              <w:snapToGrid w:val="0"/>
              <w:spacing w:line="400" w:lineRule="exact"/>
              <w:jc w:val="center"/>
              <w:rPr>
                <w:rFonts w:ascii="宋体" w:hAnsi="宋体"/>
                <w:color w:val="auto"/>
                <w:kern w:val="0"/>
                <w:szCs w:val="21"/>
                <w:highlight w:val="none"/>
              </w:rPr>
            </w:pPr>
            <w:r>
              <w:rPr>
                <w:rFonts w:ascii="宋体" w:hAnsi="宋体"/>
                <w:color w:val="auto"/>
                <w:szCs w:val="21"/>
              </w:rPr>
              <w:t>开标程序</w:t>
            </w:r>
          </w:p>
        </w:tc>
        <w:tc>
          <w:tcPr>
            <w:tcW w:w="6490" w:type="dxa"/>
            <w:vAlign w:val="center"/>
          </w:tcPr>
          <w:p w14:paraId="2133FC04">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bCs/>
                <w:color w:val="auto"/>
                <w:szCs w:val="21"/>
                <w:highlight w:val="none"/>
                <w:u w:val="none"/>
                <w:lang w:val="en-US" w:eastAsia="zh-CN"/>
              </w:rPr>
              <w:t>在行采家-电子竞采平台进行开标</w:t>
            </w:r>
          </w:p>
        </w:tc>
      </w:tr>
      <w:tr w14:paraId="52CD0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137F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71737E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CEF06F6">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49487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9154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08DE7ECF">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7F526D9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478FA01E">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06043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AE8B9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5C1B01A3">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061FEC0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“行采家”（www.gec123.com）</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上进行公示，公示期为3日。</w:t>
            </w:r>
          </w:p>
        </w:tc>
      </w:tr>
      <w:tr w14:paraId="79B2B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92CE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0B928E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7649E74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rPr>
              <w:t>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6C8D779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rPr>
              <w:t>中标人提供履约担保的形式、金额及期限：</w:t>
            </w:r>
          </w:p>
          <w:p w14:paraId="4E6AA161">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lang w:eastAsia="zh-CN"/>
              </w:rPr>
              <w:t>现金或履约保函或现金</w:t>
            </w:r>
            <w:r>
              <w:rPr>
                <w:rFonts w:hint="eastAsia" w:ascii="宋体" w:hAnsi="宋体"/>
                <w:color w:val="auto"/>
                <w:kern w:val="0"/>
                <w:szCs w:val="21"/>
                <w:highlight w:val="none"/>
                <w:u w:val="single"/>
                <w:lang w:val="en-US" w:eastAsia="zh-CN"/>
              </w:rPr>
              <w:t>+履约保函</w:t>
            </w:r>
            <w:r>
              <w:rPr>
                <w:rFonts w:hint="eastAsia" w:ascii="宋体" w:hAnsi="宋体"/>
                <w:color w:val="auto"/>
                <w:kern w:val="0"/>
                <w:szCs w:val="21"/>
                <w:highlight w:val="none"/>
              </w:rPr>
              <w:t>。</w:t>
            </w:r>
          </w:p>
          <w:p w14:paraId="7FFAC76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中标合同金额的10%</w:t>
            </w:r>
            <w:r>
              <w:rPr>
                <w:rFonts w:hint="eastAsia" w:ascii="宋体" w:hAnsi="宋体"/>
                <w:color w:val="auto"/>
                <w:kern w:val="0"/>
                <w:szCs w:val="21"/>
                <w:highlight w:val="none"/>
              </w:rPr>
              <w:t>。</w:t>
            </w:r>
          </w:p>
          <w:p w14:paraId="6B790140">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）履约担保的提交时间：</w:t>
            </w:r>
            <w:r>
              <w:rPr>
                <w:rFonts w:hint="eastAsia" w:ascii="宋体" w:hAnsi="宋体"/>
                <w:color w:val="auto"/>
                <w:kern w:val="0"/>
                <w:szCs w:val="21"/>
                <w:highlight w:val="none"/>
                <w:u w:val="single"/>
              </w:rPr>
              <w:t>见专用合同条款</w:t>
            </w:r>
            <w:r>
              <w:rPr>
                <w:rFonts w:hint="eastAsia" w:ascii="宋体" w:hAnsi="宋体"/>
                <w:color w:val="auto"/>
                <w:kern w:val="0"/>
                <w:szCs w:val="21"/>
                <w:highlight w:val="none"/>
              </w:rPr>
              <w:t>。</w:t>
            </w:r>
          </w:p>
          <w:p w14:paraId="138FD637">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）履约担保的期限：</w:t>
            </w:r>
            <w:r>
              <w:rPr>
                <w:rFonts w:hint="eastAsia" w:ascii="宋体" w:hAnsi="宋体"/>
                <w:color w:val="auto"/>
                <w:kern w:val="0"/>
                <w:szCs w:val="21"/>
                <w:highlight w:val="none"/>
                <w:u w:val="single"/>
              </w:rPr>
              <w:t>见专用合同条款</w:t>
            </w:r>
            <w:r>
              <w:rPr>
                <w:rFonts w:hint="eastAsia" w:ascii="宋体" w:hAnsi="宋体"/>
                <w:color w:val="auto"/>
                <w:kern w:val="0"/>
                <w:szCs w:val="21"/>
                <w:highlight w:val="none"/>
              </w:rPr>
              <w:t>。</w:t>
            </w:r>
          </w:p>
          <w:p w14:paraId="42B06BED">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）履约担保的退还时间：</w:t>
            </w:r>
            <w:r>
              <w:rPr>
                <w:rFonts w:hint="eastAsia" w:ascii="宋体" w:hAnsi="宋体"/>
                <w:color w:val="auto"/>
                <w:kern w:val="0"/>
                <w:szCs w:val="21"/>
                <w:highlight w:val="none"/>
                <w:u w:val="single"/>
              </w:rPr>
              <w:t>见专用合同条款</w:t>
            </w:r>
            <w:r>
              <w:rPr>
                <w:rFonts w:hint="eastAsia" w:ascii="宋体" w:hAnsi="宋体"/>
                <w:color w:val="auto"/>
                <w:kern w:val="0"/>
                <w:szCs w:val="21"/>
                <w:highlight w:val="none"/>
                <w:lang w:eastAsia="zh-CN"/>
              </w:rPr>
              <w:t>。</w:t>
            </w:r>
          </w:p>
        </w:tc>
      </w:tr>
      <w:tr w14:paraId="7F3A0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7731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74938A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E530BA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6D49092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649DEBA7">
            <w:pPr>
              <w:widowControl/>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5A8341DE">
            <w:pPr>
              <w:widowControl/>
              <w:spacing w:line="400" w:lineRule="exact"/>
              <w:ind w:firstLine="420" w:firstLineChars="200"/>
              <w:rPr>
                <w:rFonts w:hint="eastAsia"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600BAEEC">
            <w:pPr>
              <w:widowControl/>
              <w:spacing w:after="62" w:afterLines="2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注：本款只适用于首次招标</w:t>
            </w:r>
            <w:r>
              <w:rPr>
                <w:rFonts w:hint="eastAsia" w:ascii="宋体" w:hAnsi="宋体"/>
                <w:color w:val="auto"/>
                <w:kern w:val="0"/>
                <w:szCs w:val="21"/>
                <w:highlight w:val="none"/>
                <w:lang w:eastAsia="zh-CN"/>
              </w:rPr>
              <w:t>。</w:t>
            </w:r>
          </w:p>
        </w:tc>
      </w:tr>
      <w:tr w14:paraId="2081A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813E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12D0EF08">
            <w:pPr>
              <w:snapToGrid w:val="0"/>
              <w:spacing w:line="400" w:lineRule="exact"/>
              <w:jc w:val="center"/>
              <w:rPr>
                <w:color w:val="auto"/>
                <w:highlight w:val="none"/>
              </w:rPr>
            </w:pPr>
            <w:bookmarkStart w:id="103" w:name="_Toc13210670"/>
            <w:bookmarkStart w:id="104" w:name="_Toc536628250"/>
            <w:bookmarkStart w:id="105" w:name="_Toc16930431"/>
            <w:bookmarkStart w:id="106" w:name="_Toc509218709"/>
            <w:bookmarkStart w:id="107" w:name="_Toc430530434"/>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03"/>
            <w:bookmarkEnd w:id="104"/>
            <w:bookmarkEnd w:id="105"/>
            <w:bookmarkEnd w:id="106"/>
            <w:bookmarkEnd w:id="107"/>
          </w:p>
        </w:tc>
        <w:tc>
          <w:tcPr>
            <w:tcW w:w="6490" w:type="dxa"/>
            <w:vAlign w:val="center"/>
          </w:tcPr>
          <w:p w14:paraId="1840D12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DF60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9BCD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B66D3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0D6B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572F0">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color w:val="auto"/>
                <w:kern w:val="0"/>
                <w:szCs w:val="21"/>
                <w:highlight w:val="none"/>
                <w:lang w:val="en-US"/>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1</w:t>
            </w:r>
          </w:p>
        </w:tc>
        <w:tc>
          <w:tcPr>
            <w:tcW w:w="1644" w:type="dxa"/>
            <w:vAlign w:val="center"/>
          </w:tcPr>
          <w:p w14:paraId="5033B242">
            <w:pPr>
              <w:widowControl/>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工程款支付</w:t>
            </w:r>
          </w:p>
        </w:tc>
        <w:tc>
          <w:tcPr>
            <w:tcW w:w="6490" w:type="dxa"/>
            <w:vAlign w:val="center"/>
          </w:tcPr>
          <w:p w14:paraId="3B8E266F">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工程无预付款，竣工验收合格，待铜梁区财政局下达本项目资金指标后，支付签约合同金额的80%，承包商完全支付农民工工资且结算审计完成后支付至审定金额的97%，余审定金额的3%作为工程质保金。工程缺陷责任期为</w:t>
            </w:r>
            <w:r>
              <w:rPr>
                <w:rFonts w:hint="eastAsia" w:ascii="宋体" w:hAnsi="宋体"/>
                <w:color w:val="auto"/>
                <w:kern w:val="0"/>
                <w:szCs w:val="21"/>
                <w:highlight w:val="none"/>
                <w:lang w:val="en-US" w:eastAsia="zh-CN"/>
              </w:rPr>
              <w:t>24个月</w:t>
            </w:r>
            <w:r>
              <w:rPr>
                <w:rFonts w:hint="eastAsia" w:ascii="宋体" w:hAnsi="宋体"/>
                <w:color w:val="auto"/>
                <w:kern w:val="0"/>
                <w:szCs w:val="21"/>
                <w:highlight w:val="none"/>
                <w:lang w:eastAsia="zh-CN"/>
              </w:rPr>
              <w:t>，工程缺陷责任期满后无质量问题，一次性支付质保金，质保金不计息。审定金额以发包人选定的第三方审计机构审定的金额为准。</w:t>
            </w:r>
          </w:p>
        </w:tc>
      </w:tr>
      <w:tr w14:paraId="59852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55C0C4">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olor w:val="auto"/>
                <w:kern w:val="0"/>
                <w:szCs w:val="21"/>
                <w:highlight w:val="none"/>
                <w:lang w:val="en-US" w:eastAsia="zh-CN"/>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2</w:t>
            </w:r>
          </w:p>
        </w:tc>
        <w:tc>
          <w:tcPr>
            <w:tcW w:w="1644" w:type="dxa"/>
            <w:vAlign w:val="center"/>
          </w:tcPr>
          <w:p w14:paraId="02FAB0D2">
            <w:pPr>
              <w:widowControl/>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lang w:eastAsia="zh-CN"/>
              </w:rPr>
              <w:t>比选代理服务费</w:t>
            </w:r>
          </w:p>
        </w:tc>
        <w:tc>
          <w:tcPr>
            <w:tcW w:w="6490" w:type="dxa"/>
            <w:vAlign w:val="center"/>
          </w:tcPr>
          <w:p w14:paraId="22632B6B">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本项目比选代理服务费金额为</w:t>
            </w:r>
            <w:r>
              <w:rPr>
                <w:rFonts w:hint="eastAsia" w:ascii="宋体" w:hAnsi="宋体"/>
                <w:color w:val="auto"/>
                <w:kern w:val="0"/>
                <w:szCs w:val="21"/>
                <w:highlight w:val="none"/>
                <w:lang w:val="en-US" w:eastAsia="zh-CN"/>
              </w:rPr>
              <w:t>3000</w:t>
            </w:r>
            <w:r>
              <w:rPr>
                <w:rFonts w:hint="eastAsia" w:ascii="宋体" w:hAnsi="宋体"/>
                <w:color w:val="auto"/>
                <w:kern w:val="0"/>
                <w:szCs w:val="21"/>
                <w:highlight w:val="none"/>
                <w:lang w:eastAsia="zh-CN"/>
              </w:rPr>
              <w:t>元，由中标人在领中标通知书时一次性支付给比选代理机构。</w:t>
            </w:r>
          </w:p>
        </w:tc>
      </w:tr>
      <w:tr w14:paraId="5DC6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786E90">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s="宋体"/>
                <w:color w:val="auto"/>
                <w:sz w:val="21"/>
                <w:szCs w:val="21"/>
                <w:highlight w:val="none"/>
                <w:lang w:val="en-US" w:eastAsia="zh-CN"/>
              </w:rPr>
            </w:pPr>
            <w:bookmarkStart w:id="108" w:name="_Toc224103317"/>
            <w:bookmarkStart w:id="109" w:name="_Toc277082552"/>
            <w:bookmarkStart w:id="110" w:name="_Toc10749"/>
            <w:bookmarkStart w:id="111" w:name="_Toc509218710"/>
            <w:bookmarkStart w:id="112" w:name="_Toc430530435"/>
            <w:bookmarkStart w:id="113" w:name="_Toc840"/>
            <w:bookmarkStart w:id="114" w:name="_Toc287620685"/>
            <w:bookmarkStart w:id="115" w:name="_Toc200513126"/>
            <w:bookmarkStart w:id="116" w:name="_Toc287607746"/>
            <w:r>
              <w:rPr>
                <w:rFonts w:hint="eastAsia" w:ascii="宋体" w:hAnsi="宋体" w:cs="宋体"/>
                <w:color w:val="auto"/>
                <w:sz w:val="21"/>
                <w:szCs w:val="21"/>
                <w:highlight w:val="none"/>
                <w:lang w:val="en-US" w:eastAsia="zh-CN"/>
              </w:rPr>
              <w:t>10.3</w:t>
            </w:r>
          </w:p>
        </w:tc>
        <w:tc>
          <w:tcPr>
            <w:tcW w:w="1644" w:type="dxa"/>
            <w:vAlign w:val="center"/>
          </w:tcPr>
          <w:p w14:paraId="2D3E5231">
            <w:pPr>
              <w:widowControl/>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其他</w:t>
            </w:r>
          </w:p>
        </w:tc>
        <w:tc>
          <w:tcPr>
            <w:tcW w:w="6490" w:type="dxa"/>
            <w:vAlign w:val="center"/>
          </w:tcPr>
          <w:p w14:paraId="512BBDE5">
            <w:pPr>
              <w:widowControl/>
              <w:spacing w:line="400" w:lineRule="exact"/>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第一中标候选人在比选人发出中标通知书前须将投标文件的正本（纸质文件1份）交由比选代理机构和比选人共同查验，有一项不合格，作否决投标处理；投标文件（纸质文件）内容应与上传的电子文档一致，如不一致，作否决投标处理。</w:t>
            </w:r>
          </w:p>
        </w:tc>
      </w:tr>
    </w:tbl>
    <w:p w14:paraId="0CAF56DE">
      <w:pPr>
        <w:rPr>
          <w:rFonts w:ascii="宋体" w:hAnsi="宋体"/>
          <w:b w:val="0"/>
          <w:snapToGrid w:val="0"/>
          <w:color w:val="auto"/>
          <w:highlight w:val="none"/>
        </w:rPr>
      </w:pPr>
      <w:r>
        <w:rPr>
          <w:rFonts w:ascii="宋体" w:hAnsi="宋体"/>
          <w:b w:val="0"/>
          <w:snapToGrid w:val="0"/>
          <w:color w:val="auto"/>
          <w:highlight w:val="none"/>
        </w:rPr>
        <w:br w:type="page"/>
      </w:r>
    </w:p>
    <w:p w14:paraId="7F7DDAB6">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t>1.  总则</w:t>
      </w:r>
      <w:bookmarkEnd w:id="108"/>
      <w:bookmarkEnd w:id="109"/>
      <w:bookmarkEnd w:id="110"/>
      <w:bookmarkEnd w:id="111"/>
      <w:bookmarkEnd w:id="112"/>
      <w:bookmarkEnd w:id="113"/>
      <w:bookmarkEnd w:id="114"/>
      <w:bookmarkEnd w:id="115"/>
      <w:bookmarkEnd w:id="116"/>
    </w:p>
    <w:p w14:paraId="5A66D4E3">
      <w:pPr>
        <w:pStyle w:val="5"/>
        <w:snapToGrid w:val="0"/>
        <w:spacing w:before="0" w:after="0" w:line="360" w:lineRule="auto"/>
        <w:rPr>
          <w:rFonts w:ascii="宋体" w:hAnsi="宋体"/>
          <w:b w:val="0"/>
          <w:snapToGrid w:val="0"/>
          <w:color w:val="auto"/>
          <w:sz w:val="24"/>
          <w:szCs w:val="24"/>
          <w:highlight w:val="none"/>
        </w:rPr>
      </w:pPr>
      <w:bookmarkStart w:id="117" w:name="_Toc287620686"/>
      <w:bookmarkStart w:id="118" w:name="_Toc8830"/>
      <w:bookmarkStart w:id="119" w:name="_Toc32232"/>
      <w:bookmarkStart w:id="120" w:name="_Toc200513127"/>
      <w:bookmarkStart w:id="121" w:name="_Toc509218711"/>
      <w:bookmarkStart w:id="122" w:name="_Toc224103318"/>
      <w:bookmarkStart w:id="123" w:name="_Toc287607747"/>
      <w:bookmarkStart w:id="124" w:name="_Toc277082553"/>
      <w:bookmarkStart w:id="125" w:name="_Toc430530436"/>
      <w:r>
        <w:rPr>
          <w:rFonts w:ascii="宋体" w:hAnsi="宋体"/>
          <w:b w:val="0"/>
          <w:snapToGrid w:val="0"/>
          <w:color w:val="auto"/>
          <w:sz w:val="24"/>
          <w:szCs w:val="24"/>
          <w:highlight w:val="none"/>
        </w:rPr>
        <w:t>1.1  项目概况</w:t>
      </w:r>
      <w:bookmarkEnd w:id="117"/>
      <w:bookmarkEnd w:id="118"/>
      <w:bookmarkEnd w:id="119"/>
      <w:bookmarkEnd w:id="120"/>
      <w:bookmarkEnd w:id="121"/>
      <w:bookmarkEnd w:id="122"/>
      <w:bookmarkEnd w:id="123"/>
      <w:bookmarkEnd w:id="124"/>
      <w:bookmarkEnd w:id="125"/>
    </w:p>
    <w:p w14:paraId="12A79197">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2952E4E6">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比选项目比选人</w:t>
      </w:r>
      <w:r>
        <w:rPr>
          <w:rFonts w:ascii="宋体" w:hAnsi="宋体"/>
          <w:snapToGrid w:val="0"/>
          <w:color w:val="auto"/>
          <w:kern w:val="0"/>
          <w:szCs w:val="21"/>
          <w:highlight w:val="none"/>
        </w:rPr>
        <w:t>：见投标人须知前附表。</w:t>
      </w:r>
    </w:p>
    <w:p w14:paraId="24A03A3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eastAsia="zh-CN"/>
        </w:rPr>
        <w:t>比选项目比选代理机构</w:t>
      </w:r>
      <w:r>
        <w:rPr>
          <w:rFonts w:ascii="宋体" w:hAnsi="宋体"/>
          <w:snapToGrid w:val="0"/>
          <w:color w:val="auto"/>
          <w:kern w:val="0"/>
          <w:szCs w:val="21"/>
          <w:highlight w:val="none"/>
        </w:rPr>
        <w:t>：见投标人须知前附表。</w:t>
      </w:r>
    </w:p>
    <w:p w14:paraId="66BEBD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名称：见投标人须知前附表。</w:t>
      </w:r>
    </w:p>
    <w:p w14:paraId="1A93FA1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建设地点：见投标人须知前附表。</w:t>
      </w:r>
    </w:p>
    <w:p w14:paraId="0EBCFAF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建设规模：见投标人须知前附表。</w:t>
      </w:r>
    </w:p>
    <w:p w14:paraId="2055512B">
      <w:pPr>
        <w:pStyle w:val="5"/>
        <w:snapToGrid w:val="0"/>
        <w:spacing w:before="0" w:after="0" w:line="360" w:lineRule="auto"/>
        <w:rPr>
          <w:rFonts w:ascii="宋体" w:hAnsi="宋体"/>
          <w:b w:val="0"/>
          <w:snapToGrid w:val="0"/>
          <w:color w:val="auto"/>
          <w:sz w:val="24"/>
          <w:szCs w:val="24"/>
          <w:highlight w:val="none"/>
        </w:rPr>
      </w:pPr>
      <w:bookmarkStart w:id="126" w:name="_Toc224103319"/>
      <w:bookmarkStart w:id="127" w:name="_Toc509218712"/>
      <w:bookmarkStart w:id="128" w:name="_Toc7680"/>
      <w:bookmarkStart w:id="129" w:name="_Toc200513128"/>
      <w:bookmarkStart w:id="130" w:name="_Toc21567"/>
      <w:bookmarkStart w:id="131" w:name="_Toc277082554"/>
      <w:bookmarkStart w:id="132" w:name="_Toc287620687"/>
      <w:bookmarkStart w:id="133" w:name="_Toc430530437"/>
      <w:bookmarkStart w:id="134" w:name="_Toc287607748"/>
      <w:r>
        <w:rPr>
          <w:rFonts w:ascii="宋体" w:hAnsi="宋体"/>
          <w:b w:val="0"/>
          <w:snapToGrid w:val="0"/>
          <w:color w:val="auto"/>
          <w:sz w:val="24"/>
          <w:szCs w:val="24"/>
          <w:highlight w:val="none"/>
        </w:rPr>
        <w:t>1.2  资金来源和落实情况</w:t>
      </w:r>
      <w:bookmarkEnd w:id="126"/>
      <w:bookmarkEnd w:id="127"/>
      <w:bookmarkEnd w:id="128"/>
      <w:bookmarkEnd w:id="129"/>
      <w:bookmarkEnd w:id="130"/>
      <w:bookmarkEnd w:id="131"/>
      <w:bookmarkEnd w:id="132"/>
      <w:bookmarkEnd w:id="133"/>
      <w:bookmarkEnd w:id="134"/>
    </w:p>
    <w:p w14:paraId="36A2E21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的资金来源：见投标人须知前附表。</w:t>
      </w:r>
    </w:p>
    <w:p w14:paraId="320FA5A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的出资比例：见投标人须知前附表。</w:t>
      </w:r>
    </w:p>
    <w:p w14:paraId="31BCCA5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的资金落实情况：见投标人须知前附表。</w:t>
      </w:r>
    </w:p>
    <w:p w14:paraId="33B68AD4">
      <w:pPr>
        <w:pStyle w:val="5"/>
        <w:snapToGrid w:val="0"/>
        <w:spacing w:before="0" w:after="0" w:line="360" w:lineRule="auto"/>
        <w:rPr>
          <w:rFonts w:ascii="宋体" w:hAnsi="宋体"/>
          <w:b w:val="0"/>
          <w:snapToGrid w:val="0"/>
          <w:color w:val="auto"/>
          <w:sz w:val="24"/>
          <w:szCs w:val="24"/>
          <w:highlight w:val="none"/>
        </w:rPr>
      </w:pPr>
      <w:bookmarkStart w:id="135" w:name="_Toc287607749"/>
      <w:bookmarkStart w:id="136" w:name="_Toc277082555"/>
      <w:bookmarkStart w:id="137" w:name="_Toc1879"/>
      <w:bookmarkStart w:id="138" w:name="_Toc224103320"/>
      <w:bookmarkStart w:id="139" w:name="_Toc509218713"/>
      <w:bookmarkStart w:id="140" w:name="_Toc287620688"/>
      <w:bookmarkStart w:id="141" w:name="_Toc200513129"/>
      <w:bookmarkStart w:id="142" w:name="_Toc4104"/>
      <w:bookmarkStart w:id="143" w:name="_Toc43053043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范围、计划工期和质量要求</w:t>
      </w:r>
      <w:bookmarkEnd w:id="135"/>
      <w:bookmarkEnd w:id="136"/>
      <w:bookmarkEnd w:id="137"/>
      <w:bookmarkEnd w:id="138"/>
      <w:bookmarkEnd w:id="139"/>
      <w:bookmarkEnd w:id="140"/>
      <w:bookmarkEnd w:id="141"/>
      <w:bookmarkEnd w:id="142"/>
      <w:bookmarkEnd w:id="143"/>
    </w:p>
    <w:p w14:paraId="58103A5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范围：见投标人须知前附表。</w:t>
      </w:r>
    </w:p>
    <w:p w14:paraId="468A5C8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0433347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163E5B7A">
      <w:pPr>
        <w:pStyle w:val="5"/>
        <w:snapToGrid w:val="0"/>
        <w:spacing w:before="0" w:after="0" w:line="360" w:lineRule="auto"/>
        <w:rPr>
          <w:rFonts w:ascii="宋体" w:hAnsi="宋体"/>
          <w:b w:val="0"/>
          <w:snapToGrid w:val="0"/>
          <w:color w:val="auto"/>
          <w:sz w:val="24"/>
          <w:szCs w:val="24"/>
          <w:highlight w:val="none"/>
        </w:rPr>
      </w:pPr>
      <w:bookmarkStart w:id="144" w:name="_Toc277082557"/>
      <w:bookmarkStart w:id="145" w:name="_Toc224103322"/>
      <w:bookmarkStart w:id="146" w:name="_Toc430530440"/>
      <w:bookmarkStart w:id="147" w:name="_Toc509218715"/>
      <w:bookmarkStart w:id="148" w:name="_Toc22249"/>
      <w:bookmarkStart w:id="149" w:name="_Toc200513131"/>
      <w:bookmarkStart w:id="150" w:name="_Toc287620690"/>
      <w:bookmarkStart w:id="151" w:name="_Toc1894"/>
      <w:bookmarkStart w:id="152" w:name="_Toc287607751"/>
      <w:r>
        <w:rPr>
          <w:rFonts w:ascii="宋体" w:hAnsi="宋体"/>
          <w:b w:val="0"/>
          <w:snapToGrid w:val="0"/>
          <w:color w:val="auto"/>
          <w:sz w:val="24"/>
          <w:szCs w:val="24"/>
          <w:highlight w:val="none"/>
        </w:rPr>
        <w:t>1.4  投标人资格要求</w:t>
      </w:r>
      <w:bookmarkEnd w:id="144"/>
      <w:bookmarkEnd w:id="145"/>
      <w:bookmarkEnd w:id="146"/>
      <w:bookmarkEnd w:id="147"/>
      <w:bookmarkEnd w:id="148"/>
      <w:bookmarkEnd w:id="149"/>
      <w:bookmarkEnd w:id="150"/>
      <w:bookmarkEnd w:id="151"/>
      <w:bookmarkEnd w:id="152"/>
    </w:p>
    <w:p w14:paraId="6FAC4E6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3B4209B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546860B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5216F3F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0B344AC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71E10E2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6D6605E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19BA50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67C7BC9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提供的格式签订联合体协议书，明确联合体牵头人和各方权利义务；</w:t>
      </w:r>
    </w:p>
    <w:p w14:paraId="7CFA93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45563CF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3A28622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727D037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存在利害关系可能影响招标公正性的法人、其他组织或者个人；</w:t>
      </w:r>
    </w:p>
    <w:p w14:paraId="3713939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053E9F6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939CF7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A4E6C8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0A961D4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同为一个法定代表人的；</w:t>
      </w:r>
    </w:p>
    <w:p w14:paraId="3D55547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473C246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17A9243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14:paraId="482F4E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63A24A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14:paraId="564EA9AE">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2CABF7FA">
      <w:pPr>
        <w:pStyle w:val="5"/>
        <w:snapToGrid w:val="0"/>
        <w:spacing w:before="0" w:after="0" w:line="360" w:lineRule="auto"/>
        <w:rPr>
          <w:rFonts w:ascii="宋体" w:hAnsi="宋体"/>
          <w:b w:val="0"/>
          <w:snapToGrid w:val="0"/>
          <w:color w:val="auto"/>
          <w:sz w:val="24"/>
          <w:szCs w:val="24"/>
          <w:highlight w:val="none"/>
        </w:rPr>
      </w:pPr>
      <w:bookmarkStart w:id="153" w:name="_Toc277082558"/>
      <w:bookmarkStart w:id="154" w:name="_Toc20662"/>
      <w:bookmarkStart w:id="155" w:name="_Toc287620691"/>
      <w:bookmarkStart w:id="156" w:name="_Toc430530441"/>
      <w:bookmarkStart w:id="157" w:name="_Toc10211"/>
      <w:bookmarkStart w:id="158" w:name="_Toc224103323"/>
      <w:bookmarkStart w:id="159" w:name="_Toc287607752"/>
      <w:bookmarkStart w:id="160" w:name="_Toc200513132"/>
      <w:bookmarkStart w:id="161" w:name="_Toc509218716"/>
      <w:r>
        <w:rPr>
          <w:rFonts w:ascii="宋体" w:hAnsi="宋体"/>
          <w:b w:val="0"/>
          <w:snapToGrid w:val="0"/>
          <w:color w:val="auto"/>
          <w:sz w:val="24"/>
          <w:szCs w:val="24"/>
          <w:highlight w:val="none"/>
        </w:rPr>
        <w:t>1.5  费用承担</w:t>
      </w:r>
      <w:bookmarkEnd w:id="153"/>
      <w:bookmarkEnd w:id="154"/>
      <w:bookmarkEnd w:id="155"/>
      <w:bookmarkEnd w:id="156"/>
      <w:bookmarkEnd w:id="157"/>
      <w:bookmarkEnd w:id="158"/>
      <w:bookmarkEnd w:id="159"/>
      <w:bookmarkEnd w:id="160"/>
      <w:bookmarkEnd w:id="161"/>
    </w:p>
    <w:p w14:paraId="0D06E7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68AA62E2">
      <w:pPr>
        <w:pStyle w:val="5"/>
        <w:snapToGrid w:val="0"/>
        <w:spacing w:before="0" w:after="0" w:line="360" w:lineRule="auto"/>
        <w:rPr>
          <w:rFonts w:ascii="宋体" w:hAnsi="宋体"/>
          <w:b w:val="0"/>
          <w:snapToGrid w:val="0"/>
          <w:color w:val="auto"/>
          <w:sz w:val="24"/>
          <w:szCs w:val="24"/>
          <w:highlight w:val="none"/>
        </w:rPr>
      </w:pPr>
      <w:bookmarkStart w:id="162" w:name="_Toc200513133"/>
      <w:bookmarkStart w:id="163" w:name="_Toc277082559"/>
      <w:bookmarkStart w:id="164" w:name="_Toc430530442"/>
      <w:bookmarkStart w:id="165" w:name="_Toc224103324"/>
      <w:bookmarkStart w:id="166" w:name="_Toc287607753"/>
      <w:bookmarkStart w:id="167" w:name="_Toc509218717"/>
      <w:bookmarkStart w:id="168" w:name="_Toc26130"/>
      <w:bookmarkStart w:id="169" w:name="_Toc3737"/>
      <w:bookmarkStart w:id="170" w:name="_Toc287620692"/>
      <w:r>
        <w:rPr>
          <w:rFonts w:ascii="宋体" w:hAnsi="宋体"/>
          <w:b w:val="0"/>
          <w:snapToGrid w:val="0"/>
          <w:color w:val="auto"/>
          <w:sz w:val="24"/>
          <w:szCs w:val="24"/>
          <w:highlight w:val="none"/>
        </w:rPr>
        <w:t>1.6  保密</w:t>
      </w:r>
      <w:bookmarkEnd w:id="162"/>
      <w:bookmarkEnd w:id="163"/>
      <w:bookmarkEnd w:id="164"/>
      <w:bookmarkEnd w:id="165"/>
      <w:bookmarkEnd w:id="166"/>
      <w:bookmarkEnd w:id="167"/>
      <w:bookmarkEnd w:id="168"/>
      <w:bookmarkEnd w:id="169"/>
      <w:bookmarkEnd w:id="170"/>
    </w:p>
    <w:p w14:paraId="0346966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和投标文件中的商业和技术等秘密保密，违者应对由此造成的后果承担法律责任。</w:t>
      </w:r>
    </w:p>
    <w:p w14:paraId="41761626">
      <w:pPr>
        <w:pStyle w:val="5"/>
        <w:snapToGrid w:val="0"/>
        <w:spacing w:before="0" w:after="0" w:line="360" w:lineRule="auto"/>
        <w:rPr>
          <w:rFonts w:ascii="宋体" w:hAnsi="宋体"/>
          <w:b w:val="0"/>
          <w:snapToGrid w:val="0"/>
          <w:color w:val="auto"/>
          <w:sz w:val="24"/>
          <w:szCs w:val="24"/>
          <w:highlight w:val="none"/>
        </w:rPr>
      </w:pPr>
      <w:bookmarkStart w:id="171" w:name="_Toc509218718"/>
      <w:bookmarkStart w:id="172" w:name="_Toc287620693"/>
      <w:bookmarkStart w:id="173" w:name="_Toc277082560"/>
      <w:bookmarkStart w:id="174" w:name="_Toc224103325"/>
      <w:bookmarkStart w:id="175" w:name="_Toc17273"/>
      <w:bookmarkStart w:id="176" w:name="_Toc430530443"/>
      <w:bookmarkStart w:id="177" w:name="_Toc287607754"/>
      <w:bookmarkStart w:id="178" w:name="_Toc1222"/>
      <w:bookmarkStart w:id="179" w:name="_Toc200513134"/>
      <w:r>
        <w:rPr>
          <w:rFonts w:ascii="宋体" w:hAnsi="宋体"/>
          <w:b w:val="0"/>
          <w:snapToGrid w:val="0"/>
          <w:color w:val="auto"/>
          <w:sz w:val="24"/>
          <w:szCs w:val="24"/>
          <w:highlight w:val="none"/>
        </w:rPr>
        <w:t>1.7  语言文字</w:t>
      </w:r>
      <w:bookmarkEnd w:id="171"/>
      <w:bookmarkEnd w:id="172"/>
      <w:bookmarkEnd w:id="173"/>
      <w:bookmarkEnd w:id="174"/>
      <w:bookmarkEnd w:id="175"/>
      <w:bookmarkEnd w:id="176"/>
      <w:bookmarkEnd w:id="177"/>
      <w:bookmarkEnd w:id="178"/>
      <w:bookmarkEnd w:id="179"/>
    </w:p>
    <w:p w14:paraId="4F73F4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4F0FE6D7">
      <w:pPr>
        <w:pStyle w:val="5"/>
        <w:snapToGrid w:val="0"/>
        <w:spacing w:before="0" w:after="0" w:line="360" w:lineRule="auto"/>
        <w:rPr>
          <w:rFonts w:ascii="宋体" w:hAnsi="宋体"/>
          <w:b w:val="0"/>
          <w:snapToGrid w:val="0"/>
          <w:color w:val="auto"/>
          <w:sz w:val="24"/>
          <w:szCs w:val="24"/>
          <w:highlight w:val="none"/>
        </w:rPr>
      </w:pPr>
      <w:bookmarkStart w:id="180" w:name="_Toc287607755"/>
      <w:bookmarkStart w:id="181" w:name="_Toc224103326"/>
      <w:bookmarkStart w:id="182" w:name="_Toc430530444"/>
      <w:bookmarkStart w:id="183" w:name="_Toc13374"/>
      <w:bookmarkStart w:id="184" w:name="_Toc277082561"/>
      <w:bookmarkStart w:id="185" w:name="_Toc509218719"/>
      <w:bookmarkStart w:id="186" w:name="_Toc18435"/>
      <w:bookmarkStart w:id="187" w:name="_Toc200513135"/>
      <w:bookmarkStart w:id="188" w:name="_Toc287620694"/>
      <w:r>
        <w:rPr>
          <w:rFonts w:ascii="宋体" w:hAnsi="宋体"/>
          <w:b w:val="0"/>
          <w:snapToGrid w:val="0"/>
          <w:color w:val="auto"/>
          <w:sz w:val="24"/>
          <w:szCs w:val="24"/>
          <w:highlight w:val="none"/>
        </w:rPr>
        <w:t>1.8  计量单位</w:t>
      </w:r>
      <w:bookmarkEnd w:id="180"/>
      <w:bookmarkEnd w:id="181"/>
      <w:bookmarkEnd w:id="182"/>
      <w:bookmarkEnd w:id="183"/>
      <w:bookmarkEnd w:id="184"/>
      <w:bookmarkEnd w:id="185"/>
      <w:bookmarkEnd w:id="186"/>
      <w:bookmarkEnd w:id="187"/>
      <w:bookmarkEnd w:id="188"/>
    </w:p>
    <w:p w14:paraId="2469521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BD3362F">
      <w:pPr>
        <w:pStyle w:val="5"/>
        <w:snapToGrid w:val="0"/>
        <w:spacing w:before="0" w:after="0" w:line="360" w:lineRule="auto"/>
        <w:rPr>
          <w:rFonts w:ascii="宋体" w:hAnsi="宋体"/>
          <w:b w:val="0"/>
          <w:snapToGrid w:val="0"/>
          <w:color w:val="auto"/>
          <w:sz w:val="24"/>
          <w:szCs w:val="24"/>
          <w:highlight w:val="none"/>
        </w:rPr>
      </w:pPr>
      <w:bookmarkStart w:id="189" w:name="_Toc30293"/>
      <w:bookmarkStart w:id="190" w:name="_Toc19275"/>
      <w:bookmarkStart w:id="191" w:name="_Toc287607756"/>
      <w:bookmarkStart w:id="192" w:name="_Toc509218720"/>
      <w:bookmarkStart w:id="193" w:name="_Toc224103327"/>
      <w:bookmarkStart w:id="194" w:name="_Toc430530445"/>
      <w:bookmarkStart w:id="195" w:name="_Toc287620695"/>
      <w:bookmarkStart w:id="196" w:name="_Toc200513136"/>
      <w:bookmarkStart w:id="197" w:name="_Toc277082562"/>
      <w:r>
        <w:rPr>
          <w:rFonts w:ascii="宋体" w:hAnsi="宋体"/>
          <w:b w:val="0"/>
          <w:snapToGrid w:val="0"/>
          <w:color w:val="auto"/>
          <w:sz w:val="24"/>
          <w:szCs w:val="24"/>
          <w:highlight w:val="none"/>
        </w:rPr>
        <w:t>1.9  踏勘现场</w:t>
      </w:r>
      <w:bookmarkEnd w:id="189"/>
      <w:bookmarkEnd w:id="190"/>
      <w:bookmarkEnd w:id="191"/>
      <w:bookmarkEnd w:id="192"/>
      <w:bookmarkEnd w:id="193"/>
      <w:bookmarkEnd w:id="194"/>
      <w:bookmarkEnd w:id="195"/>
      <w:bookmarkEnd w:id="196"/>
      <w:bookmarkEnd w:id="197"/>
    </w:p>
    <w:p w14:paraId="17487B8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按投标人须知前附表规定的时间、地点组织投标人踏勘项目现场。</w:t>
      </w:r>
    </w:p>
    <w:p w14:paraId="269BA9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3391B1C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的原因外，投标人自行负责在踏勘现场中所发生的人员伤亡和财产损失。</w:t>
      </w:r>
    </w:p>
    <w:p w14:paraId="7E6EC0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在踏勘现场中介绍的工程场地和相关的周边环境情况，供投标人在编制投标文件时参考，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不对投标人据此做出的判断和决策负责。</w:t>
      </w:r>
    </w:p>
    <w:p w14:paraId="3BBADB5C">
      <w:pPr>
        <w:pStyle w:val="5"/>
        <w:snapToGrid w:val="0"/>
        <w:spacing w:before="0" w:after="0" w:line="360" w:lineRule="auto"/>
        <w:rPr>
          <w:rFonts w:ascii="宋体" w:hAnsi="宋体"/>
          <w:b w:val="0"/>
          <w:snapToGrid w:val="0"/>
          <w:color w:val="auto"/>
          <w:sz w:val="24"/>
          <w:szCs w:val="24"/>
          <w:highlight w:val="none"/>
        </w:rPr>
      </w:pPr>
      <w:bookmarkStart w:id="198" w:name="_Toc200513137"/>
      <w:bookmarkStart w:id="199" w:name="_Toc287620696"/>
      <w:bookmarkStart w:id="200" w:name="_Toc224103328"/>
      <w:bookmarkStart w:id="201" w:name="_Toc509218721"/>
      <w:bookmarkStart w:id="202" w:name="_Toc277082563"/>
      <w:bookmarkStart w:id="203" w:name="_Toc430530446"/>
      <w:bookmarkStart w:id="204" w:name="_Toc32057"/>
      <w:bookmarkStart w:id="205" w:name="_Toc287607757"/>
      <w:bookmarkStart w:id="206" w:name="_Toc1854"/>
      <w:r>
        <w:rPr>
          <w:rFonts w:ascii="宋体" w:hAnsi="宋体"/>
          <w:b w:val="0"/>
          <w:snapToGrid w:val="0"/>
          <w:color w:val="auto"/>
          <w:sz w:val="24"/>
          <w:szCs w:val="24"/>
          <w:highlight w:val="none"/>
        </w:rPr>
        <w:t>1.10  投标预备会</w:t>
      </w:r>
      <w:bookmarkEnd w:id="198"/>
      <w:bookmarkEnd w:id="199"/>
      <w:bookmarkEnd w:id="200"/>
      <w:bookmarkEnd w:id="201"/>
      <w:bookmarkEnd w:id="202"/>
      <w:bookmarkEnd w:id="203"/>
      <w:bookmarkEnd w:id="204"/>
      <w:bookmarkEnd w:id="205"/>
      <w:bookmarkEnd w:id="206"/>
    </w:p>
    <w:p w14:paraId="36AB0B1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按投标人须知前附表规定的时间和地点召开投标预备会，澄清投标人提出的问题。</w:t>
      </w:r>
    </w:p>
    <w:p w14:paraId="2C9A902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澄清。</w:t>
      </w:r>
    </w:p>
    <w:p w14:paraId="1A6552B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的组成部分。</w:t>
      </w:r>
    </w:p>
    <w:p w14:paraId="1805FD90">
      <w:pPr>
        <w:pStyle w:val="5"/>
        <w:snapToGrid w:val="0"/>
        <w:spacing w:before="0" w:after="0" w:line="360" w:lineRule="auto"/>
        <w:rPr>
          <w:rFonts w:ascii="宋体" w:hAnsi="宋体"/>
          <w:b w:val="0"/>
          <w:snapToGrid w:val="0"/>
          <w:color w:val="auto"/>
          <w:sz w:val="24"/>
          <w:szCs w:val="24"/>
          <w:highlight w:val="none"/>
        </w:rPr>
      </w:pPr>
      <w:bookmarkStart w:id="207" w:name="_Toc20948"/>
      <w:bookmarkStart w:id="208" w:name="_Toc200513138"/>
      <w:bookmarkStart w:id="209" w:name="_Toc224103329"/>
      <w:bookmarkStart w:id="210" w:name="_Toc509218722"/>
      <w:bookmarkStart w:id="211" w:name="_Toc277082564"/>
      <w:bookmarkStart w:id="212" w:name="_Toc430530447"/>
      <w:bookmarkStart w:id="213" w:name="_Toc287620697"/>
      <w:bookmarkStart w:id="214" w:name="_Toc287607758"/>
      <w:bookmarkStart w:id="215" w:name="_Toc3036"/>
      <w:r>
        <w:rPr>
          <w:rFonts w:ascii="宋体" w:hAnsi="宋体"/>
          <w:b w:val="0"/>
          <w:snapToGrid w:val="0"/>
          <w:color w:val="auto"/>
          <w:sz w:val="24"/>
          <w:szCs w:val="24"/>
          <w:highlight w:val="none"/>
        </w:rPr>
        <w:t>1.11  分包</w:t>
      </w:r>
      <w:bookmarkEnd w:id="207"/>
      <w:bookmarkEnd w:id="208"/>
      <w:bookmarkEnd w:id="209"/>
      <w:bookmarkEnd w:id="210"/>
      <w:bookmarkEnd w:id="211"/>
      <w:bookmarkEnd w:id="212"/>
      <w:bookmarkEnd w:id="213"/>
      <w:bookmarkEnd w:id="214"/>
      <w:bookmarkEnd w:id="215"/>
    </w:p>
    <w:p w14:paraId="0C3210AB">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5FD79822">
      <w:pPr>
        <w:pStyle w:val="5"/>
        <w:snapToGrid w:val="0"/>
        <w:spacing w:before="0" w:after="0" w:line="360" w:lineRule="auto"/>
        <w:rPr>
          <w:rFonts w:ascii="宋体" w:hAnsi="宋体"/>
          <w:b w:val="0"/>
          <w:snapToGrid w:val="0"/>
          <w:color w:val="auto"/>
          <w:sz w:val="24"/>
          <w:szCs w:val="24"/>
          <w:highlight w:val="none"/>
        </w:rPr>
      </w:pPr>
      <w:bookmarkStart w:id="216" w:name="_Toc18254"/>
      <w:bookmarkStart w:id="217" w:name="_Toc200513139"/>
      <w:bookmarkStart w:id="218" w:name="_Toc509218723"/>
      <w:bookmarkStart w:id="219" w:name="_Toc5536"/>
      <w:bookmarkStart w:id="220" w:name="_Toc430530448"/>
      <w:bookmarkStart w:id="221" w:name="_Toc287620698"/>
      <w:bookmarkStart w:id="222" w:name="_Toc277082565"/>
      <w:bookmarkStart w:id="223" w:name="_Toc224103330"/>
      <w:bookmarkStart w:id="224" w:name="_Toc287607759"/>
      <w:r>
        <w:rPr>
          <w:rFonts w:ascii="宋体" w:hAnsi="宋体"/>
          <w:b w:val="0"/>
          <w:snapToGrid w:val="0"/>
          <w:color w:val="auto"/>
          <w:sz w:val="24"/>
          <w:szCs w:val="24"/>
          <w:highlight w:val="none"/>
        </w:rPr>
        <w:t>1.12  偏离</w:t>
      </w:r>
      <w:bookmarkEnd w:id="216"/>
      <w:bookmarkEnd w:id="217"/>
      <w:bookmarkEnd w:id="218"/>
      <w:bookmarkEnd w:id="219"/>
      <w:bookmarkEnd w:id="220"/>
      <w:bookmarkEnd w:id="221"/>
      <w:bookmarkEnd w:id="222"/>
      <w:bookmarkEnd w:id="223"/>
      <w:bookmarkEnd w:id="224"/>
    </w:p>
    <w:p w14:paraId="735BF3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规定的偏离范围和幅度。</w:t>
      </w:r>
    </w:p>
    <w:p w14:paraId="566B5A4E">
      <w:pPr>
        <w:pStyle w:val="4"/>
        <w:spacing w:before="0" w:after="0" w:line="360" w:lineRule="auto"/>
        <w:rPr>
          <w:rFonts w:hint="eastAsia" w:ascii="宋体" w:hAnsi="宋体" w:eastAsia="宋体"/>
          <w:b w:val="0"/>
          <w:snapToGrid w:val="0"/>
          <w:color w:val="auto"/>
          <w:highlight w:val="none"/>
          <w:lang w:eastAsia="zh-CN"/>
        </w:rPr>
      </w:pPr>
      <w:bookmarkStart w:id="225" w:name="_Toc277082566"/>
      <w:bookmarkStart w:id="226" w:name="_Toc224103331"/>
      <w:bookmarkStart w:id="227" w:name="_Toc509218724"/>
      <w:bookmarkStart w:id="228" w:name="_Toc200513140"/>
      <w:bookmarkStart w:id="229" w:name="_Toc11902"/>
      <w:bookmarkStart w:id="230" w:name="_Toc430530449"/>
      <w:bookmarkStart w:id="231" w:name="_Toc287607760"/>
      <w:bookmarkStart w:id="232" w:name="_Toc287620699"/>
      <w:bookmarkStart w:id="233" w:name="_Toc16287"/>
      <w:r>
        <w:rPr>
          <w:rFonts w:ascii="宋体" w:hAnsi="宋体"/>
          <w:b w:val="0"/>
          <w:snapToGrid w:val="0"/>
          <w:color w:val="auto"/>
          <w:highlight w:val="none"/>
        </w:rPr>
        <w:t xml:space="preserve">2.  </w:t>
      </w:r>
      <w:bookmarkEnd w:id="225"/>
      <w:bookmarkEnd w:id="226"/>
      <w:bookmarkEnd w:id="227"/>
      <w:bookmarkEnd w:id="228"/>
      <w:bookmarkEnd w:id="229"/>
      <w:bookmarkEnd w:id="230"/>
      <w:bookmarkEnd w:id="231"/>
      <w:bookmarkEnd w:id="232"/>
      <w:r>
        <w:rPr>
          <w:rFonts w:hint="eastAsia" w:ascii="宋体" w:hAnsi="宋体"/>
          <w:b w:val="0"/>
          <w:snapToGrid w:val="0"/>
          <w:color w:val="auto"/>
          <w:highlight w:val="none"/>
          <w:lang w:eastAsia="zh-CN"/>
        </w:rPr>
        <w:t>比选文件</w:t>
      </w:r>
      <w:bookmarkEnd w:id="233"/>
    </w:p>
    <w:p w14:paraId="0563E445">
      <w:pPr>
        <w:pStyle w:val="5"/>
        <w:snapToGrid w:val="0"/>
        <w:spacing w:before="0" w:after="0" w:line="360" w:lineRule="auto"/>
        <w:rPr>
          <w:rFonts w:ascii="宋体" w:hAnsi="宋体"/>
          <w:b w:val="0"/>
          <w:snapToGrid w:val="0"/>
          <w:color w:val="auto"/>
          <w:sz w:val="24"/>
          <w:szCs w:val="24"/>
          <w:highlight w:val="none"/>
        </w:rPr>
      </w:pPr>
      <w:bookmarkStart w:id="234" w:name="_Toc200513141"/>
      <w:bookmarkStart w:id="235" w:name="_Toc509218725"/>
      <w:bookmarkStart w:id="236" w:name="_Toc800"/>
      <w:bookmarkStart w:id="237" w:name="_Toc430530450"/>
      <w:bookmarkStart w:id="238" w:name="_Toc224103332"/>
      <w:bookmarkStart w:id="239" w:name="_Toc287620700"/>
      <w:bookmarkStart w:id="240" w:name="_Toc287607761"/>
      <w:bookmarkStart w:id="241" w:name="_Toc277082567"/>
      <w:bookmarkStart w:id="242" w:name="_Toc31696"/>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34"/>
      <w:bookmarkEnd w:id="235"/>
      <w:bookmarkEnd w:id="236"/>
      <w:bookmarkEnd w:id="237"/>
      <w:bookmarkEnd w:id="238"/>
      <w:bookmarkEnd w:id="239"/>
      <w:bookmarkEnd w:id="240"/>
      <w:bookmarkEnd w:id="241"/>
      <w:bookmarkEnd w:id="242"/>
    </w:p>
    <w:p w14:paraId="35633DE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3296E3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w:t>
      </w:r>
    </w:p>
    <w:p w14:paraId="34A9D0A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202AE49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993E5D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623A5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45811E0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7E66E19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1ABC362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14:paraId="28FD3F6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14:paraId="1C34460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CCDD21F">
      <w:pPr>
        <w:pStyle w:val="5"/>
        <w:snapToGrid w:val="0"/>
        <w:spacing w:before="0" w:after="0" w:line="360" w:lineRule="auto"/>
        <w:rPr>
          <w:rFonts w:ascii="宋体" w:hAnsi="宋体"/>
          <w:b w:val="0"/>
          <w:snapToGrid w:val="0"/>
          <w:color w:val="auto"/>
          <w:sz w:val="24"/>
          <w:szCs w:val="24"/>
          <w:highlight w:val="none"/>
        </w:rPr>
      </w:pPr>
      <w:bookmarkStart w:id="243" w:name="_Toc23750"/>
      <w:bookmarkStart w:id="244" w:name="_Toc20267"/>
      <w:bookmarkStart w:id="245" w:name="_Toc430530451"/>
      <w:bookmarkStart w:id="246" w:name="_Toc50921872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43"/>
      <w:bookmarkEnd w:id="244"/>
      <w:bookmarkEnd w:id="245"/>
      <w:bookmarkEnd w:id="246"/>
    </w:p>
    <w:p w14:paraId="49AAE7F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提出，以便补齐。如有疑问，应在投标人须知前附表规定的时间前</w:t>
      </w:r>
      <w:r>
        <w:rPr>
          <w:rFonts w:hint="eastAsia" w:ascii="宋体" w:hAnsi="宋体"/>
          <w:color w:val="auto"/>
          <w:kern w:val="0"/>
          <w:szCs w:val="21"/>
          <w:highlight w:val="none"/>
        </w:rPr>
        <w:t>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41F2314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的澄清将在投标人须知前附表规定的投标截止时间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天，相应延长投标截止时间。</w:t>
      </w:r>
    </w:p>
    <w:p w14:paraId="03389BC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4BEB80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日前，以书面形式通知</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3DAA59CF">
      <w:pPr>
        <w:pStyle w:val="5"/>
        <w:snapToGrid w:val="0"/>
        <w:spacing w:before="0" w:after="0" w:line="360" w:lineRule="auto"/>
        <w:rPr>
          <w:rFonts w:ascii="宋体" w:hAnsi="宋体"/>
          <w:b w:val="0"/>
          <w:snapToGrid w:val="0"/>
          <w:color w:val="auto"/>
          <w:sz w:val="24"/>
          <w:szCs w:val="24"/>
          <w:highlight w:val="none"/>
        </w:rPr>
      </w:pPr>
      <w:bookmarkStart w:id="247" w:name="_Toc200513143"/>
      <w:bookmarkStart w:id="248" w:name="_Toc27922"/>
      <w:bookmarkStart w:id="249" w:name="_Toc287620702"/>
      <w:bookmarkStart w:id="250" w:name="_Toc509218727"/>
      <w:bookmarkStart w:id="251" w:name="_Toc5010"/>
      <w:bookmarkStart w:id="252" w:name="_Toc224103334"/>
      <w:bookmarkStart w:id="253" w:name="_Toc430530452"/>
      <w:bookmarkStart w:id="254" w:name="_Toc287607763"/>
      <w:bookmarkStart w:id="255" w:name="_Toc277082569"/>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47"/>
      <w:bookmarkEnd w:id="248"/>
      <w:bookmarkEnd w:id="249"/>
      <w:bookmarkEnd w:id="250"/>
      <w:bookmarkEnd w:id="251"/>
      <w:bookmarkEnd w:id="252"/>
      <w:bookmarkEnd w:id="253"/>
      <w:bookmarkEnd w:id="254"/>
      <w:bookmarkEnd w:id="255"/>
    </w:p>
    <w:p w14:paraId="6F53516A">
      <w:pPr>
        <w:autoSpaceDE w:val="0"/>
        <w:autoSpaceDN w:val="0"/>
        <w:adjustRightInd w:val="0"/>
        <w:snapToGrid w:val="0"/>
        <w:spacing w:line="360" w:lineRule="auto"/>
        <w:ind w:firstLine="420"/>
        <w:rPr>
          <w:rFonts w:ascii="宋体" w:hAnsi="宋体"/>
          <w:snapToGrid w:val="0"/>
          <w:color w:val="auto"/>
          <w:highlight w:val="none"/>
        </w:rPr>
      </w:pPr>
      <w:bookmarkStart w:id="256" w:name="_Toc277082570"/>
      <w:bookmarkStart w:id="257" w:name="_Toc287607764"/>
      <w:bookmarkStart w:id="258" w:name="_Toc200513144"/>
      <w:bookmarkStart w:id="259" w:name="_Toc287620703"/>
      <w:bookmarkStart w:id="260" w:name="_Toc224103335"/>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hint="eastAsia" w:ascii="宋体" w:hAnsi="宋体"/>
          <w:snapToGrid w:val="0"/>
          <w:color w:val="auto"/>
          <w:highlight w:val="none"/>
          <w:lang w:eastAsia="zh-CN"/>
        </w:rPr>
        <w:t>比选文件</w:t>
      </w:r>
      <w:r>
        <w:rPr>
          <w:rFonts w:ascii="宋体" w:hAnsi="宋体"/>
          <w:snapToGrid w:val="0"/>
          <w:color w:val="auto"/>
          <w:highlight w:val="none"/>
        </w:rPr>
        <w:t>的澄清相关内容及方式执行。</w:t>
      </w:r>
    </w:p>
    <w:p w14:paraId="73EF6C20">
      <w:pPr>
        <w:pStyle w:val="4"/>
        <w:spacing w:before="0" w:after="0" w:line="360" w:lineRule="auto"/>
        <w:rPr>
          <w:rFonts w:ascii="宋体" w:hAnsi="宋体"/>
          <w:b w:val="0"/>
          <w:snapToGrid w:val="0"/>
          <w:color w:val="auto"/>
          <w:highlight w:val="none"/>
        </w:rPr>
      </w:pPr>
      <w:bookmarkStart w:id="261" w:name="_Toc14543"/>
      <w:bookmarkStart w:id="262" w:name="_Toc430530453"/>
      <w:bookmarkStart w:id="263" w:name="_Toc18484"/>
      <w:bookmarkStart w:id="264" w:name="_Toc509218728"/>
      <w:r>
        <w:rPr>
          <w:rFonts w:ascii="宋体" w:hAnsi="宋体"/>
          <w:b w:val="0"/>
          <w:snapToGrid w:val="0"/>
          <w:color w:val="auto"/>
          <w:highlight w:val="none"/>
        </w:rPr>
        <w:t>3.  投标文件</w:t>
      </w:r>
      <w:bookmarkEnd w:id="256"/>
      <w:bookmarkEnd w:id="257"/>
      <w:bookmarkEnd w:id="258"/>
      <w:bookmarkEnd w:id="259"/>
      <w:bookmarkEnd w:id="260"/>
      <w:bookmarkEnd w:id="261"/>
      <w:bookmarkEnd w:id="262"/>
      <w:bookmarkEnd w:id="263"/>
      <w:bookmarkEnd w:id="264"/>
    </w:p>
    <w:p w14:paraId="226647AB">
      <w:pPr>
        <w:pStyle w:val="5"/>
        <w:snapToGrid w:val="0"/>
        <w:spacing w:before="0" w:after="0" w:line="360" w:lineRule="auto"/>
        <w:rPr>
          <w:rFonts w:ascii="宋体" w:hAnsi="宋体"/>
          <w:b w:val="0"/>
          <w:snapToGrid w:val="0"/>
          <w:color w:val="auto"/>
          <w:sz w:val="24"/>
          <w:szCs w:val="24"/>
          <w:highlight w:val="none"/>
        </w:rPr>
      </w:pPr>
      <w:bookmarkStart w:id="265" w:name="_Toc509218729"/>
      <w:bookmarkStart w:id="266" w:name="_Toc287620704"/>
      <w:bookmarkStart w:id="267" w:name="_Toc224103336"/>
      <w:bookmarkStart w:id="268" w:name="_Toc287607765"/>
      <w:bookmarkStart w:id="269" w:name="_Toc430530454"/>
      <w:bookmarkStart w:id="270" w:name="_Toc8482"/>
      <w:bookmarkStart w:id="271" w:name="_Toc29304"/>
      <w:bookmarkStart w:id="272" w:name="_Toc277082571"/>
      <w:bookmarkStart w:id="273" w:name="_Toc200513145"/>
      <w:r>
        <w:rPr>
          <w:rFonts w:ascii="宋体" w:hAnsi="宋体"/>
          <w:b w:val="0"/>
          <w:snapToGrid w:val="0"/>
          <w:color w:val="auto"/>
          <w:sz w:val="24"/>
          <w:szCs w:val="24"/>
          <w:highlight w:val="none"/>
        </w:rPr>
        <w:t>3.1  投标文件的组成</w:t>
      </w:r>
      <w:bookmarkEnd w:id="265"/>
      <w:bookmarkEnd w:id="266"/>
      <w:bookmarkEnd w:id="267"/>
      <w:bookmarkEnd w:id="268"/>
      <w:bookmarkEnd w:id="269"/>
      <w:bookmarkEnd w:id="270"/>
      <w:bookmarkEnd w:id="271"/>
      <w:bookmarkEnd w:id="272"/>
      <w:bookmarkEnd w:id="273"/>
    </w:p>
    <w:p w14:paraId="02B6F00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3.1.1 投标文件应包括下列内容：</w:t>
      </w:r>
    </w:p>
    <w:p w14:paraId="5D366CD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1</w:t>
      </w:r>
      <w:r>
        <w:rPr>
          <w:rFonts w:hint="eastAsia" w:ascii="宋体" w:hAnsi="宋体"/>
          <w:color w:val="auto"/>
          <w:highlight w:val="none"/>
        </w:rPr>
        <w:t>投标函部分</w:t>
      </w:r>
    </w:p>
    <w:p w14:paraId="224837BA">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18A3AA96">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039B86D6">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42F52E4B">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1EC88066">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2</w:t>
      </w:r>
      <w:r>
        <w:rPr>
          <w:rFonts w:hint="eastAsia" w:ascii="宋体" w:hAnsi="宋体"/>
          <w:color w:val="auto"/>
          <w:highlight w:val="none"/>
        </w:rPr>
        <w:t>经济部分</w:t>
      </w:r>
    </w:p>
    <w:p w14:paraId="7647B10B">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49858A6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3</w:t>
      </w:r>
      <w:r>
        <w:rPr>
          <w:rFonts w:hint="eastAsia" w:ascii="宋体" w:hAnsi="宋体"/>
          <w:color w:val="auto"/>
          <w:highlight w:val="none"/>
        </w:rPr>
        <w:t>资格审查部分</w:t>
      </w:r>
    </w:p>
    <w:p w14:paraId="2816921C">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519ED25B">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14:paraId="42266D8A">
      <w:pPr>
        <w:spacing w:line="360" w:lineRule="auto"/>
        <w:ind w:firstLine="420" w:firstLineChars="200"/>
        <w:rPr>
          <w:rFonts w:ascii="宋体" w:hAnsi="宋体"/>
          <w:color w:val="auto"/>
          <w:highlight w:val="none"/>
        </w:rPr>
      </w:pPr>
      <w:r>
        <w:rPr>
          <w:rFonts w:hint="eastAsia" w:ascii="宋体" w:hAnsi="宋体"/>
          <w:color w:val="auto"/>
          <w:highlight w:val="none"/>
        </w:rPr>
        <w:t>（3）投标人基本情况表</w:t>
      </w:r>
    </w:p>
    <w:p w14:paraId="1832BB76">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14:paraId="51C1743F">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（5）近年财务状况表（如有）</w:t>
      </w:r>
    </w:p>
    <w:p w14:paraId="6A0C8659">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（6）类似项目情况表（如有）</w:t>
      </w:r>
    </w:p>
    <w:p w14:paraId="030F0D24">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14:paraId="016A71A2">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14:paraId="5C7AA8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11404981">
      <w:pPr>
        <w:pStyle w:val="5"/>
        <w:snapToGrid w:val="0"/>
        <w:spacing w:before="0" w:after="0" w:line="360" w:lineRule="auto"/>
        <w:rPr>
          <w:rFonts w:ascii="宋体" w:hAnsi="宋体"/>
          <w:b w:val="0"/>
          <w:snapToGrid w:val="0"/>
          <w:color w:val="auto"/>
          <w:sz w:val="24"/>
          <w:szCs w:val="24"/>
          <w:highlight w:val="none"/>
        </w:rPr>
      </w:pPr>
      <w:bookmarkStart w:id="274" w:name="_Toc430530455"/>
      <w:bookmarkStart w:id="275" w:name="_Toc287620705"/>
      <w:bookmarkStart w:id="276" w:name="_Toc287607766"/>
      <w:bookmarkStart w:id="277" w:name="_Toc200513146"/>
      <w:bookmarkStart w:id="278" w:name="_Toc29217"/>
      <w:bookmarkStart w:id="279" w:name="_Toc277082572"/>
      <w:bookmarkStart w:id="280" w:name="_Toc509218730"/>
      <w:bookmarkStart w:id="281" w:name="_Toc11028"/>
      <w:bookmarkStart w:id="282" w:name="_Toc224103337"/>
      <w:r>
        <w:rPr>
          <w:rFonts w:ascii="宋体" w:hAnsi="宋体"/>
          <w:b w:val="0"/>
          <w:snapToGrid w:val="0"/>
          <w:color w:val="auto"/>
          <w:sz w:val="24"/>
          <w:szCs w:val="24"/>
          <w:highlight w:val="none"/>
        </w:rPr>
        <w:t>3.2  投标报价</w:t>
      </w:r>
      <w:bookmarkEnd w:id="274"/>
      <w:bookmarkEnd w:id="275"/>
      <w:bookmarkEnd w:id="276"/>
      <w:bookmarkEnd w:id="277"/>
      <w:bookmarkEnd w:id="278"/>
      <w:bookmarkEnd w:id="279"/>
      <w:bookmarkEnd w:id="280"/>
      <w:bookmarkEnd w:id="281"/>
      <w:bookmarkEnd w:id="282"/>
    </w:p>
    <w:p w14:paraId="75C3F6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61BFC7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6110942C">
      <w:pPr>
        <w:pStyle w:val="5"/>
        <w:snapToGrid w:val="0"/>
        <w:spacing w:before="0" w:after="0" w:line="360" w:lineRule="auto"/>
        <w:rPr>
          <w:rFonts w:ascii="宋体" w:hAnsi="宋体"/>
          <w:b w:val="0"/>
          <w:snapToGrid w:val="0"/>
          <w:color w:val="auto"/>
          <w:sz w:val="24"/>
          <w:szCs w:val="24"/>
          <w:highlight w:val="none"/>
        </w:rPr>
      </w:pPr>
      <w:bookmarkStart w:id="283" w:name="_Toc4304"/>
      <w:bookmarkStart w:id="284" w:name="_Toc287620706"/>
      <w:bookmarkStart w:id="285" w:name="_Toc277082573"/>
      <w:bookmarkStart w:id="286" w:name="_Toc509218731"/>
      <w:bookmarkStart w:id="287" w:name="_Toc224103338"/>
      <w:bookmarkStart w:id="288" w:name="_Toc200513147"/>
      <w:bookmarkStart w:id="289" w:name="_Toc13048"/>
      <w:bookmarkStart w:id="290" w:name="_Toc287607767"/>
      <w:bookmarkStart w:id="291" w:name="_Toc430530456"/>
      <w:r>
        <w:rPr>
          <w:rFonts w:ascii="宋体" w:hAnsi="宋体"/>
          <w:b w:val="0"/>
          <w:snapToGrid w:val="0"/>
          <w:color w:val="auto"/>
          <w:sz w:val="24"/>
          <w:szCs w:val="24"/>
          <w:highlight w:val="none"/>
        </w:rPr>
        <w:t>3.3  投标有效期</w:t>
      </w:r>
      <w:bookmarkEnd w:id="283"/>
      <w:bookmarkEnd w:id="284"/>
      <w:bookmarkEnd w:id="285"/>
      <w:bookmarkEnd w:id="286"/>
      <w:bookmarkEnd w:id="287"/>
      <w:bookmarkEnd w:id="288"/>
      <w:bookmarkEnd w:id="289"/>
      <w:bookmarkEnd w:id="290"/>
      <w:bookmarkEnd w:id="291"/>
    </w:p>
    <w:p w14:paraId="6C41BC7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1C0BD0E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1E1CD84F">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116FB17">
      <w:pPr>
        <w:pStyle w:val="5"/>
        <w:keepNext w:val="0"/>
        <w:keepLines w:val="0"/>
        <w:snapToGrid w:val="0"/>
        <w:spacing w:before="0" w:after="0" w:line="360" w:lineRule="auto"/>
        <w:rPr>
          <w:rFonts w:ascii="宋体" w:hAnsi="宋体"/>
          <w:b w:val="0"/>
          <w:snapToGrid w:val="0"/>
          <w:color w:val="auto"/>
          <w:sz w:val="24"/>
          <w:szCs w:val="24"/>
          <w:highlight w:val="none"/>
        </w:rPr>
      </w:pPr>
      <w:bookmarkStart w:id="292" w:name="_Toc277082574"/>
      <w:bookmarkStart w:id="293" w:name="_Toc430530457"/>
      <w:bookmarkStart w:id="294" w:name="_Toc200513148"/>
      <w:bookmarkStart w:id="295" w:name="_Toc224103339"/>
      <w:bookmarkStart w:id="296" w:name="_Toc509218732"/>
      <w:bookmarkStart w:id="297" w:name="_Toc287607768"/>
      <w:bookmarkStart w:id="298" w:name="_Toc287620707"/>
      <w:bookmarkStart w:id="299" w:name="_Toc1366"/>
      <w:bookmarkStart w:id="300" w:name="_Toc16240"/>
      <w:r>
        <w:rPr>
          <w:rFonts w:ascii="宋体" w:hAnsi="宋体"/>
          <w:b w:val="0"/>
          <w:snapToGrid w:val="0"/>
          <w:color w:val="auto"/>
          <w:sz w:val="24"/>
          <w:szCs w:val="24"/>
          <w:highlight w:val="none"/>
        </w:rPr>
        <w:t xml:space="preserve">3.4  </w:t>
      </w:r>
      <w:bookmarkEnd w:id="292"/>
      <w:bookmarkEnd w:id="293"/>
      <w:bookmarkEnd w:id="294"/>
      <w:bookmarkEnd w:id="295"/>
      <w:bookmarkEnd w:id="296"/>
      <w:bookmarkEnd w:id="297"/>
      <w:bookmarkEnd w:id="298"/>
      <w:r>
        <w:rPr>
          <w:rFonts w:ascii="宋体" w:hAnsi="宋体"/>
          <w:b w:val="0"/>
          <w:snapToGrid w:val="0"/>
          <w:color w:val="auto"/>
          <w:sz w:val="24"/>
          <w:szCs w:val="24"/>
          <w:highlight w:val="none"/>
        </w:rPr>
        <w:t>投标</w:t>
      </w:r>
      <w:bookmarkEnd w:id="299"/>
      <w:r>
        <w:rPr>
          <w:rFonts w:hint="eastAsia" w:ascii="宋体" w:hAnsi="宋体"/>
          <w:b w:val="0"/>
          <w:snapToGrid w:val="0"/>
          <w:color w:val="auto"/>
          <w:sz w:val="24"/>
          <w:szCs w:val="24"/>
          <w:highlight w:val="none"/>
        </w:rPr>
        <w:t>保证金</w:t>
      </w:r>
      <w:bookmarkEnd w:id="300"/>
    </w:p>
    <w:p w14:paraId="6EE532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3117B24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1183FE5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04F72D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711BA2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1E5F05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655311D8">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5BA10B2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5B446E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05469B20">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16059B15">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14:paraId="2367AD26">
      <w:pPr>
        <w:pStyle w:val="5"/>
        <w:keepNext w:val="0"/>
        <w:keepLines w:val="0"/>
        <w:snapToGrid w:val="0"/>
        <w:spacing w:before="0" w:after="0" w:line="360" w:lineRule="auto"/>
        <w:rPr>
          <w:rFonts w:ascii="宋体" w:hAnsi="宋体"/>
          <w:b w:val="0"/>
          <w:snapToGrid w:val="0"/>
          <w:color w:val="auto"/>
          <w:sz w:val="24"/>
          <w:szCs w:val="24"/>
          <w:highlight w:val="none"/>
        </w:rPr>
      </w:pPr>
      <w:bookmarkStart w:id="301" w:name="_Toc509218734"/>
      <w:bookmarkStart w:id="302" w:name="_Toc224103341"/>
      <w:bookmarkStart w:id="303" w:name="_Toc16830"/>
      <w:bookmarkStart w:id="304" w:name="_Toc277082576"/>
      <w:bookmarkStart w:id="305" w:name="_Toc16639"/>
      <w:bookmarkStart w:id="306" w:name="_Toc287620709"/>
      <w:bookmarkStart w:id="307" w:name="_Toc200513150"/>
      <w:bookmarkStart w:id="308" w:name="_Toc430530459"/>
      <w:bookmarkStart w:id="309" w:name="_Toc287607770"/>
      <w:r>
        <w:rPr>
          <w:rFonts w:ascii="宋体" w:hAnsi="宋体"/>
          <w:b w:val="0"/>
          <w:snapToGrid w:val="0"/>
          <w:color w:val="auto"/>
          <w:sz w:val="24"/>
          <w:szCs w:val="24"/>
          <w:highlight w:val="none"/>
        </w:rPr>
        <w:t>3.5  资格审查资料</w:t>
      </w:r>
      <w:bookmarkEnd w:id="301"/>
      <w:bookmarkEnd w:id="302"/>
      <w:bookmarkEnd w:id="303"/>
      <w:bookmarkEnd w:id="304"/>
      <w:bookmarkEnd w:id="305"/>
      <w:bookmarkEnd w:id="306"/>
      <w:bookmarkEnd w:id="307"/>
      <w:bookmarkEnd w:id="308"/>
      <w:bookmarkEnd w:id="309"/>
    </w:p>
    <w:p w14:paraId="0492F806">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26294EAB">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0247ED9D">
      <w:pPr>
        <w:pStyle w:val="5"/>
        <w:snapToGrid w:val="0"/>
        <w:spacing w:before="0" w:after="0" w:line="360" w:lineRule="auto"/>
        <w:rPr>
          <w:rFonts w:ascii="宋体" w:hAnsi="宋体"/>
          <w:b w:val="0"/>
          <w:snapToGrid w:val="0"/>
          <w:color w:val="auto"/>
          <w:sz w:val="24"/>
          <w:szCs w:val="24"/>
          <w:highlight w:val="none"/>
        </w:rPr>
      </w:pPr>
      <w:bookmarkStart w:id="310" w:name="_Toc200513151"/>
      <w:bookmarkStart w:id="311" w:name="_Toc287607771"/>
      <w:bookmarkStart w:id="312" w:name="_Toc287620710"/>
      <w:bookmarkStart w:id="313" w:name="_Toc509218735"/>
      <w:bookmarkStart w:id="314" w:name="_Toc224103342"/>
      <w:bookmarkStart w:id="315" w:name="_Toc17822"/>
      <w:bookmarkStart w:id="316" w:name="_Toc24446"/>
      <w:bookmarkStart w:id="317" w:name="_Toc277082577"/>
      <w:bookmarkStart w:id="318" w:name="_Toc430530460"/>
      <w:r>
        <w:rPr>
          <w:rFonts w:ascii="宋体" w:hAnsi="宋体"/>
          <w:b w:val="0"/>
          <w:snapToGrid w:val="0"/>
          <w:color w:val="auto"/>
          <w:sz w:val="24"/>
          <w:szCs w:val="24"/>
          <w:highlight w:val="none"/>
        </w:rPr>
        <w:t>3.6  备选投标方案</w:t>
      </w:r>
      <w:bookmarkEnd w:id="310"/>
      <w:bookmarkEnd w:id="311"/>
      <w:bookmarkEnd w:id="312"/>
      <w:bookmarkEnd w:id="313"/>
      <w:bookmarkEnd w:id="314"/>
      <w:bookmarkEnd w:id="315"/>
      <w:bookmarkEnd w:id="316"/>
      <w:bookmarkEnd w:id="317"/>
      <w:bookmarkEnd w:id="318"/>
    </w:p>
    <w:p w14:paraId="5BE0E2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16E70A24">
      <w:pPr>
        <w:pStyle w:val="5"/>
        <w:snapToGrid w:val="0"/>
        <w:spacing w:before="0" w:after="0" w:line="360" w:lineRule="auto"/>
        <w:rPr>
          <w:rFonts w:ascii="宋体" w:hAnsi="宋体"/>
          <w:b w:val="0"/>
          <w:snapToGrid w:val="0"/>
          <w:color w:val="auto"/>
          <w:sz w:val="24"/>
          <w:szCs w:val="24"/>
          <w:highlight w:val="none"/>
        </w:rPr>
      </w:pPr>
      <w:bookmarkStart w:id="319" w:name="_Toc287607772"/>
      <w:bookmarkStart w:id="320" w:name="_Toc200513152"/>
      <w:bookmarkStart w:id="321" w:name="_Toc16951"/>
      <w:bookmarkStart w:id="322" w:name="_Toc277082578"/>
      <w:bookmarkStart w:id="323" w:name="_Toc21460"/>
      <w:bookmarkStart w:id="324" w:name="_Toc430530461"/>
      <w:bookmarkStart w:id="325" w:name="_Toc224103343"/>
      <w:bookmarkStart w:id="326" w:name="_Toc509218736"/>
      <w:bookmarkStart w:id="327" w:name="_Toc287620711"/>
      <w:r>
        <w:rPr>
          <w:rFonts w:ascii="宋体" w:hAnsi="宋体"/>
          <w:b w:val="0"/>
          <w:snapToGrid w:val="0"/>
          <w:color w:val="auto"/>
          <w:sz w:val="24"/>
          <w:szCs w:val="24"/>
          <w:highlight w:val="none"/>
        </w:rPr>
        <w:t>3.7  投标文件的编制</w:t>
      </w:r>
      <w:bookmarkEnd w:id="319"/>
      <w:bookmarkEnd w:id="320"/>
      <w:bookmarkEnd w:id="321"/>
      <w:bookmarkEnd w:id="322"/>
      <w:bookmarkEnd w:id="323"/>
      <w:bookmarkEnd w:id="324"/>
      <w:bookmarkEnd w:id="325"/>
      <w:bookmarkEnd w:id="326"/>
      <w:bookmarkEnd w:id="327"/>
    </w:p>
    <w:p w14:paraId="331CEC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47DCDB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范围等实质性内容做出响应。</w:t>
      </w:r>
    </w:p>
    <w:p w14:paraId="426576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54891643">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08B90439">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64B2A7B0">
      <w:pPr>
        <w:pStyle w:val="4"/>
        <w:keepNext w:val="0"/>
        <w:keepLines w:val="0"/>
        <w:spacing w:before="0" w:after="0" w:line="360" w:lineRule="auto"/>
        <w:rPr>
          <w:rFonts w:ascii="宋体" w:hAnsi="宋体"/>
          <w:b w:val="0"/>
          <w:snapToGrid w:val="0"/>
          <w:color w:val="auto"/>
          <w:highlight w:val="none"/>
        </w:rPr>
      </w:pPr>
      <w:bookmarkStart w:id="328" w:name="_Toc430530462"/>
      <w:bookmarkStart w:id="329" w:name="_Toc287607773"/>
      <w:bookmarkStart w:id="330" w:name="_Toc200513153"/>
      <w:bookmarkStart w:id="331" w:name="_Toc27937"/>
      <w:bookmarkStart w:id="332" w:name="_Toc224103344"/>
      <w:bookmarkStart w:id="333" w:name="_Toc277082579"/>
      <w:bookmarkStart w:id="334" w:name="_Toc287620712"/>
      <w:bookmarkStart w:id="335" w:name="_Toc509218737"/>
      <w:bookmarkStart w:id="336" w:name="_Toc9499"/>
      <w:r>
        <w:rPr>
          <w:rFonts w:ascii="宋体" w:hAnsi="宋体"/>
          <w:b w:val="0"/>
          <w:snapToGrid w:val="0"/>
          <w:color w:val="auto"/>
          <w:highlight w:val="none"/>
        </w:rPr>
        <w:t>4.  投标</w:t>
      </w:r>
      <w:bookmarkEnd w:id="328"/>
      <w:bookmarkEnd w:id="329"/>
      <w:bookmarkEnd w:id="330"/>
      <w:bookmarkEnd w:id="331"/>
      <w:bookmarkEnd w:id="332"/>
      <w:bookmarkEnd w:id="333"/>
      <w:bookmarkEnd w:id="334"/>
      <w:bookmarkEnd w:id="335"/>
      <w:bookmarkEnd w:id="336"/>
    </w:p>
    <w:p w14:paraId="7D9EAEF9">
      <w:pPr>
        <w:pStyle w:val="5"/>
        <w:keepNext w:val="0"/>
        <w:keepLines w:val="0"/>
        <w:snapToGrid w:val="0"/>
        <w:spacing w:before="0" w:after="0" w:line="360" w:lineRule="auto"/>
        <w:rPr>
          <w:rFonts w:ascii="宋体" w:hAnsi="宋体"/>
          <w:b w:val="0"/>
          <w:snapToGrid w:val="0"/>
          <w:color w:val="auto"/>
          <w:sz w:val="24"/>
          <w:szCs w:val="24"/>
          <w:highlight w:val="none"/>
        </w:rPr>
      </w:pPr>
      <w:bookmarkStart w:id="337" w:name="_Toc509218738"/>
      <w:bookmarkStart w:id="338" w:name="_Toc287620713"/>
      <w:bookmarkStart w:id="339" w:name="_Toc224103345"/>
      <w:bookmarkStart w:id="340" w:name="_Toc200513154"/>
      <w:bookmarkStart w:id="341" w:name="_Toc24860"/>
      <w:bookmarkStart w:id="342" w:name="_Toc18995"/>
      <w:bookmarkStart w:id="343" w:name="_Toc277082580"/>
      <w:bookmarkStart w:id="344" w:name="_Toc287607774"/>
      <w:bookmarkStart w:id="345" w:name="_Toc430530463"/>
      <w:r>
        <w:rPr>
          <w:rFonts w:ascii="宋体" w:hAnsi="宋体"/>
          <w:b w:val="0"/>
          <w:snapToGrid w:val="0"/>
          <w:color w:val="auto"/>
          <w:sz w:val="24"/>
          <w:szCs w:val="24"/>
          <w:highlight w:val="none"/>
        </w:rPr>
        <w:t>4.1  投标文件的密封和标记</w:t>
      </w:r>
      <w:bookmarkEnd w:id="337"/>
      <w:bookmarkEnd w:id="338"/>
      <w:bookmarkEnd w:id="339"/>
      <w:bookmarkEnd w:id="340"/>
      <w:bookmarkEnd w:id="341"/>
      <w:bookmarkEnd w:id="342"/>
      <w:bookmarkEnd w:id="343"/>
      <w:bookmarkEnd w:id="344"/>
      <w:bookmarkEnd w:id="345"/>
    </w:p>
    <w:p w14:paraId="2323B9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6"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0E0D22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688C4B99">
      <w:pPr>
        <w:pStyle w:val="5"/>
        <w:keepNext w:val="0"/>
        <w:keepLines w:val="0"/>
        <w:snapToGrid w:val="0"/>
        <w:spacing w:before="0" w:after="0" w:line="360" w:lineRule="auto"/>
        <w:rPr>
          <w:rFonts w:ascii="宋体" w:hAnsi="宋体"/>
          <w:b w:val="0"/>
          <w:snapToGrid w:val="0"/>
          <w:color w:val="auto"/>
          <w:sz w:val="24"/>
          <w:szCs w:val="24"/>
          <w:highlight w:val="none"/>
        </w:rPr>
      </w:pPr>
      <w:bookmarkStart w:id="347" w:name="_Toc509218739"/>
      <w:bookmarkStart w:id="348" w:name="_Toc224103346"/>
      <w:bookmarkStart w:id="349" w:name="_Toc25809"/>
      <w:bookmarkStart w:id="350" w:name="_Toc287620714"/>
      <w:bookmarkStart w:id="351" w:name="_Toc277082581"/>
      <w:bookmarkStart w:id="352" w:name="_Toc25204"/>
      <w:bookmarkStart w:id="353" w:name="_Toc430530464"/>
      <w:bookmarkStart w:id="354" w:name="_Toc287607775"/>
      <w:r>
        <w:rPr>
          <w:rFonts w:ascii="宋体" w:hAnsi="宋体"/>
          <w:b w:val="0"/>
          <w:snapToGrid w:val="0"/>
          <w:color w:val="auto"/>
          <w:sz w:val="24"/>
          <w:szCs w:val="24"/>
          <w:highlight w:val="none"/>
        </w:rPr>
        <w:t>4.2  投标文件的递交</w:t>
      </w:r>
      <w:bookmarkEnd w:id="346"/>
      <w:bookmarkEnd w:id="347"/>
      <w:bookmarkEnd w:id="348"/>
      <w:bookmarkEnd w:id="349"/>
      <w:bookmarkEnd w:id="350"/>
      <w:bookmarkEnd w:id="351"/>
      <w:bookmarkEnd w:id="352"/>
      <w:bookmarkEnd w:id="353"/>
      <w:bookmarkEnd w:id="354"/>
    </w:p>
    <w:p w14:paraId="0921F4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7CDEDF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798E65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56976B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收到投标文件后，向投标人出具签收凭证。</w:t>
      </w:r>
    </w:p>
    <w:p w14:paraId="450CF24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4CE15BF1">
      <w:pPr>
        <w:pStyle w:val="5"/>
        <w:keepNext w:val="0"/>
        <w:keepLines w:val="0"/>
        <w:snapToGrid w:val="0"/>
        <w:spacing w:before="0" w:after="0" w:line="360" w:lineRule="auto"/>
        <w:rPr>
          <w:rFonts w:ascii="宋体" w:hAnsi="宋体"/>
          <w:b w:val="0"/>
          <w:snapToGrid w:val="0"/>
          <w:color w:val="auto"/>
          <w:sz w:val="24"/>
          <w:szCs w:val="24"/>
          <w:highlight w:val="none"/>
        </w:rPr>
      </w:pPr>
      <w:bookmarkStart w:id="355" w:name="_Toc224103347"/>
      <w:bookmarkStart w:id="356" w:name="_Toc287620715"/>
      <w:bookmarkStart w:id="357" w:name="_Toc23986"/>
      <w:bookmarkStart w:id="358" w:name="_Toc200513156"/>
      <w:bookmarkStart w:id="359" w:name="_Toc12226"/>
      <w:bookmarkStart w:id="360" w:name="_Toc277082582"/>
      <w:bookmarkStart w:id="361" w:name="_Toc430530465"/>
      <w:bookmarkStart w:id="362" w:name="_Toc287607776"/>
      <w:bookmarkStart w:id="363" w:name="_Toc509218740"/>
      <w:r>
        <w:rPr>
          <w:rFonts w:ascii="宋体" w:hAnsi="宋体"/>
          <w:b w:val="0"/>
          <w:snapToGrid w:val="0"/>
          <w:color w:val="auto"/>
          <w:sz w:val="24"/>
          <w:szCs w:val="24"/>
          <w:highlight w:val="none"/>
        </w:rPr>
        <w:t>4.3  投标文件的修改与撤回</w:t>
      </w:r>
      <w:bookmarkEnd w:id="355"/>
      <w:bookmarkEnd w:id="356"/>
      <w:bookmarkEnd w:id="357"/>
      <w:bookmarkEnd w:id="358"/>
      <w:bookmarkEnd w:id="359"/>
      <w:bookmarkEnd w:id="360"/>
      <w:bookmarkEnd w:id="361"/>
      <w:bookmarkEnd w:id="362"/>
      <w:bookmarkEnd w:id="363"/>
    </w:p>
    <w:p w14:paraId="520740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1A26BC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收到书面通知后，向投标人出具签收凭证。</w:t>
      </w:r>
    </w:p>
    <w:p w14:paraId="084561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09AC4CCD">
      <w:pPr>
        <w:pStyle w:val="4"/>
        <w:keepNext w:val="0"/>
        <w:keepLines w:val="0"/>
        <w:spacing w:before="0" w:after="0" w:line="360" w:lineRule="auto"/>
        <w:rPr>
          <w:rFonts w:ascii="宋体" w:hAnsi="宋体"/>
          <w:b w:val="0"/>
          <w:snapToGrid w:val="0"/>
          <w:color w:val="auto"/>
          <w:highlight w:val="none"/>
        </w:rPr>
      </w:pPr>
      <w:bookmarkStart w:id="364" w:name="_Toc277082583"/>
      <w:bookmarkStart w:id="365" w:name="_Toc287620716"/>
      <w:bookmarkStart w:id="366" w:name="_Toc509218741"/>
      <w:bookmarkStart w:id="367" w:name="_Toc9614"/>
      <w:bookmarkStart w:id="368" w:name="_Toc287607777"/>
      <w:bookmarkStart w:id="369" w:name="_Toc224103348"/>
      <w:bookmarkStart w:id="370" w:name="_Toc22598"/>
      <w:bookmarkStart w:id="371" w:name="_Toc200513157"/>
      <w:bookmarkStart w:id="372" w:name="_Toc430530466"/>
      <w:r>
        <w:rPr>
          <w:rFonts w:ascii="宋体" w:hAnsi="宋体"/>
          <w:b w:val="0"/>
          <w:snapToGrid w:val="0"/>
          <w:color w:val="auto"/>
          <w:highlight w:val="none"/>
        </w:rPr>
        <w:t>5.  开标</w:t>
      </w:r>
      <w:bookmarkEnd w:id="364"/>
      <w:bookmarkEnd w:id="365"/>
      <w:bookmarkEnd w:id="366"/>
      <w:bookmarkEnd w:id="367"/>
      <w:bookmarkEnd w:id="368"/>
      <w:bookmarkEnd w:id="369"/>
      <w:bookmarkEnd w:id="370"/>
      <w:bookmarkEnd w:id="371"/>
      <w:bookmarkEnd w:id="372"/>
    </w:p>
    <w:p w14:paraId="44AE7AEF">
      <w:pPr>
        <w:pStyle w:val="5"/>
        <w:keepNext w:val="0"/>
        <w:keepLines w:val="0"/>
        <w:snapToGrid w:val="0"/>
        <w:spacing w:before="0" w:after="0" w:line="360" w:lineRule="auto"/>
        <w:rPr>
          <w:rFonts w:ascii="宋体" w:hAnsi="宋体"/>
          <w:b w:val="0"/>
          <w:snapToGrid w:val="0"/>
          <w:color w:val="auto"/>
          <w:sz w:val="24"/>
          <w:szCs w:val="24"/>
          <w:highlight w:val="none"/>
        </w:rPr>
      </w:pPr>
      <w:bookmarkStart w:id="373" w:name="_Toc24610"/>
      <w:bookmarkStart w:id="374" w:name="_Toc509218742"/>
      <w:bookmarkStart w:id="375" w:name="_Toc287607778"/>
      <w:bookmarkStart w:id="376" w:name="_Toc430530467"/>
      <w:bookmarkStart w:id="377" w:name="_Toc277082584"/>
      <w:bookmarkStart w:id="378" w:name="_Toc20593"/>
      <w:bookmarkStart w:id="379" w:name="_Toc200513158"/>
      <w:bookmarkStart w:id="380" w:name="_Toc287620717"/>
      <w:bookmarkStart w:id="381" w:name="_Toc224103349"/>
      <w:r>
        <w:rPr>
          <w:rFonts w:ascii="宋体" w:hAnsi="宋体"/>
          <w:b w:val="0"/>
          <w:snapToGrid w:val="0"/>
          <w:color w:val="auto"/>
          <w:sz w:val="24"/>
          <w:szCs w:val="24"/>
          <w:highlight w:val="none"/>
        </w:rPr>
        <w:t>5.1  开标时间和地点</w:t>
      </w:r>
      <w:bookmarkEnd w:id="373"/>
      <w:bookmarkEnd w:id="374"/>
      <w:bookmarkEnd w:id="375"/>
      <w:bookmarkEnd w:id="376"/>
      <w:bookmarkEnd w:id="377"/>
      <w:bookmarkEnd w:id="378"/>
      <w:bookmarkEnd w:id="379"/>
      <w:bookmarkEnd w:id="380"/>
      <w:bookmarkEnd w:id="381"/>
    </w:p>
    <w:p w14:paraId="0E7B01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在投标人须知前附表第 2.2.2 项规定的投标截止时间（开标时间）和投标人须知前附表规定的地点公开开标，并邀请所有投标人的法定代表人或其委托代理人准时参加。</w:t>
      </w:r>
    </w:p>
    <w:p w14:paraId="605C84F3">
      <w:pPr>
        <w:pStyle w:val="5"/>
        <w:keepNext w:val="0"/>
        <w:keepLines w:val="0"/>
        <w:snapToGrid w:val="0"/>
        <w:spacing w:before="0" w:after="0" w:line="360" w:lineRule="auto"/>
        <w:rPr>
          <w:rFonts w:ascii="宋体" w:hAnsi="宋体"/>
          <w:b w:val="0"/>
          <w:snapToGrid w:val="0"/>
          <w:color w:val="auto"/>
          <w:sz w:val="24"/>
          <w:szCs w:val="24"/>
          <w:highlight w:val="none"/>
        </w:rPr>
      </w:pPr>
      <w:bookmarkStart w:id="382" w:name="_Toc14994"/>
      <w:bookmarkStart w:id="383" w:name="_Toc224103350"/>
      <w:bookmarkStart w:id="384" w:name="_Toc200513159"/>
      <w:bookmarkStart w:id="385" w:name="_Toc509218743"/>
      <w:bookmarkStart w:id="386" w:name="_Toc430530468"/>
      <w:bookmarkStart w:id="387" w:name="_Toc287607779"/>
      <w:bookmarkStart w:id="388" w:name="_Toc27715"/>
      <w:bookmarkStart w:id="389" w:name="_Toc287620718"/>
      <w:bookmarkStart w:id="390" w:name="_Toc277082585"/>
      <w:r>
        <w:rPr>
          <w:rFonts w:ascii="宋体" w:hAnsi="宋体"/>
          <w:b w:val="0"/>
          <w:snapToGrid w:val="0"/>
          <w:color w:val="auto"/>
          <w:sz w:val="24"/>
          <w:szCs w:val="24"/>
          <w:highlight w:val="none"/>
        </w:rPr>
        <w:t>5.2  开标程序</w:t>
      </w:r>
      <w:bookmarkEnd w:id="382"/>
      <w:bookmarkEnd w:id="383"/>
      <w:bookmarkEnd w:id="384"/>
      <w:bookmarkEnd w:id="385"/>
      <w:bookmarkEnd w:id="386"/>
      <w:bookmarkEnd w:id="387"/>
      <w:bookmarkEnd w:id="388"/>
      <w:bookmarkEnd w:id="389"/>
      <w:bookmarkEnd w:id="390"/>
    </w:p>
    <w:p w14:paraId="3FA6F2A5">
      <w:pPr>
        <w:autoSpaceDE w:val="0"/>
        <w:autoSpaceDN w:val="0"/>
        <w:adjustRightInd w:val="0"/>
        <w:snapToGrid w:val="0"/>
        <w:spacing w:line="360" w:lineRule="auto"/>
        <w:ind w:firstLine="420" w:firstLineChars="200"/>
        <w:rPr>
          <w:rFonts w:ascii="宋体" w:hAnsi="宋体"/>
          <w:color w:val="auto"/>
          <w:szCs w:val="21"/>
          <w:highlight w:val="none"/>
        </w:rPr>
      </w:pPr>
      <w:bookmarkStart w:id="391" w:name="_Toc200513160"/>
      <w:bookmarkStart w:id="392" w:name="_Toc277082586"/>
      <w:bookmarkStart w:id="393" w:name="_Toc287607780"/>
      <w:bookmarkStart w:id="394" w:name="_Toc287620719"/>
      <w:bookmarkStart w:id="395" w:name="_Toc224103351"/>
      <w:r>
        <w:rPr>
          <w:rFonts w:ascii="宋体" w:hAnsi="宋体"/>
          <w:color w:val="auto"/>
          <w:szCs w:val="21"/>
          <w:highlight w:val="none"/>
        </w:rPr>
        <w:t>详见投标人须知前附表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323DA1A7">
      <w:pPr>
        <w:pStyle w:val="5"/>
        <w:keepNext w:val="0"/>
        <w:keepLines w:val="0"/>
        <w:snapToGrid w:val="0"/>
        <w:spacing w:before="0" w:after="0" w:line="360" w:lineRule="auto"/>
        <w:rPr>
          <w:rFonts w:ascii="宋体" w:hAnsi="宋体"/>
          <w:b w:val="0"/>
          <w:snapToGrid w:val="0"/>
          <w:color w:val="auto"/>
          <w:sz w:val="24"/>
          <w:szCs w:val="24"/>
          <w:highlight w:val="none"/>
        </w:rPr>
      </w:pPr>
      <w:bookmarkStart w:id="396" w:name="_Toc9460"/>
      <w:bookmarkStart w:id="397"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96"/>
      <w:bookmarkEnd w:id="397"/>
    </w:p>
    <w:p w14:paraId="110FC2AE">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当场作出答复，并制作记录，有异议的投标人代表、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32417527">
      <w:pPr>
        <w:pStyle w:val="4"/>
        <w:keepNext w:val="0"/>
        <w:keepLines w:val="0"/>
        <w:spacing w:before="0" w:after="0" w:line="360" w:lineRule="auto"/>
        <w:rPr>
          <w:rFonts w:ascii="宋体" w:hAnsi="宋体"/>
          <w:b w:val="0"/>
          <w:snapToGrid w:val="0"/>
          <w:color w:val="auto"/>
          <w:highlight w:val="none"/>
        </w:rPr>
      </w:pPr>
      <w:bookmarkStart w:id="398" w:name="_Toc509218744"/>
      <w:bookmarkStart w:id="399" w:name="_Toc9533"/>
      <w:bookmarkStart w:id="400" w:name="_Toc430530469"/>
      <w:bookmarkStart w:id="401" w:name="_Toc19223"/>
      <w:r>
        <w:rPr>
          <w:rFonts w:ascii="宋体" w:hAnsi="宋体"/>
          <w:b w:val="0"/>
          <w:snapToGrid w:val="0"/>
          <w:color w:val="auto"/>
          <w:highlight w:val="none"/>
        </w:rPr>
        <w:t>6.  评标</w:t>
      </w:r>
      <w:bookmarkEnd w:id="391"/>
      <w:bookmarkEnd w:id="392"/>
      <w:bookmarkEnd w:id="393"/>
      <w:bookmarkEnd w:id="394"/>
      <w:bookmarkEnd w:id="395"/>
      <w:bookmarkEnd w:id="398"/>
      <w:bookmarkEnd w:id="399"/>
      <w:bookmarkEnd w:id="400"/>
      <w:bookmarkEnd w:id="401"/>
    </w:p>
    <w:p w14:paraId="5F5BE996">
      <w:pPr>
        <w:pStyle w:val="5"/>
        <w:keepNext w:val="0"/>
        <w:keepLines w:val="0"/>
        <w:snapToGrid w:val="0"/>
        <w:spacing w:before="0" w:after="0" w:line="360" w:lineRule="auto"/>
        <w:rPr>
          <w:rFonts w:ascii="宋体" w:hAnsi="宋体"/>
          <w:b w:val="0"/>
          <w:snapToGrid w:val="0"/>
          <w:color w:val="auto"/>
          <w:sz w:val="24"/>
          <w:szCs w:val="24"/>
          <w:highlight w:val="none"/>
        </w:rPr>
      </w:pPr>
      <w:bookmarkStart w:id="402" w:name="_Toc287620720"/>
      <w:bookmarkStart w:id="403" w:name="_Toc277082587"/>
      <w:bookmarkStart w:id="404" w:name="_Toc200513161"/>
      <w:bookmarkStart w:id="405" w:name="_Toc287607781"/>
      <w:bookmarkStart w:id="406" w:name="_Toc28100"/>
      <w:bookmarkStart w:id="407" w:name="_Toc509218745"/>
      <w:bookmarkStart w:id="408" w:name="_Toc29115"/>
      <w:bookmarkStart w:id="409" w:name="_Toc430530470"/>
      <w:bookmarkStart w:id="410" w:name="_Toc224103352"/>
      <w:r>
        <w:rPr>
          <w:rFonts w:ascii="宋体" w:hAnsi="宋体"/>
          <w:b w:val="0"/>
          <w:snapToGrid w:val="0"/>
          <w:color w:val="auto"/>
          <w:sz w:val="24"/>
          <w:szCs w:val="24"/>
          <w:highlight w:val="none"/>
        </w:rPr>
        <w:t>6.1  评标委员会</w:t>
      </w:r>
      <w:bookmarkEnd w:id="402"/>
      <w:bookmarkEnd w:id="403"/>
      <w:bookmarkEnd w:id="404"/>
      <w:bookmarkEnd w:id="405"/>
      <w:bookmarkEnd w:id="406"/>
      <w:bookmarkEnd w:id="407"/>
      <w:bookmarkEnd w:id="408"/>
      <w:bookmarkEnd w:id="409"/>
      <w:bookmarkEnd w:id="410"/>
    </w:p>
    <w:p w14:paraId="3772E728">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034FA2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CBA85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6180C92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52380A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1B9008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53AE4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3E0705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0150A97F">
      <w:pPr>
        <w:pStyle w:val="5"/>
        <w:snapToGrid w:val="0"/>
        <w:spacing w:before="0" w:after="0" w:line="360" w:lineRule="auto"/>
        <w:rPr>
          <w:rFonts w:ascii="宋体" w:hAnsi="宋体"/>
          <w:b w:val="0"/>
          <w:snapToGrid w:val="0"/>
          <w:color w:val="auto"/>
          <w:sz w:val="24"/>
          <w:szCs w:val="24"/>
          <w:highlight w:val="none"/>
        </w:rPr>
      </w:pPr>
      <w:bookmarkStart w:id="411" w:name="_Toc287620721"/>
      <w:bookmarkStart w:id="412" w:name="_Toc200513162"/>
      <w:bookmarkStart w:id="413" w:name="_Toc430530471"/>
      <w:bookmarkStart w:id="414" w:name="_Toc224103353"/>
      <w:bookmarkStart w:id="415" w:name="_Toc277082588"/>
      <w:bookmarkStart w:id="416" w:name="_Toc509218746"/>
      <w:bookmarkStart w:id="417" w:name="_Toc21914"/>
      <w:bookmarkStart w:id="418" w:name="_Toc287607782"/>
      <w:bookmarkStart w:id="419" w:name="_Toc12166"/>
      <w:r>
        <w:rPr>
          <w:rFonts w:ascii="宋体" w:hAnsi="宋体"/>
          <w:b w:val="0"/>
          <w:snapToGrid w:val="0"/>
          <w:color w:val="auto"/>
          <w:sz w:val="24"/>
          <w:szCs w:val="24"/>
          <w:highlight w:val="none"/>
        </w:rPr>
        <w:t>6.2  评标原则</w:t>
      </w:r>
      <w:bookmarkEnd w:id="411"/>
      <w:bookmarkEnd w:id="412"/>
      <w:bookmarkEnd w:id="413"/>
      <w:bookmarkEnd w:id="414"/>
      <w:bookmarkEnd w:id="415"/>
      <w:bookmarkEnd w:id="416"/>
      <w:bookmarkEnd w:id="417"/>
      <w:bookmarkEnd w:id="418"/>
      <w:bookmarkEnd w:id="419"/>
    </w:p>
    <w:p w14:paraId="336F46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A2D271A">
      <w:pPr>
        <w:pStyle w:val="5"/>
        <w:snapToGrid w:val="0"/>
        <w:spacing w:before="0" w:after="0" w:line="360" w:lineRule="auto"/>
        <w:rPr>
          <w:rFonts w:ascii="宋体" w:hAnsi="宋体"/>
          <w:b w:val="0"/>
          <w:snapToGrid w:val="0"/>
          <w:color w:val="auto"/>
          <w:sz w:val="24"/>
          <w:szCs w:val="24"/>
          <w:highlight w:val="none"/>
        </w:rPr>
      </w:pPr>
      <w:bookmarkStart w:id="420" w:name="_Toc287607783"/>
      <w:bookmarkStart w:id="421" w:name="_Toc200513163"/>
      <w:bookmarkStart w:id="422" w:name="_Toc509218747"/>
      <w:bookmarkStart w:id="423" w:name="_Toc277082589"/>
      <w:bookmarkStart w:id="424" w:name="_Toc31178"/>
      <w:bookmarkStart w:id="425" w:name="_Toc224103354"/>
      <w:bookmarkStart w:id="426" w:name="_Toc287620722"/>
      <w:bookmarkStart w:id="427" w:name="_Toc430530472"/>
      <w:bookmarkStart w:id="428" w:name="_Toc14701"/>
      <w:r>
        <w:rPr>
          <w:rFonts w:ascii="宋体" w:hAnsi="宋体"/>
          <w:b w:val="0"/>
          <w:snapToGrid w:val="0"/>
          <w:color w:val="auto"/>
          <w:sz w:val="24"/>
          <w:szCs w:val="24"/>
          <w:highlight w:val="none"/>
        </w:rPr>
        <w:t>6.3  评标</w:t>
      </w:r>
      <w:bookmarkEnd w:id="420"/>
      <w:bookmarkEnd w:id="421"/>
      <w:bookmarkEnd w:id="422"/>
      <w:bookmarkEnd w:id="423"/>
      <w:bookmarkEnd w:id="424"/>
      <w:bookmarkEnd w:id="425"/>
      <w:bookmarkEnd w:id="426"/>
      <w:bookmarkEnd w:id="427"/>
      <w:bookmarkEnd w:id="428"/>
    </w:p>
    <w:p w14:paraId="5EDD0E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245FA5C6">
      <w:pPr>
        <w:pStyle w:val="4"/>
        <w:spacing w:before="0" w:after="0" w:line="360" w:lineRule="auto"/>
        <w:rPr>
          <w:rFonts w:ascii="宋体" w:hAnsi="宋体"/>
          <w:b w:val="0"/>
          <w:snapToGrid w:val="0"/>
          <w:color w:val="auto"/>
          <w:highlight w:val="none"/>
        </w:rPr>
      </w:pPr>
      <w:bookmarkStart w:id="429" w:name="_Toc509218748"/>
      <w:bookmarkStart w:id="430" w:name="_Toc22597"/>
      <w:bookmarkStart w:id="431" w:name="_Toc430530473"/>
      <w:bookmarkStart w:id="432" w:name="_Toc277082590"/>
      <w:bookmarkStart w:id="433" w:name="_Toc287620723"/>
      <w:bookmarkStart w:id="434" w:name="_Toc2723"/>
      <w:bookmarkStart w:id="435" w:name="_Toc200513164"/>
      <w:bookmarkStart w:id="436" w:name="_Toc224103355"/>
      <w:bookmarkStart w:id="437" w:name="_Toc287607784"/>
      <w:r>
        <w:rPr>
          <w:rFonts w:ascii="宋体" w:hAnsi="宋体"/>
          <w:b w:val="0"/>
          <w:snapToGrid w:val="0"/>
          <w:color w:val="auto"/>
          <w:highlight w:val="none"/>
        </w:rPr>
        <w:t>7.  合同授予</w:t>
      </w:r>
      <w:bookmarkEnd w:id="429"/>
      <w:bookmarkEnd w:id="430"/>
      <w:bookmarkEnd w:id="431"/>
      <w:bookmarkEnd w:id="432"/>
      <w:bookmarkEnd w:id="433"/>
      <w:bookmarkEnd w:id="434"/>
      <w:bookmarkEnd w:id="435"/>
      <w:bookmarkEnd w:id="436"/>
      <w:bookmarkEnd w:id="437"/>
    </w:p>
    <w:p w14:paraId="0B55F664">
      <w:pPr>
        <w:pStyle w:val="5"/>
        <w:snapToGrid w:val="0"/>
        <w:spacing w:before="0" w:after="0" w:line="360" w:lineRule="auto"/>
        <w:rPr>
          <w:rFonts w:ascii="宋体" w:hAnsi="宋体"/>
          <w:b w:val="0"/>
          <w:snapToGrid w:val="0"/>
          <w:color w:val="auto"/>
          <w:sz w:val="24"/>
          <w:szCs w:val="24"/>
          <w:highlight w:val="none"/>
        </w:rPr>
      </w:pPr>
      <w:bookmarkStart w:id="438" w:name="_Toc277082591"/>
      <w:bookmarkStart w:id="439" w:name="_Toc509218749"/>
      <w:bookmarkStart w:id="440" w:name="_Toc200513165"/>
      <w:bookmarkStart w:id="441" w:name="_Toc287620724"/>
      <w:bookmarkStart w:id="442" w:name="_Toc224103356"/>
      <w:bookmarkStart w:id="443" w:name="_Toc430530474"/>
      <w:bookmarkStart w:id="444" w:name="_Toc27744"/>
      <w:bookmarkStart w:id="445" w:name="_Toc287607785"/>
      <w:bookmarkStart w:id="446" w:name="_Toc29937"/>
      <w:r>
        <w:rPr>
          <w:rFonts w:ascii="宋体" w:hAnsi="宋体"/>
          <w:b w:val="0"/>
          <w:snapToGrid w:val="0"/>
          <w:color w:val="auto"/>
          <w:sz w:val="24"/>
          <w:szCs w:val="24"/>
          <w:highlight w:val="none"/>
        </w:rPr>
        <w:t>7.1  定标方式</w:t>
      </w:r>
      <w:bookmarkEnd w:id="438"/>
      <w:bookmarkEnd w:id="439"/>
      <w:bookmarkEnd w:id="440"/>
      <w:bookmarkEnd w:id="441"/>
      <w:bookmarkEnd w:id="442"/>
      <w:bookmarkEnd w:id="443"/>
      <w:bookmarkEnd w:id="444"/>
      <w:bookmarkEnd w:id="445"/>
      <w:bookmarkEnd w:id="446"/>
    </w:p>
    <w:p w14:paraId="6C760E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lang w:eastAsia="zh-CN"/>
        </w:rPr>
        <w:t>比选文件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lang w:eastAsia="zh-CN"/>
        </w:rPr>
        <w:t>比选人</w:t>
      </w:r>
      <w:r>
        <w:rPr>
          <w:rFonts w:ascii="宋体" w:hAnsi="宋体"/>
          <w:color w:val="auto"/>
          <w:szCs w:val="21"/>
          <w:highlight w:val="none"/>
        </w:rPr>
        <w:t>可以按照评标委员会提出的中标候选人名单排序依次确定其他中标候选人为中标人，也可以重新招标。</w:t>
      </w:r>
    </w:p>
    <w:p w14:paraId="3B0F9C60">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25B617CB">
      <w:pPr>
        <w:pStyle w:val="5"/>
        <w:snapToGrid w:val="0"/>
        <w:spacing w:before="0" w:after="0" w:line="360" w:lineRule="auto"/>
        <w:rPr>
          <w:rFonts w:ascii="宋体" w:hAnsi="宋体"/>
          <w:b w:val="0"/>
          <w:snapToGrid w:val="0"/>
          <w:color w:val="auto"/>
          <w:sz w:val="24"/>
          <w:szCs w:val="24"/>
          <w:highlight w:val="none"/>
        </w:rPr>
      </w:pPr>
      <w:bookmarkStart w:id="447" w:name="_Toc12126"/>
      <w:bookmarkStart w:id="448" w:name="_Toc23594"/>
      <w:bookmarkStart w:id="449" w:name="_Toc430530475"/>
      <w:bookmarkStart w:id="450" w:name="_Toc509218750"/>
      <w:r>
        <w:rPr>
          <w:rFonts w:ascii="宋体" w:hAnsi="宋体"/>
          <w:b w:val="0"/>
          <w:snapToGrid w:val="0"/>
          <w:color w:val="auto"/>
          <w:sz w:val="24"/>
          <w:szCs w:val="24"/>
          <w:highlight w:val="none"/>
        </w:rPr>
        <w:t>7.2  中标公示及中标通知</w:t>
      </w:r>
      <w:bookmarkEnd w:id="447"/>
      <w:bookmarkEnd w:id="448"/>
      <w:bookmarkEnd w:id="449"/>
      <w:bookmarkEnd w:id="450"/>
    </w:p>
    <w:p w14:paraId="4001D2FC">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在收到评标报告之日起3日内公示中标候选人，公示期不得少于3日</w:t>
      </w:r>
      <w:r>
        <w:rPr>
          <w:rFonts w:hint="eastAsia" w:ascii="宋体" w:hAnsi="宋体"/>
          <w:color w:val="auto"/>
          <w:szCs w:val="21"/>
          <w:highlight w:val="none"/>
        </w:rPr>
        <w:t>。</w:t>
      </w:r>
    </w:p>
    <w:p w14:paraId="04342D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p>
    <w:p w14:paraId="20DDCE45">
      <w:pPr>
        <w:pStyle w:val="5"/>
        <w:snapToGrid w:val="0"/>
        <w:spacing w:before="0" w:after="0" w:line="360" w:lineRule="auto"/>
        <w:rPr>
          <w:rFonts w:ascii="宋体" w:hAnsi="宋体"/>
          <w:b w:val="0"/>
          <w:snapToGrid w:val="0"/>
          <w:color w:val="auto"/>
          <w:sz w:val="24"/>
          <w:szCs w:val="24"/>
          <w:highlight w:val="none"/>
        </w:rPr>
      </w:pPr>
      <w:bookmarkStart w:id="451" w:name="_Toc224103358"/>
      <w:bookmarkStart w:id="452" w:name="_Toc200513167"/>
      <w:bookmarkStart w:id="453" w:name="_Toc509218751"/>
      <w:bookmarkStart w:id="454" w:name="_Toc32419"/>
      <w:bookmarkStart w:id="455" w:name="_Toc13383"/>
      <w:bookmarkStart w:id="456" w:name="_Toc277082593"/>
      <w:bookmarkStart w:id="457" w:name="_Toc287620726"/>
      <w:bookmarkStart w:id="458" w:name="_Toc287607787"/>
      <w:bookmarkStart w:id="459" w:name="_Toc430530476"/>
      <w:r>
        <w:rPr>
          <w:rFonts w:ascii="宋体" w:hAnsi="宋体"/>
          <w:b w:val="0"/>
          <w:snapToGrid w:val="0"/>
          <w:color w:val="auto"/>
          <w:sz w:val="24"/>
          <w:szCs w:val="24"/>
          <w:highlight w:val="none"/>
        </w:rPr>
        <w:t>7.3  履约担保</w:t>
      </w:r>
      <w:bookmarkEnd w:id="451"/>
      <w:bookmarkEnd w:id="452"/>
      <w:bookmarkEnd w:id="453"/>
      <w:bookmarkEnd w:id="454"/>
      <w:bookmarkEnd w:id="455"/>
      <w:bookmarkEnd w:id="456"/>
      <w:bookmarkEnd w:id="457"/>
      <w:bookmarkEnd w:id="458"/>
      <w:bookmarkEnd w:id="459"/>
    </w:p>
    <w:p w14:paraId="5B2B37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提交履约担保。联合体中标的，其履约担保由牵头人递交，并应符合投标人须知前附表规定的金额、担保形式和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第四章“合同条款及格式”规定的履约担保格式要求。</w:t>
      </w:r>
    </w:p>
    <w:p w14:paraId="532E79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1E7931E3">
      <w:pPr>
        <w:pStyle w:val="5"/>
        <w:snapToGrid w:val="0"/>
        <w:spacing w:before="0" w:after="0" w:line="360" w:lineRule="auto"/>
        <w:rPr>
          <w:rFonts w:ascii="宋体" w:hAnsi="宋体"/>
          <w:b w:val="0"/>
          <w:snapToGrid w:val="0"/>
          <w:color w:val="auto"/>
          <w:sz w:val="24"/>
          <w:szCs w:val="24"/>
          <w:highlight w:val="none"/>
        </w:rPr>
      </w:pPr>
      <w:bookmarkStart w:id="460" w:name="_Toc287607788"/>
      <w:bookmarkStart w:id="461" w:name="_Toc200513168"/>
      <w:bookmarkStart w:id="462" w:name="_Toc17794"/>
      <w:bookmarkStart w:id="463" w:name="_Toc224103359"/>
      <w:bookmarkStart w:id="464" w:name="_Toc277082594"/>
      <w:bookmarkStart w:id="465" w:name="_Toc430530477"/>
      <w:bookmarkStart w:id="466" w:name="_Toc287620727"/>
      <w:bookmarkStart w:id="467" w:name="_Toc16900"/>
      <w:bookmarkStart w:id="468" w:name="_Toc509218752"/>
      <w:r>
        <w:rPr>
          <w:rFonts w:ascii="宋体" w:hAnsi="宋体"/>
          <w:b w:val="0"/>
          <w:snapToGrid w:val="0"/>
          <w:color w:val="auto"/>
          <w:sz w:val="24"/>
          <w:szCs w:val="24"/>
          <w:highlight w:val="none"/>
        </w:rPr>
        <w:t>7.4  签订合同</w:t>
      </w:r>
      <w:bookmarkEnd w:id="460"/>
      <w:bookmarkEnd w:id="461"/>
      <w:bookmarkEnd w:id="462"/>
      <w:bookmarkEnd w:id="463"/>
      <w:bookmarkEnd w:id="464"/>
      <w:bookmarkEnd w:id="465"/>
      <w:bookmarkEnd w:id="466"/>
      <w:bookmarkEnd w:id="467"/>
      <w:bookmarkEnd w:id="468"/>
    </w:p>
    <w:p w14:paraId="54A3027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 xml:space="preserve">和中标人应当自中标通知书发出之日起 </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0 天内，根据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要求提交低价风险担保（适用于经评审最低投标价法）或履约保证金的，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3155394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14:paraId="2D5AB359">
      <w:pPr>
        <w:pStyle w:val="4"/>
        <w:spacing w:before="0" w:after="0" w:line="360" w:lineRule="auto"/>
        <w:rPr>
          <w:rFonts w:ascii="宋体" w:hAnsi="宋体"/>
          <w:b w:val="0"/>
          <w:snapToGrid w:val="0"/>
          <w:color w:val="auto"/>
          <w:highlight w:val="none"/>
        </w:rPr>
      </w:pPr>
      <w:bookmarkStart w:id="469" w:name="_Toc277082595"/>
      <w:bookmarkStart w:id="470" w:name="_Toc200513169"/>
      <w:bookmarkStart w:id="471" w:name="_Toc22591"/>
      <w:bookmarkStart w:id="472" w:name="_Toc224103360"/>
      <w:bookmarkStart w:id="473" w:name="_Toc287607789"/>
      <w:bookmarkStart w:id="474" w:name="_Toc430530478"/>
      <w:bookmarkStart w:id="475" w:name="_Toc6795"/>
      <w:bookmarkStart w:id="476" w:name="_Toc509218753"/>
      <w:bookmarkStart w:id="477" w:name="_Toc287620728"/>
      <w:r>
        <w:rPr>
          <w:rFonts w:ascii="宋体" w:hAnsi="宋体"/>
          <w:b w:val="0"/>
          <w:snapToGrid w:val="0"/>
          <w:color w:val="auto"/>
          <w:highlight w:val="none"/>
        </w:rPr>
        <w:t>8.  重新招标和不再招标</w:t>
      </w:r>
      <w:bookmarkEnd w:id="469"/>
      <w:bookmarkEnd w:id="470"/>
      <w:bookmarkEnd w:id="471"/>
      <w:bookmarkEnd w:id="472"/>
      <w:bookmarkEnd w:id="473"/>
      <w:bookmarkEnd w:id="474"/>
      <w:bookmarkEnd w:id="475"/>
      <w:bookmarkEnd w:id="476"/>
      <w:bookmarkEnd w:id="477"/>
    </w:p>
    <w:p w14:paraId="1A9E4B68">
      <w:pPr>
        <w:pStyle w:val="5"/>
        <w:snapToGrid w:val="0"/>
        <w:spacing w:before="0" w:after="0" w:line="360" w:lineRule="auto"/>
        <w:rPr>
          <w:rFonts w:ascii="宋体" w:hAnsi="宋体"/>
          <w:b w:val="0"/>
          <w:snapToGrid w:val="0"/>
          <w:color w:val="auto"/>
          <w:sz w:val="24"/>
          <w:szCs w:val="24"/>
          <w:highlight w:val="none"/>
        </w:rPr>
      </w:pPr>
      <w:bookmarkStart w:id="478" w:name="_Toc200513170"/>
      <w:bookmarkStart w:id="479" w:name="_Toc224103361"/>
      <w:bookmarkStart w:id="480" w:name="_Toc4647"/>
      <w:bookmarkStart w:id="481" w:name="_Toc277082596"/>
      <w:bookmarkStart w:id="482" w:name="_Toc509218754"/>
      <w:bookmarkStart w:id="483" w:name="_Toc430530479"/>
      <w:bookmarkStart w:id="484" w:name="_Toc287620729"/>
      <w:bookmarkStart w:id="485" w:name="_Toc287607790"/>
      <w:bookmarkStart w:id="486" w:name="_Toc1904"/>
      <w:r>
        <w:rPr>
          <w:rFonts w:ascii="宋体" w:hAnsi="宋体"/>
          <w:b w:val="0"/>
          <w:snapToGrid w:val="0"/>
          <w:color w:val="auto"/>
          <w:sz w:val="24"/>
          <w:szCs w:val="24"/>
          <w:highlight w:val="none"/>
        </w:rPr>
        <w:t>8.1  重新招标</w:t>
      </w:r>
      <w:bookmarkEnd w:id="478"/>
      <w:bookmarkEnd w:id="479"/>
      <w:bookmarkEnd w:id="480"/>
      <w:bookmarkEnd w:id="481"/>
      <w:bookmarkEnd w:id="482"/>
      <w:bookmarkEnd w:id="483"/>
      <w:bookmarkEnd w:id="484"/>
      <w:bookmarkEnd w:id="485"/>
      <w:r>
        <w:rPr>
          <w:rFonts w:hint="eastAsia" w:ascii="宋体" w:hAnsi="宋体"/>
          <w:b w:val="0"/>
          <w:snapToGrid w:val="0"/>
          <w:color w:val="auto"/>
          <w:sz w:val="24"/>
          <w:szCs w:val="24"/>
          <w:highlight w:val="none"/>
        </w:rPr>
        <w:t>的情形</w:t>
      </w:r>
      <w:bookmarkEnd w:id="486"/>
    </w:p>
    <w:p w14:paraId="76D791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14:paraId="544890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2642AC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81F66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p>
    <w:p w14:paraId="3DC0B7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0B9976DE">
      <w:pPr>
        <w:pStyle w:val="5"/>
        <w:snapToGrid w:val="0"/>
        <w:spacing w:before="0" w:after="0" w:line="360" w:lineRule="auto"/>
        <w:rPr>
          <w:rFonts w:ascii="宋体" w:hAnsi="宋体"/>
          <w:b w:val="0"/>
          <w:snapToGrid w:val="0"/>
          <w:color w:val="auto"/>
          <w:sz w:val="24"/>
          <w:szCs w:val="24"/>
          <w:highlight w:val="none"/>
        </w:rPr>
      </w:pPr>
      <w:bookmarkStart w:id="487" w:name="_Toc509218755"/>
      <w:bookmarkStart w:id="488" w:name="_Toc287620730"/>
      <w:bookmarkStart w:id="489" w:name="_Toc32210"/>
      <w:bookmarkStart w:id="490" w:name="_Toc224103362"/>
      <w:bookmarkStart w:id="491" w:name="_Toc430530480"/>
      <w:bookmarkStart w:id="492" w:name="_Toc200513171"/>
      <w:bookmarkStart w:id="493" w:name="_Toc277082597"/>
      <w:bookmarkStart w:id="494" w:name="_Toc287607791"/>
      <w:bookmarkStart w:id="495" w:name="_Toc50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87"/>
      <w:bookmarkEnd w:id="488"/>
      <w:bookmarkEnd w:id="489"/>
      <w:bookmarkEnd w:id="490"/>
      <w:bookmarkEnd w:id="491"/>
      <w:bookmarkEnd w:id="492"/>
      <w:bookmarkEnd w:id="493"/>
      <w:bookmarkEnd w:id="494"/>
      <w:bookmarkEnd w:id="495"/>
    </w:p>
    <w:p w14:paraId="125DE54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2E43B98F">
      <w:pPr>
        <w:pStyle w:val="4"/>
        <w:spacing w:before="0" w:after="0" w:line="360" w:lineRule="auto"/>
        <w:rPr>
          <w:rFonts w:ascii="宋体" w:hAnsi="宋体"/>
          <w:b w:val="0"/>
          <w:snapToGrid w:val="0"/>
          <w:color w:val="auto"/>
          <w:highlight w:val="none"/>
        </w:rPr>
      </w:pPr>
      <w:bookmarkStart w:id="496" w:name="_Toc224103363"/>
      <w:bookmarkStart w:id="497" w:name="_Toc509218756"/>
      <w:bookmarkStart w:id="498" w:name="_Toc200513172"/>
      <w:bookmarkStart w:id="499" w:name="_Toc285"/>
      <w:bookmarkStart w:id="500" w:name="_Toc277082598"/>
      <w:bookmarkStart w:id="501" w:name="_Toc32580"/>
      <w:bookmarkStart w:id="502" w:name="_Toc430530481"/>
      <w:bookmarkStart w:id="503" w:name="_Toc287607792"/>
      <w:bookmarkStart w:id="504" w:name="_Toc287620731"/>
      <w:r>
        <w:rPr>
          <w:rFonts w:ascii="宋体" w:hAnsi="宋体"/>
          <w:b w:val="0"/>
          <w:snapToGrid w:val="0"/>
          <w:color w:val="auto"/>
          <w:highlight w:val="none"/>
        </w:rPr>
        <w:t>9.  纪律和监督</w:t>
      </w:r>
      <w:bookmarkEnd w:id="496"/>
      <w:bookmarkEnd w:id="497"/>
      <w:bookmarkEnd w:id="498"/>
      <w:bookmarkEnd w:id="499"/>
      <w:bookmarkEnd w:id="500"/>
      <w:bookmarkEnd w:id="501"/>
      <w:bookmarkEnd w:id="502"/>
      <w:bookmarkEnd w:id="503"/>
      <w:bookmarkEnd w:id="504"/>
    </w:p>
    <w:p w14:paraId="13EDE4A9">
      <w:pPr>
        <w:pStyle w:val="5"/>
        <w:snapToGrid w:val="0"/>
        <w:spacing w:before="0" w:after="0" w:line="360" w:lineRule="auto"/>
        <w:rPr>
          <w:rFonts w:ascii="宋体" w:hAnsi="宋体"/>
          <w:b w:val="0"/>
          <w:snapToGrid w:val="0"/>
          <w:color w:val="auto"/>
          <w:sz w:val="24"/>
          <w:szCs w:val="24"/>
          <w:highlight w:val="none"/>
        </w:rPr>
      </w:pPr>
      <w:bookmarkStart w:id="505" w:name="_Toc287620732"/>
      <w:bookmarkStart w:id="506" w:name="_Toc11532"/>
      <w:bookmarkStart w:id="507" w:name="_Toc430530482"/>
      <w:bookmarkStart w:id="508" w:name="_Toc224103364"/>
      <w:bookmarkStart w:id="509" w:name="_Toc509218757"/>
      <w:bookmarkStart w:id="510" w:name="_Toc287607793"/>
      <w:bookmarkStart w:id="511" w:name="_Toc200513173"/>
      <w:bookmarkStart w:id="512" w:name="_Toc277082599"/>
      <w:bookmarkStart w:id="513" w:name="_Toc28527"/>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505"/>
      <w:bookmarkEnd w:id="506"/>
      <w:bookmarkEnd w:id="507"/>
      <w:bookmarkEnd w:id="508"/>
      <w:bookmarkEnd w:id="509"/>
      <w:bookmarkEnd w:id="510"/>
      <w:bookmarkEnd w:id="511"/>
      <w:bookmarkEnd w:id="512"/>
      <w:bookmarkEnd w:id="513"/>
    </w:p>
    <w:p w14:paraId="779ABDAD">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不得泄漏招标投标活动中应当保密的情况和资料，不得与投标人串通损害国家利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与投标人串通投标。</w:t>
      </w:r>
    </w:p>
    <w:p w14:paraId="06EDA81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与投标人串通投标：</w:t>
      </w:r>
    </w:p>
    <w:p w14:paraId="2B0B88A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14:paraId="3CC367A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直接或者间接向投标人泄露标底、评标委员会成员等信息；</w:t>
      </w:r>
    </w:p>
    <w:p w14:paraId="42E64B7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明示或者暗示投标人压低或者抬高投标报价；</w:t>
      </w:r>
    </w:p>
    <w:p w14:paraId="31B7EEA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授意投标人撤换、修改投标文件；</w:t>
      </w:r>
    </w:p>
    <w:p w14:paraId="6EF8B67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明示或者暗示投标人为特定投标人中标提供方便；</w:t>
      </w:r>
    </w:p>
    <w:p w14:paraId="4DD33D2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与投标人为谋求特定投标人中标而采取的其他串通行为。</w:t>
      </w:r>
    </w:p>
    <w:p w14:paraId="685EE5AF">
      <w:pPr>
        <w:pStyle w:val="5"/>
        <w:snapToGrid w:val="0"/>
        <w:spacing w:before="0" w:after="0" w:line="360" w:lineRule="auto"/>
        <w:rPr>
          <w:rFonts w:ascii="宋体" w:hAnsi="宋体"/>
          <w:b w:val="0"/>
          <w:snapToGrid w:val="0"/>
          <w:color w:val="auto"/>
          <w:sz w:val="24"/>
          <w:szCs w:val="24"/>
          <w:highlight w:val="none"/>
        </w:rPr>
      </w:pPr>
      <w:bookmarkStart w:id="514" w:name="_Toc287620733"/>
      <w:bookmarkStart w:id="515" w:name="_Toc224103365"/>
      <w:bookmarkStart w:id="516" w:name="_Toc277082600"/>
      <w:bookmarkStart w:id="517" w:name="_Toc200513174"/>
      <w:bookmarkStart w:id="518" w:name="_Toc6794"/>
      <w:bookmarkStart w:id="519" w:name="_Toc430530483"/>
      <w:bookmarkStart w:id="520" w:name="_Toc287607794"/>
      <w:bookmarkStart w:id="521" w:name="_Toc509218758"/>
      <w:bookmarkStart w:id="522" w:name="_Toc11710"/>
      <w:r>
        <w:rPr>
          <w:rFonts w:ascii="宋体" w:hAnsi="宋体"/>
          <w:b w:val="0"/>
          <w:snapToGrid w:val="0"/>
          <w:color w:val="auto"/>
          <w:sz w:val="24"/>
          <w:szCs w:val="24"/>
          <w:highlight w:val="none"/>
        </w:rPr>
        <w:t>9.2  对投标人的纪律要求</w:t>
      </w:r>
      <w:bookmarkEnd w:id="514"/>
      <w:bookmarkEnd w:id="515"/>
      <w:bookmarkEnd w:id="516"/>
      <w:bookmarkEnd w:id="517"/>
      <w:bookmarkEnd w:id="518"/>
      <w:bookmarkEnd w:id="519"/>
      <w:bookmarkEnd w:id="520"/>
      <w:bookmarkEnd w:id="521"/>
      <w:bookmarkEnd w:id="522"/>
    </w:p>
    <w:p w14:paraId="61767A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14:paraId="3DC9AE6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14:paraId="230ED89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71A435A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02784FB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26C76E0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1AED9E6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47ADEC3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7C62786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31214C6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0022D96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6CDDBF5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6F79412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33777E7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60D4A41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0D2F001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67DF459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279F92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8D7941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58F3F8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7785D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0BAF0AF8">
      <w:pPr>
        <w:pStyle w:val="5"/>
        <w:snapToGrid w:val="0"/>
        <w:spacing w:before="0" w:after="0" w:line="360" w:lineRule="auto"/>
        <w:rPr>
          <w:rFonts w:ascii="宋体" w:hAnsi="宋体"/>
          <w:b w:val="0"/>
          <w:snapToGrid w:val="0"/>
          <w:color w:val="auto"/>
          <w:sz w:val="24"/>
          <w:szCs w:val="24"/>
          <w:highlight w:val="none"/>
        </w:rPr>
      </w:pPr>
      <w:bookmarkStart w:id="523" w:name="_Toc200513175"/>
      <w:bookmarkStart w:id="524" w:name="_Toc19095"/>
      <w:bookmarkStart w:id="525" w:name="_Toc287607795"/>
      <w:bookmarkStart w:id="526" w:name="_Toc277082601"/>
      <w:bookmarkStart w:id="527" w:name="_Toc224103366"/>
      <w:bookmarkStart w:id="528" w:name="_Toc509218759"/>
      <w:bookmarkStart w:id="529" w:name="_Toc27742"/>
      <w:bookmarkStart w:id="530" w:name="_Toc287620734"/>
      <w:bookmarkStart w:id="531" w:name="_Toc430530484"/>
      <w:r>
        <w:rPr>
          <w:rFonts w:ascii="宋体" w:hAnsi="宋体"/>
          <w:b w:val="0"/>
          <w:snapToGrid w:val="0"/>
          <w:color w:val="auto"/>
          <w:sz w:val="24"/>
          <w:szCs w:val="24"/>
          <w:highlight w:val="none"/>
        </w:rPr>
        <w:t>9.3  对评标委员会成员的纪律要求</w:t>
      </w:r>
      <w:bookmarkEnd w:id="523"/>
      <w:bookmarkEnd w:id="524"/>
      <w:bookmarkEnd w:id="525"/>
      <w:bookmarkEnd w:id="526"/>
      <w:bookmarkEnd w:id="527"/>
      <w:bookmarkEnd w:id="528"/>
      <w:bookmarkEnd w:id="529"/>
      <w:bookmarkEnd w:id="530"/>
      <w:bookmarkEnd w:id="531"/>
    </w:p>
    <w:p w14:paraId="23243E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1A52F43E">
      <w:pPr>
        <w:pStyle w:val="5"/>
        <w:snapToGrid w:val="0"/>
        <w:spacing w:before="0" w:after="0" w:line="360" w:lineRule="auto"/>
        <w:rPr>
          <w:rFonts w:ascii="宋体" w:hAnsi="宋体"/>
          <w:b w:val="0"/>
          <w:snapToGrid w:val="0"/>
          <w:color w:val="auto"/>
          <w:sz w:val="24"/>
          <w:szCs w:val="24"/>
          <w:highlight w:val="none"/>
        </w:rPr>
      </w:pPr>
      <w:bookmarkStart w:id="532" w:name="_Toc287620735"/>
      <w:bookmarkStart w:id="533" w:name="_Toc17353"/>
      <w:bookmarkStart w:id="534" w:name="_Toc509218760"/>
      <w:bookmarkStart w:id="535" w:name="_Toc200513176"/>
      <w:bookmarkStart w:id="536" w:name="_Toc31174"/>
      <w:bookmarkStart w:id="537" w:name="_Toc287607796"/>
      <w:bookmarkStart w:id="538" w:name="_Toc224103367"/>
      <w:bookmarkStart w:id="539" w:name="_Toc277082602"/>
      <w:bookmarkStart w:id="540" w:name="_Toc430530485"/>
      <w:r>
        <w:rPr>
          <w:rFonts w:ascii="宋体" w:hAnsi="宋体"/>
          <w:b w:val="0"/>
          <w:snapToGrid w:val="0"/>
          <w:color w:val="auto"/>
          <w:sz w:val="24"/>
          <w:szCs w:val="24"/>
          <w:highlight w:val="none"/>
        </w:rPr>
        <w:t>9.4  对与评标活动有关的工作人员的纪律要求</w:t>
      </w:r>
      <w:bookmarkEnd w:id="532"/>
      <w:bookmarkEnd w:id="533"/>
      <w:bookmarkEnd w:id="534"/>
      <w:bookmarkEnd w:id="535"/>
      <w:bookmarkEnd w:id="536"/>
      <w:bookmarkEnd w:id="537"/>
      <w:bookmarkEnd w:id="538"/>
      <w:bookmarkEnd w:id="539"/>
      <w:bookmarkEnd w:id="540"/>
    </w:p>
    <w:p w14:paraId="25EEB9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16B56208">
      <w:pPr>
        <w:pStyle w:val="5"/>
        <w:snapToGrid w:val="0"/>
        <w:spacing w:before="0" w:after="0" w:line="360" w:lineRule="auto"/>
        <w:rPr>
          <w:rFonts w:ascii="宋体" w:hAnsi="宋体"/>
          <w:b w:val="0"/>
          <w:snapToGrid w:val="0"/>
          <w:color w:val="auto"/>
          <w:sz w:val="24"/>
          <w:szCs w:val="24"/>
          <w:highlight w:val="none"/>
        </w:rPr>
      </w:pPr>
      <w:bookmarkStart w:id="541" w:name="_Toc224103368"/>
      <w:bookmarkStart w:id="542" w:name="_Toc509218761"/>
      <w:bookmarkStart w:id="543" w:name="_Toc277082603"/>
      <w:bookmarkStart w:id="544" w:name="_Toc287607797"/>
      <w:bookmarkStart w:id="545" w:name="_Toc29670"/>
      <w:bookmarkStart w:id="546" w:name="_Toc430530486"/>
      <w:bookmarkStart w:id="547" w:name="_Toc287620736"/>
      <w:bookmarkStart w:id="548" w:name="_Toc200513177"/>
      <w:bookmarkStart w:id="549" w:name="_Toc17234"/>
      <w:r>
        <w:rPr>
          <w:rFonts w:ascii="宋体" w:hAnsi="宋体"/>
          <w:b w:val="0"/>
          <w:snapToGrid w:val="0"/>
          <w:color w:val="auto"/>
          <w:sz w:val="24"/>
          <w:szCs w:val="24"/>
          <w:highlight w:val="none"/>
        </w:rPr>
        <w:t>9.5  投诉</w:t>
      </w:r>
      <w:bookmarkEnd w:id="541"/>
      <w:bookmarkEnd w:id="542"/>
      <w:bookmarkEnd w:id="543"/>
      <w:bookmarkEnd w:id="544"/>
      <w:bookmarkEnd w:id="545"/>
      <w:bookmarkEnd w:id="546"/>
      <w:bookmarkEnd w:id="547"/>
      <w:bookmarkEnd w:id="548"/>
      <w:bookmarkEnd w:id="549"/>
    </w:p>
    <w:p w14:paraId="330162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43D54E09">
      <w:pPr>
        <w:pStyle w:val="4"/>
        <w:spacing w:before="0" w:after="0" w:line="360" w:lineRule="auto"/>
        <w:rPr>
          <w:rFonts w:ascii="宋体" w:hAnsi="宋体"/>
          <w:b w:val="0"/>
          <w:snapToGrid w:val="0"/>
          <w:color w:val="auto"/>
          <w:highlight w:val="none"/>
        </w:rPr>
      </w:pPr>
      <w:bookmarkStart w:id="550" w:name="_Toc23914"/>
      <w:bookmarkStart w:id="551" w:name="_Toc287607798"/>
      <w:bookmarkStart w:id="552" w:name="_Toc224103369"/>
      <w:bookmarkStart w:id="553" w:name="_Toc287620737"/>
      <w:bookmarkStart w:id="554" w:name="_Toc430530487"/>
      <w:bookmarkStart w:id="555" w:name="_Toc277082604"/>
      <w:bookmarkStart w:id="556" w:name="_Toc13382"/>
      <w:bookmarkStart w:id="557" w:name="_Toc200513178"/>
      <w:bookmarkStart w:id="558" w:name="_Toc509218762"/>
      <w:r>
        <w:rPr>
          <w:rFonts w:ascii="宋体" w:hAnsi="宋体"/>
          <w:b w:val="0"/>
          <w:snapToGrid w:val="0"/>
          <w:color w:val="auto"/>
          <w:highlight w:val="none"/>
        </w:rPr>
        <w:t>10. 需要补充的其他内容</w:t>
      </w:r>
      <w:bookmarkEnd w:id="550"/>
      <w:bookmarkEnd w:id="551"/>
      <w:bookmarkEnd w:id="552"/>
      <w:bookmarkEnd w:id="553"/>
      <w:bookmarkEnd w:id="554"/>
      <w:bookmarkEnd w:id="555"/>
      <w:bookmarkEnd w:id="556"/>
      <w:bookmarkEnd w:id="557"/>
      <w:bookmarkEnd w:id="558"/>
    </w:p>
    <w:p w14:paraId="7918D47B">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3D8F638C">
      <w:pPr>
        <w:pStyle w:val="3"/>
        <w:spacing w:line="360" w:lineRule="auto"/>
        <w:jc w:val="center"/>
        <w:rPr>
          <w:rFonts w:ascii="宋体" w:hAnsi="宋体"/>
          <w:snapToGrid w:val="0"/>
          <w:color w:val="auto"/>
          <w:kern w:val="0"/>
          <w:highlight w:val="none"/>
        </w:rPr>
      </w:pPr>
      <w:bookmarkStart w:id="559" w:name="_Toc3173"/>
      <w:bookmarkStart w:id="560" w:name="_Toc20466"/>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59"/>
      <w:bookmarkEnd w:id="560"/>
    </w:p>
    <w:p w14:paraId="07AD140F">
      <w:pPr>
        <w:keepNext/>
        <w:keepLines/>
        <w:spacing w:before="100" w:after="100" w:line="360" w:lineRule="auto"/>
        <w:outlineLvl w:val="1"/>
        <w:rPr>
          <w:rFonts w:ascii="宋体" w:hAnsi="宋体"/>
          <w:b/>
          <w:color w:val="auto"/>
          <w:sz w:val="32"/>
          <w:szCs w:val="32"/>
          <w:highlight w:val="none"/>
        </w:rPr>
      </w:pPr>
      <w:bookmarkStart w:id="561" w:name="_Toc14792"/>
      <w:bookmarkStart w:id="562" w:name="_Toc9040"/>
      <w:r>
        <w:rPr>
          <w:rFonts w:hint="eastAsia" w:ascii="宋体" w:hAnsi="宋体"/>
          <w:b/>
          <w:color w:val="auto"/>
          <w:sz w:val="32"/>
          <w:szCs w:val="32"/>
          <w:highlight w:val="none"/>
        </w:rPr>
        <w:t>评标办法前附表</w:t>
      </w:r>
      <w:bookmarkEnd w:id="561"/>
      <w:bookmarkEnd w:id="562"/>
    </w:p>
    <w:p w14:paraId="0266CE66">
      <w:pPr>
        <w:spacing w:line="400" w:lineRule="exact"/>
        <w:ind w:firstLine="427" w:firstLineChars="196"/>
        <w:rPr>
          <w:rFonts w:ascii="宋体" w:hAnsi="宋体"/>
          <w:color w:val="auto"/>
          <w:spacing w:val="4"/>
          <w:kern w:val="0"/>
          <w:szCs w:val="21"/>
          <w:highlight w:val="none"/>
        </w:rPr>
      </w:pPr>
      <w:bookmarkStart w:id="563"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63"/>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6837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04F60687">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3F824DD7">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1DE502F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5A61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4336EEB">
            <w:pPr>
              <w:pStyle w:val="85"/>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0BB24514">
            <w:pPr>
              <w:pStyle w:val="85"/>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4A378139">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4110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2C8E0891">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07A5E4BD">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1071739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14:paraId="3F8E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C75BD43">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53C46558">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5DFFD014">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55DF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6DEC77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41661B5C">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7679EC6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5F0DBAE6">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7432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EF8C2F4">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918BEC3">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64F1B1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22E869C2">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6CA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6FC0F4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4D7504E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149371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63334AF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0F08C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5AE68E5">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4E0E7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FC359F6">
            <w:pPr>
              <w:snapToGrid w:val="0"/>
              <w:spacing w:after="78" w:afterLines="25"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6D8B55EB">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2506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631435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4790CE2">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A829812">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4A97626A">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1DFC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243" w:type="dxa"/>
            <w:vMerge w:val="continue"/>
            <w:tcBorders>
              <w:right w:val="single" w:color="auto" w:sz="4" w:space="0"/>
            </w:tcBorders>
            <w:vAlign w:val="center"/>
          </w:tcPr>
          <w:p w14:paraId="6773E229">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DCD0C8">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CE326D1">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54593FD7">
            <w:pPr>
              <w:snapToGrid w:val="0"/>
              <w:spacing w:line="400" w:lineRule="exact"/>
              <w:ind w:firstLine="420" w:firstLineChars="200"/>
              <w:rPr>
                <w:rFonts w:ascii="宋体" w:hAnsi="宋体" w:eastAsia="宋体" w:cs="宋体"/>
                <w:color w:val="auto"/>
                <w:kern w:val="0"/>
                <w:sz w:val="21"/>
                <w:szCs w:val="24"/>
                <w:highlight w:val="none"/>
                <w:u w:val="single"/>
                <w:lang w:val="en-US" w:eastAsia="zh-CN" w:bidi="ar-SA"/>
              </w:rPr>
            </w:pPr>
            <w:r>
              <w:rPr>
                <w:rFonts w:hint="eastAsia" w:ascii="宋体" w:hAnsi="宋体" w:cs="宋体"/>
                <w:color w:val="auto"/>
                <w:kern w:val="0"/>
                <w:highlight w:val="none"/>
              </w:rPr>
              <w:t>符合第二章“投标人须知”第1.4.1项规定</w:t>
            </w:r>
          </w:p>
        </w:tc>
      </w:tr>
      <w:tr w14:paraId="417D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49659EBE">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50DF9D89">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79D7EE24">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14:paraId="6A039CA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6E24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9221E9A">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0F3F75C">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5FB60FC">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14:paraId="4F8BB33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14:paraId="7A16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A7E80B5">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EBD7880">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305726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4D1ED6CB">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649D6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97DB84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B8DC927">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44A71EB">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14:paraId="1EFBAEEC">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6B81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1F6CD3C">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F45DAB2">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2520F59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5A2955A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14:paraId="4930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CBBAC10">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B6BAE1F">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1623BB11">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0B7EAFC0">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tc>
      </w:tr>
      <w:tr w14:paraId="4AD0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243" w:type="dxa"/>
            <w:vMerge w:val="continue"/>
            <w:tcBorders>
              <w:right w:val="single" w:color="auto" w:sz="4" w:space="0"/>
            </w:tcBorders>
            <w:vAlign w:val="center"/>
          </w:tcPr>
          <w:p w14:paraId="234C5BEF">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4BA02538">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836237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0772EBE3">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3D57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153EA755">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14:paraId="101EC004">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14:paraId="4E9DECF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4D80796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72C104DD">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tc>
      </w:tr>
      <w:tr w14:paraId="3D02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4CD550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194150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86246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0ACD56B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给定的金额填报。</w:t>
            </w:r>
          </w:p>
        </w:tc>
      </w:tr>
      <w:tr w14:paraId="701D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629B7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C05D36B">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15796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223B8E4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14:paraId="41A0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C37F5C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ABE9897">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6B2E0E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08D45F33">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14:paraId="5DF1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D4B25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E8E0F3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5B53F0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5D918654">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14:paraId="5EE3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E924263">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926E01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467D8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14:paraId="0E0ECB82">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14:paraId="2353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F3E33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BF92AC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4E6F5E6">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20BC874C">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14:paraId="1F50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74510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CB326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5838F4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0CE69C75">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不能接受的条件。（由投标人承诺，承诺书格式详见第八章投标文件格式。）</w:t>
            </w:r>
          </w:p>
        </w:tc>
      </w:tr>
      <w:tr w14:paraId="1F15B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F57D2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21035F4">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EF8C61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48F5DF5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6B58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B2EF96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07518E2">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94A363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616B580C">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投标人</w:t>
            </w:r>
            <w:r>
              <w:rPr>
                <w:rFonts w:hint="eastAsia" w:ascii="宋体" w:hAnsi="宋体"/>
                <w:color w:val="auto"/>
                <w:szCs w:val="21"/>
                <w:highlight w:val="none"/>
                <w:lang w:val="en-US" w:eastAsia="zh-CN"/>
              </w:rPr>
              <w:t>应当</w:t>
            </w:r>
            <w:r>
              <w:rPr>
                <w:rFonts w:hint="eastAsia" w:ascii="宋体" w:hAnsi="宋体"/>
                <w:color w:val="auto"/>
                <w:szCs w:val="21"/>
                <w:highlight w:val="none"/>
              </w:rPr>
              <w:t>按招标工程量清单填报价格。项目编码、项目名称、项目特征、计量单位、工程量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与招标工程量清单一致</w:t>
            </w:r>
            <w:r>
              <w:rPr>
                <w:rFonts w:hint="eastAsia" w:ascii="宋体" w:hAnsi="宋体" w:cs="宋体"/>
                <w:color w:val="auto"/>
                <w:kern w:val="0"/>
                <w:highlight w:val="none"/>
              </w:rPr>
              <w:t>。</w:t>
            </w:r>
          </w:p>
          <w:p w14:paraId="6A7670B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2.每项清单综合单价报价不得高于每项清单综合单价最高限价。</w:t>
            </w:r>
          </w:p>
        </w:tc>
      </w:tr>
      <w:tr w14:paraId="3F64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5DF6B0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BF5723C">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1409B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672E825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14:paraId="1B59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1D8E5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1D8899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0C184D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4ED1CC2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573D92C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1799111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00F4F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744D94F3">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26E49984">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0BB26A2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2F947EF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3296CEC7">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CEAB2C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747C8A6A">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3503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A709BF8">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3E76813B">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067F774D">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5E3BBC91">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1FBD4796">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64" w:name="_Toc32683"/>
      <w:bookmarkStart w:id="565" w:name="_Toc27750"/>
      <w:r>
        <w:rPr>
          <w:rFonts w:ascii="宋体" w:hAnsi="宋体"/>
          <w:b w:val="0"/>
          <w:snapToGrid w:val="0"/>
          <w:color w:val="auto"/>
          <w:highlight w:val="none"/>
        </w:rPr>
        <w:t>1.  评标方法</w:t>
      </w:r>
      <w:bookmarkEnd w:id="564"/>
      <w:bookmarkEnd w:id="565"/>
    </w:p>
    <w:p w14:paraId="78C27116">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授权直接确定中标人。若出现投标人投标报价相同的，以评标办法前附表约定的原则确定排序。</w:t>
      </w:r>
    </w:p>
    <w:p w14:paraId="3C7DB60F">
      <w:pPr>
        <w:pStyle w:val="4"/>
        <w:spacing w:before="0" w:after="0" w:line="360" w:lineRule="auto"/>
        <w:rPr>
          <w:rFonts w:ascii="宋体" w:hAnsi="宋体"/>
          <w:b w:val="0"/>
          <w:snapToGrid w:val="0"/>
          <w:color w:val="auto"/>
          <w:highlight w:val="none"/>
        </w:rPr>
      </w:pPr>
      <w:bookmarkStart w:id="566" w:name="_Toc20502"/>
      <w:bookmarkStart w:id="567" w:name="_Toc8499"/>
      <w:r>
        <w:rPr>
          <w:rFonts w:ascii="宋体" w:hAnsi="宋体"/>
          <w:b w:val="0"/>
          <w:snapToGrid w:val="0"/>
          <w:color w:val="auto"/>
          <w:highlight w:val="none"/>
        </w:rPr>
        <w:t>2.  评审标准</w:t>
      </w:r>
      <w:bookmarkEnd w:id="566"/>
      <w:bookmarkEnd w:id="567"/>
    </w:p>
    <w:p w14:paraId="09C96EAE">
      <w:pPr>
        <w:pStyle w:val="5"/>
        <w:spacing w:before="0" w:after="0" w:line="360" w:lineRule="auto"/>
        <w:rPr>
          <w:rFonts w:ascii="宋体" w:hAnsi="宋体" w:cs="宋体"/>
          <w:color w:val="auto"/>
          <w:sz w:val="21"/>
          <w:szCs w:val="21"/>
          <w:highlight w:val="none"/>
        </w:rPr>
      </w:pPr>
      <w:bookmarkStart w:id="568" w:name="_Toc3739"/>
      <w:bookmarkStart w:id="569" w:name="_Toc2822"/>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68"/>
      <w:r>
        <w:rPr>
          <w:rFonts w:hint="eastAsia" w:ascii="宋体" w:hAnsi="宋体" w:cs="宋体"/>
          <w:color w:val="auto"/>
          <w:sz w:val="21"/>
          <w:szCs w:val="21"/>
          <w:highlight w:val="none"/>
        </w:rPr>
        <w:t>标准</w:t>
      </w:r>
      <w:bookmarkEnd w:id="569"/>
    </w:p>
    <w:p w14:paraId="5ED0CFE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14175BC8">
      <w:pPr>
        <w:pStyle w:val="5"/>
        <w:spacing w:before="0" w:after="0" w:line="360" w:lineRule="auto"/>
        <w:rPr>
          <w:rFonts w:ascii="宋体" w:hAnsi="宋体" w:cs="宋体"/>
          <w:color w:val="auto"/>
          <w:sz w:val="21"/>
          <w:szCs w:val="21"/>
          <w:highlight w:val="none"/>
        </w:rPr>
      </w:pPr>
      <w:bookmarkStart w:id="570" w:name="_Toc16832"/>
      <w:bookmarkStart w:id="571" w:name="_Toc19385"/>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70"/>
      <w:r>
        <w:rPr>
          <w:rFonts w:hint="eastAsia" w:ascii="宋体" w:hAnsi="宋体" w:cs="宋体"/>
          <w:color w:val="auto"/>
          <w:sz w:val="21"/>
          <w:szCs w:val="21"/>
          <w:highlight w:val="none"/>
        </w:rPr>
        <w:t>标准</w:t>
      </w:r>
      <w:bookmarkEnd w:id="571"/>
    </w:p>
    <w:p w14:paraId="6252FABC">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14:paraId="71F47BB4">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552F85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017676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1D782E6F">
      <w:pPr>
        <w:pStyle w:val="4"/>
        <w:spacing w:before="0" w:after="0" w:line="360" w:lineRule="auto"/>
        <w:rPr>
          <w:rFonts w:ascii="宋体" w:hAnsi="宋体"/>
          <w:b w:val="0"/>
          <w:snapToGrid w:val="0"/>
          <w:color w:val="auto"/>
          <w:highlight w:val="none"/>
        </w:rPr>
      </w:pPr>
      <w:bookmarkStart w:id="572" w:name="_Toc4809"/>
      <w:bookmarkStart w:id="573" w:name="_Toc6630"/>
      <w:r>
        <w:rPr>
          <w:rFonts w:ascii="宋体" w:hAnsi="宋体"/>
          <w:b w:val="0"/>
          <w:snapToGrid w:val="0"/>
          <w:color w:val="auto"/>
          <w:highlight w:val="none"/>
        </w:rPr>
        <w:t>3.  评标程序</w:t>
      </w:r>
      <w:bookmarkEnd w:id="572"/>
      <w:bookmarkEnd w:id="573"/>
    </w:p>
    <w:p w14:paraId="127BAEFD">
      <w:pPr>
        <w:pStyle w:val="5"/>
        <w:spacing w:before="0" w:after="0" w:line="360" w:lineRule="auto"/>
        <w:rPr>
          <w:rFonts w:ascii="宋体" w:hAnsi="宋体" w:cs="宋体"/>
          <w:color w:val="auto"/>
          <w:sz w:val="21"/>
          <w:szCs w:val="21"/>
          <w:highlight w:val="none"/>
        </w:rPr>
      </w:pPr>
      <w:bookmarkStart w:id="574" w:name="_Toc17317"/>
      <w:bookmarkStart w:id="575" w:name="_Toc22288"/>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74"/>
      <w:bookmarkEnd w:id="575"/>
    </w:p>
    <w:p w14:paraId="6E22299C">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14295216">
      <w:pPr>
        <w:pStyle w:val="5"/>
        <w:spacing w:before="0" w:after="0" w:line="360" w:lineRule="auto"/>
        <w:rPr>
          <w:rFonts w:ascii="宋体" w:hAnsi="宋体" w:cs="宋体"/>
          <w:color w:val="auto"/>
          <w:sz w:val="21"/>
          <w:szCs w:val="21"/>
          <w:highlight w:val="none"/>
        </w:rPr>
      </w:pPr>
      <w:bookmarkStart w:id="576" w:name="_Toc24328"/>
      <w:bookmarkStart w:id="577" w:name="_Toc2330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76"/>
      <w:bookmarkEnd w:id="577"/>
    </w:p>
    <w:p w14:paraId="559D84BB">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14:paraId="3118983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725B24FF">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017DEA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6DEBF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3CC69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167F5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075411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14:paraId="4D187775">
      <w:pPr>
        <w:pStyle w:val="5"/>
        <w:spacing w:before="0" w:after="0" w:line="360" w:lineRule="auto"/>
        <w:rPr>
          <w:rFonts w:ascii="宋体" w:hAnsi="宋体" w:cs="宋体"/>
          <w:color w:val="auto"/>
          <w:sz w:val="21"/>
          <w:szCs w:val="21"/>
          <w:highlight w:val="none"/>
        </w:rPr>
      </w:pPr>
      <w:bookmarkStart w:id="578" w:name="_Toc9514"/>
      <w:bookmarkStart w:id="579" w:name="_Toc5505"/>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78"/>
      <w:bookmarkEnd w:id="579"/>
    </w:p>
    <w:p w14:paraId="1EE896A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1169B2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4FD284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965FFA1">
      <w:pPr>
        <w:pStyle w:val="5"/>
        <w:spacing w:before="0" w:after="0" w:line="360" w:lineRule="auto"/>
        <w:rPr>
          <w:rFonts w:ascii="宋体" w:hAnsi="宋体" w:cs="宋体"/>
          <w:color w:val="auto"/>
          <w:sz w:val="21"/>
          <w:szCs w:val="21"/>
          <w:highlight w:val="none"/>
        </w:rPr>
      </w:pPr>
      <w:bookmarkStart w:id="580" w:name="_Toc25427"/>
      <w:bookmarkStart w:id="581" w:name="_Toc484465184"/>
      <w:bookmarkStart w:id="582" w:name="_Toc479262406"/>
      <w:bookmarkStart w:id="583" w:name="_Toc26860"/>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0"/>
      <w:bookmarkEnd w:id="581"/>
      <w:bookmarkEnd w:id="582"/>
      <w:bookmarkEnd w:id="583"/>
    </w:p>
    <w:p w14:paraId="56C9A891">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14:paraId="29AFBFD0">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14:paraId="4CEC080D">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27E99D94">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3E2E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B9AEB5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49AD6110">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B5A3D09">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550B8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5" w:hRule="atLeast"/>
          <w:tblHeader/>
          <w:jc w:val="center"/>
        </w:trPr>
        <w:tc>
          <w:tcPr>
            <w:tcW w:w="1237" w:type="dxa"/>
            <w:vMerge w:val="restart"/>
            <w:vAlign w:val="center"/>
          </w:tcPr>
          <w:p w14:paraId="406E2E43">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Merge w:val="restart"/>
            <w:vAlign w:val="center"/>
          </w:tcPr>
          <w:p w14:paraId="7C9ABC9A">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E8EF6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w:t>
            </w:r>
            <w:r>
              <w:rPr>
                <w:rFonts w:hint="eastAsia" w:ascii="宋体" w:hAnsi="宋体"/>
                <w:color w:val="auto"/>
                <w:szCs w:val="21"/>
                <w:highlight w:val="none"/>
              </w:rPr>
              <w:t>投标人的资质条件、营业执照及安全生产条件须满足投标人须知前附表第1.4.1项的要求，否则由评标委员会作否决投标处理。</w:t>
            </w:r>
          </w:p>
        </w:tc>
      </w:tr>
      <w:tr w14:paraId="4CC24C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FB53023">
            <w:pPr>
              <w:spacing w:line="400" w:lineRule="exact"/>
              <w:jc w:val="center"/>
              <w:rPr>
                <w:rFonts w:ascii="宋体" w:hAnsi="宋体"/>
                <w:color w:val="auto"/>
                <w:szCs w:val="21"/>
                <w:highlight w:val="none"/>
              </w:rPr>
            </w:pPr>
          </w:p>
        </w:tc>
        <w:tc>
          <w:tcPr>
            <w:tcW w:w="1899" w:type="dxa"/>
            <w:vMerge w:val="continue"/>
            <w:vAlign w:val="center"/>
          </w:tcPr>
          <w:p w14:paraId="42CB1335">
            <w:pPr>
              <w:spacing w:line="400" w:lineRule="exact"/>
              <w:jc w:val="center"/>
              <w:rPr>
                <w:rFonts w:ascii="宋体" w:hAnsi="宋体"/>
                <w:color w:val="auto"/>
                <w:szCs w:val="21"/>
                <w:highlight w:val="none"/>
              </w:rPr>
            </w:pPr>
          </w:p>
        </w:tc>
        <w:tc>
          <w:tcPr>
            <w:tcW w:w="6333" w:type="dxa"/>
            <w:vAlign w:val="center"/>
          </w:tcPr>
          <w:p w14:paraId="2F3178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rPr>
              <w:t>投标人的投标截止日投标资格情况须满足投标人须知前附表1.4.1项的要求，否则由评标委员会作否决投标处理。</w:t>
            </w:r>
          </w:p>
        </w:tc>
      </w:tr>
      <w:tr w14:paraId="02FA92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16F73B">
            <w:pPr>
              <w:spacing w:line="400" w:lineRule="exact"/>
              <w:jc w:val="center"/>
              <w:rPr>
                <w:rFonts w:ascii="宋体" w:hAnsi="宋体"/>
                <w:color w:val="auto"/>
                <w:szCs w:val="21"/>
                <w:highlight w:val="none"/>
              </w:rPr>
            </w:pPr>
          </w:p>
        </w:tc>
        <w:tc>
          <w:tcPr>
            <w:tcW w:w="1899" w:type="dxa"/>
            <w:vMerge w:val="continue"/>
            <w:vAlign w:val="center"/>
          </w:tcPr>
          <w:p w14:paraId="72BD333B">
            <w:pPr>
              <w:spacing w:line="400" w:lineRule="exact"/>
              <w:jc w:val="center"/>
              <w:rPr>
                <w:rFonts w:ascii="宋体" w:hAnsi="宋体"/>
                <w:color w:val="auto"/>
                <w:szCs w:val="21"/>
                <w:highlight w:val="none"/>
              </w:rPr>
            </w:pPr>
          </w:p>
        </w:tc>
        <w:tc>
          <w:tcPr>
            <w:tcW w:w="6333" w:type="dxa"/>
            <w:vAlign w:val="center"/>
          </w:tcPr>
          <w:p w14:paraId="6598FEA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投标人的项目经理资格须满足投标人须知前附表第1.4.1项的要求，否则由评标委员会作否决投标处理。</w:t>
            </w:r>
          </w:p>
        </w:tc>
      </w:tr>
      <w:tr w14:paraId="0ECE8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0" w:hRule="atLeast"/>
          <w:tblHeader/>
          <w:jc w:val="center"/>
        </w:trPr>
        <w:tc>
          <w:tcPr>
            <w:tcW w:w="1237" w:type="dxa"/>
            <w:vMerge w:val="continue"/>
            <w:vAlign w:val="center"/>
          </w:tcPr>
          <w:p w14:paraId="109642CD">
            <w:pPr>
              <w:spacing w:line="400" w:lineRule="exact"/>
              <w:jc w:val="center"/>
              <w:rPr>
                <w:rFonts w:ascii="宋体" w:hAnsi="宋体"/>
                <w:color w:val="auto"/>
                <w:szCs w:val="21"/>
                <w:highlight w:val="none"/>
              </w:rPr>
            </w:pPr>
          </w:p>
        </w:tc>
        <w:tc>
          <w:tcPr>
            <w:tcW w:w="1899" w:type="dxa"/>
            <w:vMerge w:val="continue"/>
            <w:vAlign w:val="center"/>
          </w:tcPr>
          <w:p w14:paraId="76A066CA">
            <w:pPr>
              <w:spacing w:line="400" w:lineRule="exact"/>
              <w:jc w:val="center"/>
              <w:rPr>
                <w:rFonts w:ascii="宋体" w:hAnsi="宋体"/>
                <w:color w:val="auto"/>
                <w:szCs w:val="21"/>
                <w:highlight w:val="none"/>
              </w:rPr>
            </w:pPr>
          </w:p>
        </w:tc>
        <w:tc>
          <w:tcPr>
            <w:tcW w:w="6333" w:type="dxa"/>
            <w:vAlign w:val="center"/>
          </w:tcPr>
          <w:p w14:paraId="38ADF1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投标人的其他要求须满足投标人须知前附表第1.4.1项的要求，否则由评标委员会作否决投标处理。</w:t>
            </w:r>
          </w:p>
        </w:tc>
      </w:tr>
      <w:tr w14:paraId="221A25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07D330">
            <w:pPr>
              <w:spacing w:line="400" w:lineRule="exact"/>
              <w:jc w:val="center"/>
              <w:rPr>
                <w:rFonts w:ascii="宋体" w:hAnsi="宋体"/>
                <w:color w:val="auto"/>
                <w:szCs w:val="21"/>
                <w:highlight w:val="none"/>
              </w:rPr>
            </w:pPr>
          </w:p>
        </w:tc>
        <w:tc>
          <w:tcPr>
            <w:tcW w:w="1899" w:type="dxa"/>
            <w:vMerge w:val="restart"/>
            <w:vAlign w:val="center"/>
          </w:tcPr>
          <w:p w14:paraId="7D758DA3">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046A7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6C46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3657E7">
            <w:pPr>
              <w:spacing w:line="400" w:lineRule="exact"/>
              <w:jc w:val="center"/>
              <w:rPr>
                <w:rFonts w:ascii="宋体" w:hAnsi="宋体"/>
                <w:color w:val="auto"/>
                <w:szCs w:val="21"/>
                <w:highlight w:val="none"/>
              </w:rPr>
            </w:pPr>
          </w:p>
        </w:tc>
        <w:tc>
          <w:tcPr>
            <w:tcW w:w="1899" w:type="dxa"/>
            <w:vMerge w:val="continue"/>
            <w:vAlign w:val="center"/>
          </w:tcPr>
          <w:p w14:paraId="5374C1ED">
            <w:pPr>
              <w:spacing w:line="400" w:lineRule="exact"/>
              <w:jc w:val="center"/>
              <w:rPr>
                <w:rFonts w:ascii="宋体" w:hAnsi="宋体"/>
                <w:color w:val="auto"/>
                <w:szCs w:val="21"/>
                <w:highlight w:val="none"/>
              </w:rPr>
            </w:pPr>
          </w:p>
        </w:tc>
        <w:tc>
          <w:tcPr>
            <w:tcW w:w="6333" w:type="dxa"/>
          </w:tcPr>
          <w:p w14:paraId="3493CB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投标函格式规定签名、盖章的位置有法定代表人或其委托代理人签名（或盖章）、加盖单位法人章，否则由评标委员会作否决投标处理。</w:t>
            </w:r>
          </w:p>
        </w:tc>
      </w:tr>
      <w:tr w14:paraId="17820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93999B">
            <w:pPr>
              <w:spacing w:line="400" w:lineRule="exact"/>
              <w:jc w:val="center"/>
              <w:rPr>
                <w:rFonts w:ascii="宋体" w:hAnsi="宋体"/>
                <w:color w:val="auto"/>
                <w:szCs w:val="21"/>
                <w:highlight w:val="none"/>
              </w:rPr>
            </w:pPr>
          </w:p>
        </w:tc>
        <w:tc>
          <w:tcPr>
            <w:tcW w:w="1899" w:type="dxa"/>
            <w:vMerge w:val="continue"/>
            <w:vAlign w:val="center"/>
          </w:tcPr>
          <w:p w14:paraId="6B608460">
            <w:pPr>
              <w:spacing w:line="400" w:lineRule="exact"/>
              <w:jc w:val="center"/>
              <w:rPr>
                <w:rFonts w:ascii="宋体" w:hAnsi="宋体"/>
                <w:color w:val="auto"/>
                <w:szCs w:val="21"/>
                <w:highlight w:val="none"/>
              </w:rPr>
            </w:pPr>
          </w:p>
        </w:tc>
        <w:tc>
          <w:tcPr>
            <w:tcW w:w="6333" w:type="dxa"/>
          </w:tcPr>
          <w:p w14:paraId="388F9B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投标文件格式符合第二章“投标人须知”第3.7款的要求，否则由评标委员会作否决投标处理。</w:t>
            </w:r>
          </w:p>
          <w:p w14:paraId="58E659E3">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6407D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37" w:type="dxa"/>
            <w:vMerge w:val="continue"/>
            <w:vAlign w:val="center"/>
          </w:tcPr>
          <w:p w14:paraId="0820E0C7">
            <w:pPr>
              <w:spacing w:line="400" w:lineRule="exact"/>
              <w:jc w:val="center"/>
              <w:rPr>
                <w:rFonts w:ascii="宋体" w:hAnsi="宋体"/>
                <w:color w:val="auto"/>
                <w:szCs w:val="21"/>
                <w:highlight w:val="none"/>
              </w:rPr>
            </w:pPr>
          </w:p>
        </w:tc>
        <w:tc>
          <w:tcPr>
            <w:tcW w:w="1899" w:type="dxa"/>
            <w:vMerge w:val="continue"/>
            <w:vAlign w:val="center"/>
          </w:tcPr>
          <w:p w14:paraId="2B2BBC44">
            <w:pPr>
              <w:spacing w:line="400" w:lineRule="exact"/>
              <w:jc w:val="center"/>
              <w:rPr>
                <w:rFonts w:ascii="宋体" w:hAnsi="宋体"/>
                <w:color w:val="auto"/>
                <w:szCs w:val="21"/>
                <w:highlight w:val="none"/>
              </w:rPr>
            </w:pPr>
          </w:p>
        </w:tc>
        <w:tc>
          <w:tcPr>
            <w:tcW w:w="6333" w:type="dxa"/>
          </w:tcPr>
          <w:p w14:paraId="63003D94">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投标文件份数符合第二章“投标人须知”第3.7.4项的规定，</w:t>
            </w:r>
            <w:r>
              <w:rPr>
                <w:rFonts w:hint="eastAsia" w:ascii="宋体" w:hAnsi="宋体"/>
                <w:color w:val="auto"/>
                <w:kern w:val="0"/>
                <w:szCs w:val="21"/>
                <w:highlight w:val="none"/>
              </w:rPr>
              <w:t>否则由评标委员会作否决投标处理。</w:t>
            </w:r>
          </w:p>
        </w:tc>
      </w:tr>
      <w:tr w14:paraId="1BE740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E7EE05">
            <w:pPr>
              <w:spacing w:line="400" w:lineRule="exact"/>
              <w:jc w:val="center"/>
              <w:rPr>
                <w:rFonts w:ascii="宋体" w:hAnsi="宋体"/>
                <w:color w:val="auto"/>
                <w:szCs w:val="21"/>
                <w:highlight w:val="none"/>
              </w:rPr>
            </w:pPr>
          </w:p>
        </w:tc>
        <w:tc>
          <w:tcPr>
            <w:tcW w:w="1899" w:type="dxa"/>
            <w:vMerge w:val="continue"/>
            <w:vAlign w:val="center"/>
          </w:tcPr>
          <w:p w14:paraId="17E0B586">
            <w:pPr>
              <w:spacing w:line="400" w:lineRule="exact"/>
              <w:jc w:val="center"/>
              <w:rPr>
                <w:rFonts w:ascii="宋体" w:hAnsi="宋体"/>
                <w:color w:val="auto"/>
                <w:szCs w:val="21"/>
                <w:highlight w:val="none"/>
              </w:rPr>
            </w:pPr>
          </w:p>
        </w:tc>
        <w:tc>
          <w:tcPr>
            <w:tcW w:w="6333" w:type="dxa"/>
          </w:tcPr>
          <w:p w14:paraId="59445C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没有规定的情况下，不得提交选择性报价，否则由评标委员会作否决投标处理。</w:t>
            </w:r>
          </w:p>
        </w:tc>
      </w:tr>
      <w:tr w14:paraId="10D600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27E53A">
            <w:pPr>
              <w:spacing w:line="400" w:lineRule="exact"/>
              <w:jc w:val="center"/>
              <w:rPr>
                <w:rFonts w:ascii="宋体" w:hAnsi="宋体"/>
                <w:color w:val="auto"/>
                <w:szCs w:val="21"/>
                <w:highlight w:val="none"/>
              </w:rPr>
            </w:pPr>
          </w:p>
        </w:tc>
        <w:tc>
          <w:tcPr>
            <w:tcW w:w="1899" w:type="dxa"/>
            <w:vMerge w:val="continue"/>
            <w:vAlign w:val="center"/>
          </w:tcPr>
          <w:p w14:paraId="39FB75BC">
            <w:pPr>
              <w:spacing w:line="400" w:lineRule="exact"/>
              <w:jc w:val="center"/>
              <w:rPr>
                <w:rFonts w:ascii="宋体" w:hAnsi="宋体"/>
                <w:color w:val="auto"/>
                <w:szCs w:val="21"/>
                <w:highlight w:val="none"/>
              </w:rPr>
            </w:pPr>
          </w:p>
        </w:tc>
        <w:tc>
          <w:tcPr>
            <w:tcW w:w="6333" w:type="dxa"/>
          </w:tcPr>
          <w:p w14:paraId="43CEDE6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s="宋体"/>
                <w:color w:val="auto"/>
                <w:kern w:val="0"/>
                <w:highlight w:val="none"/>
              </w:rPr>
              <w:t>第八章 投标文件格式要求法定代表人或其委托代理人签名（或盖章）的须齐全。</w:t>
            </w:r>
          </w:p>
        </w:tc>
      </w:tr>
      <w:tr w14:paraId="4FF513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B15FEAC">
            <w:pPr>
              <w:spacing w:line="400" w:lineRule="exact"/>
              <w:jc w:val="center"/>
              <w:rPr>
                <w:rFonts w:ascii="宋体" w:hAnsi="宋体"/>
                <w:color w:val="auto"/>
                <w:szCs w:val="21"/>
                <w:highlight w:val="none"/>
              </w:rPr>
            </w:pPr>
          </w:p>
        </w:tc>
        <w:tc>
          <w:tcPr>
            <w:tcW w:w="1899" w:type="dxa"/>
            <w:vMerge w:val="continue"/>
            <w:vAlign w:val="center"/>
          </w:tcPr>
          <w:p w14:paraId="54405181">
            <w:pPr>
              <w:spacing w:line="400" w:lineRule="exact"/>
              <w:jc w:val="center"/>
              <w:rPr>
                <w:rFonts w:ascii="宋体" w:hAnsi="宋体"/>
                <w:color w:val="auto"/>
                <w:szCs w:val="21"/>
                <w:highlight w:val="none"/>
              </w:rPr>
            </w:pPr>
          </w:p>
        </w:tc>
        <w:tc>
          <w:tcPr>
            <w:tcW w:w="6333" w:type="dxa"/>
          </w:tcPr>
          <w:p w14:paraId="2CFE95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投标人法定代表人的委托代理人有法定代表人签署的授权委托书和投标人为其缴纳的养老保险证明材料，否则由评标委员会作否决投标处理。</w:t>
            </w:r>
          </w:p>
        </w:tc>
      </w:tr>
      <w:tr w14:paraId="777A2D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F4AB76">
            <w:pPr>
              <w:spacing w:line="400" w:lineRule="exact"/>
              <w:jc w:val="center"/>
              <w:rPr>
                <w:rFonts w:ascii="宋体" w:hAnsi="宋体"/>
                <w:color w:val="auto"/>
                <w:szCs w:val="21"/>
                <w:highlight w:val="none"/>
              </w:rPr>
            </w:pPr>
          </w:p>
        </w:tc>
        <w:tc>
          <w:tcPr>
            <w:tcW w:w="1899" w:type="dxa"/>
            <w:vMerge w:val="restart"/>
            <w:vAlign w:val="center"/>
          </w:tcPr>
          <w:p w14:paraId="34DC8279">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6A1E2D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3365EE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237" w:type="dxa"/>
            <w:vMerge w:val="continue"/>
            <w:vAlign w:val="center"/>
          </w:tcPr>
          <w:p w14:paraId="08831F31">
            <w:pPr>
              <w:spacing w:line="400" w:lineRule="exact"/>
              <w:jc w:val="center"/>
              <w:rPr>
                <w:rFonts w:ascii="宋体" w:hAnsi="宋体"/>
                <w:color w:val="auto"/>
                <w:szCs w:val="21"/>
                <w:highlight w:val="none"/>
              </w:rPr>
            </w:pPr>
          </w:p>
        </w:tc>
        <w:tc>
          <w:tcPr>
            <w:tcW w:w="1899" w:type="dxa"/>
            <w:vMerge w:val="continue"/>
            <w:vAlign w:val="center"/>
          </w:tcPr>
          <w:p w14:paraId="43BA203E">
            <w:pPr>
              <w:spacing w:line="400" w:lineRule="exact"/>
              <w:jc w:val="center"/>
              <w:rPr>
                <w:rFonts w:ascii="宋体" w:hAnsi="宋体"/>
                <w:color w:val="auto"/>
                <w:szCs w:val="21"/>
                <w:highlight w:val="none"/>
              </w:rPr>
            </w:pPr>
          </w:p>
        </w:tc>
        <w:tc>
          <w:tcPr>
            <w:tcW w:w="6333" w:type="dxa"/>
            <w:vAlign w:val="center"/>
          </w:tcPr>
          <w:p w14:paraId="70D89E5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14:paraId="5E4C73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FD51DF">
            <w:pPr>
              <w:spacing w:line="400" w:lineRule="exact"/>
              <w:jc w:val="center"/>
              <w:rPr>
                <w:rFonts w:ascii="宋体" w:hAnsi="宋体"/>
                <w:color w:val="auto"/>
                <w:szCs w:val="21"/>
                <w:highlight w:val="none"/>
              </w:rPr>
            </w:pPr>
          </w:p>
        </w:tc>
        <w:tc>
          <w:tcPr>
            <w:tcW w:w="1899" w:type="dxa"/>
            <w:vMerge w:val="continue"/>
            <w:vAlign w:val="center"/>
          </w:tcPr>
          <w:p w14:paraId="3F12FCC0">
            <w:pPr>
              <w:spacing w:line="400" w:lineRule="exact"/>
              <w:jc w:val="center"/>
              <w:rPr>
                <w:rFonts w:ascii="宋体" w:hAnsi="宋体"/>
                <w:color w:val="auto"/>
                <w:szCs w:val="21"/>
                <w:highlight w:val="none"/>
              </w:rPr>
            </w:pPr>
          </w:p>
        </w:tc>
        <w:tc>
          <w:tcPr>
            <w:tcW w:w="6333" w:type="dxa"/>
            <w:vAlign w:val="center"/>
          </w:tcPr>
          <w:p w14:paraId="555C39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14</w:t>
            </w:r>
            <w:r>
              <w:rPr>
                <w:rFonts w:hint="eastAsia" w:ascii="宋体" w:hAnsi="宋体"/>
                <w:color w:val="auto"/>
                <w:szCs w:val="21"/>
                <w:highlight w:val="none"/>
              </w:rPr>
              <w:t>暂列金额、暂估价、安全文明施工费等暂定金额必须按照</w:t>
            </w:r>
            <w:r>
              <w:rPr>
                <w:rFonts w:hint="eastAsia" w:ascii="宋体" w:hAnsi="宋体"/>
                <w:color w:val="auto"/>
                <w:szCs w:val="21"/>
                <w:highlight w:val="none"/>
                <w:lang w:eastAsia="zh-CN"/>
              </w:rPr>
              <w:t>比选文件</w:t>
            </w:r>
            <w:r>
              <w:rPr>
                <w:rFonts w:hint="eastAsia" w:ascii="宋体" w:hAnsi="宋体"/>
                <w:color w:val="auto"/>
                <w:szCs w:val="21"/>
                <w:highlight w:val="none"/>
              </w:rPr>
              <w:t>给定的金额填报，否则由评标委员会作否决投标处理。</w:t>
            </w:r>
          </w:p>
        </w:tc>
      </w:tr>
      <w:tr w14:paraId="6ECB0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167BC6">
            <w:pPr>
              <w:spacing w:line="400" w:lineRule="exact"/>
              <w:jc w:val="center"/>
              <w:rPr>
                <w:rFonts w:ascii="宋体" w:hAnsi="宋体"/>
                <w:color w:val="auto"/>
                <w:szCs w:val="21"/>
                <w:highlight w:val="none"/>
              </w:rPr>
            </w:pPr>
          </w:p>
        </w:tc>
        <w:tc>
          <w:tcPr>
            <w:tcW w:w="1899" w:type="dxa"/>
            <w:vMerge w:val="continue"/>
            <w:vAlign w:val="center"/>
          </w:tcPr>
          <w:p w14:paraId="34E45B90">
            <w:pPr>
              <w:spacing w:line="400" w:lineRule="exact"/>
              <w:jc w:val="center"/>
              <w:rPr>
                <w:rFonts w:ascii="宋体" w:hAnsi="宋体"/>
                <w:color w:val="auto"/>
                <w:szCs w:val="21"/>
                <w:highlight w:val="none"/>
              </w:rPr>
            </w:pPr>
          </w:p>
        </w:tc>
        <w:tc>
          <w:tcPr>
            <w:tcW w:w="6333" w:type="dxa"/>
            <w:vAlign w:val="center"/>
          </w:tcPr>
          <w:p w14:paraId="3AF0CB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15</w:t>
            </w:r>
            <w:r>
              <w:rPr>
                <w:rFonts w:hint="eastAsia" w:ascii="宋体" w:hAnsi="宋体"/>
                <w:color w:val="auto"/>
                <w:szCs w:val="21"/>
                <w:highlight w:val="none"/>
              </w:rPr>
              <w:t>投标内容符合第二章“投标人须知”第1.3.1项规定，否则由评标委员会作否决投标处理。</w:t>
            </w:r>
          </w:p>
        </w:tc>
      </w:tr>
      <w:tr w14:paraId="2E37BA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66DA16">
            <w:pPr>
              <w:spacing w:line="400" w:lineRule="exact"/>
              <w:jc w:val="center"/>
              <w:rPr>
                <w:rFonts w:ascii="宋体" w:hAnsi="宋体"/>
                <w:color w:val="auto"/>
                <w:szCs w:val="21"/>
                <w:highlight w:val="none"/>
              </w:rPr>
            </w:pPr>
          </w:p>
        </w:tc>
        <w:tc>
          <w:tcPr>
            <w:tcW w:w="1899" w:type="dxa"/>
            <w:vMerge w:val="continue"/>
            <w:vAlign w:val="center"/>
          </w:tcPr>
          <w:p w14:paraId="167DB425">
            <w:pPr>
              <w:spacing w:line="400" w:lineRule="exact"/>
              <w:jc w:val="center"/>
              <w:rPr>
                <w:rFonts w:ascii="宋体" w:hAnsi="宋体"/>
                <w:color w:val="auto"/>
                <w:szCs w:val="21"/>
                <w:highlight w:val="none"/>
              </w:rPr>
            </w:pPr>
          </w:p>
        </w:tc>
        <w:tc>
          <w:tcPr>
            <w:tcW w:w="6333" w:type="dxa"/>
            <w:vAlign w:val="center"/>
          </w:tcPr>
          <w:p w14:paraId="445EEE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16</w:t>
            </w:r>
            <w:r>
              <w:rPr>
                <w:rFonts w:hint="eastAsia" w:ascii="宋体" w:hAnsi="宋体"/>
                <w:color w:val="auto"/>
                <w:szCs w:val="21"/>
                <w:highlight w:val="none"/>
              </w:rPr>
              <w:t>工期符合第二章“投标人须知”第1.3.2项规定，否则由评标委员会作否决投标处理。</w:t>
            </w:r>
          </w:p>
        </w:tc>
      </w:tr>
      <w:tr w14:paraId="18B642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F53E9E">
            <w:pPr>
              <w:spacing w:line="400" w:lineRule="exact"/>
              <w:jc w:val="center"/>
              <w:rPr>
                <w:rFonts w:ascii="宋体" w:hAnsi="宋体"/>
                <w:color w:val="auto"/>
                <w:szCs w:val="21"/>
                <w:highlight w:val="none"/>
              </w:rPr>
            </w:pPr>
          </w:p>
        </w:tc>
        <w:tc>
          <w:tcPr>
            <w:tcW w:w="1899" w:type="dxa"/>
            <w:vMerge w:val="continue"/>
            <w:vAlign w:val="center"/>
          </w:tcPr>
          <w:p w14:paraId="6779D835">
            <w:pPr>
              <w:spacing w:line="400" w:lineRule="exact"/>
              <w:jc w:val="center"/>
              <w:rPr>
                <w:rFonts w:ascii="宋体" w:hAnsi="宋体"/>
                <w:color w:val="auto"/>
                <w:szCs w:val="21"/>
                <w:highlight w:val="none"/>
              </w:rPr>
            </w:pPr>
          </w:p>
        </w:tc>
        <w:tc>
          <w:tcPr>
            <w:tcW w:w="6333" w:type="dxa"/>
            <w:vAlign w:val="center"/>
          </w:tcPr>
          <w:p w14:paraId="7BE0EB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w:t>
            </w:r>
            <w:r>
              <w:rPr>
                <w:rFonts w:hint="eastAsia" w:ascii="宋体" w:hAnsi="宋体"/>
                <w:color w:val="auto"/>
                <w:szCs w:val="21"/>
                <w:highlight w:val="none"/>
              </w:rPr>
              <w:t>工程质量符合第二章“投标人须知”第1.3.3项规定，否则由评标委员会作否决投标处理。</w:t>
            </w:r>
          </w:p>
        </w:tc>
      </w:tr>
      <w:tr w14:paraId="73005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7FCA2F">
            <w:pPr>
              <w:spacing w:line="400" w:lineRule="exact"/>
              <w:jc w:val="center"/>
              <w:rPr>
                <w:rFonts w:ascii="宋体" w:hAnsi="宋体"/>
                <w:color w:val="auto"/>
                <w:szCs w:val="21"/>
                <w:highlight w:val="none"/>
              </w:rPr>
            </w:pPr>
          </w:p>
        </w:tc>
        <w:tc>
          <w:tcPr>
            <w:tcW w:w="1899" w:type="dxa"/>
            <w:vMerge w:val="continue"/>
            <w:vAlign w:val="center"/>
          </w:tcPr>
          <w:p w14:paraId="2255087B">
            <w:pPr>
              <w:spacing w:line="400" w:lineRule="exact"/>
              <w:jc w:val="center"/>
              <w:rPr>
                <w:rFonts w:ascii="宋体" w:hAnsi="宋体"/>
                <w:color w:val="auto"/>
                <w:szCs w:val="21"/>
                <w:highlight w:val="none"/>
              </w:rPr>
            </w:pPr>
          </w:p>
        </w:tc>
        <w:tc>
          <w:tcPr>
            <w:tcW w:w="6333" w:type="dxa"/>
            <w:vAlign w:val="center"/>
          </w:tcPr>
          <w:p w14:paraId="46A08FE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投标有效期符合第二章“投标人须知”第3.3.1项规定，否则由评标委员会作否决投标处理。</w:t>
            </w:r>
          </w:p>
        </w:tc>
      </w:tr>
      <w:tr w14:paraId="7BD73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772E893">
            <w:pPr>
              <w:spacing w:line="400" w:lineRule="exact"/>
              <w:jc w:val="center"/>
              <w:rPr>
                <w:rFonts w:ascii="宋体" w:hAnsi="宋体"/>
                <w:color w:val="auto"/>
                <w:szCs w:val="21"/>
                <w:highlight w:val="none"/>
              </w:rPr>
            </w:pPr>
          </w:p>
        </w:tc>
        <w:tc>
          <w:tcPr>
            <w:tcW w:w="1899" w:type="dxa"/>
            <w:vMerge w:val="continue"/>
            <w:vAlign w:val="center"/>
          </w:tcPr>
          <w:p w14:paraId="483027F1">
            <w:pPr>
              <w:spacing w:line="400" w:lineRule="exact"/>
              <w:jc w:val="center"/>
              <w:rPr>
                <w:rFonts w:ascii="宋体" w:hAnsi="宋体"/>
                <w:color w:val="auto"/>
                <w:szCs w:val="21"/>
                <w:highlight w:val="none"/>
              </w:rPr>
            </w:pPr>
          </w:p>
        </w:tc>
        <w:tc>
          <w:tcPr>
            <w:tcW w:w="6333" w:type="dxa"/>
            <w:vAlign w:val="center"/>
          </w:tcPr>
          <w:p w14:paraId="6AFF1F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D22F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ADB1F0">
            <w:pPr>
              <w:spacing w:line="400" w:lineRule="exact"/>
              <w:jc w:val="center"/>
              <w:rPr>
                <w:rFonts w:ascii="宋体" w:hAnsi="宋体"/>
                <w:color w:val="auto"/>
                <w:szCs w:val="21"/>
                <w:highlight w:val="none"/>
              </w:rPr>
            </w:pPr>
          </w:p>
        </w:tc>
        <w:tc>
          <w:tcPr>
            <w:tcW w:w="1899" w:type="dxa"/>
            <w:vMerge w:val="continue"/>
            <w:vAlign w:val="center"/>
          </w:tcPr>
          <w:p w14:paraId="429AA9E4">
            <w:pPr>
              <w:spacing w:line="400" w:lineRule="exact"/>
              <w:jc w:val="center"/>
              <w:rPr>
                <w:rFonts w:ascii="宋体" w:hAnsi="宋体"/>
                <w:color w:val="auto"/>
                <w:szCs w:val="21"/>
                <w:highlight w:val="none"/>
              </w:rPr>
            </w:pPr>
          </w:p>
        </w:tc>
        <w:tc>
          <w:tcPr>
            <w:tcW w:w="6333" w:type="dxa"/>
            <w:vAlign w:val="center"/>
          </w:tcPr>
          <w:p w14:paraId="49F82E7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0</w:t>
            </w:r>
            <w:r>
              <w:rPr>
                <w:rFonts w:hint="eastAsia" w:ascii="宋体" w:hAnsi="宋体"/>
                <w:color w:val="auto"/>
                <w:szCs w:val="21"/>
                <w:highlight w:val="none"/>
              </w:rPr>
              <w:t>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不能接受的条件，否则由评标委员会作否决投标处理。（由投标人承诺，承诺书格式详见第八章投标文件格式。）</w:t>
            </w:r>
          </w:p>
        </w:tc>
      </w:tr>
      <w:tr w14:paraId="2185A7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323058A">
            <w:pPr>
              <w:spacing w:line="400" w:lineRule="exact"/>
              <w:jc w:val="center"/>
              <w:rPr>
                <w:rFonts w:ascii="宋体" w:hAnsi="宋体"/>
                <w:color w:val="auto"/>
                <w:szCs w:val="21"/>
                <w:highlight w:val="none"/>
              </w:rPr>
            </w:pPr>
          </w:p>
        </w:tc>
        <w:tc>
          <w:tcPr>
            <w:tcW w:w="1899" w:type="dxa"/>
            <w:vMerge w:val="continue"/>
            <w:vAlign w:val="center"/>
          </w:tcPr>
          <w:p w14:paraId="63F413AC">
            <w:pPr>
              <w:spacing w:line="400" w:lineRule="exact"/>
              <w:jc w:val="center"/>
              <w:rPr>
                <w:rFonts w:ascii="宋体" w:hAnsi="宋体"/>
                <w:color w:val="auto"/>
                <w:szCs w:val="21"/>
                <w:highlight w:val="none"/>
              </w:rPr>
            </w:pPr>
          </w:p>
        </w:tc>
        <w:tc>
          <w:tcPr>
            <w:tcW w:w="6333" w:type="dxa"/>
            <w:vAlign w:val="center"/>
          </w:tcPr>
          <w:p w14:paraId="2E5657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符合第七章“技术标准和要求”规定。否则由评标委员会作否决投标处理（如有）。（由投标人承诺，承诺书格式详见第八章投标文件格式。）</w:t>
            </w:r>
          </w:p>
        </w:tc>
      </w:tr>
      <w:tr w14:paraId="63AC25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237" w:type="dxa"/>
            <w:vMerge w:val="continue"/>
            <w:vAlign w:val="center"/>
          </w:tcPr>
          <w:p w14:paraId="4C8ED407">
            <w:pPr>
              <w:spacing w:line="400" w:lineRule="exact"/>
              <w:jc w:val="center"/>
              <w:rPr>
                <w:rFonts w:ascii="宋体" w:hAnsi="宋体"/>
                <w:color w:val="auto"/>
                <w:szCs w:val="21"/>
                <w:highlight w:val="none"/>
              </w:rPr>
            </w:pPr>
          </w:p>
        </w:tc>
        <w:tc>
          <w:tcPr>
            <w:tcW w:w="1899" w:type="dxa"/>
            <w:vMerge w:val="continue"/>
            <w:vAlign w:val="center"/>
          </w:tcPr>
          <w:p w14:paraId="76A6F96B">
            <w:pPr>
              <w:spacing w:line="400" w:lineRule="exact"/>
              <w:jc w:val="center"/>
              <w:rPr>
                <w:rFonts w:ascii="宋体" w:hAnsi="宋体"/>
                <w:color w:val="auto"/>
                <w:szCs w:val="21"/>
                <w:highlight w:val="none"/>
              </w:rPr>
            </w:pPr>
          </w:p>
        </w:tc>
        <w:tc>
          <w:tcPr>
            <w:tcW w:w="6333" w:type="dxa"/>
            <w:tcBorders>
              <w:bottom w:val="single" w:color="auto" w:sz="4" w:space="0"/>
            </w:tcBorders>
            <w:vAlign w:val="center"/>
          </w:tcPr>
          <w:p w14:paraId="1D14F2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投标人必须按招标工程量清单填报价格。项目编码、项目名称、项目特征、计量单位、工程量必须与招标工程量清单一致。否则交由评标委员会作否决投标处理。</w:t>
            </w:r>
          </w:p>
        </w:tc>
      </w:tr>
      <w:tr w14:paraId="6EEE43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237" w:type="dxa"/>
            <w:vMerge w:val="continue"/>
            <w:vAlign w:val="center"/>
          </w:tcPr>
          <w:p w14:paraId="47E254BE">
            <w:pPr>
              <w:spacing w:line="400" w:lineRule="exact"/>
              <w:jc w:val="center"/>
              <w:rPr>
                <w:rFonts w:ascii="宋体" w:hAnsi="宋体"/>
                <w:color w:val="auto"/>
                <w:szCs w:val="21"/>
                <w:highlight w:val="none"/>
              </w:rPr>
            </w:pPr>
          </w:p>
        </w:tc>
        <w:tc>
          <w:tcPr>
            <w:tcW w:w="1899" w:type="dxa"/>
            <w:vMerge w:val="continue"/>
            <w:vAlign w:val="center"/>
          </w:tcPr>
          <w:p w14:paraId="0805AF4E">
            <w:pPr>
              <w:spacing w:line="400" w:lineRule="exact"/>
              <w:jc w:val="center"/>
              <w:rPr>
                <w:rFonts w:ascii="宋体" w:hAnsi="宋体"/>
                <w:color w:val="auto"/>
                <w:szCs w:val="21"/>
                <w:highlight w:val="none"/>
              </w:rPr>
            </w:pPr>
          </w:p>
        </w:tc>
        <w:tc>
          <w:tcPr>
            <w:tcW w:w="6333" w:type="dxa"/>
            <w:tcBorders>
              <w:top w:val="single" w:color="auto" w:sz="4" w:space="0"/>
            </w:tcBorders>
            <w:vAlign w:val="center"/>
          </w:tcPr>
          <w:p w14:paraId="3F79346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投标人的每项清单综合单价报价不得超过每项清单综合单价最高限价，否则由评标委员会作否决投标处理。</w:t>
            </w:r>
          </w:p>
        </w:tc>
      </w:tr>
      <w:tr w14:paraId="748FCE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B9E0B6">
            <w:pPr>
              <w:spacing w:line="400" w:lineRule="exact"/>
              <w:jc w:val="center"/>
              <w:rPr>
                <w:rFonts w:ascii="宋体" w:hAnsi="宋体"/>
                <w:color w:val="auto"/>
                <w:szCs w:val="21"/>
                <w:highlight w:val="none"/>
              </w:rPr>
            </w:pPr>
          </w:p>
        </w:tc>
        <w:tc>
          <w:tcPr>
            <w:tcW w:w="1899" w:type="dxa"/>
            <w:vMerge w:val="continue"/>
            <w:vAlign w:val="center"/>
          </w:tcPr>
          <w:p w14:paraId="0B5747E1">
            <w:pPr>
              <w:spacing w:line="400" w:lineRule="exact"/>
              <w:jc w:val="center"/>
              <w:rPr>
                <w:rFonts w:ascii="宋体" w:hAnsi="宋体"/>
                <w:color w:val="auto"/>
                <w:szCs w:val="21"/>
                <w:highlight w:val="none"/>
              </w:rPr>
            </w:pPr>
          </w:p>
        </w:tc>
        <w:tc>
          <w:tcPr>
            <w:tcW w:w="6333" w:type="dxa"/>
            <w:vAlign w:val="center"/>
          </w:tcPr>
          <w:p w14:paraId="393FEA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4</w:t>
            </w:r>
            <w:r>
              <w:rPr>
                <w:rFonts w:hint="eastAsia" w:ascii="宋体" w:hAnsi="宋体"/>
                <w:color w:val="auto"/>
                <w:szCs w:val="21"/>
                <w:highlight w:val="none"/>
              </w:rPr>
              <w:t>投标报价有算术错误的，按照第三章“评标办法”第3.2.3项规定执行，否则由评标委员会作否决投标处理。</w:t>
            </w:r>
          </w:p>
        </w:tc>
      </w:tr>
      <w:tr w14:paraId="01EF7A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6F2ACE">
            <w:pPr>
              <w:spacing w:line="400" w:lineRule="exact"/>
              <w:jc w:val="center"/>
              <w:rPr>
                <w:rFonts w:ascii="宋体" w:hAnsi="宋体"/>
                <w:color w:val="auto"/>
                <w:szCs w:val="21"/>
                <w:highlight w:val="none"/>
              </w:rPr>
            </w:pPr>
          </w:p>
        </w:tc>
        <w:tc>
          <w:tcPr>
            <w:tcW w:w="1899" w:type="dxa"/>
            <w:vMerge w:val="continue"/>
            <w:vAlign w:val="center"/>
          </w:tcPr>
          <w:p w14:paraId="36B7797A">
            <w:pPr>
              <w:spacing w:line="400" w:lineRule="exact"/>
              <w:jc w:val="center"/>
              <w:rPr>
                <w:rFonts w:ascii="宋体" w:hAnsi="宋体"/>
                <w:color w:val="auto"/>
                <w:szCs w:val="21"/>
                <w:highlight w:val="none"/>
              </w:rPr>
            </w:pPr>
          </w:p>
        </w:tc>
        <w:tc>
          <w:tcPr>
            <w:tcW w:w="6333" w:type="dxa"/>
            <w:vAlign w:val="center"/>
          </w:tcPr>
          <w:p w14:paraId="3E01965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25</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A03C4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7D8CDBF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52FBF8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610CC5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E320889">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4B711584">
            <w:pPr>
              <w:spacing w:line="400" w:lineRule="exact"/>
              <w:jc w:val="center"/>
              <w:rPr>
                <w:rFonts w:ascii="宋体" w:hAnsi="宋体"/>
                <w:color w:val="auto"/>
                <w:szCs w:val="21"/>
                <w:highlight w:val="none"/>
              </w:rPr>
            </w:pPr>
          </w:p>
        </w:tc>
        <w:tc>
          <w:tcPr>
            <w:tcW w:w="6333" w:type="dxa"/>
          </w:tcPr>
          <w:p w14:paraId="4C4E07B2">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无。</w:t>
            </w:r>
          </w:p>
        </w:tc>
      </w:tr>
    </w:tbl>
    <w:p w14:paraId="37BFEB52">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84" w:name="招标文件03章02评标办法综合评估法00"/>
      <w:bookmarkEnd w:id="584"/>
      <w:bookmarkStart w:id="585" w:name="招标文件03章02评标办法综合评估法"/>
      <w:bookmarkEnd w:id="585"/>
      <w:bookmarkStart w:id="586" w:name="_Toc287620751"/>
      <w:bookmarkStart w:id="587" w:name="_Toc287607812"/>
      <w:bookmarkStart w:id="588" w:name="_Toc200513198"/>
      <w:bookmarkStart w:id="589" w:name="_Toc277082618"/>
      <w:bookmarkStart w:id="590" w:name="_Toc224103384"/>
      <w:bookmarkStart w:id="591" w:name="_Toc430530500"/>
    </w:p>
    <w:bookmarkEnd w:id="586"/>
    <w:bookmarkEnd w:id="587"/>
    <w:bookmarkEnd w:id="588"/>
    <w:bookmarkEnd w:id="589"/>
    <w:bookmarkEnd w:id="590"/>
    <w:bookmarkEnd w:id="591"/>
    <w:p w14:paraId="480E9529">
      <w:pPr>
        <w:pStyle w:val="3"/>
        <w:spacing w:line="360" w:lineRule="auto"/>
        <w:jc w:val="center"/>
        <w:rPr>
          <w:rFonts w:ascii="宋体" w:hAnsi="宋体"/>
          <w:color w:val="auto"/>
          <w:kern w:val="0"/>
          <w:highlight w:val="none"/>
        </w:rPr>
      </w:pPr>
      <w:bookmarkStart w:id="592" w:name="招标文件03章02评标办法综合评估法02附件02"/>
      <w:bookmarkEnd w:id="592"/>
      <w:bookmarkStart w:id="593" w:name="招标文件04章合同条款及格式"/>
      <w:bookmarkEnd w:id="593"/>
      <w:bookmarkStart w:id="594" w:name="_Toc430530509"/>
      <w:bookmarkStart w:id="595" w:name="_Toc14106"/>
      <w:bookmarkStart w:id="596" w:name="_Toc8427"/>
      <w:bookmarkStart w:id="597" w:name="_Toc509218785"/>
      <w:r>
        <w:rPr>
          <w:rFonts w:hint="eastAsia" w:ascii="宋体" w:hAnsi="宋体"/>
          <w:color w:val="auto"/>
          <w:kern w:val="0"/>
          <w:highlight w:val="none"/>
        </w:rPr>
        <w:t>第四章  合同条款及格式</w:t>
      </w:r>
      <w:bookmarkEnd w:id="594"/>
      <w:bookmarkEnd w:id="595"/>
      <w:bookmarkEnd w:id="596"/>
      <w:bookmarkEnd w:id="597"/>
    </w:p>
    <w:p w14:paraId="3B3A9984">
      <w:pPr>
        <w:rPr>
          <w:rFonts w:ascii="宋体" w:hAnsi="宋体"/>
          <w:color w:val="auto"/>
          <w:sz w:val="44"/>
          <w:szCs w:val="44"/>
          <w:highlight w:val="none"/>
        </w:rPr>
      </w:pPr>
      <w:r>
        <w:rPr>
          <w:rFonts w:ascii="宋体" w:hAnsi="宋体"/>
          <w:color w:val="auto"/>
          <w:highlight w:val="none"/>
        </w:rPr>
        <w:br w:type="page"/>
      </w:r>
      <w:bookmarkStart w:id="598" w:name="_Toc351203480"/>
      <w:bookmarkStart w:id="599" w:name="_Toc296890982"/>
      <w:bookmarkStart w:id="600" w:name="_Toc296503025"/>
    </w:p>
    <w:p w14:paraId="2D5577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color w:val="auto"/>
          <w:sz w:val="32"/>
          <w:szCs w:val="32"/>
          <w:highlight w:val="none"/>
        </w:rPr>
      </w:pPr>
      <w:r>
        <w:rPr>
          <w:rFonts w:hint="eastAsia"/>
          <w:b/>
          <w:color w:val="auto"/>
          <w:sz w:val="32"/>
          <w:szCs w:val="32"/>
          <w:highlight w:val="none"/>
          <w:u w:val="single"/>
          <w:lang w:eastAsia="zh-CN"/>
        </w:rPr>
        <w:t>铜梁区第二实验小学空调供电线路安装工程</w:t>
      </w:r>
      <w:r>
        <w:rPr>
          <w:rFonts w:hint="eastAsia"/>
          <w:b/>
          <w:color w:val="auto"/>
          <w:sz w:val="32"/>
          <w:szCs w:val="32"/>
          <w:highlight w:val="none"/>
        </w:rPr>
        <w:t>施工合同</w:t>
      </w:r>
    </w:p>
    <w:p w14:paraId="6192C55B">
      <w:pPr>
        <w:spacing w:line="360" w:lineRule="auto"/>
        <w:jc w:val="center"/>
        <w:outlineLvl w:val="1"/>
        <w:rPr>
          <w:b/>
          <w:color w:val="auto"/>
          <w:sz w:val="32"/>
          <w:szCs w:val="32"/>
          <w:highlight w:val="none"/>
        </w:rPr>
      </w:pPr>
      <w:bookmarkStart w:id="601" w:name="_Toc28358"/>
      <w:bookmarkStart w:id="602" w:name="_Toc4399"/>
      <w:r>
        <w:rPr>
          <w:rFonts w:hint="eastAsia"/>
          <w:b/>
          <w:color w:val="auto"/>
          <w:sz w:val="32"/>
          <w:szCs w:val="32"/>
          <w:highlight w:val="none"/>
        </w:rPr>
        <w:t>第一节  合同协议书</w:t>
      </w:r>
      <w:bookmarkEnd w:id="601"/>
      <w:bookmarkEnd w:id="602"/>
    </w:p>
    <w:p w14:paraId="325C5540">
      <w:pPr>
        <w:pageBreakBefore w:val="0"/>
        <w:kinsoku/>
        <w:wordWrap/>
        <w:overflowPunct/>
        <w:topLinePunct w:val="0"/>
        <w:autoSpaceDE/>
        <w:autoSpaceDN/>
        <w:bidi w:val="0"/>
        <w:spacing w:line="400" w:lineRule="exact"/>
        <w:textAlignment w:val="auto"/>
        <w:rPr>
          <w:rFonts w:hint="eastAsia" w:eastAsiaTheme="minorEastAsia"/>
          <w:color w:val="auto"/>
          <w:highlight w:val="none"/>
          <w:lang w:eastAsia="zh-CN"/>
        </w:rPr>
      </w:pPr>
      <w:r>
        <w:rPr>
          <w:color w:val="auto"/>
          <w:highlight w:val="none"/>
        </w:rPr>
        <w:t>发包人(全称)：</w:t>
      </w:r>
      <w:r>
        <w:rPr>
          <w:rFonts w:hint="eastAsia"/>
          <w:color w:val="auto"/>
          <w:highlight w:val="none"/>
          <w:u w:val="single"/>
          <w:lang w:eastAsia="zh-CN"/>
        </w:rPr>
        <w:t>重庆市铜梁区第二实验小学</w:t>
      </w:r>
    </w:p>
    <w:p w14:paraId="529B7D5D">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4F20FC72">
      <w:pPr>
        <w:pageBreakBefore w:val="0"/>
        <w:kinsoku/>
        <w:wordWrap/>
        <w:overflowPunct/>
        <w:topLinePunct w:val="0"/>
        <w:autoSpaceDE/>
        <w:autoSpaceDN/>
        <w:bidi w:val="0"/>
        <w:spacing w:line="400" w:lineRule="exact"/>
        <w:textAlignment w:val="auto"/>
        <w:rPr>
          <w:rFonts w:ascii="宋体" w:hAnsi="宋体" w:cs="宋体"/>
          <w:color w:val="auto"/>
          <w:kern w:val="0"/>
          <w:szCs w:val="21"/>
          <w:highlight w:val="none"/>
        </w:rPr>
      </w:pPr>
      <w:r>
        <w:rPr>
          <w:color w:val="auto"/>
          <w:highlight w:val="none"/>
        </w:rPr>
        <w:t>法定注册地址：</w:t>
      </w:r>
    </w:p>
    <w:p w14:paraId="3126ED72">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承包人(全称)</w:t>
      </w:r>
      <w:r>
        <w:rPr>
          <w:rFonts w:hint="eastAsia"/>
          <w:color w:val="auto"/>
          <w:highlight w:val="none"/>
        </w:rPr>
        <w:t xml:space="preserve">： </w:t>
      </w:r>
    </w:p>
    <w:p w14:paraId="654642D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0756722A">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法定注册地址：</w:t>
      </w:r>
    </w:p>
    <w:p w14:paraId="77AAACB6">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发包人为</w:t>
      </w:r>
      <w:r>
        <w:rPr>
          <w:rFonts w:hint="eastAsia"/>
          <w:color w:val="auto"/>
          <w:highlight w:val="none"/>
        </w:rPr>
        <w:t>建设</w:t>
      </w:r>
      <w:r>
        <w:rPr>
          <w:rFonts w:hint="eastAsia" w:ascii="宋体" w:hAnsi="宋体" w:cs="宋体"/>
          <w:color w:val="auto"/>
          <w:kern w:val="0"/>
          <w:szCs w:val="21"/>
          <w:highlight w:val="none"/>
          <w:u w:val="single"/>
          <w:lang w:eastAsia="zh-CN"/>
        </w:rPr>
        <w:t>铜梁区第二实验小学空调供电线路安装工程</w:t>
      </w:r>
      <w:r>
        <w:rPr>
          <w:color w:val="auto"/>
          <w:highlight w:val="none"/>
        </w:rPr>
        <w:t>(以下简称“本工程”)，</w:t>
      </w:r>
      <w:r>
        <w:rPr>
          <w:rFonts w:hint="eastAsia"/>
          <w:color w:val="auto"/>
          <w:highlight w:val="none"/>
        </w:rPr>
        <w:t>经竞争性比选，</w:t>
      </w:r>
      <w:r>
        <w:rPr>
          <w:color w:val="auto"/>
          <w:highlight w:val="none"/>
        </w:rPr>
        <w:t>已接受承包人提出的承担本工程的施工、竣工、交付并维修其任何缺陷的投标。依照《中华人民共和国招标投标法》、《中华人民共和国</w:t>
      </w:r>
      <w:r>
        <w:rPr>
          <w:rFonts w:hint="eastAsia"/>
          <w:color w:val="auto"/>
          <w:highlight w:val="none"/>
          <w:lang w:eastAsia="zh-CN"/>
        </w:rPr>
        <w:t>民法典</w:t>
      </w:r>
      <w:r>
        <w:rPr>
          <w:color w:val="auto"/>
          <w:highlight w:val="none"/>
        </w:rPr>
        <w:t>》、《中华人民共和国建筑法》及其他有关法律、行政法规，遵循平等、自愿、公平和诚实信用的原则，双方共同达成并订立如下协议。</w:t>
      </w:r>
    </w:p>
    <w:p w14:paraId="55BE8E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一、工程概况</w:t>
      </w:r>
    </w:p>
    <w:p w14:paraId="189DD61C">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建设地点：</w:t>
      </w:r>
      <w:r>
        <w:rPr>
          <w:rFonts w:hint="eastAsia" w:ascii="宋体" w:hAnsi="宋体" w:cs="宋体"/>
          <w:color w:val="auto"/>
          <w:kern w:val="0"/>
          <w:szCs w:val="21"/>
          <w:highlight w:val="none"/>
          <w:u w:val="single"/>
          <w:lang w:eastAsia="zh-CN"/>
        </w:rPr>
        <w:t>重庆市铜梁区第二实验小学校园内</w:t>
      </w:r>
      <w:r>
        <w:rPr>
          <w:rFonts w:hint="eastAsia"/>
          <w:color w:val="auto"/>
          <w:highlight w:val="none"/>
          <w:u w:val="single"/>
          <w:lang w:val="en-US" w:eastAsia="zh-CN"/>
        </w:rPr>
        <w:t>。</w:t>
      </w:r>
    </w:p>
    <w:p w14:paraId="3E170291">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w:t>
      </w:r>
      <w:r>
        <w:rPr>
          <w:rFonts w:hint="eastAsia"/>
          <w:color w:val="auto"/>
          <w:highlight w:val="none"/>
          <w:lang w:eastAsia="zh-CN"/>
        </w:rPr>
        <w:t>内容</w:t>
      </w:r>
      <w:r>
        <w:rPr>
          <w:rFonts w:hint="eastAsia"/>
          <w:color w:val="auto"/>
          <w:highlight w:val="none"/>
        </w:rPr>
        <w:t>：</w:t>
      </w:r>
      <w:r>
        <w:rPr>
          <w:rFonts w:hint="eastAsia" w:ascii="宋体" w:hAnsi="宋体" w:cs="宋体"/>
          <w:color w:val="auto"/>
          <w:sz w:val="21"/>
          <w:szCs w:val="21"/>
          <w:highlight w:val="none"/>
          <w:u w:val="single"/>
          <w:lang w:eastAsia="zh-CN"/>
        </w:rPr>
        <w:t>主要包含土石方挖填、电缆敷设、电线敷设、配管安装、配电箱安装、桥架安装、防雷接地安装等，具体内容详见本工程工程量清单。</w:t>
      </w:r>
    </w:p>
    <w:p w14:paraId="7012C9C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二、工程承包范围</w:t>
      </w:r>
    </w:p>
    <w:p w14:paraId="4780488D">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承包范围：</w:t>
      </w:r>
      <w:r>
        <w:rPr>
          <w:rFonts w:hint="eastAsia"/>
          <w:color w:val="auto"/>
          <w:highlight w:val="none"/>
          <w:lang w:eastAsia="zh-CN"/>
        </w:rPr>
        <w:t>本工程施工图设计所示工程内容，详见</w:t>
      </w:r>
      <w:r>
        <w:rPr>
          <w:rFonts w:hint="eastAsia"/>
          <w:color w:val="auto"/>
          <w:highlight w:val="none"/>
        </w:rPr>
        <w:t>本工程工程量清单。</w:t>
      </w:r>
    </w:p>
    <w:p w14:paraId="15C37A5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三、合同工期</w:t>
      </w:r>
    </w:p>
    <w:p w14:paraId="1D06494B">
      <w:pPr>
        <w:pageBreakBefore w:val="0"/>
        <w:kinsoku/>
        <w:wordWrap/>
        <w:overflowPunct/>
        <w:topLinePunct w:val="0"/>
        <w:autoSpaceDE/>
        <w:autoSpaceDN/>
        <w:bidi w:val="0"/>
        <w:spacing w:line="400" w:lineRule="exact"/>
        <w:ind w:firstLine="420" w:firstLineChars="200"/>
        <w:textAlignment w:val="auto"/>
        <w:rPr>
          <w:rFonts w:hint="eastAsia" w:eastAsia="宋体"/>
          <w:color w:val="auto"/>
          <w:highlight w:val="none"/>
          <w:lang w:eastAsia="zh-CN"/>
        </w:rPr>
      </w:pPr>
      <w:r>
        <w:rPr>
          <w:color w:val="auto"/>
          <w:highlight w:val="none"/>
        </w:rPr>
        <w:t>工期总天数</w:t>
      </w:r>
      <w:r>
        <w:rPr>
          <w:rFonts w:hint="eastAsia"/>
          <w:color w:val="auto"/>
          <w:highlight w:val="none"/>
          <w:lang w:val="en-US" w:eastAsia="zh-CN"/>
        </w:rPr>
        <w:t>40日历天</w:t>
      </w:r>
      <w:r>
        <w:rPr>
          <w:color w:val="auto"/>
          <w:highlight w:val="none"/>
        </w:rPr>
        <w:t>。</w:t>
      </w:r>
    </w:p>
    <w:p w14:paraId="477943F5">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四、质量标准</w:t>
      </w:r>
    </w:p>
    <w:p w14:paraId="4B63466F">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 工程质量标准：</w:t>
      </w:r>
      <w:r>
        <w:rPr>
          <w:rFonts w:hint="eastAsia"/>
          <w:color w:val="auto"/>
          <w:highlight w:val="none"/>
        </w:rPr>
        <w:t>达到国家现行有关</w:t>
      </w:r>
      <w:r>
        <w:rPr>
          <w:rFonts w:hint="eastAsia"/>
          <w:color w:val="auto"/>
          <w:highlight w:val="none"/>
          <w:u w:val="single"/>
        </w:rPr>
        <w:t>施工质量验收规范要求，并达到合格标准</w:t>
      </w:r>
      <w:r>
        <w:rPr>
          <w:rFonts w:hint="eastAsia" w:ascii="宋体" w:hAnsi="宋体"/>
          <w:color w:val="auto"/>
          <w:szCs w:val="21"/>
          <w:highlight w:val="none"/>
          <w:u w:val="single"/>
        </w:rPr>
        <w:t>。</w:t>
      </w:r>
    </w:p>
    <w:p w14:paraId="226BB02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五、合同形式</w:t>
      </w:r>
    </w:p>
    <w:p w14:paraId="36B63C7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本合同采用</w:t>
      </w:r>
      <w:r>
        <w:rPr>
          <w:rFonts w:hint="eastAsia"/>
          <w:color w:val="auto"/>
          <w:highlight w:val="none"/>
          <w:u w:val="single"/>
          <w:lang w:val="en-US" w:eastAsia="zh-CN"/>
        </w:rPr>
        <w:t xml:space="preserve"> </w:t>
      </w:r>
      <w:r>
        <w:rPr>
          <w:rFonts w:hint="eastAsia"/>
          <w:color w:val="auto"/>
          <w:highlight w:val="none"/>
          <w:u w:val="single"/>
        </w:rPr>
        <w:t>固定单价</w:t>
      </w:r>
      <w:r>
        <w:rPr>
          <w:rFonts w:hint="eastAsia"/>
          <w:color w:val="auto"/>
          <w:highlight w:val="none"/>
          <w:u w:val="single"/>
          <w:lang w:val="en-US" w:eastAsia="zh-CN"/>
        </w:rPr>
        <w:t xml:space="preserve"> </w:t>
      </w:r>
      <w:r>
        <w:rPr>
          <w:color w:val="auto"/>
          <w:highlight w:val="none"/>
        </w:rPr>
        <w:t>合同形式。</w:t>
      </w:r>
    </w:p>
    <w:p w14:paraId="47147A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六、签约合同价</w:t>
      </w:r>
    </w:p>
    <w:p w14:paraId="631FEF80">
      <w:pPr>
        <w:pageBreakBefore w:val="0"/>
        <w:kinsoku/>
        <w:wordWrap/>
        <w:overflowPunct/>
        <w:topLinePunct w:val="0"/>
        <w:autoSpaceDE/>
        <w:autoSpaceDN/>
        <w:bidi w:val="0"/>
        <w:spacing w:line="400" w:lineRule="exact"/>
        <w:ind w:firstLine="420" w:firstLineChars="200"/>
        <w:textAlignment w:val="auto"/>
        <w:rPr>
          <w:color w:val="auto"/>
          <w:highlight w:val="none"/>
        </w:rPr>
      </w:pPr>
      <w:r>
        <w:rPr>
          <w:rFonts w:hint="eastAsia" w:ascii="宋体" w:hAnsi="宋体"/>
          <w:color w:val="auto"/>
          <w:highlight w:val="none"/>
        </w:rPr>
        <w:t>金额</w:t>
      </w:r>
      <w:r>
        <w:rPr>
          <w:rFonts w:ascii="宋体" w:hAnsi="宋体"/>
          <w:color w:val="auto"/>
          <w:highlight w:val="none"/>
        </w:rPr>
        <w:t>(</w:t>
      </w:r>
      <w:r>
        <w:rPr>
          <w:rFonts w:hint="eastAsia" w:ascii="宋体" w:hAnsi="宋体"/>
          <w:color w:val="auto"/>
          <w:highlight w:val="none"/>
        </w:rPr>
        <w:t>大写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w:t>
      </w:r>
      <w:r>
        <w:rPr>
          <w:rFonts w:ascii="宋体" w:hAnsi="宋体"/>
          <w:color w:val="auto"/>
          <w:highlight w:val="none"/>
        </w:rPr>
        <w:t>(</w:t>
      </w:r>
      <w:r>
        <w:rPr>
          <w:rFonts w:hint="eastAsia" w:ascii="宋体" w:hAnsi="宋体"/>
          <w:color w:val="auto"/>
          <w:highlight w:val="none"/>
        </w:rPr>
        <w:t>人民币</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小写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元（其中已含安全文明施工费</w:t>
      </w:r>
      <w:r>
        <w:rPr>
          <w:rFonts w:hint="eastAsia" w:ascii="宋体" w:hAnsi="宋体"/>
          <w:color w:val="auto"/>
          <w:highlight w:val="none"/>
          <w:u w:val="single"/>
        </w:rPr>
        <w:t>　　　</w:t>
      </w:r>
      <w:r>
        <w:rPr>
          <w:rFonts w:hint="eastAsia" w:ascii="宋体" w:hAnsi="宋体"/>
          <w:color w:val="auto"/>
          <w:highlight w:val="none"/>
        </w:rPr>
        <w:t>元</w:t>
      </w:r>
      <w:r>
        <w:rPr>
          <w:rFonts w:hint="eastAsia"/>
          <w:color w:val="auto"/>
          <w:highlight w:val="none"/>
        </w:rPr>
        <w:t>，材料和工程设备暂估价</w:t>
      </w:r>
      <w:r>
        <w:rPr>
          <w:rFonts w:hint="eastAsia"/>
          <w:color w:val="auto"/>
          <w:highlight w:val="none"/>
          <w:u w:val="single"/>
          <w:lang w:val="en-US" w:eastAsia="zh-CN"/>
        </w:rPr>
        <w:t xml:space="preserve">       </w:t>
      </w:r>
      <w:r>
        <w:rPr>
          <w:rFonts w:hint="eastAsia"/>
          <w:color w:val="auto"/>
          <w:highlight w:val="none"/>
        </w:rPr>
        <w:t>元，专业工程暂估价</w:t>
      </w:r>
      <w:r>
        <w:rPr>
          <w:rFonts w:hint="eastAsia"/>
          <w:color w:val="auto"/>
          <w:highlight w:val="none"/>
          <w:u w:val="single"/>
          <w:lang w:val="en-US" w:eastAsia="zh-CN"/>
        </w:rPr>
        <w:t xml:space="preserve">      </w:t>
      </w:r>
      <w:r>
        <w:rPr>
          <w:rFonts w:hint="eastAsia"/>
          <w:color w:val="auto"/>
          <w:highlight w:val="none"/>
        </w:rPr>
        <w:t>元，暂列金额</w:t>
      </w:r>
      <w:r>
        <w:rPr>
          <w:rFonts w:hint="eastAsia"/>
          <w:color w:val="auto"/>
          <w:highlight w:val="none"/>
          <w:u w:val="single"/>
          <w:lang w:val="en-US" w:eastAsia="zh-CN"/>
        </w:rPr>
        <w:t xml:space="preserve">      </w:t>
      </w:r>
      <w:r>
        <w:rPr>
          <w:rFonts w:hint="eastAsia"/>
          <w:color w:val="auto"/>
          <w:highlight w:val="none"/>
        </w:rPr>
        <w:t>元）。</w:t>
      </w:r>
      <w:r>
        <w:rPr>
          <w:rFonts w:hint="eastAsia"/>
          <w:b/>
          <w:color w:val="auto"/>
          <w:highlight w:val="none"/>
        </w:rPr>
        <w:t>本工程最终结算金额以审计机构审定的金额为准。</w:t>
      </w:r>
    </w:p>
    <w:p w14:paraId="0C49AE5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七、承包人项目经理</w:t>
      </w:r>
    </w:p>
    <w:p w14:paraId="573C9BB4">
      <w:pPr>
        <w:keepNext w:val="0"/>
        <w:keepLines w:val="0"/>
        <w:pageBreakBefore w:val="0"/>
        <w:widowControl w:val="0"/>
        <w:kinsoku/>
        <w:wordWrap/>
        <w:overflowPunct/>
        <w:topLinePunct w:val="0"/>
        <w:autoSpaceDE/>
        <w:autoSpaceDN/>
        <w:bidi w:val="0"/>
        <w:adjustRightInd/>
        <w:snapToGrid/>
        <w:spacing w:line="400" w:lineRule="exact"/>
        <w:ind w:firstLine="405"/>
        <w:textAlignment w:val="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6BBE7A2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　　身份证号：</w:t>
      </w:r>
      <w:r>
        <w:rPr>
          <w:rFonts w:hint="eastAsia" w:ascii="宋体" w:hAnsi="宋体"/>
          <w:color w:val="auto"/>
          <w:highlight w:val="none"/>
          <w:u w:val="single"/>
        </w:rPr>
        <w:t>　　　　　　　　　　　</w:t>
      </w:r>
      <w:r>
        <w:rPr>
          <w:rFonts w:hint="eastAsia" w:ascii="宋体" w:hAnsi="宋体"/>
          <w:color w:val="auto"/>
          <w:highlight w:val="none"/>
        </w:rPr>
        <w:t>；　　　建造师执业资格证书号：</w:t>
      </w:r>
      <w:r>
        <w:rPr>
          <w:rFonts w:hint="eastAsia" w:ascii="宋体" w:hAnsi="宋体"/>
          <w:color w:val="auto"/>
          <w:highlight w:val="none"/>
          <w:u w:val="single"/>
        </w:rPr>
        <w:t>　　　　　　</w:t>
      </w:r>
      <w:r>
        <w:rPr>
          <w:rFonts w:hint="eastAsia" w:ascii="宋体" w:hAnsi="宋体"/>
          <w:color w:val="auto"/>
          <w:highlight w:val="none"/>
        </w:rPr>
        <w:t>；</w:t>
      </w:r>
    </w:p>
    <w:p w14:paraId="2DC0A083">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olor w:val="auto"/>
          <w:highlight w:val="none"/>
        </w:rPr>
      </w:pPr>
      <w:r>
        <w:rPr>
          <w:rFonts w:hint="eastAsia" w:ascii="宋体" w:hAnsi="宋体"/>
          <w:color w:val="auto"/>
          <w:highlight w:val="none"/>
        </w:rPr>
        <w:t xml:space="preserve"> 建造师注册证书号：</w:t>
      </w:r>
      <w:r>
        <w:rPr>
          <w:rFonts w:hint="eastAsia" w:ascii="宋体" w:hAnsi="宋体"/>
          <w:color w:val="auto"/>
          <w:highlight w:val="none"/>
          <w:u w:val="single"/>
        </w:rPr>
        <w:t>　　　　　　　　　</w:t>
      </w:r>
      <w:r>
        <w:rPr>
          <w:rFonts w:hint="eastAsia" w:ascii="宋体" w:hAnsi="宋体"/>
          <w:color w:val="auto"/>
          <w:highlight w:val="none"/>
        </w:rPr>
        <w:t>；</w:t>
      </w:r>
    </w:p>
    <w:p w14:paraId="6A0B5A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建造师执业印章号：</w:t>
      </w:r>
      <w:r>
        <w:rPr>
          <w:rFonts w:hint="eastAsia" w:ascii="宋体" w:hAnsi="宋体"/>
          <w:color w:val="auto"/>
          <w:highlight w:val="none"/>
          <w:u w:val="single"/>
        </w:rPr>
        <w:t>　　　　　　　　　</w:t>
      </w:r>
      <w:r>
        <w:rPr>
          <w:rFonts w:hint="eastAsia" w:ascii="宋体" w:hAnsi="宋体"/>
          <w:color w:val="auto"/>
          <w:highlight w:val="none"/>
        </w:rPr>
        <w:t>；</w:t>
      </w:r>
    </w:p>
    <w:p w14:paraId="0490C518">
      <w:pPr>
        <w:pageBreakBefore w:val="0"/>
        <w:kinsoku/>
        <w:wordWrap/>
        <w:overflowPunct/>
        <w:topLinePunct w:val="0"/>
        <w:autoSpaceDE/>
        <w:autoSpaceDN/>
        <w:bidi w:val="0"/>
        <w:spacing w:line="400" w:lineRule="exact"/>
        <w:ind w:firstLine="405"/>
        <w:textAlignment w:val="auto"/>
        <w:rPr>
          <w:rFonts w:hint="eastAsia" w:ascii="宋体" w:hAnsi="宋体"/>
          <w:color w:val="auto"/>
          <w:highlight w:val="none"/>
        </w:rPr>
      </w:pPr>
      <w:r>
        <w:rPr>
          <w:rFonts w:hint="eastAsia" w:ascii="宋体" w:hAnsi="宋体"/>
          <w:color w:val="auto"/>
          <w:highlight w:val="none"/>
        </w:rPr>
        <w:t>安全生产考核合格证书号：</w:t>
      </w:r>
      <w:r>
        <w:rPr>
          <w:rFonts w:hint="eastAsia" w:ascii="宋体" w:hAnsi="宋体"/>
          <w:color w:val="auto"/>
          <w:highlight w:val="none"/>
          <w:u w:val="single"/>
        </w:rPr>
        <w:t xml:space="preserve">　　　　　　 </w:t>
      </w:r>
      <w:r>
        <w:rPr>
          <w:rFonts w:hint="eastAsia" w:ascii="宋体" w:hAnsi="宋体"/>
          <w:color w:val="auto"/>
          <w:highlight w:val="none"/>
        </w:rPr>
        <w:t>。　</w:t>
      </w:r>
    </w:p>
    <w:p w14:paraId="4115864B">
      <w:pPr>
        <w:spacing w:line="500" w:lineRule="exact"/>
        <w:rPr>
          <w:rFonts w:hint="eastAsia" w:ascii="宋体" w:hAnsi="宋体"/>
          <w:color w:val="auto"/>
          <w:highlight w:val="none"/>
        </w:rPr>
      </w:pPr>
      <w:r>
        <w:rPr>
          <w:rFonts w:hint="eastAsia" w:ascii="宋体" w:hAnsi="宋体"/>
          <w:color w:val="auto"/>
          <w:highlight w:val="none"/>
        </w:rPr>
        <w:t>八、承包人项目主要管理人员</w:t>
      </w:r>
    </w:p>
    <w:p w14:paraId="616B7518">
      <w:pPr>
        <w:spacing w:line="500" w:lineRule="exact"/>
        <w:ind w:firstLine="420" w:firstLineChars="200"/>
        <w:rPr>
          <w:rFonts w:hint="eastAsia" w:ascii="宋体" w:hAnsi="宋体"/>
          <w:color w:val="auto"/>
          <w:highlight w:val="none"/>
        </w:rPr>
      </w:pPr>
      <w:r>
        <w:rPr>
          <w:rFonts w:hint="eastAsia" w:ascii="宋体" w:hAnsi="宋体"/>
          <w:color w:val="auto"/>
          <w:highlight w:val="none"/>
        </w:rPr>
        <w:t>1、项目技术负责人</w:t>
      </w:r>
    </w:p>
    <w:p w14:paraId="38EDB1CD">
      <w:pPr>
        <w:spacing w:line="500" w:lineRule="exact"/>
        <w:ind w:firstLine="405"/>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4999001E">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w:t>
      </w:r>
      <w:r>
        <w:rPr>
          <w:rFonts w:hint="eastAsia" w:ascii="宋体" w:hAnsi="宋体"/>
          <w:color w:val="auto"/>
          <w:highlight w:val="none"/>
        </w:rPr>
        <w:t>；　　　证书号：</w:t>
      </w:r>
      <w:r>
        <w:rPr>
          <w:rFonts w:hint="eastAsia" w:ascii="宋体" w:hAnsi="宋体"/>
          <w:color w:val="auto"/>
          <w:highlight w:val="none"/>
          <w:u w:val="single"/>
        </w:rPr>
        <w:t>　　　　              　　</w:t>
      </w:r>
      <w:r>
        <w:rPr>
          <w:rFonts w:hint="eastAsia" w:ascii="宋体" w:hAnsi="宋体"/>
          <w:color w:val="auto"/>
          <w:highlight w:val="none"/>
        </w:rPr>
        <w:t>；</w:t>
      </w:r>
    </w:p>
    <w:p w14:paraId="410D3D1E">
      <w:pPr>
        <w:pageBreakBefore w:val="0"/>
        <w:kinsoku/>
        <w:wordWrap/>
        <w:overflowPunct/>
        <w:topLinePunct w:val="0"/>
        <w:autoSpaceDE/>
        <w:autoSpaceDN/>
        <w:bidi w:val="0"/>
        <w:spacing w:line="400" w:lineRule="exact"/>
        <w:ind w:firstLine="420"/>
        <w:textAlignment w:val="auto"/>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　　</w:t>
      </w:r>
    </w:p>
    <w:p w14:paraId="08868211">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lang w:eastAsia="zh-CN"/>
        </w:rPr>
        <w:t>九</w:t>
      </w:r>
      <w:r>
        <w:rPr>
          <w:rFonts w:hint="eastAsia" w:ascii="宋体" w:hAnsi="宋体"/>
          <w:color w:val="auto"/>
          <w:highlight w:val="none"/>
        </w:rPr>
        <w:t>、合同文件的组成</w:t>
      </w:r>
    </w:p>
    <w:p w14:paraId="548ED632">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rPr>
        <w:t>　　下列文件共同构成合同文件：</w:t>
      </w:r>
    </w:p>
    <w:p w14:paraId="28D79950">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（1）合同协议书；</w:t>
      </w:r>
    </w:p>
    <w:p w14:paraId="54B6D6C4">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（2）中标通知书；</w:t>
      </w:r>
    </w:p>
    <w:p w14:paraId="41A8FF5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（3）投标函及投标函附录；</w:t>
      </w:r>
    </w:p>
    <w:p w14:paraId="55A46CA6">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（4）专用合同条款；</w:t>
      </w:r>
    </w:p>
    <w:p w14:paraId="094135CA">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（5）通用合同条款；</w:t>
      </w:r>
    </w:p>
    <w:p w14:paraId="17269D84">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（6）技术标准和要求；</w:t>
      </w:r>
    </w:p>
    <w:p w14:paraId="6D5F6F68">
      <w:pPr>
        <w:pageBreakBefore w:val="0"/>
        <w:kinsoku/>
        <w:wordWrap/>
        <w:overflowPunct/>
        <w:topLinePunct w:val="0"/>
        <w:autoSpaceDE/>
        <w:autoSpaceDN/>
        <w:bidi w:val="0"/>
        <w:spacing w:line="400" w:lineRule="exact"/>
        <w:ind w:firstLine="420" w:firstLineChars="200"/>
        <w:textAlignment w:val="auto"/>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7</w:t>
      </w:r>
      <w:r>
        <w:rPr>
          <w:rFonts w:hint="eastAsia" w:ascii="宋体" w:hAnsi="宋体"/>
          <w:color w:val="auto"/>
          <w:highlight w:val="none"/>
          <w:lang w:eastAsia="zh-CN"/>
        </w:rPr>
        <w:t>）图纸；</w:t>
      </w:r>
    </w:p>
    <w:p w14:paraId="3E05E13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）已标价工程量清单；</w:t>
      </w:r>
    </w:p>
    <w:p w14:paraId="34F26257">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）比选文件；</w:t>
      </w:r>
    </w:p>
    <w:p w14:paraId="15F1A9A1">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）工程质量保修书；</w:t>
      </w:r>
    </w:p>
    <w:p w14:paraId="3E41E17E">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rPr>
        <w:t>）建</w:t>
      </w:r>
      <w:r>
        <w:rPr>
          <w:rFonts w:hint="eastAsia"/>
          <w:color w:val="auto"/>
          <w:highlight w:val="none"/>
        </w:rPr>
        <w:t>设工程廉政责任书；</w:t>
      </w:r>
    </w:p>
    <w:p w14:paraId="337BEDDC">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）其他合同文件。</w:t>
      </w:r>
    </w:p>
    <w:p w14:paraId="41C4B8F8">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上述文件互相补充和解释，如有不明确或不一致之处，以合同约定次序在先者为准。</w:t>
      </w:r>
    </w:p>
    <w:p w14:paraId="10FBA35F">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lang w:eastAsia="zh-CN"/>
        </w:rPr>
        <w:t>十</w:t>
      </w:r>
      <w:r>
        <w:rPr>
          <w:rFonts w:hint="eastAsia" w:ascii="宋体" w:hAnsi="宋体"/>
          <w:color w:val="auto"/>
          <w:highlight w:val="none"/>
        </w:rPr>
        <w:t>、本协议书中有关词语定义与合同条款中的定义相同。</w:t>
      </w:r>
    </w:p>
    <w:p w14:paraId="71D64186">
      <w:pPr>
        <w:pageBreakBefore w:val="0"/>
        <w:kinsoku/>
        <w:wordWrap/>
        <w:overflowPunct/>
        <w:topLinePunct w:val="0"/>
        <w:autoSpaceDE/>
        <w:autoSpaceDN/>
        <w:bidi w:val="0"/>
        <w:spacing w:line="400" w:lineRule="exact"/>
        <w:ind w:left="420" w:leftChars="200" w:firstLine="0" w:firstLineChars="0"/>
        <w:textAlignment w:val="auto"/>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一</w:t>
      </w:r>
      <w:r>
        <w:rPr>
          <w:rFonts w:hint="eastAsia" w:ascii="宋体" w:hAnsi="宋体"/>
          <w:color w:val="auto"/>
          <w:highlight w:val="none"/>
        </w:rPr>
        <w:t>、承包人承诺按照合同约定进行施工、竣工、交付并在缺陷责任期内对工程缺陷承担维修责任。十</w:t>
      </w:r>
      <w:r>
        <w:rPr>
          <w:rFonts w:hint="eastAsia" w:ascii="宋体" w:hAnsi="宋体"/>
          <w:color w:val="auto"/>
          <w:highlight w:val="none"/>
          <w:lang w:eastAsia="zh-CN"/>
        </w:rPr>
        <w:t>二</w:t>
      </w:r>
      <w:r>
        <w:rPr>
          <w:rFonts w:hint="eastAsia" w:ascii="宋体" w:hAnsi="宋体"/>
          <w:color w:val="auto"/>
          <w:highlight w:val="none"/>
        </w:rPr>
        <w:t>、发包人承诺按照合同约定的条件、期限和方式向承包人支付合同价款。</w:t>
      </w:r>
    </w:p>
    <w:p w14:paraId="05075683">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highlight w:val="none"/>
        </w:rPr>
        <w:t>十</w:t>
      </w:r>
      <w:r>
        <w:rPr>
          <w:rFonts w:hint="eastAsia" w:ascii="宋体" w:hAnsi="宋体"/>
          <w:color w:val="auto"/>
          <w:highlight w:val="none"/>
          <w:lang w:eastAsia="zh-CN"/>
        </w:rPr>
        <w:t>三</w:t>
      </w:r>
      <w:r>
        <w:rPr>
          <w:rFonts w:hint="eastAsia" w:ascii="宋体" w:hAnsi="宋体"/>
          <w:color w:val="auto"/>
          <w:highlight w:val="none"/>
        </w:rPr>
        <w:t>、本协议自承包人向发包人提交了履约保证金后，并经</w:t>
      </w:r>
      <w:r>
        <w:rPr>
          <w:rFonts w:hint="eastAsia" w:ascii="宋体" w:hAnsi="宋体"/>
          <w:color w:val="auto"/>
          <w:highlight w:val="none"/>
          <w:lang w:eastAsia="zh-CN"/>
        </w:rPr>
        <w:t>双方</w:t>
      </w:r>
      <w:r>
        <w:rPr>
          <w:rFonts w:hint="eastAsia" w:ascii="宋体" w:hAnsi="宋体"/>
          <w:color w:val="auto"/>
          <w:highlight w:val="none"/>
        </w:rPr>
        <w:t>法定代表人或其委托代理人签字盖单位章后生效，本协议连同其他合同文件</w:t>
      </w:r>
      <w:r>
        <w:rPr>
          <w:rFonts w:hint="eastAsia" w:ascii="宋体" w:hAnsi="宋体"/>
          <w:color w:val="auto"/>
          <w:szCs w:val="21"/>
          <w:highlight w:val="none"/>
        </w:rPr>
        <w:t>正本一式</w:t>
      </w:r>
      <w:r>
        <w:rPr>
          <w:rFonts w:hint="eastAsia" w:ascii="宋体" w:hAnsi="宋体"/>
          <w:color w:val="auto"/>
          <w:szCs w:val="21"/>
          <w:highlight w:val="none"/>
          <w:lang w:eastAsia="zh-CN"/>
        </w:rPr>
        <w:t>陆</w:t>
      </w:r>
      <w:r>
        <w:rPr>
          <w:rFonts w:hint="eastAsia" w:ascii="宋体" w:hAnsi="宋体"/>
          <w:color w:val="auto"/>
          <w:szCs w:val="21"/>
          <w:highlight w:val="none"/>
        </w:rPr>
        <w:t>份，合同双方各执</w:t>
      </w:r>
      <w:r>
        <w:rPr>
          <w:rFonts w:hint="eastAsia" w:ascii="宋体" w:hAnsi="宋体"/>
          <w:color w:val="auto"/>
          <w:szCs w:val="21"/>
          <w:highlight w:val="none"/>
          <w:lang w:eastAsia="zh-CN"/>
        </w:rPr>
        <w:t>叁</w:t>
      </w:r>
      <w:r>
        <w:rPr>
          <w:rFonts w:hint="eastAsia" w:ascii="宋体" w:hAnsi="宋体"/>
          <w:color w:val="auto"/>
          <w:szCs w:val="21"/>
          <w:highlight w:val="none"/>
        </w:rPr>
        <w:t>份；</w:t>
      </w:r>
    </w:p>
    <w:p w14:paraId="71344FD9">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四</w:t>
      </w:r>
      <w:r>
        <w:rPr>
          <w:rFonts w:hint="eastAsia" w:ascii="宋体" w:hAnsi="宋体"/>
          <w:color w:val="auto"/>
          <w:highlight w:val="none"/>
        </w:rPr>
        <w:t>、合同未尽事宜，双方另行签订补充协议，但不得背离本协议第九条所约定的合同文件的实质性内容。补充协议是合同文件的组成部分。</w:t>
      </w:r>
    </w:p>
    <w:p w14:paraId="0056FF26">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p>
    <w:p w14:paraId="1C7F3F50">
      <w:pPr>
        <w:pageBreakBefore w:val="0"/>
        <w:kinsoku/>
        <w:wordWrap/>
        <w:overflowPunct/>
        <w:topLinePunct w:val="0"/>
        <w:autoSpaceDE/>
        <w:autoSpaceDN/>
        <w:bidi w:val="0"/>
        <w:spacing w:line="400" w:lineRule="exact"/>
        <w:textAlignment w:val="auto"/>
        <w:rPr>
          <w:rFonts w:hint="eastAsia" w:ascii="宋体" w:hAnsi="宋体"/>
          <w:color w:val="auto"/>
          <w:highlight w:val="none"/>
        </w:rPr>
      </w:pPr>
    </w:p>
    <w:p w14:paraId="42AD583C">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6F2D7296">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74BCA570">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436C3A16">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2566DEF9">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59CA2D75">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0B40C994">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55F50C30">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642B1BE7">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6CB810EC">
      <w:pPr>
        <w:spacing w:line="460" w:lineRule="exact"/>
        <w:ind w:firstLine="1260" w:firstLineChars="600"/>
        <w:rPr>
          <w:rFonts w:hint="eastAsia" w:ascii="宋体" w:hAnsi="宋体" w:cs="宋体"/>
          <w:color w:val="auto"/>
          <w:highlight w:val="none"/>
          <w:u w:val="single"/>
        </w:rPr>
      </w:pPr>
    </w:p>
    <w:p w14:paraId="63940FE1">
      <w:pPr>
        <w:pageBreakBefore w:val="0"/>
        <w:kinsoku/>
        <w:wordWrap/>
        <w:overflowPunct/>
        <w:topLinePunct w:val="0"/>
        <w:autoSpaceDE/>
        <w:autoSpaceDN/>
        <w:bidi w:val="0"/>
        <w:spacing w:line="400" w:lineRule="exact"/>
        <w:jc w:val="center"/>
        <w:textAlignment w:val="auto"/>
        <w:rPr>
          <w:rFonts w:hint="eastAsia"/>
          <w:b/>
          <w:color w:val="auto"/>
          <w:sz w:val="32"/>
          <w:szCs w:val="32"/>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b/>
          <w:color w:val="auto"/>
          <w:sz w:val="32"/>
          <w:szCs w:val="32"/>
          <w:highlight w:val="none"/>
        </w:rPr>
        <w:br w:type="page"/>
      </w:r>
      <w:bookmarkStart w:id="603" w:name="_Toc428455509"/>
      <w:bookmarkStart w:id="604" w:name="_Toc11318"/>
      <w:bookmarkStart w:id="605" w:name="_Toc3637"/>
      <w:bookmarkStart w:id="606" w:name="_Toc452058738"/>
      <w:bookmarkStart w:id="607" w:name="_Toc418077865"/>
    </w:p>
    <w:p w14:paraId="140A7A2E">
      <w:pPr>
        <w:pageBreakBefore w:val="0"/>
        <w:kinsoku/>
        <w:wordWrap/>
        <w:overflowPunct/>
        <w:topLinePunct w:val="0"/>
        <w:autoSpaceDE/>
        <w:autoSpaceDN/>
        <w:bidi w:val="0"/>
        <w:spacing w:line="400" w:lineRule="exact"/>
        <w:jc w:val="center"/>
        <w:textAlignment w:val="auto"/>
        <w:rPr>
          <w:rFonts w:hint="eastAsia" w:eastAsiaTheme="minorEastAsia"/>
          <w:b/>
          <w:color w:val="auto"/>
          <w:sz w:val="28"/>
          <w:szCs w:val="28"/>
          <w:highlight w:val="none"/>
          <w:lang w:val="en-US" w:eastAsia="zh-CN"/>
        </w:rPr>
      </w:pPr>
      <w:r>
        <w:rPr>
          <w:rFonts w:hint="eastAsia"/>
          <w:b/>
          <w:color w:val="auto"/>
          <w:sz w:val="28"/>
          <w:szCs w:val="28"/>
          <w:highlight w:val="none"/>
          <w:lang w:eastAsia="zh-CN"/>
        </w:rPr>
        <w:t>第二节</w:t>
      </w:r>
      <w:r>
        <w:rPr>
          <w:rFonts w:hint="eastAsia"/>
          <w:b/>
          <w:color w:val="auto"/>
          <w:sz w:val="28"/>
          <w:szCs w:val="28"/>
          <w:highlight w:val="none"/>
          <w:lang w:val="en-US" w:eastAsia="zh-CN"/>
        </w:rPr>
        <w:t xml:space="preserve">  通用合同条款</w:t>
      </w:r>
    </w:p>
    <w:p w14:paraId="370B1FCA">
      <w:pPr>
        <w:pageBreakBefore w:val="0"/>
        <w:kinsoku/>
        <w:wordWrap/>
        <w:overflowPunct/>
        <w:topLinePunct w:val="0"/>
        <w:autoSpaceDE/>
        <w:autoSpaceDN/>
        <w:bidi w:val="0"/>
        <w:spacing w:line="400" w:lineRule="exact"/>
        <w:jc w:val="both"/>
        <w:textAlignment w:val="auto"/>
        <w:rPr>
          <w:rFonts w:hint="eastAsia"/>
          <w:b/>
          <w:color w:val="auto"/>
          <w:sz w:val="32"/>
          <w:szCs w:val="32"/>
          <w:highlight w:val="none"/>
        </w:rPr>
      </w:pPr>
    </w:p>
    <w:p w14:paraId="77BCEB95">
      <w:pPr>
        <w:pageBreakBefore w:val="0"/>
        <w:kinsoku/>
        <w:wordWrap/>
        <w:overflowPunct/>
        <w:topLinePunct w:val="0"/>
        <w:autoSpaceDE/>
        <w:autoSpaceDN/>
        <w:bidi w:val="0"/>
        <w:spacing w:line="400" w:lineRule="exact"/>
        <w:ind w:firstLine="470" w:firstLineChars="196"/>
        <w:textAlignment w:val="auto"/>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采用《中华人民共和国标准施工招标文件（2007版）》第四章第一节的“通用合同条款”</w:t>
      </w:r>
      <w:r>
        <w:rPr>
          <w:rFonts w:hint="eastAsia" w:ascii="宋体" w:hAnsi="宋体"/>
          <w:b w:val="0"/>
          <w:bCs/>
          <w:color w:val="auto"/>
          <w:sz w:val="24"/>
          <w:szCs w:val="24"/>
          <w:highlight w:val="none"/>
          <w:lang w:eastAsia="zh-CN"/>
        </w:rPr>
        <w:t>。</w:t>
      </w:r>
    </w:p>
    <w:p w14:paraId="2DD6F248">
      <w:pPr>
        <w:pageBreakBefore w:val="0"/>
        <w:kinsoku/>
        <w:wordWrap/>
        <w:overflowPunct/>
        <w:topLinePunct w:val="0"/>
        <w:autoSpaceDE/>
        <w:autoSpaceDN/>
        <w:bidi w:val="0"/>
        <w:spacing w:line="400" w:lineRule="exact"/>
        <w:jc w:val="both"/>
        <w:textAlignment w:val="auto"/>
        <w:rPr>
          <w:rFonts w:hint="eastAsia"/>
          <w:b/>
          <w:color w:val="auto"/>
          <w:sz w:val="32"/>
          <w:szCs w:val="32"/>
          <w:highlight w:val="none"/>
        </w:rPr>
      </w:pPr>
    </w:p>
    <w:p w14:paraId="2917514E">
      <w:pPr>
        <w:pageBreakBefore w:val="0"/>
        <w:kinsoku/>
        <w:wordWrap/>
        <w:overflowPunct/>
        <w:topLinePunct w:val="0"/>
        <w:autoSpaceDE/>
        <w:autoSpaceDN/>
        <w:bidi w:val="0"/>
        <w:spacing w:line="400" w:lineRule="exact"/>
        <w:jc w:val="center"/>
        <w:textAlignment w:val="auto"/>
        <w:outlineLvl w:val="1"/>
        <w:rPr>
          <w:b/>
          <w:color w:val="auto"/>
          <w:sz w:val="28"/>
          <w:szCs w:val="28"/>
          <w:highlight w:val="none"/>
        </w:rPr>
      </w:pPr>
      <w:bookmarkStart w:id="608" w:name="_Toc16932"/>
      <w:r>
        <w:rPr>
          <w:rFonts w:hint="eastAsia" w:asciiTheme="minorEastAsia" w:hAnsiTheme="minorEastAsia" w:eastAsiaTheme="minorEastAsia" w:cstheme="minorEastAsia"/>
          <w:b/>
          <w:color w:val="auto"/>
          <w:sz w:val="28"/>
          <w:szCs w:val="28"/>
          <w:highlight w:val="none"/>
        </w:rPr>
        <w:t>第三节  合同专用条款</w:t>
      </w:r>
      <w:bookmarkEnd w:id="603"/>
      <w:bookmarkEnd w:id="604"/>
      <w:bookmarkEnd w:id="605"/>
      <w:bookmarkEnd w:id="606"/>
      <w:bookmarkEnd w:id="607"/>
      <w:bookmarkEnd w:id="608"/>
    </w:p>
    <w:p w14:paraId="16E953D8">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 一般约定</w:t>
      </w:r>
    </w:p>
    <w:p w14:paraId="23CCA569">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1.1  词语定义</w:t>
      </w:r>
    </w:p>
    <w:p w14:paraId="2BDF91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  合同当事人和人员</w:t>
      </w:r>
    </w:p>
    <w:p w14:paraId="778E9755">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eastAsiaTheme="minorEastAsia"/>
          <w:color w:val="auto"/>
          <w:szCs w:val="24"/>
          <w:highlight w:val="none"/>
          <w:lang w:eastAsia="zh-CN"/>
        </w:rPr>
      </w:pPr>
      <w:r>
        <w:rPr>
          <w:rFonts w:hint="eastAsia"/>
          <w:color w:val="auto"/>
          <w:szCs w:val="24"/>
          <w:highlight w:val="none"/>
        </w:rPr>
        <w:t>1.1.2.2  发包人：</w:t>
      </w:r>
      <w:r>
        <w:rPr>
          <w:rFonts w:hint="eastAsia" w:ascii="宋体" w:hAnsi="宋体"/>
          <w:b/>
          <w:bCs/>
          <w:color w:val="auto"/>
          <w:szCs w:val="21"/>
          <w:highlight w:val="none"/>
          <w:u w:val="single"/>
          <w:lang w:eastAsia="zh-CN"/>
        </w:rPr>
        <w:t>重庆市铜梁区第二实验小学</w:t>
      </w:r>
    </w:p>
    <w:p w14:paraId="13B2A6E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1.1.2.3  承包人：</w:t>
      </w:r>
    </w:p>
    <w:p w14:paraId="79FBF19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1.1.2.6  监理人：</w:t>
      </w:r>
    </w:p>
    <w:p w14:paraId="1BC49C2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  工程和设备</w:t>
      </w:r>
    </w:p>
    <w:p w14:paraId="2A78D27D">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1.1.3.2  永久工程：</w:t>
      </w:r>
      <w:r>
        <w:rPr>
          <w:rFonts w:hint="eastAsia"/>
          <w:b/>
          <w:color w:val="auto"/>
          <w:szCs w:val="24"/>
          <w:highlight w:val="none"/>
          <w:u w:val="single"/>
        </w:rPr>
        <w:t xml:space="preserve">本工程比选范围内的各项工程。 </w:t>
      </w:r>
    </w:p>
    <w:p w14:paraId="45EE7A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1.1.3.3  临时工程： </w:t>
      </w:r>
      <w:r>
        <w:rPr>
          <w:rFonts w:hint="eastAsia"/>
          <w:b/>
          <w:color w:val="auto"/>
          <w:szCs w:val="24"/>
          <w:highlight w:val="none"/>
          <w:u w:val="single"/>
        </w:rPr>
        <w:t xml:space="preserve">为完成前款工程所修建的各类临时性工程。 </w:t>
      </w:r>
    </w:p>
    <w:p w14:paraId="205C72D1">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1.1.3.10  永久占地：</w:t>
      </w:r>
    </w:p>
    <w:p w14:paraId="65686A2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1.1.3.11  临时占地： </w:t>
      </w:r>
      <w:r>
        <w:rPr>
          <w:rFonts w:hint="eastAsia"/>
          <w:b/>
          <w:color w:val="auto"/>
          <w:szCs w:val="24"/>
          <w:highlight w:val="none"/>
          <w:u w:val="single"/>
        </w:rPr>
        <w:t>施工临设用地、施工便道用地等，由承包人根据现场实际情况决定，临时占地发生的费用由承包人自行承担。</w:t>
      </w:r>
    </w:p>
    <w:p w14:paraId="4B778990">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color w:val="auto"/>
          <w:szCs w:val="24"/>
          <w:highlight w:val="none"/>
        </w:rPr>
      </w:pPr>
      <w:r>
        <w:rPr>
          <w:rFonts w:hint="eastAsia"/>
          <w:color w:val="auto"/>
          <w:szCs w:val="24"/>
          <w:highlight w:val="none"/>
        </w:rPr>
        <w:t xml:space="preserve">1.1.4  </w:t>
      </w:r>
      <w:r>
        <w:rPr>
          <w:rFonts w:hint="eastAsia"/>
          <w:color w:val="auto"/>
          <w:szCs w:val="24"/>
          <w:highlight w:val="none"/>
          <w:lang w:eastAsia="zh-CN"/>
        </w:rPr>
        <w:t>日</w:t>
      </w:r>
      <w:r>
        <w:rPr>
          <w:rFonts w:hint="eastAsia"/>
          <w:color w:val="auto"/>
          <w:szCs w:val="24"/>
          <w:highlight w:val="none"/>
        </w:rPr>
        <w:t>期</w:t>
      </w:r>
    </w:p>
    <w:p w14:paraId="1F1EFD9E">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eastAsiaTheme="minorEastAsia"/>
          <w:color w:val="auto"/>
          <w:szCs w:val="24"/>
          <w:highlight w:val="none"/>
          <w:lang w:eastAsia="zh-CN"/>
        </w:rPr>
      </w:pPr>
      <w:r>
        <w:rPr>
          <w:rFonts w:hint="eastAsia"/>
          <w:color w:val="auto"/>
          <w:szCs w:val="24"/>
          <w:highlight w:val="none"/>
        </w:rPr>
        <w:t>1.1.4.5 缺陷责任期：</w:t>
      </w:r>
      <w:r>
        <w:rPr>
          <w:rFonts w:hint="eastAsia"/>
          <w:b/>
          <w:bCs/>
          <w:color w:val="auto"/>
          <w:highlight w:val="none"/>
          <w:u w:val="single"/>
          <w:lang w:val="en-US" w:eastAsia="zh-CN"/>
        </w:rPr>
        <w:t>24个月</w:t>
      </w:r>
      <w:r>
        <w:rPr>
          <w:rFonts w:hint="eastAsia"/>
          <w:b/>
          <w:color w:val="auto"/>
          <w:highlight w:val="none"/>
          <w:u w:val="single"/>
        </w:rPr>
        <w:t>，自工程</w:t>
      </w:r>
      <w:r>
        <w:rPr>
          <w:rFonts w:hint="eastAsia"/>
          <w:b/>
          <w:color w:val="auto"/>
          <w:highlight w:val="none"/>
          <w:u w:val="single"/>
          <w:lang w:eastAsia="zh-CN"/>
        </w:rPr>
        <w:t>竣工</w:t>
      </w:r>
      <w:r>
        <w:rPr>
          <w:rFonts w:hint="eastAsia"/>
          <w:b/>
          <w:color w:val="auto"/>
          <w:highlight w:val="none"/>
          <w:u w:val="single"/>
        </w:rPr>
        <w:t>验收合格之日起计算</w:t>
      </w:r>
      <w:r>
        <w:rPr>
          <w:rFonts w:hint="eastAsia"/>
          <w:b/>
          <w:color w:val="auto"/>
          <w:highlight w:val="none"/>
          <w:u w:val="single"/>
          <w:lang w:eastAsia="zh-CN"/>
        </w:rPr>
        <w:t>。</w:t>
      </w:r>
    </w:p>
    <w:p w14:paraId="7853836C">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1.4  合同文件的优先顺序</w:t>
      </w:r>
    </w:p>
    <w:p w14:paraId="29A2C093">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合同文件组成及解释顺序：</w:t>
      </w:r>
    </w:p>
    <w:p w14:paraId="30F4E6AC">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（1）合同协议书；</w:t>
      </w:r>
    </w:p>
    <w:p w14:paraId="3DDBB496">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（2）中标通知书；</w:t>
      </w:r>
    </w:p>
    <w:p w14:paraId="38C5668A">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（3）投标函及投标函附录；</w:t>
      </w:r>
    </w:p>
    <w:p w14:paraId="026B54ED">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（4）专用合同条款；</w:t>
      </w:r>
    </w:p>
    <w:p w14:paraId="05E3C484">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（5）通用合同条款；</w:t>
      </w:r>
    </w:p>
    <w:p w14:paraId="7F9ED234">
      <w:pPr>
        <w:pageBreakBefore w:val="0"/>
        <w:kinsoku/>
        <w:wordWrap/>
        <w:overflowPunct/>
        <w:topLinePunct w:val="0"/>
        <w:autoSpaceDE/>
        <w:autoSpaceDN/>
        <w:bidi w:val="0"/>
        <w:spacing w:line="400" w:lineRule="exact"/>
        <w:ind w:firstLine="420" w:firstLineChars="200"/>
        <w:textAlignment w:val="auto"/>
        <w:rPr>
          <w:rFonts w:hint="eastAsia"/>
          <w:color w:val="auto"/>
          <w:szCs w:val="24"/>
          <w:highlight w:val="none"/>
        </w:rPr>
      </w:pPr>
      <w:r>
        <w:rPr>
          <w:rFonts w:hint="eastAsia"/>
          <w:color w:val="auto"/>
          <w:szCs w:val="24"/>
          <w:highlight w:val="none"/>
        </w:rPr>
        <w:t>（6）技术标准和要求；</w:t>
      </w:r>
    </w:p>
    <w:p w14:paraId="465935E0">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szCs w:val="24"/>
          <w:highlight w:val="none"/>
          <w:lang w:eastAsia="zh-CN"/>
        </w:rPr>
      </w:pPr>
      <w:r>
        <w:rPr>
          <w:rFonts w:hint="eastAsia"/>
          <w:color w:val="auto"/>
          <w:szCs w:val="24"/>
          <w:highlight w:val="none"/>
          <w:lang w:eastAsia="zh-CN"/>
        </w:rPr>
        <w:t>（</w:t>
      </w:r>
      <w:r>
        <w:rPr>
          <w:rFonts w:hint="eastAsia"/>
          <w:color w:val="auto"/>
          <w:szCs w:val="24"/>
          <w:highlight w:val="none"/>
          <w:lang w:val="en-US" w:eastAsia="zh-CN"/>
        </w:rPr>
        <w:t>7</w:t>
      </w:r>
      <w:r>
        <w:rPr>
          <w:rFonts w:hint="eastAsia"/>
          <w:color w:val="auto"/>
          <w:szCs w:val="24"/>
          <w:highlight w:val="none"/>
          <w:lang w:eastAsia="zh-CN"/>
        </w:rPr>
        <w:t>）图纸；</w:t>
      </w:r>
    </w:p>
    <w:p w14:paraId="522486CB">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8</w:t>
      </w:r>
      <w:r>
        <w:rPr>
          <w:rFonts w:hint="eastAsia"/>
          <w:color w:val="auto"/>
          <w:szCs w:val="24"/>
          <w:highlight w:val="none"/>
        </w:rPr>
        <w:t>）已标价工程量清单；</w:t>
      </w:r>
    </w:p>
    <w:p w14:paraId="1C749613">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9</w:t>
      </w:r>
      <w:r>
        <w:rPr>
          <w:rFonts w:hint="eastAsia"/>
          <w:color w:val="auto"/>
          <w:szCs w:val="24"/>
          <w:highlight w:val="none"/>
        </w:rPr>
        <w:t>）比选文件；</w:t>
      </w:r>
    </w:p>
    <w:p w14:paraId="1D77E635">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10</w:t>
      </w:r>
      <w:r>
        <w:rPr>
          <w:rFonts w:hint="eastAsia"/>
          <w:color w:val="auto"/>
          <w:szCs w:val="24"/>
          <w:highlight w:val="none"/>
        </w:rPr>
        <w:t>）工程质量保修书；</w:t>
      </w:r>
    </w:p>
    <w:p w14:paraId="5EE68B70">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11</w:t>
      </w:r>
      <w:r>
        <w:rPr>
          <w:rFonts w:hint="eastAsia"/>
          <w:color w:val="auto"/>
          <w:szCs w:val="24"/>
          <w:highlight w:val="none"/>
        </w:rPr>
        <w:t>）建设工程廉政责任书；</w:t>
      </w:r>
    </w:p>
    <w:p w14:paraId="7A910CF7">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（1</w:t>
      </w:r>
      <w:r>
        <w:rPr>
          <w:rFonts w:hint="eastAsia"/>
          <w:color w:val="auto"/>
          <w:szCs w:val="24"/>
          <w:highlight w:val="none"/>
          <w:lang w:val="en-US" w:eastAsia="zh-CN"/>
        </w:rPr>
        <w:t>2</w:t>
      </w:r>
      <w:r>
        <w:rPr>
          <w:rFonts w:hint="eastAsia"/>
          <w:color w:val="auto"/>
          <w:szCs w:val="24"/>
          <w:highlight w:val="none"/>
        </w:rPr>
        <w:t>）其他合同文件。</w:t>
      </w:r>
    </w:p>
    <w:p w14:paraId="151F904E">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1.5  合同生效的条件</w:t>
      </w:r>
    </w:p>
    <w:p w14:paraId="364C6134">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snapToGrid w:val="0"/>
          <w:color w:val="auto"/>
          <w:sz w:val="21"/>
          <w:szCs w:val="21"/>
        </w:rPr>
        <w:t>合同生效的条件：</w:t>
      </w:r>
      <w:r>
        <w:rPr>
          <w:rFonts w:hint="eastAsia" w:ascii="宋体" w:hAnsi="宋体" w:eastAsia="宋体" w:cs="宋体"/>
          <w:b/>
          <w:color w:val="auto"/>
          <w:sz w:val="21"/>
          <w:szCs w:val="21"/>
          <w:u w:val="single"/>
          <w:lang w:eastAsia="zh-CN"/>
        </w:rPr>
        <w:t>承包人向发包人提交了履约保证金后，并经双方法定代表人或其委托代理人</w:t>
      </w:r>
      <w:r>
        <w:rPr>
          <w:rFonts w:hint="eastAsia" w:ascii="宋体" w:hAnsi="宋体" w:eastAsia="宋体" w:cs="宋体"/>
          <w:b/>
          <w:color w:val="auto"/>
          <w:sz w:val="21"/>
          <w:szCs w:val="21"/>
          <w:u w:val="single"/>
        </w:rPr>
        <w:t>签字并盖公章后生效。在双方履行完本合同约定的各自的权利和义务后自动失效。</w:t>
      </w:r>
    </w:p>
    <w:p w14:paraId="484D1277">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1.6  图纸和承包人文件</w:t>
      </w:r>
    </w:p>
    <w:p w14:paraId="7BD9AA0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textAlignment w:val="auto"/>
        <w:rPr>
          <w:rFonts w:hint="eastAsia" w:ascii="宋体" w:hAnsi="宋体" w:eastAsia="宋体" w:cs="宋体"/>
          <w:b/>
          <w:color w:val="auto"/>
          <w:sz w:val="21"/>
          <w:szCs w:val="21"/>
          <w:u w:val="single"/>
          <w:lang w:val="en-US" w:eastAsia="zh-CN"/>
        </w:rPr>
      </w:pPr>
      <w:r>
        <w:rPr>
          <w:rFonts w:hint="eastAsia" w:ascii="宋体" w:hAnsi="宋体" w:eastAsia="宋体" w:cs="宋体"/>
          <w:color w:val="auto"/>
          <w:sz w:val="21"/>
          <w:szCs w:val="21"/>
        </w:rPr>
        <w:t>1.6.1  发包人提供图纸的期限、数量：</w:t>
      </w:r>
      <w:r>
        <w:rPr>
          <w:rFonts w:hint="eastAsia" w:ascii="宋体" w:hAnsi="宋体" w:eastAsia="宋体" w:cs="宋体"/>
          <w:b/>
          <w:color w:val="auto"/>
          <w:sz w:val="21"/>
          <w:szCs w:val="21"/>
          <w:u w:val="single"/>
        </w:rPr>
        <w:t xml:space="preserve">签订合同后 3 日内，由发包人提供 </w:t>
      </w:r>
      <w:r>
        <w:rPr>
          <w:rFonts w:hint="eastAsia" w:ascii="宋体" w:hAnsi="宋体" w:eastAsia="宋体" w:cs="宋体"/>
          <w:b/>
          <w:color w:val="auto"/>
          <w:sz w:val="21"/>
          <w:szCs w:val="21"/>
          <w:u w:val="single"/>
          <w:lang w:val="en-US" w:eastAsia="zh-CN"/>
        </w:rPr>
        <w:t>1</w:t>
      </w:r>
      <w:r>
        <w:rPr>
          <w:rFonts w:hint="eastAsia" w:ascii="宋体" w:hAnsi="宋体" w:eastAsia="宋体" w:cs="宋体"/>
          <w:b/>
          <w:color w:val="auto"/>
          <w:sz w:val="21"/>
          <w:szCs w:val="21"/>
          <w:u w:val="single"/>
        </w:rPr>
        <w:t xml:space="preserve"> 套图纸，如果承包人要求增加所提供图纸套数，费用由承包人承担</w:t>
      </w:r>
      <w:r>
        <w:rPr>
          <w:rFonts w:hint="eastAsia" w:ascii="宋体" w:hAnsi="宋体" w:eastAsia="宋体" w:cs="宋体"/>
          <w:b/>
          <w:color w:val="auto"/>
          <w:sz w:val="21"/>
          <w:szCs w:val="21"/>
          <w:u w:val="single"/>
          <w:lang w:val="en-US" w:eastAsia="zh-CN"/>
        </w:rPr>
        <w:t>。</w:t>
      </w:r>
    </w:p>
    <w:p w14:paraId="434A49A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1.6.2  承包人提供的文件范围：</w:t>
      </w:r>
      <w:r>
        <w:rPr>
          <w:rFonts w:hint="eastAsia" w:ascii="宋体" w:hAnsi="宋体" w:eastAsia="宋体" w:cs="宋体"/>
          <w:b/>
          <w:bCs/>
          <w:color w:val="auto"/>
          <w:sz w:val="21"/>
          <w:szCs w:val="21"/>
          <w:u w:val="single"/>
        </w:rPr>
        <w:t xml:space="preserve"> 施工组织设计和进度计划、专项施工方案、安全应急方案、施工扬尘专项控制方案等按发包人要求提供相关资料（含电子文档）。</w:t>
      </w:r>
    </w:p>
    <w:p w14:paraId="72DB6A4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承包人提供文件的期限、数量：</w:t>
      </w:r>
      <w:r>
        <w:rPr>
          <w:rFonts w:hint="eastAsia" w:ascii="宋体" w:hAnsi="宋体" w:eastAsia="宋体" w:cs="宋体"/>
          <w:b/>
          <w:color w:val="auto"/>
          <w:sz w:val="21"/>
          <w:szCs w:val="21"/>
          <w:u w:val="single"/>
        </w:rPr>
        <w:t>图纸会审交底后</w:t>
      </w:r>
      <w:r>
        <w:rPr>
          <w:rFonts w:hint="eastAsia" w:ascii="宋体" w:hAnsi="宋体" w:eastAsia="宋体" w:cs="宋体"/>
          <w:b/>
          <w:color w:val="auto"/>
          <w:sz w:val="21"/>
          <w:szCs w:val="21"/>
          <w:u w:val="single"/>
          <w:lang w:eastAsia="zh-CN"/>
        </w:rPr>
        <w:t>并在</w:t>
      </w:r>
      <w:r>
        <w:rPr>
          <w:rFonts w:hint="eastAsia" w:ascii="宋体" w:hAnsi="宋体" w:eastAsia="宋体" w:cs="宋体"/>
          <w:b/>
          <w:color w:val="auto"/>
          <w:sz w:val="21"/>
          <w:szCs w:val="21"/>
          <w:u w:val="single"/>
        </w:rPr>
        <w:t>距开工令发出7天前，提供一式3套。</w:t>
      </w:r>
    </w:p>
    <w:p w14:paraId="5E7CE38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监理人批复承包人提供文件的期限：</w:t>
      </w:r>
      <w:r>
        <w:rPr>
          <w:rFonts w:hint="eastAsia" w:ascii="宋体" w:hAnsi="宋体" w:eastAsia="宋体" w:cs="宋体"/>
          <w:b/>
          <w:bCs/>
          <w:color w:val="auto"/>
          <w:sz w:val="21"/>
          <w:szCs w:val="21"/>
          <w:u w:val="single"/>
        </w:rPr>
        <w:t xml:space="preserve"> 开工前5天。</w:t>
      </w:r>
    </w:p>
    <w:p w14:paraId="2F17F34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1.6.3  监理签发图纸修改的期限：</w:t>
      </w:r>
      <w:r>
        <w:rPr>
          <w:rFonts w:hint="eastAsia" w:ascii="宋体" w:hAnsi="宋体" w:eastAsia="宋体" w:cs="宋体"/>
          <w:b/>
          <w:bCs/>
          <w:color w:val="auto"/>
          <w:sz w:val="21"/>
          <w:szCs w:val="21"/>
          <w:u w:val="single"/>
        </w:rPr>
        <w:t xml:space="preserve"> 在该工程或工程部位施工前5天。</w:t>
      </w:r>
    </w:p>
    <w:p w14:paraId="74169C2C">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1.7  联络</w:t>
      </w:r>
    </w:p>
    <w:p w14:paraId="6DBFA811">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1.7.2  联络送达的期限：</w:t>
      </w:r>
      <w:r>
        <w:rPr>
          <w:rFonts w:hint="eastAsia" w:ascii="宋体" w:hAnsi="宋体" w:eastAsia="宋体" w:cs="宋体"/>
          <w:b/>
          <w:color w:val="auto"/>
          <w:sz w:val="21"/>
          <w:szCs w:val="21"/>
          <w:u w:val="single"/>
        </w:rPr>
        <w:t>各类文件在正式签发后，1天内现场送达项目代表，并办理签收手续</w:t>
      </w:r>
      <w:r>
        <w:rPr>
          <w:rFonts w:hint="eastAsia" w:ascii="宋体" w:hAnsi="宋体" w:eastAsia="宋体" w:cs="宋体"/>
          <w:color w:val="auto"/>
          <w:sz w:val="21"/>
          <w:szCs w:val="21"/>
          <w:u w:val="single"/>
        </w:rPr>
        <w:t>。</w:t>
      </w:r>
    </w:p>
    <w:p w14:paraId="12398AE3">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2.  发包人义务</w:t>
      </w:r>
    </w:p>
    <w:p w14:paraId="57B5605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2.3  提供施工场地</w:t>
      </w:r>
    </w:p>
    <w:p w14:paraId="4871C0D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发包人提供施工场地和有关资料的时间：</w:t>
      </w:r>
      <w:r>
        <w:rPr>
          <w:rFonts w:hint="eastAsia" w:ascii="宋体" w:hAnsi="宋体" w:eastAsia="宋体" w:cs="宋体"/>
          <w:b/>
          <w:color w:val="auto"/>
          <w:sz w:val="21"/>
          <w:szCs w:val="21"/>
          <w:u w:val="single"/>
        </w:rPr>
        <w:t>开工前完成，施工场地以现状为准。</w:t>
      </w:r>
    </w:p>
    <w:p w14:paraId="3D79D81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2.8  其他义务</w:t>
      </w:r>
    </w:p>
    <w:p w14:paraId="1CCA2CFF">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发包人应按约定的时间和要求完成以下工作:</w:t>
      </w:r>
    </w:p>
    <w:p w14:paraId="666441FD">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2.8.1施工场地具备施工条件的要求及完成的时间: </w:t>
      </w:r>
      <w:r>
        <w:rPr>
          <w:rFonts w:hint="eastAsia" w:ascii="宋体" w:hAnsi="宋体" w:eastAsia="宋体" w:cs="宋体"/>
          <w:b/>
          <w:color w:val="auto"/>
          <w:sz w:val="21"/>
          <w:szCs w:val="21"/>
          <w:u w:val="single"/>
        </w:rPr>
        <w:t>以现状为准</w:t>
      </w:r>
      <w:r>
        <w:rPr>
          <w:rFonts w:hint="eastAsia" w:ascii="宋体" w:hAnsi="宋体" w:eastAsia="宋体" w:cs="宋体"/>
          <w:color w:val="auto"/>
          <w:sz w:val="21"/>
          <w:szCs w:val="21"/>
        </w:rPr>
        <w:t>。</w:t>
      </w:r>
    </w:p>
    <w:p w14:paraId="118FF05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2.8.2将施工所需的水、电、电讯线路接至施工场地的时间、地点和供应要求:</w:t>
      </w:r>
      <w:r>
        <w:rPr>
          <w:rFonts w:hint="eastAsia" w:ascii="宋体" w:hAnsi="宋体" w:eastAsia="宋体" w:cs="宋体"/>
          <w:b/>
          <w:color w:val="auto"/>
          <w:sz w:val="21"/>
          <w:szCs w:val="21"/>
          <w:u w:val="single"/>
        </w:rPr>
        <w:t>发包人解决施工用电、用水接口；接口后由承包人自行搭接、并装表计量，并承担相应费用；施工所需的电讯线路由承包人自行解决。</w:t>
      </w:r>
    </w:p>
    <w:p w14:paraId="3E386107">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2.8.3施工场地与公共道路的通道开通时间和要求: </w:t>
      </w:r>
      <w:r>
        <w:rPr>
          <w:rFonts w:hint="eastAsia" w:ascii="宋体" w:hAnsi="宋体" w:eastAsia="宋体" w:cs="宋体"/>
          <w:b/>
          <w:color w:val="auto"/>
          <w:sz w:val="21"/>
          <w:szCs w:val="21"/>
          <w:u w:val="single"/>
        </w:rPr>
        <w:t>施工场地与公共道路的通道以现状为准</w:t>
      </w:r>
      <w:r>
        <w:rPr>
          <w:rFonts w:hint="eastAsia" w:ascii="宋体" w:hAnsi="宋体" w:eastAsia="宋体" w:cs="宋体"/>
          <w:b/>
          <w:color w:val="auto"/>
          <w:sz w:val="21"/>
          <w:szCs w:val="21"/>
        </w:rPr>
        <w:t>。</w:t>
      </w:r>
    </w:p>
    <w:p w14:paraId="59A91DC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2.8.4由发包人办理的施工所需证件、批件的名称和完成时间: </w:t>
      </w:r>
      <w:r>
        <w:rPr>
          <w:rFonts w:hint="eastAsia" w:ascii="宋体" w:hAnsi="宋体" w:eastAsia="宋体" w:cs="宋体"/>
          <w:b/>
          <w:color w:val="auto"/>
          <w:sz w:val="21"/>
          <w:szCs w:val="21"/>
          <w:u w:val="single"/>
        </w:rPr>
        <w:t>合同签订后，发包人在开工前依法办理施工许可证等相关建设手续。</w:t>
      </w:r>
    </w:p>
    <w:p w14:paraId="40AC4E0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2.8.5水准点与座标控制点交验要求:  </w:t>
      </w:r>
      <w:r>
        <w:rPr>
          <w:rFonts w:hint="eastAsia" w:ascii="宋体" w:hAnsi="宋体" w:eastAsia="宋体" w:cs="宋体"/>
          <w:b/>
          <w:color w:val="auto"/>
          <w:sz w:val="21"/>
          <w:szCs w:val="21"/>
          <w:u w:val="single"/>
        </w:rPr>
        <w:t>开工前发包人通过监理人以书面形式通知承包人，并组织相关单位进行现场交验，同时作好交验记录</w:t>
      </w:r>
      <w:r>
        <w:rPr>
          <w:rFonts w:hint="eastAsia" w:ascii="宋体" w:hAnsi="宋体" w:eastAsia="宋体" w:cs="宋体"/>
          <w:color w:val="auto"/>
          <w:sz w:val="21"/>
          <w:szCs w:val="21"/>
        </w:rPr>
        <w:t>。</w:t>
      </w:r>
    </w:p>
    <w:p w14:paraId="3500F31B">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2.8.6图纸会审和设计交底时间: </w:t>
      </w:r>
      <w:r>
        <w:rPr>
          <w:rFonts w:hint="eastAsia" w:ascii="宋体" w:hAnsi="宋体" w:eastAsia="宋体" w:cs="宋体"/>
          <w:b/>
          <w:color w:val="auto"/>
          <w:sz w:val="21"/>
          <w:szCs w:val="21"/>
          <w:u w:val="single"/>
        </w:rPr>
        <w:t>开工前3天。</w:t>
      </w:r>
    </w:p>
    <w:p w14:paraId="7213773E">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2.8.7</w:t>
      </w:r>
      <w:r>
        <w:rPr>
          <w:rFonts w:hint="eastAsia" w:ascii="宋体" w:hAnsi="宋体" w:eastAsia="宋体" w:cs="宋体"/>
          <w:b/>
          <w:color w:val="auto"/>
          <w:sz w:val="21"/>
          <w:szCs w:val="21"/>
          <w:u w:val="single"/>
        </w:rPr>
        <w:t>协调处理施工场地周围地下管线和邻近建筑物、构筑物（含文物保护建筑）、古树名木的保护工作。</w:t>
      </w:r>
    </w:p>
    <w:p w14:paraId="19DAD5D1">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2.8.8双方约定发包人应做的其他工作: </w:t>
      </w:r>
      <w:r>
        <w:rPr>
          <w:rFonts w:hint="eastAsia" w:ascii="宋体" w:hAnsi="宋体" w:eastAsia="宋体" w:cs="宋体"/>
          <w:b/>
          <w:color w:val="auto"/>
          <w:sz w:val="21"/>
          <w:szCs w:val="21"/>
          <w:u w:val="single"/>
        </w:rPr>
        <w:t>协助承包人处理周边关系</w:t>
      </w:r>
      <w:r>
        <w:rPr>
          <w:rFonts w:hint="eastAsia" w:ascii="宋体" w:hAnsi="宋体" w:eastAsia="宋体" w:cs="宋体"/>
          <w:b/>
          <w:color w:val="auto"/>
          <w:sz w:val="21"/>
          <w:szCs w:val="21"/>
        </w:rPr>
        <w:t>。</w:t>
      </w:r>
    </w:p>
    <w:p w14:paraId="18A1AF68">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3.  监理人</w:t>
      </w:r>
    </w:p>
    <w:p w14:paraId="0E59566A">
      <w:pPr>
        <w:keepNext w:val="0"/>
        <w:keepLines w:val="0"/>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snapToGrid w:val="0"/>
          <w:color w:val="auto"/>
          <w:sz w:val="21"/>
          <w:szCs w:val="21"/>
        </w:rPr>
      </w:pPr>
      <w:r>
        <w:rPr>
          <w:rFonts w:hint="eastAsia" w:ascii="宋体" w:hAnsi="宋体" w:eastAsia="宋体" w:cs="宋体"/>
          <w:b w:val="0"/>
          <w:snapToGrid w:val="0"/>
          <w:color w:val="auto"/>
          <w:sz w:val="21"/>
          <w:szCs w:val="21"/>
        </w:rPr>
        <w:t>3.1  监理人的职责和权力</w:t>
      </w:r>
    </w:p>
    <w:p w14:paraId="0092EEA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3.1.1  发包人委托的职权: </w:t>
      </w:r>
      <w:r>
        <w:rPr>
          <w:rFonts w:hint="eastAsia" w:ascii="宋体" w:hAnsi="宋体" w:eastAsia="宋体" w:cs="宋体"/>
          <w:b/>
          <w:bCs/>
          <w:color w:val="auto"/>
          <w:sz w:val="21"/>
          <w:szCs w:val="21"/>
          <w:u w:val="single"/>
        </w:rPr>
        <w:t xml:space="preserve"> 代表发包人对工程质量、进度、投资进行控制，对合同和信息进行管理，对文明施工、环保和环卫进行监督，对现场施工组织进行协调，并履行安全生产管理法定职责，具体以监理合同为准。</w:t>
      </w:r>
    </w:p>
    <w:p w14:paraId="45F3894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须经发包人事先批准行使的权力：</w:t>
      </w:r>
      <w:r>
        <w:rPr>
          <w:rFonts w:hint="eastAsia" w:ascii="宋体" w:hAnsi="宋体" w:eastAsia="宋体" w:cs="宋体"/>
          <w:b/>
          <w:bCs/>
          <w:color w:val="auto"/>
          <w:sz w:val="21"/>
          <w:szCs w:val="21"/>
          <w:u w:val="single"/>
        </w:rPr>
        <w:t xml:space="preserve"> 工程开工、停工、复工令的签发需经发包人同意，工期延长、材料设备认质核价、工程变更、现场签证、价款调整、工程计量与支付、索赔及与工程价款相关事宜等需经发包人核定和批准。</w:t>
      </w:r>
    </w:p>
    <w:p w14:paraId="0B08DE4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3.1.4  监理人的职责：</w:t>
      </w:r>
      <w:r>
        <w:rPr>
          <w:rFonts w:hint="eastAsia" w:ascii="宋体" w:hAnsi="宋体" w:eastAsia="宋体" w:cs="宋体"/>
          <w:b/>
          <w:color w:val="auto"/>
          <w:sz w:val="21"/>
          <w:szCs w:val="21"/>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r>
        <w:rPr>
          <w:rFonts w:hint="eastAsia" w:ascii="宋体" w:hAnsi="宋体" w:eastAsia="宋体" w:cs="宋体"/>
          <w:color w:val="auto"/>
          <w:sz w:val="21"/>
          <w:szCs w:val="21"/>
          <w:u w:val="single"/>
        </w:rPr>
        <w:t>。</w:t>
      </w:r>
    </w:p>
    <w:p w14:paraId="6E50BB5F">
      <w:pPr>
        <w:keepNext w:val="0"/>
        <w:keepLines w:val="0"/>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snapToGrid w:val="0"/>
          <w:color w:val="auto"/>
          <w:sz w:val="21"/>
          <w:szCs w:val="21"/>
        </w:rPr>
      </w:pPr>
      <w:r>
        <w:rPr>
          <w:rFonts w:hint="eastAsia" w:ascii="宋体" w:hAnsi="宋体" w:eastAsia="宋体" w:cs="宋体"/>
          <w:b w:val="0"/>
          <w:snapToGrid w:val="0"/>
          <w:color w:val="auto"/>
          <w:sz w:val="21"/>
          <w:szCs w:val="21"/>
        </w:rPr>
        <w:t>3.4  监理人的指示</w:t>
      </w:r>
    </w:p>
    <w:p w14:paraId="3D54370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3.4.4  如果发包人认为有必要，可直接向承包人发出指示，并抄送监理人。</w:t>
      </w:r>
    </w:p>
    <w:p w14:paraId="3B45E7D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 xml:space="preserve">4、承包人 </w:t>
      </w:r>
    </w:p>
    <w:p w14:paraId="753CDA5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4.1  承包人的一般义务</w:t>
      </w:r>
    </w:p>
    <w:p w14:paraId="6E492D0D">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4.1.8 为他人提供方便</w:t>
      </w:r>
    </w:p>
    <w:p w14:paraId="3E5AA0A8">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承包人为他人提供条件的内容：</w:t>
      </w:r>
      <w:r>
        <w:rPr>
          <w:rFonts w:hint="eastAsia" w:ascii="宋体" w:hAnsi="宋体" w:eastAsia="宋体" w:cs="宋体"/>
          <w:b/>
          <w:color w:val="auto"/>
          <w:sz w:val="21"/>
          <w:szCs w:val="21"/>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14:paraId="5BA6D050">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向发包人提供的办公和生活房屋及设施的要求：</w:t>
      </w:r>
      <w:r>
        <w:rPr>
          <w:rFonts w:hint="eastAsia" w:ascii="宋体" w:hAnsi="宋体" w:eastAsia="宋体" w:cs="宋体"/>
          <w:b/>
          <w:color w:val="auto"/>
          <w:sz w:val="21"/>
          <w:szCs w:val="21"/>
          <w:u w:val="single"/>
        </w:rPr>
        <w:t>向发包人、监理单位提供现场办公室</w:t>
      </w:r>
      <w:r>
        <w:rPr>
          <w:rFonts w:hint="eastAsia" w:ascii="宋体" w:hAnsi="宋体" w:eastAsia="宋体" w:cs="宋体"/>
          <w:b/>
          <w:color w:val="auto"/>
          <w:sz w:val="21"/>
          <w:szCs w:val="21"/>
        </w:rPr>
        <w:t>。</w:t>
      </w:r>
    </w:p>
    <w:p w14:paraId="3E01D11D">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费用的处理方法：</w:t>
      </w:r>
      <w:r>
        <w:rPr>
          <w:rFonts w:hint="eastAsia" w:ascii="宋体" w:hAnsi="宋体" w:eastAsia="宋体" w:cs="宋体"/>
          <w:b/>
          <w:color w:val="auto"/>
          <w:sz w:val="21"/>
          <w:szCs w:val="21"/>
          <w:u w:val="single"/>
        </w:rPr>
        <w:t>费用已含在投标报价中，不作调整。</w:t>
      </w:r>
    </w:p>
    <w:p w14:paraId="036CCC9C">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4.1.10 其他义务</w:t>
      </w:r>
    </w:p>
    <w:p w14:paraId="629A79D7">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6A2B1C23">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（2）负责施工所产生的所有余土、建筑和生活垃圾的外运和倾倒，并严格按有关规定执行。如果承包人不按规定执行，发包人有权另行委托符合条件单位或个人实施，费用从工程款直接扣支。</w:t>
      </w:r>
    </w:p>
    <w:p w14:paraId="1AF79520">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（3）根据工程需要，提供施工使用的所有照明、围栏设施，由此所发生的费用由承包人承担。</w:t>
      </w:r>
    </w:p>
    <w:p w14:paraId="6C6414E2">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20CC2285">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（5）按重庆市政府有关主管部门（包括建设、交通、消防、环保等）的规定办理施工中所需相关手续（如临时用地、占道、爆破、夜间施工等），由此所发生的费用已进入投标报价内。</w:t>
      </w:r>
    </w:p>
    <w:p w14:paraId="5AA57B4E">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（6）加强施工管理，采取合理措施，尽可能不影响工程沿线正常交通、生产和生活，由此产生的各种措施费，及可能降低工效引起增加的费用由承包人承担。</w:t>
      </w:r>
    </w:p>
    <w:p w14:paraId="5D0D2ADF">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（7）负责施工中为满足施工条件采取的各项措施，由此产生的费用由承包人承担。</w:t>
      </w:r>
    </w:p>
    <w:p w14:paraId="35873D31">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（8）施工中应当采取必要措施防止土石方发生垮塌，因承包人措施不到位，垮塌造成的相关费用由承包人承担。</w:t>
      </w:r>
    </w:p>
    <w:p w14:paraId="4B8C1622">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7228E7C4">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（10）承包人应按照监理人审定的施工组织设计进行施工。</w:t>
      </w:r>
    </w:p>
    <w:p w14:paraId="1A8513F9">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（11）工程款的支付按约定执行，承包人承诺不以未按期支付工程款为借口停工，更不得以此为由聚众闹事。</w:t>
      </w:r>
    </w:p>
    <w:p w14:paraId="5CE071D0">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（12）承包人应履行合同约定的其他义务，农民工保证金按相关规定执行。</w:t>
      </w:r>
    </w:p>
    <w:p w14:paraId="5CB410F5">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（13）负责施工中所有材料采购、运输、储存保管，且应遵守国家、地方有关规定，并完善相关手续，费用自行承担。</w:t>
      </w:r>
    </w:p>
    <w:p w14:paraId="09F1DE12">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（14）开工前，承包人应主动汇同监理人、发包人共同确认需交接部位，并作好记录，未经确认的不得开工，否则，由此造成的损失全部由承包人承担。</w:t>
      </w:r>
    </w:p>
    <w:p w14:paraId="7F5ABBE1">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（15）施工中注重安全文明施工，采取一切有效预防措施，确保施工安全。施工期间，因承包人原因造成安全生产事故，导致人员伤亡、财产损失的一切经济责任和法律责任均由承包人承担。</w:t>
      </w:r>
    </w:p>
    <w:p w14:paraId="783016C7">
      <w:pPr>
        <w:keepNext w:val="0"/>
        <w:keepLines w:val="0"/>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2BB8BB3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rPr>
        <w:t>4.2 履约担保</w:t>
      </w:r>
    </w:p>
    <w:p w14:paraId="23DC6384">
      <w:pPr>
        <w:keepNext w:val="0"/>
        <w:keepLines w:val="0"/>
        <w:pageBreakBefore w:val="0"/>
        <w:kinsoku/>
        <w:wordWrap/>
        <w:overflowPunct/>
        <w:topLinePunct w:val="0"/>
        <w:autoSpaceDE/>
        <w:autoSpaceDN/>
        <w:bidi w:val="0"/>
        <w:adjustRightInd/>
        <w:snapToGrid/>
        <w:spacing w:line="400" w:lineRule="exact"/>
        <w:ind w:left="315" w:leftChars="150" w:firstLine="0" w:firstLineChars="0"/>
        <w:jc w:val="lef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4.2.1承包人是否提供履约担保：</w:t>
      </w:r>
      <w:r>
        <w:rPr>
          <w:rFonts w:hint="eastAsia" w:ascii="宋体" w:hAnsi="宋体" w:eastAsia="宋体" w:cs="宋体"/>
          <w:color w:val="auto"/>
          <w:sz w:val="21"/>
          <w:szCs w:val="21"/>
          <w:highlight w:val="none"/>
          <w:u w:val="single"/>
        </w:rPr>
        <w:t>提供</w:t>
      </w:r>
      <w:r>
        <w:rPr>
          <w:rFonts w:hint="eastAsia" w:ascii="宋体" w:hAnsi="宋体" w:eastAsia="宋体" w:cs="宋体"/>
          <w:color w:val="auto"/>
          <w:sz w:val="21"/>
          <w:szCs w:val="21"/>
          <w:highlight w:val="none"/>
        </w:rPr>
        <w:t>。</w:t>
      </w:r>
    </w:p>
    <w:p w14:paraId="6F6B10C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承包人提供履约担保的形式、金额及期限：</w:t>
      </w:r>
    </w:p>
    <w:p w14:paraId="557F6505">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（1）履约担保的形式：</w:t>
      </w:r>
      <w:r>
        <w:rPr>
          <w:rFonts w:hint="eastAsia" w:ascii="宋体" w:hAnsi="宋体" w:cs="宋体"/>
          <w:color w:val="auto"/>
          <w:sz w:val="21"/>
          <w:szCs w:val="21"/>
          <w:lang w:eastAsia="zh-CN"/>
        </w:rPr>
        <w:t>现金或履约保函或现金</w:t>
      </w:r>
      <w:r>
        <w:rPr>
          <w:rFonts w:hint="eastAsia" w:ascii="宋体" w:hAnsi="宋体" w:cs="宋体"/>
          <w:color w:val="auto"/>
          <w:sz w:val="21"/>
          <w:szCs w:val="21"/>
          <w:lang w:val="en-US" w:eastAsia="zh-CN"/>
        </w:rPr>
        <w:t>+履约保函的形式</w:t>
      </w:r>
      <w:r>
        <w:rPr>
          <w:rFonts w:hint="eastAsia" w:ascii="宋体" w:hAnsi="宋体" w:eastAsia="宋体" w:cs="宋体"/>
          <w:color w:val="auto"/>
          <w:sz w:val="21"/>
          <w:szCs w:val="21"/>
          <w:lang w:eastAsia="zh-CN"/>
        </w:rPr>
        <w:t>。</w:t>
      </w:r>
    </w:p>
    <w:p w14:paraId="6336B70D">
      <w:pPr>
        <w:keepNext w:val="0"/>
        <w:keepLines w:val="0"/>
        <w:pageBreakBefore w:val="0"/>
        <w:tabs>
          <w:tab w:val="left" w:pos="1134"/>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（2）履约担保的金额：</w:t>
      </w:r>
      <w:r>
        <w:rPr>
          <w:rFonts w:hint="eastAsia" w:ascii="宋体" w:hAnsi="宋体" w:eastAsia="宋体" w:cs="宋体"/>
          <w:color w:val="auto"/>
          <w:kern w:val="0"/>
          <w:sz w:val="21"/>
          <w:szCs w:val="21"/>
          <w:u w:val="single"/>
        </w:rPr>
        <w:t xml:space="preserve"> </w:t>
      </w:r>
      <w:r>
        <w:rPr>
          <w:rFonts w:hint="eastAsia" w:ascii="宋体" w:hAnsi="宋体" w:cs="宋体"/>
          <w:color w:val="auto"/>
          <w:kern w:val="0"/>
          <w:sz w:val="21"/>
          <w:szCs w:val="21"/>
          <w:u w:val="single"/>
          <w:lang w:eastAsia="zh-CN"/>
        </w:rPr>
        <w:t>中标合同金额的</w:t>
      </w:r>
      <w:r>
        <w:rPr>
          <w:rFonts w:hint="eastAsia" w:ascii="宋体" w:hAnsi="宋体" w:cs="宋体"/>
          <w:color w:val="auto"/>
          <w:kern w:val="0"/>
          <w:sz w:val="21"/>
          <w:szCs w:val="21"/>
          <w:u w:val="single"/>
          <w:lang w:val="en-US" w:eastAsia="zh-CN"/>
        </w:rPr>
        <w:t>10%</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z w:val="21"/>
          <w:szCs w:val="21"/>
        </w:rPr>
        <w:t>；</w:t>
      </w:r>
    </w:p>
    <w:p w14:paraId="4FB8B998">
      <w:pPr>
        <w:keepNext w:val="0"/>
        <w:keepLines w:val="0"/>
        <w:pageBreakBefore w:val="0"/>
        <w:tabs>
          <w:tab w:val="left" w:pos="1134"/>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（3）履约担保的提交时间：</w:t>
      </w:r>
      <w:r>
        <w:rPr>
          <w:rFonts w:hint="eastAsia" w:ascii="宋体" w:hAnsi="宋体" w:eastAsia="宋体" w:cs="宋体"/>
          <w:color w:val="auto"/>
          <w:sz w:val="21"/>
          <w:szCs w:val="21"/>
          <w:u w:val="single"/>
        </w:rPr>
        <w:t>在合同签订前，承包人按担保金额向发包人提交履约担保</w:t>
      </w:r>
      <w:r>
        <w:rPr>
          <w:rFonts w:hint="eastAsia" w:ascii="宋体" w:hAnsi="宋体" w:eastAsia="宋体" w:cs="宋体"/>
          <w:color w:val="auto"/>
          <w:sz w:val="21"/>
          <w:szCs w:val="21"/>
        </w:rPr>
        <w:t>。</w:t>
      </w:r>
    </w:p>
    <w:p w14:paraId="3369119B">
      <w:pPr>
        <w:keepNext w:val="0"/>
        <w:keepLines w:val="0"/>
        <w:pageBreakBefore w:val="0"/>
        <w:tabs>
          <w:tab w:val="left" w:pos="1134"/>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（4）履约担保的期限：</w:t>
      </w:r>
      <w:r>
        <w:rPr>
          <w:rFonts w:hint="eastAsia" w:ascii="宋体" w:hAnsi="宋体" w:eastAsia="宋体" w:cs="宋体"/>
          <w:color w:val="auto"/>
          <w:sz w:val="21"/>
          <w:szCs w:val="21"/>
          <w:u w:val="single"/>
        </w:rPr>
        <w:t>自提交履约担保之日起至工程竣工验收合格之日止</w:t>
      </w:r>
      <w:r>
        <w:rPr>
          <w:rFonts w:hint="eastAsia" w:ascii="宋体" w:hAnsi="宋体" w:eastAsia="宋体" w:cs="宋体"/>
          <w:color w:val="auto"/>
          <w:sz w:val="21"/>
          <w:szCs w:val="21"/>
        </w:rPr>
        <w:t>。</w:t>
      </w:r>
    </w:p>
    <w:p w14:paraId="7160C859">
      <w:pPr>
        <w:pStyle w:val="4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（5）履约担保的退还时间：</w:t>
      </w:r>
      <w:r>
        <w:rPr>
          <w:rFonts w:hint="eastAsia" w:ascii="宋体" w:hAnsi="宋体" w:eastAsia="宋体" w:cs="宋体"/>
          <w:color w:val="auto"/>
          <w:sz w:val="21"/>
          <w:szCs w:val="21"/>
          <w:u w:val="single"/>
        </w:rPr>
        <w:t>工程竣工验收合格后14天内退还（不计息）</w:t>
      </w:r>
      <w:r>
        <w:rPr>
          <w:rFonts w:hint="eastAsia" w:ascii="宋体" w:hAnsi="宋体" w:eastAsia="宋体" w:cs="宋体"/>
          <w:color w:val="auto"/>
          <w:sz w:val="21"/>
          <w:szCs w:val="21"/>
        </w:rPr>
        <w:t>。</w:t>
      </w:r>
    </w:p>
    <w:p w14:paraId="030D0663">
      <w:pPr>
        <w:pStyle w:val="4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4.2.3</w:t>
      </w:r>
      <w:r>
        <w:rPr>
          <w:rFonts w:hint="eastAsia" w:ascii="宋体" w:hAnsi="宋体" w:eastAsia="宋体" w:cs="宋体"/>
          <w:color w:val="auto"/>
          <w:sz w:val="21"/>
          <w:szCs w:val="21"/>
        </w:rPr>
        <w:t>农民工工资保证金</w:t>
      </w:r>
    </w:p>
    <w:p w14:paraId="5FEDE32A">
      <w:pPr>
        <w:pStyle w:val="4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农民工工资保证金为中标</w:t>
      </w:r>
      <w:r>
        <w:rPr>
          <w:rFonts w:hint="eastAsia" w:eastAsia="宋体" w:cs="宋体"/>
          <w:color w:val="auto"/>
          <w:sz w:val="21"/>
          <w:szCs w:val="21"/>
          <w:lang w:eastAsia="zh-CN"/>
        </w:rPr>
        <w:t>合同金额</w:t>
      </w:r>
      <w:r>
        <w:rPr>
          <w:rFonts w:hint="eastAsia" w:ascii="宋体" w:hAnsi="宋体" w:eastAsia="宋体" w:cs="宋体"/>
          <w:color w:val="auto"/>
          <w:sz w:val="21"/>
          <w:szCs w:val="21"/>
        </w:rPr>
        <w:t>的2%，由中标人在与</w:t>
      </w:r>
      <w:r>
        <w:rPr>
          <w:rFonts w:hint="eastAsia" w:ascii="宋体" w:hAnsi="宋体" w:eastAsia="宋体" w:cs="宋体"/>
          <w:color w:val="auto"/>
          <w:sz w:val="21"/>
          <w:szCs w:val="21"/>
          <w:lang w:eastAsia="zh-CN"/>
        </w:rPr>
        <w:t>发包</w:t>
      </w:r>
      <w:r>
        <w:rPr>
          <w:rFonts w:hint="eastAsia" w:ascii="宋体" w:hAnsi="宋体" w:eastAsia="宋体" w:cs="宋体"/>
          <w:color w:val="auto"/>
          <w:sz w:val="21"/>
          <w:szCs w:val="21"/>
        </w:rPr>
        <w:t>人签订合同前，按照</w:t>
      </w:r>
      <w:r>
        <w:rPr>
          <w:rFonts w:hint="eastAsia" w:ascii="宋体" w:hAnsi="宋体" w:eastAsia="宋体" w:cs="宋体"/>
          <w:color w:val="auto"/>
          <w:sz w:val="21"/>
          <w:szCs w:val="21"/>
          <w:lang w:eastAsia="zh-CN"/>
        </w:rPr>
        <w:t>发包人</w:t>
      </w:r>
      <w:r>
        <w:rPr>
          <w:rFonts w:hint="eastAsia" w:ascii="宋体" w:hAnsi="宋体" w:eastAsia="宋体" w:cs="宋体"/>
          <w:color w:val="auto"/>
          <w:sz w:val="21"/>
          <w:szCs w:val="21"/>
        </w:rPr>
        <w:t>要求提交，工程竣工验收合格</w:t>
      </w:r>
      <w:r>
        <w:rPr>
          <w:rFonts w:hint="eastAsia" w:eastAsia="宋体" w:cs="宋体"/>
          <w:color w:val="auto"/>
          <w:sz w:val="21"/>
          <w:szCs w:val="21"/>
          <w:lang w:eastAsia="zh-CN"/>
        </w:rPr>
        <w:t>且支付完农民工工资</w:t>
      </w:r>
      <w:r>
        <w:rPr>
          <w:rFonts w:hint="eastAsia" w:ascii="宋体" w:hAnsi="宋体" w:eastAsia="宋体" w:cs="宋体"/>
          <w:color w:val="auto"/>
          <w:sz w:val="21"/>
          <w:szCs w:val="21"/>
        </w:rPr>
        <w:t>后28天内一次性返还（不计息）。</w:t>
      </w:r>
    </w:p>
    <w:p w14:paraId="51C023A0">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4.3 分包</w:t>
      </w:r>
    </w:p>
    <w:p w14:paraId="67B31022">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4.3.2 分包的内容</w:t>
      </w:r>
    </w:p>
    <w:p w14:paraId="271935E6">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当事人约定某些非主体、非关键性工作分包给第三人：</w:t>
      </w:r>
      <w:r>
        <w:rPr>
          <w:rFonts w:hint="eastAsia" w:ascii="宋体" w:hAnsi="宋体" w:eastAsia="宋体" w:cs="宋体"/>
          <w:b/>
          <w:color w:val="auto"/>
          <w:sz w:val="21"/>
          <w:szCs w:val="21"/>
          <w:u w:val="single"/>
        </w:rPr>
        <w:t>本工程不允许转包、除劳务外不得分包。</w:t>
      </w:r>
    </w:p>
    <w:p w14:paraId="6C96EFD4">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4.5 承包人项目经理</w:t>
      </w:r>
    </w:p>
    <w:p w14:paraId="26D59A62">
      <w:pPr>
        <w:keepNext w:val="0"/>
        <w:keepLines w:val="0"/>
        <w:pageBreakBefore w:val="0"/>
        <w:widowControl w:val="0"/>
        <w:kinsoku/>
        <w:wordWrap/>
        <w:overflowPunct/>
        <w:topLinePunct w:val="0"/>
        <w:autoSpaceDE/>
        <w:autoSpaceDN/>
        <w:bidi w:val="0"/>
        <w:spacing w:line="400" w:lineRule="exact"/>
        <w:ind w:left="0" w:leftChars="0" w:right="0" w:rightChars="0" w:firstLine="480"/>
        <w:jc w:val="left"/>
        <w:textAlignment w:val="auto"/>
        <w:rPr>
          <w:rFonts w:hint="eastAsia" w:ascii="宋体" w:hAnsi="宋体" w:eastAsia="宋体" w:cs="宋体"/>
          <w:color w:val="auto"/>
          <w:sz w:val="21"/>
          <w:szCs w:val="21"/>
        </w:rPr>
      </w:pPr>
      <w:bookmarkStart w:id="609" w:name="_Toc327347168"/>
      <w:bookmarkStart w:id="610" w:name="_Toc359579051"/>
      <w:bookmarkStart w:id="611" w:name="_Toc266027434"/>
      <w:bookmarkStart w:id="612" w:name="_Toc19197"/>
      <w:bookmarkStart w:id="613" w:name="_Toc5889"/>
      <w:bookmarkStart w:id="614" w:name="_Toc224103411"/>
      <w:bookmarkStart w:id="615" w:name="_Toc418077882"/>
      <w:r>
        <w:rPr>
          <w:rFonts w:hint="eastAsia" w:ascii="宋体" w:hAnsi="宋体" w:eastAsia="宋体" w:cs="宋体"/>
          <w:color w:val="auto"/>
          <w:sz w:val="21"/>
          <w:szCs w:val="21"/>
        </w:rPr>
        <w:t>4.5.1承包人项目经理必须与承包人投标时所承诺的人员一致，并在根据通用合同条款第11.1.1项确定的开工日期前到任。项目经理不得同时兼任其他任何项目的项目经理。未经发包人书面许可，承包人不得更换项目经理。</w:t>
      </w:r>
    </w:p>
    <w:p w14:paraId="0F54BC6D">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4.11  不利物质条件</w:t>
      </w:r>
      <w:bookmarkEnd w:id="609"/>
      <w:bookmarkEnd w:id="610"/>
      <w:bookmarkEnd w:id="611"/>
      <w:bookmarkEnd w:id="612"/>
      <w:bookmarkEnd w:id="613"/>
      <w:bookmarkEnd w:id="614"/>
      <w:bookmarkEnd w:id="615"/>
    </w:p>
    <w:p w14:paraId="5FDFFF7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4.11.1  不利物质条件的范围：</w:t>
      </w:r>
      <w:r>
        <w:rPr>
          <w:rFonts w:hint="eastAsia" w:ascii="宋体" w:hAnsi="宋体" w:eastAsia="宋体" w:cs="宋体"/>
          <w:b/>
          <w:color w:val="auto"/>
          <w:sz w:val="21"/>
          <w:szCs w:val="21"/>
          <w:u w:val="single"/>
        </w:rPr>
        <w:t xml:space="preserve">按通用条款执行。 </w:t>
      </w:r>
    </w:p>
    <w:p w14:paraId="524E5E5E">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5.  材料和工程设备</w:t>
      </w:r>
    </w:p>
    <w:p w14:paraId="69543C17">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5.1  承包人提供的材料和工程设备</w:t>
      </w:r>
    </w:p>
    <w:p w14:paraId="209E49F2">
      <w:pPr>
        <w:keepNext w:val="0"/>
        <w:keepLines w:val="0"/>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5.1.1</w:t>
      </w:r>
      <w:r>
        <w:rPr>
          <w:rFonts w:hint="eastAsia" w:ascii="宋体" w:hAnsi="宋体" w:eastAsia="宋体" w:cs="宋体"/>
          <w:b/>
          <w:color w:val="auto"/>
          <w:sz w:val="21"/>
          <w:szCs w:val="21"/>
          <w:u w:val="single"/>
        </w:rPr>
        <w:t>本工程所需材料、工程设备均由承包人负责采购、运输和保管。</w:t>
      </w:r>
    </w:p>
    <w:p w14:paraId="2BE4B1A8">
      <w:pPr>
        <w:keepNext w:val="0"/>
        <w:keepLines w:val="0"/>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b w:val="0"/>
          <w:bCs/>
          <w:color w:val="auto"/>
          <w:sz w:val="21"/>
          <w:szCs w:val="21"/>
          <w:highlight w:val="none"/>
          <w:u w:val="none"/>
        </w:rPr>
        <w:t>5.1.2</w:t>
      </w:r>
      <w:r>
        <w:rPr>
          <w:rFonts w:hint="eastAsia" w:ascii="宋体" w:hAnsi="宋体" w:eastAsia="宋体" w:cs="宋体"/>
          <w:b/>
          <w:color w:val="auto"/>
          <w:sz w:val="21"/>
          <w:szCs w:val="21"/>
          <w:highlight w:val="none"/>
          <w:u w:val="single"/>
        </w:rPr>
        <w:t>承包人应将各项</w:t>
      </w:r>
      <w:r>
        <w:rPr>
          <w:rFonts w:hint="eastAsia" w:ascii="宋体" w:hAnsi="宋体" w:eastAsia="宋体" w:cs="宋体"/>
          <w:b/>
          <w:color w:val="auto"/>
          <w:sz w:val="21"/>
          <w:szCs w:val="21"/>
          <w:highlight w:val="none"/>
          <w:u w:val="single"/>
          <w:lang w:eastAsia="zh-CN"/>
        </w:rPr>
        <w:t>施工</w:t>
      </w:r>
      <w:r>
        <w:rPr>
          <w:rFonts w:hint="eastAsia" w:ascii="宋体" w:hAnsi="宋体" w:eastAsia="宋体" w:cs="宋体"/>
          <w:b/>
          <w:color w:val="auto"/>
          <w:sz w:val="21"/>
          <w:szCs w:val="21"/>
          <w:highlight w:val="none"/>
          <w:u w:val="single"/>
        </w:rPr>
        <w:t>材料</w:t>
      </w:r>
      <w:r>
        <w:rPr>
          <w:rFonts w:hint="eastAsia" w:ascii="宋体" w:hAnsi="宋体" w:eastAsia="宋体" w:cs="宋体"/>
          <w:b/>
          <w:color w:val="auto"/>
          <w:sz w:val="21"/>
          <w:szCs w:val="21"/>
          <w:highlight w:val="none"/>
          <w:u w:val="single"/>
          <w:lang w:eastAsia="zh-CN"/>
        </w:rPr>
        <w:t>样品、材料合格证书、检测报告及相关</w:t>
      </w:r>
      <w:r>
        <w:rPr>
          <w:rFonts w:hint="eastAsia" w:ascii="宋体" w:hAnsi="宋体" w:eastAsia="宋体" w:cs="宋体"/>
          <w:b/>
          <w:color w:val="auto"/>
          <w:sz w:val="21"/>
          <w:szCs w:val="21"/>
          <w:highlight w:val="none"/>
          <w:u w:val="single"/>
          <w:lang w:val="en-US" w:eastAsia="zh-CN"/>
        </w:rPr>
        <w:t>质量证明</w:t>
      </w:r>
      <w:r>
        <w:rPr>
          <w:rFonts w:hint="eastAsia" w:ascii="宋体" w:hAnsi="宋体" w:eastAsia="宋体" w:cs="宋体"/>
          <w:b/>
          <w:color w:val="auto"/>
          <w:sz w:val="21"/>
          <w:szCs w:val="21"/>
          <w:highlight w:val="none"/>
          <w:u w:val="single"/>
          <w:lang w:eastAsia="zh-CN"/>
        </w:rPr>
        <w:t>资料等，在施工材料采购计划</w:t>
      </w:r>
      <w:r>
        <w:rPr>
          <w:rFonts w:hint="eastAsia" w:ascii="宋体" w:hAnsi="宋体" w:eastAsia="宋体" w:cs="宋体"/>
          <w:b/>
          <w:color w:val="auto"/>
          <w:sz w:val="21"/>
          <w:szCs w:val="21"/>
          <w:highlight w:val="none"/>
          <w:u w:val="single"/>
          <w:lang w:val="en-US" w:eastAsia="zh-CN"/>
        </w:rPr>
        <w:t>进场15日</w:t>
      </w:r>
      <w:r>
        <w:rPr>
          <w:rFonts w:hint="eastAsia" w:ascii="宋体" w:hAnsi="宋体" w:eastAsia="宋体" w:cs="宋体"/>
          <w:b/>
          <w:color w:val="auto"/>
          <w:sz w:val="21"/>
          <w:szCs w:val="21"/>
          <w:highlight w:val="none"/>
          <w:u w:val="single"/>
          <w:lang w:eastAsia="zh-CN"/>
        </w:rPr>
        <w:t>前</w:t>
      </w:r>
      <w:r>
        <w:rPr>
          <w:rFonts w:hint="eastAsia" w:ascii="宋体" w:hAnsi="宋体" w:eastAsia="宋体" w:cs="宋体"/>
          <w:b/>
          <w:color w:val="auto"/>
          <w:sz w:val="21"/>
          <w:szCs w:val="21"/>
          <w:highlight w:val="none"/>
          <w:u w:val="single"/>
          <w:lang w:val="en-US" w:eastAsia="zh-CN"/>
        </w:rPr>
        <w:t>以书面形式</w:t>
      </w:r>
      <w:r>
        <w:rPr>
          <w:rFonts w:hint="eastAsia" w:ascii="宋体" w:hAnsi="宋体" w:eastAsia="宋体" w:cs="宋体"/>
          <w:b/>
          <w:color w:val="auto"/>
          <w:sz w:val="21"/>
          <w:szCs w:val="21"/>
          <w:highlight w:val="none"/>
          <w:u w:val="single"/>
          <w:lang w:eastAsia="zh-CN"/>
        </w:rPr>
        <w:t>报发包人和监理人核验，</w:t>
      </w:r>
      <w:r>
        <w:rPr>
          <w:rFonts w:hint="eastAsia" w:ascii="宋体" w:hAnsi="宋体" w:eastAsia="宋体" w:cs="宋体"/>
          <w:b/>
          <w:color w:val="auto"/>
          <w:sz w:val="21"/>
          <w:szCs w:val="21"/>
          <w:highlight w:val="none"/>
          <w:u w:val="single"/>
        </w:rPr>
        <w:t>监理工程师和发包人</w:t>
      </w:r>
      <w:r>
        <w:rPr>
          <w:rFonts w:hint="eastAsia" w:ascii="宋体" w:hAnsi="宋体" w:eastAsia="宋体" w:cs="宋体"/>
          <w:b/>
          <w:color w:val="auto"/>
          <w:sz w:val="21"/>
          <w:szCs w:val="21"/>
          <w:highlight w:val="none"/>
          <w:u w:val="single"/>
          <w:lang w:eastAsia="zh-CN"/>
        </w:rPr>
        <w:t>收到承包人书面申请后</w:t>
      </w:r>
      <w:r>
        <w:rPr>
          <w:rFonts w:hint="eastAsia" w:ascii="宋体" w:hAnsi="宋体" w:eastAsia="宋体" w:cs="宋体"/>
          <w:b/>
          <w:color w:val="auto"/>
          <w:sz w:val="21"/>
          <w:szCs w:val="21"/>
          <w:highlight w:val="none"/>
          <w:u w:val="single"/>
          <w:lang w:val="en-US" w:eastAsia="zh-CN"/>
        </w:rPr>
        <w:t>5日内予以审核确认。各项施工材料应达到合格标准、</w:t>
      </w:r>
      <w:r>
        <w:rPr>
          <w:rFonts w:hint="eastAsia" w:ascii="宋体" w:hAnsi="宋体" w:eastAsia="宋体" w:cs="宋体"/>
          <w:b/>
          <w:color w:val="auto"/>
          <w:sz w:val="21"/>
          <w:szCs w:val="21"/>
          <w:highlight w:val="none"/>
          <w:u w:val="single"/>
          <w:lang w:eastAsia="zh-CN"/>
        </w:rPr>
        <w:t>并满足施工图设计文件要求、</w:t>
      </w:r>
      <w:r>
        <w:rPr>
          <w:rFonts w:hint="eastAsia" w:ascii="宋体" w:hAnsi="宋体" w:eastAsia="宋体" w:cs="宋体"/>
          <w:b/>
          <w:color w:val="auto"/>
          <w:sz w:val="21"/>
          <w:szCs w:val="21"/>
          <w:highlight w:val="none"/>
          <w:u w:val="single"/>
        </w:rPr>
        <w:t>并满足合同约定的质量标准</w:t>
      </w:r>
      <w:r>
        <w:rPr>
          <w:rFonts w:hint="eastAsia" w:ascii="宋体" w:hAnsi="宋体" w:eastAsia="宋体" w:cs="宋体"/>
          <w:b/>
          <w:color w:val="auto"/>
          <w:sz w:val="21"/>
          <w:szCs w:val="21"/>
          <w:highlight w:val="none"/>
          <w:u w:val="single"/>
          <w:lang w:eastAsia="zh-CN"/>
        </w:rPr>
        <w:t>后方可进行施工材料采购。</w:t>
      </w:r>
    </w:p>
    <w:p w14:paraId="16BD9F76">
      <w:pPr>
        <w:keepNext w:val="0"/>
        <w:keepLines w:val="0"/>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5.1.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u w:val="single"/>
        </w:rPr>
        <w:t xml:space="preserve">承包人应将各项材料和工程设备的供货人及品种、规格、数量和供货时间等，在材料、设备采购计划进场15日前以书面形式报送监理人审批。监理工程师和发包人收到承包人的书面报告后5日内予以确认。 承包人应向监理人提交其负责提供的材料和工程设备的质量证明文件，并满足合同约定的质量标准。 </w:t>
      </w:r>
    </w:p>
    <w:p w14:paraId="39509B59">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5.1.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u w:val="single"/>
        </w:rPr>
        <w:t>对承包人提供的材料和工程设备，承包人在材料、设备到货前24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14:paraId="7DBD467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b w:val="0"/>
          <w:bCs/>
          <w:color w:val="auto"/>
          <w:sz w:val="21"/>
          <w:szCs w:val="21"/>
          <w:highlight w:val="none"/>
          <w:u w:val="none"/>
        </w:rPr>
        <w:t>5.1.</w:t>
      </w:r>
      <w:r>
        <w:rPr>
          <w:rFonts w:hint="eastAsia" w:ascii="宋体" w:hAnsi="宋体" w:eastAsia="宋体" w:cs="宋体"/>
          <w:b w:val="0"/>
          <w:bCs/>
          <w:color w:val="auto"/>
          <w:sz w:val="21"/>
          <w:szCs w:val="21"/>
          <w:highlight w:val="none"/>
          <w:u w:val="none"/>
          <w:lang w:val="en-US" w:eastAsia="zh-CN"/>
        </w:rPr>
        <w:t>5</w:t>
      </w:r>
      <w:r>
        <w:rPr>
          <w:rFonts w:hint="eastAsia" w:ascii="宋体" w:hAnsi="宋体" w:eastAsia="宋体" w:cs="宋体"/>
          <w:b w:val="0"/>
          <w:bCs/>
          <w:color w:val="auto"/>
          <w:sz w:val="21"/>
          <w:szCs w:val="21"/>
          <w:highlight w:val="none"/>
          <w:u w:val="none"/>
        </w:rPr>
        <w:t xml:space="preserve"> </w:t>
      </w:r>
      <w:r>
        <w:rPr>
          <w:rFonts w:hint="eastAsia" w:ascii="宋体" w:hAnsi="宋体" w:eastAsia="宋体" w:cs="宋体"/>
          <w:b/>
          <w:color w:val="auto"/>
          <w:sz w:val="21"/>
          <w:szCs w:val="21"/>
          <w:highlight w:val="none"/>
          <w:u w:val="single"/>
        </w:rPr>
        <w:t>承包人所提供</w:t>
      </w:r>
      <w:r>
        <w:rPr>
          <w:rFonts w:hint="eastAsia" w:ascii="宋体" w:hAnsi="宋体" w:eastAsia="宋体" w:cs="宋体"/>
          <w:b/>
          <w:color w:val="auto"/>
          <w:sz w:val="21"/>
          <w:szCs w:val="21"/>
          <w:highlight w:val="none"/>
          <w:u w:val="single"/>
          <w:lang w:eastAsia="zh-CN"/>
        </w:rPr>
        <w:t>材料和</w:t>
      </w:r>
      <w:r>
        <w:rPr>
          <w:rFonts w:hint="eastAsia" w:ascii="宋体" w:hAnsi="宋体" w:eastAsia="宋体" w:cs="宋体"/>
          <w:b/>
          <w:color w:val="auto"/>
          <w:sz w:val="21"/>
          <w:szCs w:val="21"/>
          <w:highlight w:val="none"/>
          <w:u w:val="single"/>
        </w:rPr>
        <w:t>设备需完全符合或优于本项目的所有技术要求，对于不符合要求的</w:t>
      </w:r>
      <w:r>
        <w:rPr>
          <w:rFonts w:hint="eastAsia" w:ascii="宋体" w:hAnsi="宋体" w:eastAsia="宋体" w:cs="宋体"/>
          <w:b/>
          <w:color w:val="auto"/>
          <w:sz w:val="21"/>
          <w:szCs w:val="21"/>
          <w:highlight w:val="none"/>
          <w:u w:val="single"/>
          <w:lang w:eastAsia="zh-CN"/>
        </w:rPr>
        <w:t>材料和</w:t>
      </w:r>
      <w:r>
        <w:rPr>
          <w:rFonts w:hint="eastAsia" w:ascii="宋体" w:hAnsi="宋体" w:eastAsia="宋体" w:cs="宋体"/>
          <w:b/>
          <w:color w:val="auto"/>
          <w:sz w:val="21"/>
          <w:szCs w:val="21"/>
          <w:highlight w:val="none"/>
          <w:u w:val="single"/>
        </w:rPr>
        <w:t>设备发包人拒绝用于本项目，并要求承包人15日内无条件更换至满足发包人要求为止，否则发包人有权终止合同。</w:t>
      </w:r>
    </w:p>
    <w:p w14:paraId="07E6E85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bCs/>
          <w:snapToGrid w:val="0"/>
          <w:color w:val="auto"/>
          <w:w w:val="99"/>
          <w:sz w:val="21"/>
          <w:szCs w:val="21"/>
        </w:rPr>
      </w:pPr>
      <w:r>
        <w:rPr>
          <w:rFonts w:hint="eastAsia" w:ascii="宋体" w:hAnsi="宋体" w:eastAsia="宋体" w:cs="宋体"/>
          <w:b/>
          <w:bCs/>
          <w:snapToGrid w:val="0"/>
          <w:color w:val="auto"/>
          <w:sz w:val="21"/>
          <w:szCs w:val="21"/>
        </w:rPr>
        <w:t>5.2  发包人提供的材料和工程设备</w:t>
      </w:r>
    </w:p>
    <w:p w14:paraId="1480055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5.2.1 材料的名称、规格、数量和价格：</w:t>
      </w:r>
      <w:r>
        <w:rPr>
          <w:rFonts w:hint="eastAsia" w:ascii="宋体" w:hAnsi="宋体" w:eastAsia="宋体" w:cs="宋体"/>
          <w:b/>
          <w:bCs/>
          <w:color w:val="auto"/>
          <w:sz w:val="21"/>
          <w:szCs w:val="21"/>
          <w:u w:val="single"/>
        </w:rPr>
        <w:t xml:space="preserve"> 无。</w:t>
      </w:r>
      <w:r>
        <w:rPr>
          <w:rFonts w:hint="eastAsia" w:ascii="宋体" w:hAnsi="宋体" w:eastAsia="宋体" w:cs="宋体"/>
          <w:color w:val="auto"/>
          <w:sz w:val="21"/>
          <w:szCs w:val="21"/>
        </w:rPr>
        <w:t xml:space="preserve"> </w:t>
      </w:r>
    </w:p>
    <w:p w14:paraId="4C6839B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材料的交货方式、地点和日期：</w:t>
      </w:r>
      <w:r>
        <w:rPr>
          <w:rFonts w:hint="eastAsia" w:ascii="宋体" w:hAnsi="宋体" w:eastAsia="宋体" w:cs="宋体"/>
          <w:b/>
          <w:bCs/>
          <w:color w:val="auto"/>
          <w:sz w:val="21"/>
          <w:szCs w:val="21"/>
          <w:u w:val="single"/>
        </w:rPr>
        <w:t>无。</w:t>
      </w:r>
    </w:p>
    <w:p w14:paraId="79F1384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工程设备的名称、规格、数量和价格：</w:t>
      </w:r>
      <w:r>
        <w:rPr>
          <w:rFonts w:hint="eastAsia" w:ascii="宋体" w:hAnsi="宋体" w:eastAsia="宋体" w:cs="宋体"/>
          <w:b/>
          <w:bCs/>
          <w:color w:val="auto"/>
          <w:sz w:val="21"/>
          <w:szCs w:val="21"/>
          <w:u w:val="single"/>
        </w:rPr>
        <w:t>无。</w:t>
      </w:r>
    </w:p>
    <w:p w14:paraId="6272C67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工程设备的交货方式、地点和日期：</w:t>
      </w:r>
      <w:r>
        <w:rPr>
          <w:rFonts w:hint="eastAsia" w:ascii="宋体" w:hAnsi="宋体" w:eastAsia="宋体" w:cs="宋体"/>
          <w:b/>
          <w:bCs/>
          <w:color w:val="auto"/>
          <w:sz w:val="21"/>
          <w:szCs w:val="21"/>
          <w:u w:val="single"/>
        </w:rPr>
        <w:t>无。</w:t>
      </w:r>
    </w:p>
    <w:p w14:paraId="0169623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5.2.3材料和工程设备的接收、运输与保管：</w:t>
      </w:r>
      <w:r>
        <w:rPr>
          <w:rFonts w:hint="eastAsia" w:ascii="宋体" w:hAnsi="宋体" w:eastAsia="宋体" w:cs="宋体"/>
          <w:b/>
          <w:bCs/>
          <w:color w:val="auto"/>
          <w:sz w:val="21"/>
          <w:szCs w:val="21"/>
          <w:u w:val="single"/>
        </w:rPr>
        <w:t>无。</w:t>
      </w:r>
    </w:p>
    <w:p w14:paraId="58355A0E">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  施工设备和临时设施</w:t>
      </w:r>
    </w:p>
    <w:p w14:paraId="40E8F50E">
      <w:pPr>
        <w:keepNext w:val="0"/>
        <w:keepLines w:val="0"/>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6.1  承包人提供的施工设备和临时设施</w:t>
      </w:r>
    </w:p>
    <w:p w14:paraId="74A1462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6.1.2  承包人承担修建临时设施费用的范围： </w:t>
      </w:r>
      <w:r>
        <w:rPr>
          <w:rFonts w:hint="eastAsia" w:ascii="宋体" w:hAnsi="宋体" w:eastAsia="宋体" w:cs="宋体"/>
          <w:b/>
          <w:color w:val="auto"/>
          <w:sz w:val="21"/>
          <w:szCs w:val="21"/>
          <w:u w:val="single"/>
        </w:rPr>
        <w:t>临时设施均由承包人负责修建，费用承包人承担。</w:t>
      </w:r>
    </w:p>
    <w:p w14:paraId="65E578F1">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临时占地的申请及费用：</w:t>
      </w:r>
      <w:r>
        <w:rPr>
          <w:rFonts w:hint="eastAsia" w:ascii="宋体" w:hAnsi="宋体" w:eastAsia="宋体" w:cs="宋体"/>
          <w:b/>
          <w:color w:val="auto"/>
          <w:sz w:val="21"/>
          <w:szCs w:val="21"/>
          <w:u w:val="single"/>
        </w:rPr>
        <w:t>由承包人负责申请并承担相应费用</w:t>
      </w:r>
      <w:r>
        <w:rPr>
          <w:rFonts w:hint="eastAsia" w:ascii="宋体" w:hAnsi="宋体" w:eastAsia="宋体" w:cs="宋体"/>
          <w:color w:val="auto"/>
          <w:sz w:val="21"/>
          <w:szCs w:val="21"/>
        </w:rPr>
        <w:t>。</w:t>
      </w:r>
    </w:p>
    <w:p w14:paraId="5973EB57">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6.2  发包人提供的施工设备和临时设施：</w:t>
      </w:r>
      <w:r>
        <w:rPr>
          <w:rFonts w:hint="eastAsia" w:ascii="宋体" w:hAnsi="宋体" w:eastAsia="宋体" w:cs="宋体"/>
          <w:b/>
          <w:color w:val="auto"/>
          <w:sz w:val="21"/>
          <w:szCs w:val="21"/>
          <w:u w:val="single"/>
        </w:rPr>
        <w:t>无。</w:t>
      </w:r>
    </w:p>
    <w:p w14:paraId="5AF6C53A">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  交通运输</w:t>
      </w:r>
    </w:p>
    <w:p w14:paraId="50145D1D">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7.1  道路通行权和场外设施</w:t>
      </w:r>
    </w:p>
    <w:p w14:paraId="744683FB">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t xml:space="preserve">取得道路通行权、修建场外设施权的办理人： </w:t>
      </w:r>
      <w:r>
        <w:rPr>
          <w:rFonts w:hint="eastAsia" w:ascii="宋体" w:hAnsi="宋体" w:eastAsia="宋体" w:cs="宋体"/>
          <w:b/>
          <w:color w:val="auto"/>
          <w:sz w:val="21"/>
          <w:szCs w:val="21"/>
          <w:u w:val="single"/>
        </w:rPr>
        <w:t>承包人。</w:t>
      </w:r>
    </w:p>
    <w:p w14:paraId="58A878A8">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相关费用： </w:t>
      </w:r>
      <w:r>
        <w:rPr>
          <w:rFonts w:hint="eastAsia" w:ascii="宋体" w:hAnsi="宋体" w:eastAsia="宋体" w:cs="宋体"/>
          <w:b/>
          <w:color w:val="auto"/>
          <w:sz w:val="21"/>
          <w:szCs w:val="21"/>
          <w:u w:val="single"/>
        </w:rPr>
        <w:t>由承包人负责，费用由承包人承担。</w:t>
      </w:r>
    </w:p>
    <w:p w14:paraId="333B024F">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7.2  场内施工道路</w:t>
      </w:r>
    </w:p>
    <w:p w14:paraId="5D7ECF52">
      <w:pPr>
        <w:keepNext w:val="0"/>
        <w:keepLines w:val="0"/>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7.2.1  临时道路和交通设施的修建、维护、养护和管理人： </w:t>
      </w:r>
      <w:r>
        <w:rPr>
          <w:rFonts w:hint="eastAsia" w:ascii="宋体" w:hAnsi="宋体" w:eastAsia="宋体" w:cs="宋体"/>
          <w:b/>
          <w:color w:val="auto"/>
          <w:sz w:val="21"/>
          <w:szCs w:val="21"/>
          <w:u w:val="single"/>
        </w:rPr>
        <w:t>承包人。</w:t>
      </w:r>
    </w:p>
    <w:p w14:paraId="58397CB6">
      <w:pPr>
        <w:keepNext w:val="0"/>
        <w:keepLines w:val="0"/>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7.2.2  临时道路和交通设施的使用权力及费用：</w:t>
      </w:r>
      <w:r>
        <w:rPr>
          <w:rFonts w:hint="eastAsia" w:ascii="宋体" w:hAnsi="宋体" w:eastAsia="宋体" w:cs="宋体"/>
          <w:b/>
          <w:color w:val="auto"/>
          <w:sz w:val="21"/>
          <w:szCs w:val="21"/>
          <w:u w:val="single"/>
        </w:rPr>
        <w:t>由承包人自行负责。</w:t>
      </w:r>
    </w:p>
    <w:p w14:paraId="1B498231">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7.4  超大件和超重件的运输</w:t>
      </w:r>
    </w:p>
    <w:p w14:paraId="0AB129B8">
      <w:pPr>
        <w:keepNext w:val="0"/>
        <w:keepLines w:val="0"/>
        <w:pageBreakBefore w:val="0"/>
        <w:widowControl w:val="0"/>
        <w:kinsoku/>
        <w:wordWrap/>
        <w:overflowPunct/>
        <w:topLinePunct w:val="0"/>
        <w:autoSpaceDE/>
        <w:autoSpaceDN/>
        <w:bidi w:val="0"/>
        <w:spacing w:line="400" w:lineRule="exact"/>
        <w:ind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道路和桥梁临时加固改造费用和其他有关费用的承担：</w:t>
      </w:r>
      <w:r>
        <w:rPr>
          <w:rFonts w:hint="eastAsia" w:ascii="宋体" w:hAnsi="宋体" w:eastAsia="宋体" w:cs="宋体"/>
          <w:b/>
          <w:color w:val="auto"/>
          <w:sz w:val="21"/>
          <w:szCs w:val="21"/>
          <w:u w:val="single"/>
        </w:rPr>
        <w:t>由承包人承担。</w:t>
      </w:r>
    </w:p>
    <w:p w14:paraId="092D6AE8">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  测量放线</w:t>
      </w:r>
    </w:p>
    <w:p w14:paraId="2A1FC84E">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  施工控制网</w:t>
      </w:r>
    </w:p>
    <w:p w14:paraId="7669B35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8.1.1  发包人提供测量基准点、基准线和水准点的期限：</w:t>
      </w:r>
      <w:r>
        <w:rPr>
          <w:rFonts w:hint="eastAsia" w:ascii="宋体" w:hAnsi="宋体" w:eastAsia="宋体" w:cs="宋体"/>
          <w:b/>
          <w:bCs/>
          <w:color w:val="auto"/>
          <w:sz w:val="21"/>
          <w:szCs w:val="21"/>
          <w:u w:val="single"/>
        </w:rPr>
        <w:t xml:space="preserve"> 开工前5天。</w:t>
      </w:r>
    </w:p>
    <w:p w14:paraId="5E248E6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施工控制网的测设：</w:t>
      </w:r>
      <w:r>
        <w:rPr>
          <w:rFonts w:hint="eastAsia" w:ascii="宋体" w:hAnsi="宋体" w:eastAsia="宋体" w:cs="宋体"/>
          <w:b/>
          <w:bCs/>
          <w:color w:val="auto"/>
          <w:sz w:val="21"/>
          <w:szCs w:val="21"/>
          <w:u w:val="single"/>
        </w:rPr>
        <w:t xml:space="preserve"> 由承包人负责。</w:t>
      </w:r>
      <w:r>
        <w:rPr>
          <w:rFonts w:hint="eastAsia" w:ascii="宋体" w:hAnsi="宋体" w:eastAsia="宋体" w:cs="宋体"/>
          <w:color w:val="auto"/>
          <w:sz w:val="21"/>
          <w:szCs w:val="21"/>
        </w:rPr>
        <w:t xml:space="preserve"> </w:t>
      </w:r>
    </w:p>
    <w:p w14:paraId="2D64917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报监理人审批施工控制网资料的期限：</w:t>
      </w:r>
      <w:r>
        <w:rPr>
          <w:rFonts w:hint="eastAsia" w:ascii="宋体" w:hAnsi="宋体" w:eastAsia="宋体" w:cs="宋体"/>
          <w:b/>
          <w:bCs/>
          <w:color w:val="auto"/>
          <w:sz w:val="21"/>
          <w:szCs w:val="21"/>
          <w:u w:val="single"/>
        </w:rPr>
        <w:t xml:space="preserve"> 开工前7天。</w:t>
      </w:r>
    </w:p>
    <w:p w14:paraId="4F07E7D3">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9.  施工安全、治安保卫和环境保护</w:t>
      </w:r>
    </w:p>
    <w:p w14:paraId="7FA0817F">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9.2  承包人的施工安全责任</w:t>
      </w:r>
    </w:p>
    <w:p w14:paraId="56E288F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9.2.1报监理人审批的施工安全措施计划期限：</w:t>
      </w:r>
      <w:r>
        <w:rPr>
          <w:rFonts w:hint="eastAsia" w:ascii="宋体" w:hAnsi="宋体" w:eastAsia="宋体" w:cs="宋体"/>
          <w:b/>
          <w:bCs/>
          <w:color w:val="auto"/>
          <w:sz w:val="21"/>
          <w:szCs w:val="21"/>
          <w:u w:val="single"/>
        </w:rPr>
        <w:t xml:space="preserve"> 开工前5天。</w:t>
      </w:r>
    </w:p>
    <w:p w14:paraId="60EFF25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监理人收到承包人报送的施工安全措施计划后应当在</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bCs w:val="0"/>
          <w:color w:val="auto"/>
          <w:sz w:val="21"/>
          <w:szCs w:val="21"/>
          <w:u w:val="single"/>
          <w:lang w:val="en-US" w:eastAsia="zh-CN"/>
        </w:rPr>
        <w:t>2</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天内给予批复。</w:t>
      </w:r>
    </w:p>
    <w:p w14:paraId="27BAF43C">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9.3  治安保卫</w:t>
      </w:r>
    </w:p>
    <w:p w14:paraId="74FDF04C">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9.3.1  承包人应当负责统一管理施工场地的治安保卫事项，履行合同工程的治安保卫职责，其费用由</w:t>
      </w:r>
      <w:r>
        <w:rPr>
          <w:rFonts w:hint="eastAsia" w:ascii="宋体" w:hAnsi="宋体" w:eastAsia="宋体" w:cs="宋体"/>
          <w:b/>
          <w:bCs/>
          <w:color w:val="auto"/>
          <w:sz w:val="21"/>
          <w:szCs w:val="21"/>
          <w:u w:val="single"/>
        </w:rPr>
        <w:t xml:space="preserve"> 承包人 </w:t>
      </w:r>
      <w:r>
        <w:rPr>
          <w:rFonts w:hint="eastAsia" w:ascii="宋体" w:hAnsi="宋体" w:eastAsia="宋体" w:cs="宋体"/>
          <w:color w:val="auto"/>
          <w:sz w:val="21"/>
          <w:szCs w:val="21"/>
        </w:rPr>
        <w:t>承担。</w:t>
      </w:r>
    </w:p>
    <w:p w14:paraId="0F2011D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9.3.3  施工场地治安管理计划和突发治安事件紧急预案的编制责任人：</w:t>
      </w:r>
      <w:r>
        <w:rPr>
          <w:rFonts w:hint="eastAsia" w:ascii="宋体" w:hAnsi="宋体" w:eastAsia="宋体" w:cs="宋体"/>
          <w:b/>
          <w:bCs/>
          <w:color w:val="auto"/>
          <w:sz w:val="21"/>
          <w:szCs w:val="21"/>
          <w:u w:val="single"/>
        </w:rPr>
        <w:t xml:space="preserve">  由承包人负责 </w:t>
      </w:r>
      <w:r>
        <w:rPr>
          <w:rFonts w:hint="eastAsia" w:ascii="宋体" w:hAnsi="宋体" w:eastAsia="宋体" w:cs="宋体"/>
          <w:b/>
          <w:color w:val="auto"/>
          <w:sz w:val="21"/>
          <w:szCs w:val="21"/>
        </w:rPr>
        <w:t>。</w:t>
      </w:r>
    </w:p>
    <w:p w14:paraId="67A41F73">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9.4  环境保护</w:t>
      </w:r>
    </w:p>
    <w:p w14:paraId="57483D5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9.4.2施工环保措施计划报送监理人审批的时间：</w:t>
      </w:r>
      <w:r>
        <w:rPr>
          <w:rFonts w:hint="eastAsia" w:ascii="宋体" w:hAnsi="宋体" w:eastAsia="宋体" w:cs="宋体"/>
          <w:b/>
          <w:bCs/>
          <w:color w:val="auto"/>
          <w:sz w:val="21"/>
          <w:szCs w:val="21"/>
          <w:u w:val="single"/>
        </w:rPr>
        <w:t xml:space="preserve"> 开工前5天 </w:t>
      </w:r>
      <w:r>
        <w:rPr>
          <w:rFonts w:hint="eastAsia" w:ascii="宋体" w:hAnsi="宋体" w:eastAsia="宋体" w:cs="宋体"/>
          <w:color w:val="auto"/>
          <w:sz w:val="21"/>
          <w:szCs w:val="21"/>
        </w:rPr>
        <w:t>。</w:t>
      </w:r>
    </w:p>
    <w:p w14:paraId="70FE547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监理人收到承包人报送的施工环保措施计划后应当在</w:t>
      </w:r>
      <w:r>
        <w:rPr>
          <w:rFonts w:hint="eastAsia" w:ascii="宋体" w:hAnsi="宋体" w:eastAsia="宋体" w:cs="宋体"/>
          <w:b/>
          <w:color w:val="auto"/>
          <w:sz w:val="21"/>
          <w:szCs w:val="21"/>
          <w:u w:val="single"/>
        </w:rPr>
        <w:t>　2</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天内给予批复。</w:t>
      </w:r>
    </w:p>
    <w:p w14:paraId="14985DC3">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10.  进度计划</w:t>
      </w:r>
    </w:p>
    <w:p w14:paraId="7FC29997">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  合同进度计划</w:t>
      </w:r>
    </w:p>
    <w:p w14:paraId="0C1925F0">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(1)承包人应当在收到监理人按照通用合同条款第11.1.1项发出的开工通知后</w:t>
      </w:r>
      <w:r>
        <w:rPr>
          <w:rFonts w:hint="eastAsia" w:ascii="宋体" w:hAnsi="宋体" w:eastAsia="宋体" w:cs="宋体"/>
          <w:b/>
          <w:bCs/>
          <w:color w:val="auto"/>
          <w:sz w:val="21"/>
          <w:szCs w:val="21"/>
          <w:u w:val="single"/>
        </w:rPr>
        <w:t xml:space="preserve"> 7 </w:t>
      </w:r>
      <w:r>
        <w:rPr>
          <w:rFonts w:hint="eastAsia" w:ascii="宋体" w:hAnsi="宋体" w:eastAsia="宋体" w:cs="宋体"/>
          <w:color w:val="auto"/>
          <w:sz w:val="21"/>
          <w:szCs w:val="21"/>
        </w:rPr>
        <w:t>天内，编制详细的施工进度计划和施工方案说明并报送监理人。</w:t>
      </w:r>
    </w:p>
    <w:p w14:paraId="53F1987A">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承包人编制施工进度计划和施工方案说明的内容：</w:t>
      </w:r>
      <w:r>
        <w:rPr>
          <w:rFonts w:hint="eastAsia" w:ascii="宋体" w:hAnsi="宋体" w:eastAsia="宋体" w:cs="宋体"/>
          <w:b/>
          <w:color w:val="auto"/>
          <w:sz w:val="21"/>
          <w:szCs w:val="21"/>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03528C3C">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(2)监理人批复或对施工进度计划和施工方案说明提出修改意见的期限：</w:t>
      </w:r>
      <w:r>
        <w:rPr>
          <w:rFonts w:hint="eastAsia" w:ascii="宋体" w:hAnsi="宋体" w:eastAsia="宋体" w:cs="宋体"/>
          <w:b/>
          <w:color w:val="auto"/>
          <w:sz w:val="21"/>
          <w:szCs w:val="21"/>
          <w:u w:val="single"/>
        </w:rPr>
        <w:t>自监理人收到承包人报送的相关进度计划和施工方案说明后5天内。</w:t>
      </w:r>
    </w:p>
    <w:p w14:paraId="7547BF4C">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  开工和竣工</w:t>
      </w:r>
    </w:p>
    <w:p w14:paraId="1836C57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11.4  异常恶劣的气候条件</w:t>
      </w:r>
    </w:p>
    <w:p w14:paraId="29D589A9">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异常恶劣的气候条件的范围：</w:t>
      </w:r>
      <w:r>
        <w:rPr>
          <w:rFonts w:hint="eastAsia" w:ascii="宋体" w:hAnsi="宋体" w:eastAsia="宋体" w:cs="宋体"/>
          <w:b/>
          <w:bCs/>
          <w:color w:val="auto"/>
          <w:sz w:val="21"/>
          <w:szCs w:val="21"/>
          <w:u w:val="single"/>
        </w:rPr>
        <w:t xml:space="preserve"> 50年一遇的自然灾害（包括台风、雪灾、洪水等）。</w:t>
      </w:r>
    </w:p>
    <w:p w14:paraId="7F0DABC7">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11.5  承包人的工期延误</w:t>
      </w:r>
    </w:p>
    <w:p w14:paraId="7748DD1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由于包人原因造成不能按期竣工的，发包人有权得到按本款约定的下列标准和方法计算的逾期竣工违约金</w:t>
      </w:r>
      <w:r>
        <w:rPr>
          <w:rFonts w:hint="eastAsia" w:ascii="宋体" w:hAnsi="宋体" w:eastAsia="宋体" w:cs="宋体"/>
          <w:color w:val="auto"/>
          <w:sz w:val="21"/>
          <w:szCs w:val="21"/>
        </w:rPr>
        <w:t>，但最终违约金的金额不能超过本款约定的逾期竣工违约金最高限额。</w:t>
      </w:r>
    </w:p>
    <w:p w14:paraId="7F88B09C">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逾期竣工违约金的计算方法：</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u w:val="single"/>
        </w:rPr>
        <w:t>按</w:t>
      </w:r>
      <w:r>
        <w:rPr>
          <w:rFonts w:hint="eastAsia" w:ascii="宋体" w:hAnsi="宋体" w:eastAsia="宋体" w:cs="宋体"/>
          <w:b/>
          <w:bCs/>
          <w:color w:val="auto"/>
          <w:sz w:val="21"/>
          <w:szCs w:val="21"/>
          <w:u w:val="single"/>
          <w:lang w:val="en-US" w:eastAsia="zh-CN"/>
        </w:rPr>
        <w:t>1000</w:t>
      </w:r>
      <w:r>
        <w:rPr>
          <w:rFonts w:hint="eastAsia" w:ascii="宋体" w:hAnsi="宋体" w:eastAsia="宋体" w:cs="宋体"/>
          <w:b/>
          <w:bCs/>
          <w:color w:val="auto"/>
          <w:sz w:val="21"/>
          <w:szCs w:val="21"/>
          <w:u w:val="single"/>
        </w:rPr>
        <w:t xml:space="preserve">元/天计违约金 </w:t>
      </w:r>
      <w:r>
        <w:rPr>
          <w:rFonts w:hint="eastAsia" w:ascii="宋体" w:hAnsi="宋体" w:eastAsia="宋体" w:cs="宋体"/>
          <w:color w:val="auto"/>
          <w:sz w:val="21"/>
          <w:szCs w:val="21"/>
        </w:rPr>
        <w:t>。</w:t>
      </w:r>
    </w:p>
    <w:p w14:paraId="55E12569">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逾期竣工违约金的最高限额：</w:t>
      </w:r>
      <w:r>
        <w:rPr>
          <w:rFonts w:hint="eastAsia" w:ascii="宋体" w:hAnsi="宋体" w:eastAsia="宋体" w:cs="宋体"/>
          <w:b/>
          <w:bCs/>
          <w:color w:val="auto"/>
          <w:sz w:val="21"/>
          <w:szCs w:val="21"/>
          <w:u w:val="single"/>
        </w:rPr>
        <w:t xml:space="preserve"> 签约合同价的</w:t>
      </w:r>
      <w:r>
        <w:rPr>
          <w:rFonts w:hint="eastAsia" w:ascii="宋体" w:hAnsi="宋体" w:eastAsia="宋体" w:cs="宋体"/>
          <w:b/>
          <w:bCs/>
          <w:color w:val="auto"/>
          <w:sz w:val="21"/>
          <w:szCs w:val="21"/>
          <w:u w:val="single"/>
          <w:lang w:val="en-US" w:eastAsia="zh-CN"/>
        </w:rPr>
        <w:t>10</w:t>
      </w:r>
      <w:r>
        <w:rPr>
          <w:rFonts w:hint="eastAsia" w:ascii="宋体" w:hAnsi="宋体" w:eastAsia="宋体" w:cs="宋体"/>
          <w:b/>
          <w:bCs/>
          <w:color w:val="auto"/>
          <w:sz w:val="21"/>
          <w:szCs w:val="21"/>
          <w:u w:val="single"/>
        </w:rPr>
        <w:t xml:space="preserve">% </w:t>
      </w:r>
      <w:r>
        <w:rPr>
          <w:rFonts w:hint="eastAsia" w:ascii="宋体" w:hAnsi="宋体" w:eastAsia="宋体" w:cs="宋体"/>
          <w:color w:val="auto"/>
          <w:sz w:val="21"/>
          <w:szCs w:val="21"/>
        </w:rPr>
        <w:t>。</w:t>
      </w:r>
    </w:p>
    <w:p w14:paraId="6BCBA475">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11.6  工期提前</w:t>
      </w:r>
    </w:p>
    <w:p w14:paraId="401489B0">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提前竣工的奖励办法：</w:t>
      </w:r>
      <w:r>
        <w:rPr>
          <w:rFonts w:hint="eastAsia" w:ascii="宋体" w:hAnsi="宋体" w:eastAsia="宋体" w:cs="宋体"/>
          <w:b/>
          <w:bCs/>
          <w:color w:val="auto"/>
          <w:sz w:val="21"/>
          <w:szCs w:val="21"/>
          <w:u w:val="single"/>
        </w:rPr>
        <w:t xml:space="preserve">    /   。</w:t>
      </w:r>
    </w:p>
    <w:p w14:paraId="1628A742">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12．暂停施工</w:t>
      </w:r>
    </w:p>
    <w:p w14:paraId="5CA708F9">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 承包人暂停施工的责任：</w:t>
      </w:r>
      <w:r>
        <w:rPr>
          <w:rFonts w:hint="eastAsia" w:ascii="宋体" w:hAnsi="宋体" w:eastAsia="宋体" w:cs="宋体"/>
          <w:b/>
          <w:color w:val="auto"/>
          <w:sz w:val="21"/>
          <w:szCs w:val="21"/>
          <w:u w:val="single"/>
        </w:rPr>
        <w:t xml:space="preserve"> 非发包人的原因由承包人负责。</w:t>
      </w:r>
    </w:p>
    <w:p w14:paraId="5AD09379">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13．工程质量</w:t>
      </w:r>
    </w:p>
    <w:p w14:paraId="1A8DAA82">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13.2 承包人的质量检查</w:t>
      </w:r>
    </w:p>
    <w:p w14:paraId="739F7C53">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承包人提交工程质量保证措施文件的期限：</w:t>
      </w:r>
      <w:r>
        <w:rPr>
          <w:rFonts w:hint="eastAsia" w:ascii="宋体" w:hAnsi="宋体" w:eastAsia="宋体" w:cs="宋体"/>
          <w:b/>
          <w:color w:val="auto"/>
          <w:sz w:val="21"/>
          <w:szCs w:val="21"/>
          <w:u w:val="single"/>
        </w:rPr>
        <w:t xml:space="preserve">  开工前7天</w:t>
      </w:r>
      <w:r>
        <w:rPr>
          <w:rFonts w:hint="eastAsia" w:ascii="宋体" w:hAnsi="宋体" w:eastAsia="宋体" w:cs="宋体"/>
          <w:b/>
          <w:color w:val="auto"/>
          <w:sz w:val="21"/>
          <w:szCs w:val="21"/>
        </w:rPr>
        <w:t>。</w:t>
      </w:r>
    </w:p>
    <w:p w14:paraId="398B59FB">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监理人收到承包人报送的施工环保措施计划后应当在</w:t>
      </w:r>
      <w:r>
        <w:rPr>
          <w:rFonts w:hint="eastAsia" w:ascii="宋体" w:hAnsi="宋体" w:eastAsia="宋体" w:cs="宋体"/>
          <w:b/>
          <w:bCs/>
          <w:color w:val="auto"/>
          <w:sz w:val="21"/>
          <w:szCs w:val="21"/>
          <w:u w:val="single"/>
        </w:rPr>
        <w:t xml:space="preserve">  1 </w:t>
      </w:r>
      <w:r>
        <w:rPr>
          <w:rFonts w:hint="eastAsia" w:ascii="宋体" w:hAnsi="宋体" w:eastAsia="宋体" w:cs="宋体"/>
          <w:bCs/>
          <w:color w:val="auto"/>
          <w:sz w:val="21"/>
          <w:szCs w:val="21"/>
        </w:rPr>
        <w:t>天内给予批复。</w:t>
      </w:r>
    </w:p>
    <w:p w14:paraId="344D499D">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13.5 工程隐蔽部位覆盖前的检查</w:t>
      </w:r>
    </w:p>
    <w:p w14:paraId="6F7FD410">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13.5.1监理人对工程隐蔽部位进行检查的期限：</w:t>
      </w:r>
      <w:r>
        <w:rPr>
          <w:rFonts w:hint="eastAsia" w:ascii="宋体" w:hAnsi="宋体" w:eastAsia="宋体" w:cs="宋体"/>
          <w:b/>
          <w:color w:val="auto"/>
          <w:sz w:val="21"/>
          <w:szCs w:val="21"/>
          <w:u w:val="single"/>
        </w:rPr>
        <w:t>工程部位隐蔽前24小时以书面形式通知发包人和监理人验收。</w:t>
      </w:r>
    </w:p>
    <w:p w14:paraId="76CCA686">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15.  变更</w:t>
      </w:r>
    </w:p>
    <w:p w14:paraId="5114E1BF">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所有工程变更等现场签证的确定只有经发包人审批同意后才能生效。</w:t>
      </w:r>
    </w:p>
    <w:p w14:paraId="5A25E91D">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15.1 变更的范围和内容：</w:t>
      </w:r>
      <w:r>
        <w:rPr>
          <w:rFonts w:hint="eastAsia" w:ascii="宋体" w:hAnsi="宋体" w:eastAsia="宋体" w:cs="宋体"/>
          <w:b/>
          <w:color w:val="auto"/>
          <w:sz w:val="21"/>
          <w:szCs w:val="21"/>
          <w:u w:val="single"/>
        </w:rPr>
        <w:t>变更的范围和内容以发包人认可为准。</w:t>
      </w:r>
    </w:p>
    <w:p w14:paraId="638BB792">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15.3  变更程序</w:t>
      </w:r>
    </w:p>
    <w:p w14:paraId="475184ED">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15.3.1 变更的原则</w:t>
      </w:r>
    </w:p>
    <w:p w14:paraId="6EB43DFB">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工程设计变更严格遵守“先批准，后变更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先变更，后实施”的原则，对于未经批准而先行实施的工程变更，不予认可。</w:t>
      </w:r>
    </w:p>
    <w:p w14:paraId="616FAD76">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15.3.2  变更估价</w:t>
      </w:r>
    </w:p>
    <w:p w14:paraId="6717FF9A">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承包人提交变更报价书的期限：</w:t>
      </w:r>
      <w:r>
        <w:rPr>
          <w:rFonts w:hint="eastAsia" w:ascii="宋体" w:hAnsi="宋体" w:eastAsia="宋体" w:cs="宋体"/>
          <w:color w:val="auto"/>
          <w:sz w:val="21"/>
          <w:szCs w:val="21"/>
          <w:u w:val="single"/>
        </w:rPr>
        <w:t>承包人应在收到变更指示或变更意向书后的</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天内，向监理人提交变更报价书。</w:t>
      </w:r>
    </w:p>
    <w:p w14:paraId="476783A8">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监理人商定或确定变更价格的期限：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 xml:space="preserve">天。  </w:t>
      </w:r>
    </w:p>
    <w:p w14:paraId="3A20761C">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u w:val="single"/>
        </w:rPr>
      </w:pPr>
      <w:r>
        <w:rPr>
          <w:rFonts w:hint="eastAsia" w:ascii="宋体" w:hAnsi="宋体" w:eastAsia="宋体" w:cs="宋体"/>
          <w:b/>
          <w:color w:val="auto"/>
          <w:sz w:val="21"/>
          <w:szCs w:val="21"/>
        </w:rPr>
        <w:t>15.4变更的估价原则</w:t>
      </w:r>
    </w:p>
    <w:p w14:paraId="3FFE2C8C">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（1）工程内容与已标价工程量清单中有相同的子项或类似子项，则按投标时的相同子项或类似子</w:t>
      </w:r>
      <w:r>
        <w:rPr>
          <w:rFonts w:hint="eastAsia" w:ascii="宋体" w:hAnsi="宋体" w:eastAsia="宋体" w:cs="宋体"/>
          <w:color w:val="auto"/>
          <w:sz w:val="21"/>
          <w:szCs w:val="21"/>
        </w:rPr>
        <w:t>项的综合单价执行（类似子项及</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综合单价由</w:t>
      </w:r>
      <w:r>
        <w:rPr>
          <w:rFonts w:hint="eastAsia" w:ascii="宋体" w:hAnsi="宋体" w:eastAsia="宋体" w:cs="宋体"/>
          <w:color w:val="auto"/>
          <w:sz w:val="21"/>
          <w:szCs w:val="21"/>
          <w:lang w:eastAsia="zh-CN"/>
        </w:rPr>
        <w:t>发包人</w:t>
      </w:r>
      <w:r>
        <w:rPr>
          <w:rFonts w:hint="eastAsia" w:ascii="宋体" w:hAnsi="宋体" w:eastAsia="宋体" w:cs="宋体"/>
          <w:color w:val="auto"/>
          <w:sz w:val="21"/>
          <w:szCs w:val="21"/>
        </w:rPr>
        <w:t>审定）；</w:t>
      </w:r>
    </w:p>
    <w:p w14:paraId="04E57C77">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（2）工程内容如有与已标价工程量清单不同的子项（既无相同子项，又无类似子项），</w:t>
      </w:r>
      <w:r>
        <w:rPr>
          <w:rFonts w:hint="eastAsia" w:ascii="宋体" w:hAnsi="宋体" w:eastAsia="宋体" w:cs="宋体"/>
          <w:snapToGrid w:val="0"/>
          <w:color w:val="auto"/>
          <w:kern w:val="0"/>
          <w:sz w:val="21"/>
          <w:szCs w:val="21"/>
          <w:lang w:eastAsia="zh-CN"/>
        </w:rPr>
        <w:t>按</w:t>
      </w:r>
      <w:r>
        <w:rPr>
          <w:rFonts w:hint="eastAsia" w:ascii="宋体" w:hAnsi="宋体" w:eastAsia="宋体" w:cs="宋体"/>
          <w:color w:val="auto"/>
          <w:sz w:val="21"/>
          <w:szCs w:val="21"/>
          <w:lang w:eastAsia="zh-CN"/>
        </w:rPr>
        <w:t>《建设工程工程量清单计价规范》（GB50500-2013）、《重庆市建设工程工程量清单计价规则》（CQJJ</w:t>
      </w:r>
      <w:r>
        <w:rPr>
          <w:rFonts w:hint="eastAsia" w:ascii="宋体" w:hAnsi="宋体" w:eastAsia="宋体" w:cs="宋体"/>
          <w:color w:val="auto"/>
          <w:sz w:val="21"/>
          <w:szCs w:val="21"/>
          <w:lang w:val="en-US" w:eastAsia="zh-CN"/>
        </w:rPr>
        <w:t>G</w:t>
      </w:r>
      <w:r>
        <w:rPr>
          <w:rFonts w:hint="eastAsia" w:ascii="宋体" w:hAnsi="宋体" w:eastAsia="宋体" w:cs="宋体"/>
          <w:color w:val="auto"/>
          <w:sz w:val="21"/>
          <w:szCs w:val="21"/>
          <w:lang w:eastAsia="zh-CN"/>
        </w:rPr>
        <w:t>Z-2013）、《重庆市建设工程工程量计算规则》（CQJLGZ-2013）；</w:t>
      </w:r>
      <w:r>
        <w:rPr>
          <w:rFonts w:hint="eastAsia" w:ascii="宋体" w:hAnsi="宋体" w:eastAsia="宋体" w:cs="宋体"/>
          <w:color w:val="auto"/>
          <w:sz w:val="21"/>
          <w:szCs w:val="21"/>
          <w:highlight w:val="none"/>
          <w:lang w:eastAsia="zh-CN"/>
        </w:rPr>
        <w:t>2018年《重庆市通用安装工程计价定额》、2018年《重庆市房屋建筑与装饰工程计价定额》、2018年《重庆市市政工程计价定额》、2018年《重庆市房屋修缮工程计价定额》、2018年《重庆市绿色建筑工程计价定额》、2018年《重庆市建设工程费用定额》</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highlight w:val="none"/>
        </w:rPr>
        <w:t>《重庆市城乡建设委员会关于适用增值税新税税率调整建筑工程计价依据的通知》（渝建〔201</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43</w:t>
      </w:r>
      <w:r>
        <w:rPr>
          <w:rFonts w:hint="eastAsia" w:ascii="宋体" w:hAnsi="宋体" w:eastAsia="宋体" w:cs="宋体"/>
          <w:color w:val="auto"/>
          <w:kern w:val="0"/>
          <w:sz w:val="21"/>
          <w:szCs w:val="21"/>
          <w:highlight w:val="none"/>
        </w:rPr>
        <w:t>号）</w:t>
      </w:r>
      <w:r>
        <w:rPr>
          <w:rFonts w:hint="eastAsia" w:ascii="宋体" w:hAnsi="宋体" w:eastAsia="宋体" w:cs="宋体"/>
          <w:color w:val="auto"/>
          <w:sz w:val="21"/>
          <w:szCs w:val="21"/>
          <w:lang w:eastAsia="zh-CN"/>
        </w:rPr>
        <w:t>及相关配套文件计算后，再按承包人报价浮动率【承包人报价浮动率=（1-中标</w:t>
      </w:r>
      <w:r>
        <w:rPr>
          <w:rFonts w:hint="eastAsia" w:ascii="宋体" w:hAnsi="宋体" w:eastAsia="宋体" w:cs="宋体"/>
          <w:color w:val="auto"/>
          <w:sz w:val="21"/>
          <w:szCs w:val="21"/>
          <w:highlight w:val="none"/>
          <w:lang w:eastAsia="zh-CN"/>
        </w:rPr>
        <w:t>价/投标总报价最高限价）×100%】进行下浮后结算【其中：人工工日单价按</w:t>
      </w:r>
      <w:r>
        <w:rPr>
          <w:rFonts w:hint="eastAsia" w:ascii="宋体" w:hAnsi="宋体" w:eastAsia="宋体" w:cs="宋体"/>
          <w:color w:val="auto"/>
          <w:sz w:val="21"/>
          <w:szCs w:val="21"/>
          <w:highlight w:val="none"/>
          <w:lang w:val="en-US" w:eastAsia="zh-CN"/>
        </w:rPr>
        <w:t>2024年第四季度</w:t>
      </w:r>
      <w:r>
        <w:rPr>
          <w:rFonts w:hint="eastAsia" w:ascii="宋体" w:hAnsi="宋体" w:eastAsia="宋体" w:cs="宋体"/>
          <w:color w:val="auto"/>
          <w:sz w:val="21"/>
          <w:szCs w:val="21"/>
          <w:highlight w:val="none"/>
          <w:lang w:eastAsia="zh-CN"/>
        </w:rPr>
        <w:t>《重庆工程造价》公布的渝西片区人工信息价调整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材料价格参照2025年第</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期《重庆工程造价》公布的渝西片区材料价格并结合铜梁当地近期市场价进行调整</w:t>
      </w:r>
      <w:r>
        <w:rPr>
          <w:rFonts w:hint="eastAsia" w:ascii="宋体" w:hAnsi="宋体" w:eastAsia="宋体" w:cs="宋体"/>
          <w:color w:val="auto"/>
          <w:sz w:val="21"/>
          <w:szCs w:val="21"/>
          <w:highlight w:val="none"/>
        </w:rPr>
        <w:t>，材料价格按不含税价格计算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下浮基数不含安全文明施工费、认质核价的材料费、规费、</w:t>
      </w:r>
      <w:r>
        <w:rPr>
          <w:rFonts w:hint="eastAsia" w:ascii="宋体" w:hAnsi="宋体" w:eastAsia="宋体" w:cs="宋体"/>
          <w:color w:val="auto"/>
          <w:sz w:val="21"/>
          <w:szCs w:val="21"/>
          <w:highlight w:val="none"/>
          <w:lang w:eastAsia="zh-CN"/>
        </w:rPr>
        <w:t>税金</w:t>
      </w:r>
      <w:r>
        <w:rPr>
          <w:rFonts w:hint="eastAsia" w:ascii="宋体" w:hAnsi="宋体" w:eastAsia="宋体" w:cs="宋体"/>
          <w:color w:val="auto"/>
          <w:sz w:val="21"/>
          <w:szCs w:val="21"/>
          <w:lang w:eastAsia="zh-CN"/>
        </w:rPr>
        <w:t>】。</w:t>
      </w:r>
    </w:p>
    <w:p w14:paraId="6E1A0E7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15.5  承包人的合理化建议</w:t>
      </w:r>
    </w:p>
    <w:p w14:paraId="608541E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b/>
          <w:color w:val="auto"/>
          <w:sz w:val="21"/>
          <w:szCs w:val="21"/>
          <w:u w:val="single"/>
        </w:rPr>
      </w:pPr>
      <w:r>
        <w:rPr>
          <w:rFonts w:hint="eastAsia" w:ascii="宋体" w:hAnsi="宋体" w:eastAsia="宋体" w:cs="宋体"/>
          <w:color w:val="auto"/>
          <w:sz w:val="21"/>
          <w:szCs w:val="21"/>
        </w:rPr>
        <w:t>对承包人提出合理化建议的奖励方法：</w:t>
      </w:r>
      <w:r>
        <w:rPr>
          <w:rFonts w:hint="eastAsia" w:ascii="宋体" w:hAnsi="宋体" w:eastAsia="宋体" w:cs="宋体"/>
          <w:b/>
          <w:color w:val="auto"/>
          <w:sz w:val="21"/>
          <w:szCs w:val="21"/>
          <w:u w:val="single"/>
        </w:rPr>
        <w:t>无。</w:t>
      </w:r>
    </w:p>
    <w:p w14:paraId="7FD95CEC">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15.6  暂列金</w:t>
      </w:r>
      <w:r>
        <w:rPr>
          <w:rFonts w:hint="eastAsia" w:ascii="宋体" w:hAnsi="宋体" w:eastAsia="宋体" w:cs="宋体"/>
          <w:color w:val="auto"/>
          <w:sz w:val="21"/>
          <w:szCs w:val="21"/>
          <w:highlight w:val="none"/>
        </w:rPr>
        <w:t>额</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无</w:t>
      </w:r>
      <w:r>
        <w:rPr>
          <w:rFonts w:hint="eastAsia" w:ascii="宋体" w:hAnsi="宋体" w:eastAsia="宋体" w:cs="宋体"/>
          <w:color w:val="auto"/>
          <w:sz w:val="21"/>
          <w:szCs w:val="21"/>
          <w:highlight w:val="none"/>
        </w:rPr>
        <w:t>。</w:t>
      </w:r>
    </w:p>
    <w:p w14:paraId="4EB413FA">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  暂估价：</w:t>
      </w:r>
      <w:r>
        <w:rPr>
          <w:rFonts w:hint="eastAsia" w:ascii="宋体" w:hAnsi="宋体" w:eastAsia="宋体" w:cs="宋体"/>
          <w:b/>
          <w:bCs/>
          <w:color w:val="auto"/>
          <w:sz w:val="21"/>
          <w:szCs w:val="21"/>
          <w:highlight w:val="none"/>
          <w:u w:val="single"/>
        </w:rPr>
        <w:t>无</w:t>
      </w:r>
      <w:r>
        <w:rPr>
          <w:rFonts w:hint="eastAsia" w:ascii="宋体" w:hAnsi="宋体" w:eastAsia="宋体" w:cs="宋体"/>
          <w:color w:val="auto"/>
          <w:sz w:val="21"/>
          <w:szCs w:val="21"/>
          <w:highlight w:val="none"/>
        </w:rPr>
        <w:t>。</w:t>
      </w:r>
    </w:p>
    <w:p w14:paraId="6A8675DD">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16. 价格调整</w:t>
      </w:r>
    </w:p>
    <w:p w14:paraId="131144A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16.1  物价波动引起的价格调整</w:t>
      </w:r>
    </w:p>
    <w:p w14:paraId="4F656E9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物价波动引起的价格调整方法：</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u w:val="single"/>
          <w:lang w:eastAsia="zh-CN"/>
        </w:rPr>
        <w:t>承包</w:t>
      </w:r>
      <w:r>
        <w:rPr>
          <w:rFonts w:hint="eastAsia" w:ascii="宋体" w:hAnsi="宋体" w:eastAsia="宋体" w:cs="宋体"/>
          <w:b/>
          <w:bCs/>
          <w:color w:val="auto"/>
          <w:sz w:val="21"/>
          <w:szCs w:val="21"/>
          <w:u w:val="single"/>
        </w:rPr>
        <w:t>范围内不作调整       。</w:t>
      </w:r>
    </w:p>
    <w:p w14:paraId="1400E3D7">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highlight w:val="yellow"/>
        </w:rPr>
      </w:pPr>
      <w:r>
        <w:rPr>
          <w:rFonts w:hint="eastAsia" w:ascii="宋体" w:hAnsi="宋体" w:eastAsia="宋体" w:cs="宋体"/>
          <w:b/>
          <w:bCs/>
          <w:color w:val="auto"/>
          <w:sz w:val="21"/>
          <w:szCs w:val="21"/>
        </w:rPr>
        <w:t>17.2 预付款</w:t>
      </w:r>
    </w:p>
    <w:p w14:paraId="4899153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17.2.1 预付款</w:t>
      </w:r>
    </w:p>
    <w:p w14:paraId="3DCCF43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    预付款额度和预付方法：</w:t>
      </w:r>
      <w:r>
        <w:rPr>
          <w:rFonts w:hint="eastAsia" w:ascii="宋体" w:hAnsi="宋体" w:eastAsia="宋体" w:cs="宋体"/>
          <w:b/>
          <w:bCs/>
          <w:color w:val="auto"/>
          <w:sz w:val="21"/>
          <w:szCs w:val="21"/>
          <w:u w:val="single"/>
        </w:rPr>
        <w:t xml:space="preserve"> 无 。</w:t>
      </w:r>
    </w:p>
    <w:p w14:paraId="3FF000F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17.2.2 预付款保函</w:t>
      </w:r>
    </w:p>
    <w:p w14:paraId="683A314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预付款保函的提交时间：</w:t>
      </w:r>
      <w:r>
        <w:rPr>
          <w:rFonts w:hint="eastAsia" w:ascii="宋体" w:hAnsi="宋体" w:eastAsia="宋体" w:cs="宋体"/>
          <w:b/>
          <w:bCs/>
          <w:color w:val="auto"/>
          <w:sz w:val="21"/>
          <w:szCs w:val="21"/>
          <w:u w:val="single"/>
        </w:rPr>
        <w:t xml:space="preserve"> 无   。</w:t>
      </w:r>
    </w:p>
    <w:p w14:paraId="1D542184">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17.2.3 预付款的扣回与还清</w:t>
      </w:r>
    </w:p>
    <w:p w14:paraId="43557702">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预付款的扣回办法：</w:t>
      </w:r>
      <w:r>
        <w:rPr>
          <w:rFonts w:hint="eastAsia" w:ascii="宋体" w:hAnsi="宋体" w:eastAsia="宋体" w:cs="宋体"/>
          <w:b/>
          <w:bCs/>
          <w:color w:val="auto"/>
          <w:sz w:val="21"/>
          <w:szCs w:val="21"/>
          <w:u w:val="single"/>
        </w:rPr>
        <w:t xml:space="preserve"> 无  。</w:t>
      </w:r>
    </w:p>
    <w:p w14:paraId="1597AC07">
      <w:pPr>
        <w:keepNext w:val="0"/>
        <w:keepLines w:val="0"/>
        <w:pageBreakBefore w:val="0"/>
        <w:widowControl w:val="0"/>
        <w:kinsoku/>
        <w:wordWrap/>
        <w:overflowPunct/>
        <w:topLinePunct w:val="0"/>
        <w:autoSpaceDE/>
        <w:autoSpaceDN/>
        <w:bidi w:val="0"/>
        <w:spacing w:line="400" w:lineRule="exact"/>
        <w:ind w:right="0" w:right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17.3  工程付款</w:t>
      </w:r>
    </w:p>
    <w:p w14:paraId="3DFEBAE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jc w:val="both"/>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17.3.3工程付款及最终结清付款：</w:t>
      </w:r>
    </w:p>
    <w:p w14:paraId="600508A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lang w:eastAsia="zh-CN"/>
        </w:rPr>
        <w:t>本工程无预付款，竣工验收合格，待铜梁区财政局下达本项目资金指标后，支付签约合同金额的80%，承包商完全支付农民工工资且结算审计完成后支付至审定金额的97%，余审定金额的3%作为工程质保金。工程缺陷责任期为</w:t>
      </w:r>
      <w:r>
        <w:rPr>
          <w:rFonts w:hint="eastAsia" w:ascii="宋体" w:hAnsi="宋体" w:cs="宋体"/>
          <w:color w:val="auto"/>
          <w:sz w:val="21"/>
          <w:szCs w:val="21"/>
          <w:highlight w:val="none"/>
          <w:lang w:val="en-US" w:eastAsia="zh-CN"/>
        </w:rPr>
        <w:t>24个月</w:t>
      </w:r>
      <w:r>
        <w:rPr>
          <w:rFonts w:hint="eastAsia" w:ascii="宋体" w:hAnsi="宋体" w:eastAsia="宋体" w:cs="宋体"/>
          <w:color w:val="auto"/>
          <w:sz w:val="21"/>
          <w:szCs w:val="21"/>
          <w:highlight w:val="none"/>
          <w:lang w:eastAsia="zh-CN"/>
        </w:rPr>
        <w:t>，工程缺陷责任期满后无质量问题，一次性支付质保金，质保金不计息。审定金额以发包人选定的第三方审计机构审定的金额为准</w:t>
      </w:r>
      <w:r>
        <w:rPr>
          <w:rFonts w:hint="eastAsia" w:ascii="宋体" w:hAnsi="宋体" w:cs="宋体"/>
          <w:color w:val="auto"/>
          <w:sz w:val="21"/>
          <w:szCs w:val="21"/>
          <w:highlight w:val="none"/>
          <w:lang w:eastAsia="zh-CN"/>
        </w:rPr>
        <w:t>。</w:t>
      </w:r>
    </w:p>
    <w:p w14:paraId="2ACE5FFA">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注：所有工程款均支付至</w:t>
      </w:r>
      <w:r>
        <w:rPr>
          <w:rFonts w:hint="eastAsia" w:ascii="宋体" w:hAnsi="宋体" w:eastAsia="宋体" w:cs="宋体"/>
          <w:color w:val="auto"/>
          <w:kern w:val="0"/>
          <w:sz w:val="21"/>
          <w:szCs w:val="21"/>
          <w:highlight w:val="none"/>
          <w:lang w:eastAsia="zh-CN"/>
        </w:rPr>
        <w:t>承包</w:t>
      </w:r>
      <w:r>
        <w:rPr>
          <w:rFonts w:hint="eastAsia" w:ascii="宋体" w:hAnsi="宋体" w:eastAsia="宋体" w:cs="宋体"/>
          <w:color w:val="auto"/>
          <w:kern w:val="0"/>
          <w:sz w:val="21"/>
          <w:szCs w:val="21"/>
          <w:highlight w:val="none"/>
        </w:rPr>
        <w:t>人基本账户。</w:t>
      </w:r>
    </w:p>
    <w:p w14:paraId="41E3C8E6">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17.4  质量保证金</w:t>
      </w:r>
    </w:p>
    <w:p w14:paraId="0EDD1483">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 xml:space="preserve">    17.4.1 </w:t>
      </w:r>
      <w:r>
        <w:rPr>
          <w:rFonts w:hint="eastAsia" w:ascii="宋体" w:hAnsi="宋体" w:eastAsia="宋体" w:cs="宋体"/>
          <w:color w:val="auto"/>
          <w:sz w:val="21"/>
          <w:szCs w:val="21"/>
          <w:highlight w:val="none"/>
        </w:rPr>
        <w:t>质量保证金的金额或比例</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u w:val="single"/>
        </w:rPr>
        <w:t>工程结算审定金额的</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p>
    <w:p w14:paraId="02915D79">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17.5  竣工结算</w:t>
      </w:r>
    </w:p>
    <w:p w14:paraId="5B27A1C0">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17.5.1  竣工付款申请单</w:t>
      </w:r>
    </w:p>
    <w:p w14:paraId="76081A32">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竣工付款申请单的份数和提交期限：</w:t>
      </w:r>
      <w:r>
        <w:rPr>
          <w:rFonts w:hint="eastAsia" w:ascii="宋体" w:hAnsi="宋体" w:eastAsia="宋体" w:cs="宋体"/>
          <w:b/>
          <w:color w:val="auto"/>
          <w:sz w:val="21"/>
          <w:szCs w:val="21"/>
          <w:u w:val="single"/>
        </w:rPr>
        <w:t>按发包人要求办理。</w:t>
      </w:r>
      <w:r>
        <w:rPr>
          <w:rFonts w:hint="eastAsia" w:ascii="宋体" w:hAnsi="宋体" w:eastAsia="宋体" w:cs="宋体"/>
          <w:color w:val="auto"/>
          <w:sz w:val="21"/>
          <w:szCs w:val="21"/>
        </w:rPr>
        <w:t xml:space="preserve">     </w:t>
      </w:r>
    </w:p>
    <w:p w14:paraId="310155FA">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竣工付款申请单的内容：</w:t>
      </w:r>
      <w:r>
        <w:rPr>
          <w:rFonts w:hint="eastAsia" w:ascii="宋体" w:hAnsi="宋体" w:eastAsia="宋体" w:cs="宋体"/>
          <w:b/>
          <w:color w:val="auto"/>
          <w:sz w:val="21"/>
          <w:szCs w:val="21"/>
          <w:u w:val="single"/>
        </w:rPr>
        <w:t xml:space="preserve">按发包人要求办理。 </w:t>
      </w:r>
      <w:r>
        <w:rPr>
          <w:rFonts w:hint="eastAsia" w:ascii="宋体" w:hAnsi="宋体" w:eastAsia="宋体" w:cs="宋体"/>
          <w:color w:val="auto"/>
          <w:sz w:val="21"/>
          <w:szCs w:val="21"/>
        </w:rPr>
        <w:t xml:space="preserve">             </w:t>
      </w:r>
    </w:p>
    <w:p w14:paraId="06A1F3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17.5.3 竣工</w:t>
      </w:r>
      <w:r>
        <w:rPr>
          <w:rFonts w:hint="eastAsia" w:ascii="宋体" w:hAnsi="宋体" w:eastAsia="宋体" w:cs="宋体"/>
          <w:b/>
          <w:color w:val="auto"/>
          <w:sz w:val="21"/>
          <w:szCs w:val="21"/>
        </w:rPr>
        <w:t>结算原则</w:t>
      </w:r>
      <w:r>
        <w:rPr>
          <w:rFonts w:hint="eastAsia" w:ascii="宋体" w:hAnsi="宋体" w:eastAsia="宋体" w:cs="宋体"/>
          <w:b/>
          <w:color w:val="auto"/>
          <w:sz w:val="21"/>
          <w:szCs w:val="21"/>
        </w:rPr>
        <w:t>：</w:t>
      </w:r>
    </w:p>
    <w:p w14:paraId="38B0C8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bookmarkStart w:id="616" w:name="_Toc24412"/>
      <w:bookmarkStart w:id="617" w:name="_Toc18141"/>
      <w:bookmarkStart w:id="618" w:name="_Toc359579095"/>
      <w:bookmarkStart w:id="619" w:name="_Toc266027476"/>
      <w:bookmarkStart w:id="620" w:name="_Toc418077924"/>
      <w:bookmarkStart w:id="621" w:name="_Toc327347214"/>
      <w:bookmarkStart w:id="622" w:name="_Toc224103452"/>
      <w:r>
        <w:rPr>
          <w:rFonts w:hint="eastAsia" w:ascii="宋体" w:hAnsi="宋体" w:eastAsia="宋体" w:cs="宋体"/>
          <w:color w:val="auto"/>
          <w:sz w:val="21"/>
          <w:szCs w:val="21"/>
        </w:rPr>
        <w:t>1.结算总价=中标价±经发包人确认的应计增减（变更）工程造价±合同约定的其它费用，最终结算金额以</w:t>
      </w:r>
      <w:r>
        <w:rPr>
          <w:rFonts w:hint="eastAsia" w:ascii="宋体" w:hAnsi="宋体" w:eastAsia="宋体" w:cs="宋体"/>
          <w:color w:val="auto"/>
          <w:sz w:val="21"/>
          <w:szCs w:val="21"/>
          <w:lang w:eastAsia="zh-CN"/>
        </w:rPr>
        <w:t>发包人委托的审计机构</w:t>
      </w:r>
      <w:r>
        <w:rPr>
          <w:rFonts w:hint="eastAsia" w:ascii="宋体" w:hAnsi="宋体" w:eastAsia="宋体" w:cs="宋体"/>
          <w:color w:val="auto"/>
          <w:sz w:val="21"/>
          <w:szCs w:val="21"/>
        </w:rPr>
        <w:t>审定的金额为准。承包人要认真准确办理结算，审减率在10%（含）以上的项目，审计费用由承包人承担。</w:t>
      </w:r>
    </w:p>
    <w:p w14:paraId="2BBB89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.增减（变更）工程结算： </w:t>
      </w:r>
    </w:p>
    <w:p w14:paraId="5E1227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（1）工程内容与已标价工程量清单中有相同的子项或类似子项，则按投标时的相同子项或类似子项的综合单价执行（类似子项及综合单价由</w:t>
      </w:r>
      <w:r>
        <w:rPr>
          <w:rFonts w:hint="eastAsia" w:ascii="宋体" w:hAnsi="宋体" w:eastAsia="宋体" w:cs="宋体"/>
          <w:color w:val="auto"/>
          <w:sz w:val="21"/>
          <w:szCs w:val="21"/>
          <w:lang w:eastAsia="zh-CN"/>
        </w:rPr>
        <w:t>发包人</w:t>
      </w:r>
      <w:r>
        <w:rPr>
          <w:rFonts w:hint="eastAsia" w:ascii="宋体" w:hAnsi="宋体" w:eastAsia="宋体" w:cs="宋体"/>
          <w:color w:val="auto"/>
          <w:sz w:val="21"/>
          <w:szCs w:val="21"/>
        </w:rPr>
        <w:t>审定）；</w:t>
      </w:r>
    </w:p>
    <w:p w14:paraId="2BB9D0BB">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snapToGrid w:val="0"/>
          <w:color w:val="auto"/>
          <w:kern w:val="0"/>
          <w:sz w:val="21"/>
          <w:szCs w:val="21"/>
        </w:rPr>
        <w:t>工程内容如有与已标价工程量清单不同的子项（既无相同子项，又无类似子项），</w:t>
      </w:r>
      <w:r>
        <w:rPr>
          <w:rFonts w:hint="eastAsia" w:ascii="宋体" w:hAnsi="宋体" w:eastAsia="宋体" w:cs="宋体"/>
          <w:snapToGrid w:val="0"/>
          <w:color w:val="auto"/>
          <w:kern w:val="0"/>
          <w:sz w:val="21"/>
          <w:szCs w:val="21"/>
          <w:lang w:eastAsia="zh-CN"/>
        </w:rPr>
        <w:t>按</w:t>
      </w:r>
      <w:r>
        <w:rPr>
          <w:rFonts w:hint="eastAsia" w:ascii="宋体" w:hAnsi="宋体" w:eastAsia="宋体" w:cs="宋体"/>
          <w:color w:val="auto"/>
          <w:sz w:val="21"/>
          <w:szCs w:val="21"/>
          <w:lang w:eastAsia="zh-CN"/>
        </w:rPr>
        <w:t>《建设工程工程量清单计价规范》（GB50500-2013）、《重庆市建设工程工程量清单计价规则》（CQJJ</w:t>
      </w:r>
      <w:r>
        <w:rPr>
          <w:rFonts w:hint="eastAsia" w:ascii="宋体" w:hAnsi="宋体" w:eastAsia="宋体" w:cs="宋体"/>
          <w:color w:val="auto"/>
          <w:sz w:val="21"/>
          <w:szCs w:val="21"/>
          <w:lang w:val="en-US" w:eastAsia="zh-CN"/>
        </w:rPr>
        <w:t>G</w:t>
      </w:r>
      <w:r>
        <w:rPr>
          <w:rFonts w:hint="eastAsia" w:ascii="宋体" w:hAnsi="宋体" w:eastAsia="宋体" w:cs="宋体"/>
          <w:color w:val="auto"/>
          <w:sz w:val="21"/>
          <w:szCs w:val="21"/>
          <w:lang w:eastAsia="zh-CN"/>
        </w:rPr>
        <w:t>Z-2013）、《重庆市建设工程工程量计算规则》（CQJLGZ-2013）；</w:t>
      </w:r>
      <w:r>
        <w:rPr>
          <w:rFonts w:hint="eastAsia" w:ascii="宋体" w:hAnsi="宋体" w:eastAsia="宋体" w:cs="宋体"/>
          <w:color w:val="auto"/>
          <w:sz w:val="21"/>
          <w:szCs w:val="21"/>
          <w:highlight w:val="none"/>
          <w:lang w:eastAsia="zh-CN"/>
        </w:rPr>
        <w:t>2018年《重庆市通用安装工程计价定额》、2018年《重庆市房屋建筑与装饰工程计价定额》、2018年《重庆市市政工程计价定额》、2018年《重庆市房屋修缮工程计价定额》、2018年《重庆市绿色建筑工程计价定额》、2018年《重庆市建设工程费用定额》</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highlight w:val="none"/>
        </w:rPr>
        <w:t>《重庆市城乡建设委员会关于适用增值税新税税率调整建筑工程计价依据的通知》（渝建〔201</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43</w:t>
      </w:r>
      <w:r>
        <w:rPr>
          <w:rFonts w:hint="eastAsia" w:ascii="宋体" w:hAnsi="宋体" w:eastAsia="宋体" w:cs="宋体"/>
          <w:color w:val="auto"/>
          <w:kern w:val="0"/>
          <w:sz w:val="21"/>
          <w:szCs w:val="21"/>
          <w:highlight w:val="none"/>
        </w:rPr>
        <w:t>号）</w:t>
      </w:r>
      <w:r>
        <w:rPr>
          <w:rFonts w:hint="eastAsia" w:ascii="宋体" w:hAnsi="宋体" w:eastAsia="宋体" w:cs="宋体"/>
          <w:color w:val="auto"/>
          <w:sz w:val="21"/>
          <w:szCs w:val="21"/>
          <w:lang w:eastAsia="zh-CN"/>
        </w:rPr>
        <w:t>及相关配套文件计算后，再按承包人报价浮动率【承包人报价浮动率=（1-中标</w:t>
      </w:r>
      <w:r>
        <w:rPr>
          <w:rFonts w:hint="eastAsia" w:ascii="宋体" w:hAnsi="宋体" w:eastAsia="宋体" w:cs="宋体"/>
          <w:color w:val="auto"/>
          <w:sz w:val="21"/>
          <w:szCs w:val="21"/>
          <w:highlight w:val="none"/>
          <w:lang w:eastAsia="zh-CN"/>
        </w:rPr>
        <w:t>价/投标总报价最高限价）×100%】进行下浮后结算【其中：人工工日单价按202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年第四季度《重庆工程造价》公布的渝西片区人工信息价调整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材料价格参照2025年第</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期《重庆工程造价》公布的渝西片区材料价格并结合铜梁当地近期市场价进行调整</w:t>
      </w:r>
      <w:r>
        <w:rPr>
          <w:rFonts w:hint="eastAsia" w:ascii="宋体" w:hAnsi="宋体" w:eastAsia="宋体" w:cs="宋体"/>
          <w:color w:val="auto"/>
          <w:sz w:val="21"/>
          <w:szCs w:val="21"/>
          <w:highlight w:val="none"/>
        </w:rPr>
        <w:t>，材料价格按不含税价格计算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下浮基数不含安全文明施工费、认质核价的材料费、规费、</w:t>
      </w:r>
      <w:r>
        <w:rPr>
          <w:rFonts w:hint="eastAsia" w:ascii="宋体" w:hAnsi="宋体" w:eastAsia="宋体" w:cs="宋体"/>
          <w:color w:val="auto"/>
          <w:sz w:val="21"/>
          <w:szCs w:val="21"/>
          <w:highlight w:val="none"/>
          <w:lang w:eastAsia="zh-CN"/>
        </w:rPr>
        <w:t>税金</w:t>
      </w:r>
      <w:r>
        <w:rPr>
          <w:rFonts w:hint="eastAsia" w:ascii="宋体" w:hAnsi="宋体" w:eastAsia="宋体" w:cs="宋体"/>
          <w:color w:val="auto"/>
          <w:sz w:val="21"/>
          <w:szCs w:val="21"/>
          <w:lang w:eastAsia="zh-CN"/>
        </w:rPr>
        <w:t>】。</w:t>
      </w:r>
    </w:p>
    <w:p w14:paraId="7C4CCB65">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安全文明施工费：</w:t>
      </w:r>
      <w:r>
        <w:rPr>
          <w:rFonts w:hint="eastAsia" w:ascii="宋体" w:hAnsi="宋体" w:eastAsia="宋体" w:cs="宋体"/>
          <w:color w:val="auto"/>
          <w:sz w:val="21"/>
          <w:szCs w:val="21"/>
          <w:lang w:eastAsia="zh-CN"/>
        </w:rPr>
        <w:t>按《重庆市住房和城乡建设委员会关于修订发布&lt;重庆市建设工程安全文明施工费计取及使用管理规定&gt;的通知》（渝建管〔2024〕38号）及《重庆市城乡建设委员会关于适用增值税新税率调整建设工程计价依据的通知》（渝建</w:t>
      </w:r>
      <w:r>
        <w:rPr>
          <w:rFonts w:hint="eastAsia" w:ascii="宋体" w:hAnsi="宋体" w:eastAsia="宋体" w:cs="宋体"/>
          <w:color w:val="auto"/>
          <w:kern w:val="0"/>
          <w:sz w:val="21"/>
          <w:szCs w:val="21"/>
          <w:highlight w:val="none"/>
        </w:rPr>
        <w:t>〔201</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43</w:t>
      </w:r>
      <w:r>
        <w:rPr>
          <w:rFonts w:hint="eastAsia" w:ascii="宋体" w:hAnsi="宋体" w:eastAsia="宋体" w:cs="宋体"/>
          <w:color w:val="auto"/>
          <w:sz w:val="21"/>
          <w:szCs w:val="21"/>
          <w:lang w:eastAsia="zh-CN"/>
        </w:rPr>
        <w:t>号）</w:t>
      </w:r>
      <w:r>
        <w:rPr>
          <w:rFonts w:hint="eastAsia" w:ascii="宋体" w:hAnsi="宋体" w:eastAsia="宋体" w:cs="宋体"/>
          <w:color w:val="auto"/>
          <w:kern w:val="0"/>
          <w:sz w:val="21"/>
          <w:szCs w:val="21"/>
        </w:rPr>
        <w:t>，安全文明施工综合评定结果为不合格，则不计取。</w:t>
      </w:r>
    </w:p>
    <w:p w14:paraId="6E719E65">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施工技术措施项目清单计价表中以项为单位计列的项目，按投标时的报价作为结算价，包干使用。</w:t>
      </w:r>
    </w:p>
    <w:p w14:paraId="1617F86C">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  竣工验收</w:t>
      </w:r>
      <w:bookmarkEnd w:id="616"/>
      <w:bookmarkEnd w:id="617"/>
      <w:bookmarkEnd w:id="618"/>
      <w:bookmarkEnd w:id="619"/>
      <w:bookmarkEnd w:id="620"/>
      <w:bookmarkEnd w:id="621"/>
      <w:bookmarkEnd w:id="622"/>
    </w:p>
    <w:p w14:paraId="496D82D8">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18.2  竣工验收申请报告</w:t>
      </w:r>
    </w:p>
    <w:p w14:paraId="4D764C3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竣工资料内容：</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按重庆市铜梁区城建档案室和发包人的要求，提供竣工资料。</w:t>
      </w:r>
    </w:p>
    <w:p w14:paraId="1097BDB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5"/>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竣工资料份数：</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工程具备竣工验收条件时，承包人应向发包人提供完整的竣工档案资料、竣工验收报告和竣工图及发包人要求的相关竣工资料</w:t>
      </w:r>
      <w:r>
        <w:rPr>
          <w:rFonts w:hint="eastAsia" w:ascii="宋体" w:hAnsi="宋体" w:eastAsia="宋体" w:cs="宋体"/>
          <w:b/>
          <w:color w:val="auto"/>
          <w:sz w:val="21"/>
          <w:szCs w:val="21"/>
          <w:u w:val="single"/>
          <w:lang w:val="en-US" w:eastAsia="zh-CN"/>
        </w:rPr>
        <w:t>3</w:t>
      </w:r>
      <w:r>
        <w:rPr>
          <w:rFonts w:hint="eastAsia" w:ascii="宋体" w:hAnsi="宋体" w:eastAsia="宋体" w:cs="宋体"/>
          <w:b/>
          <w:color w:val="auto"/>
          <w:sz w:val="21"/>
          <w:szCs w:val="21"/>
          <w:u w:val="single"/>
        </w:rPr>
        <w:t>套（含相应的光盘），承包人所提供的上述资料须经重庆市铜梁区城建档案室档案专项验收合格并出具相应的档案验收意见书。</w:t>
      </w:r>
    </w:p>
    <w:p w14:paraId="3BE35E0E">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18.3  验收</w:t>
      </w:r>
    </w:p>
    <w:p w14:paraId="664AE5CE">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18.3.5 实际竣工日期：</w:t>
      </w:r>
      <w:r>
        <w:rPr>
          <w:rFonts w:hint="eastAsia" w:ascii="宋体" w:hAnsi="宋体" w:eastAsia="宋体" w:cs="宋体"/>
          <w:b/>
          <w:color w:val="auto"/>
          <w:sz w:val="21"/>
          <w:szCs w:val="21"/>
        </w:rPr>
        <w:t xml:space="preserve"> </w:t>
      </w:r>
      <w:r>
        <w:rPr>
          <w:rFonts w:hint="eastAsia" w:ascii="宋体" w:hAnsi="宋体" w:eastAsia="宋体" w:cs="宋体"/>
          <w:b/>
          <w:color w:val="auto"/>
          <w:sz w:val="21"/>
          <w:szCs w:val="21"/>
          <w:u w:val="single"/>
        </w:rPr>
        <w:t>以竣工验收合格之日为准。</w:t>
      </w:r>
    </w:p>
    <w:p w14:paraId="6E9B7A70">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18.5 施工期运行</w:t>
      </w:r>
    </w:p>
    <w:p w14:paraId="547774D6">
      <w:pPr>
        <w:keepNext w:val="0"/>
        <w:keepLines w:val="0"/>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18.5.1需要施工期运行单位工程或工程设备：</w:t>
      </w:r>
      <w:r>
        <w:rPr>
          <w:rFonts w:hint="eastAsia" w:ascii="宋体" w:hAnsi="宋体" w:eastAsia="宋体" w:cs="宋体"/>
          <w:b/>
          <w:color w:val="auto"/>
          <w:sz w:val="21"/>
          <w:szCs w:val="21"/>
          <w:u w:val="single"/>
        </w:rPr>
        <w:t xml:space="preserve"> 按监理人要求办理。</w:t>
      </w:r>
    </w:p>
    <w:p w14:paraId="76CD2C0A">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18.6 试运行</w:t>
      </w:r>
    </w:p>
    <w:p w14:paraId="0D6E2158">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18.6.1 试运行的组织及费用承担：</w:t>
      </w:r>
      <w:r>
        <w:rPr>
          <w:rFonts w:hint="eastAsia" w:ascii="宋体" w:hAnsi="宋体" w:eastAsia="宋体" w:cs="宋体"/>
          <w:b/>
          <w:color w:val="auto"/>
          <w:sz w:val="21"/>
          <w:szCs w:val="21"/>
          <w:u w:val="single"/>
        </w:rPr>
        <w:t xml:space="preserve"> 承包人负责。</w:t>
      </w:r>
    </w:p>
    <w:p w14:paraId="12639A62">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18.7 竣工清场</w:t>
      </w:r>
    </w:p>
    <w:p w14:paraId="12E40DA1">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18.7.1 竣工清场：</w:t>
      </w:r>
      <w:r>
        <w:rPr>
          <w:rFonts w:hint="eastAsia" w:ascii="宋体" w:hAnsi="宋体" w:eastAsia="宋体" w:cs="宋体"/>
          <w:b/>
          <w:color w:val="auto"/>
          <w:sz w:val="21"/>
          <w:szCs w:val="21"/>
          <w:u w:val="single"/>
        </w:rPr>
        <w:t>由承包人按发包人要求执行。</w:t>
      </w:r>
    </w:p>
    <w:p w14:paraId="04B2ACD2">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18.8 施工队伍的撤离</w:t>
      </w:r>
    </w:p>
    <w:p w14:paraId="4A204B9F">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施工人员、施工设备及临时工程撤离的要求：</w:t>
      </w:r>
      <w:r>
        <w:rPr>
          <w:rFonts w:hint="eastAsia" w:ascii="宋体" w:hAnsi="宋体" w:eastAsia="宋体" w:cs="宋体"/>
          <w:b/>
          <w:color w:val="auto"/>
          <w:sz w:val="21"/>
          <w:szCs w:val="21"/>
          <w:u w:val="single"/>
        </w:rPr>
        <w:t>由承包人按发包人要求执行</w:t>
      </w:r>
      <w:r>
        <w:rPr>
          <w:rFonts w:hint="eastAsia" w:ascii="宋体" w:hAnsi="宋体" w:eastAsia="宋体" w:cs="宋体"/>
          <w:color w:val="auto"/>
          <w:sz w:val="21"/>
          <w:szCs w:val="21"/>
        </w:rPr>
        <w:t>。</w:t>
      </w:r>
    </w:p>
    <w:p w14:paraId="3EE4FEF9">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19.  缺陷责任与保修责任</w:t>
      </w:r>
    </w:p>
    <w:p w14:paraId="30B33673">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19.7  保修责任</w:t>
      </w:r>
    </w:p>
    <w:p w14:paraId="0A0CDBC6">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工程质量保修范围、期限和责任：</w:t>
      </w:r>
      <w:r>
        <w:rPr>
          <w:rFonts w:hint="eastAsia" w:ascii="宋体" w:hAnsi="宋体" w:eastAsia="宋体" w:cs="宋体"/>
          <w:b/>
          <w:color w:val="auto"/>
          <w:sz w:val="21"/>
          <w:szCs w:val="21"/>
          <w:u w:val="single"/>
        </w:rPr>
        <w:t xml:space="preserve"> 按附后的《工程质量保修书》执行。</w:t>
      </w:r>
    </w:p>
    <w:p w14:paraId="32F52631">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20.  保险</w:t>
      </w:r>
    </w:p>
    <w:p w14:paraId="65714B36">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20.1工程保险</w:t>
      </w:r>
    </w:p>
    <w:p w14:paraId="13F37385">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投保人：</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u w:val="single"/>
        </w:rPr>
        <w:t>承包人以发包人和承包人的共同名义向双方同意的保险人足额投保，费用由承包人负责。</w:t>
      </w:r>
    </w:p>
    <w:p w14:paraId="3B23B7D9">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投保内容： </w:t>
      </w:r>
      <w:r>
        <w:rPr>
          <w:rFonts w:hint="eastAsia" w:ascii="宋体" w:hAnsi="宋体" w:eastAsia="宋体" w:cs="宋体"/>
          <w:b/>
          <w:color w:val="auto"/>
          <w:sz w:val="21"/>
          <w:szCs w:val="21"/>
          <w:u w:val="single"/>
        </w:rPr>
        <w:t>按国家相关规定执行。</w:t>
      </w:r>
    </w:p>
    <w:p w14:paraId="6A14058E">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保险金额、保险费率和保险期限： </w:t>
      </w:r>
      <w:r>
        <w:rPr>
          <w:rFonts w:hint="eastAsia" w:ascii="宋体" w:hAnsi="宋体" w:eastAsia="宋体" w:cs="宋体"/>
          <w:b/>
          <w:color w:val="auto"/>
          <w:sz w:val="21"/>
          <w:szCs w:val="21"/>
          <w:u w:val="single"/>
        </w:rPr>
        <w:t>保险期限为从工程开工之日至竣工验收合格之日终止证书颁发前，其他详见保险凭证。</w:t>
      </w:r>
    </w:p>
    <w:p w14:paraId="13D6429A">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20.4 第三责任险</w:t>
      </w:r>
    </w:p>
    <w:p w14:paraId="09E26D1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第三者责任险的保险费率：</w:t>
      </w:r>
      <w:r>
        <w:rPr>
          <w:rFonts w:hint="eastAsia" w:ascii="宋体" w:hAnsi="宋体" w:eastAsia="宋体" w:cs="宋体"/>
          <w:b/>
          <w:color w:val="auto"/>
          <w:sz w:val="21"/>
          <w:szCs w:val="21"/>
          <w:u w:val="single"/>
        </w:rPr>
        <w:t>按相关规定执行。</w:t>
      </w:r>
    </w:p>
    <w:p w14:paraId="400D7A6D">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第三者责任险的保险金额：</w:t>
      </w:r>
      <w:r>
        <w:rPr>
          <w:rFonts w:hint="eastAsia" w:ascii="宋体" w:hAnsi="宋体" w:eastAsia="宋体" w:cs="宋体"/>
          <w:b/>
          <w:color w:val="auto"/>
          <w:sz w:val="21"/>
          <w:szCs w:val="21"/>
          <w:u w:val="single"/>
        </w:rPr>
        <w:t>按相关规定执行</w:t>
      </w:r>
      <w:r>
        <w:rPr>
          <w:rFonts w:hint="eastAsia" w:ascii="宋体" w:hAnsi="宋体" w:eastAsia="宋体" w:cs="宋体"/>
          <w:color w:val="auto"/>
          <w:sz w:val="21"/>
          <w:szCs w:val="21"/>
        </w:rPr>
        <w:t>。</w:t>
      </w:r>
    </w:p>
    <w:p w14:paraId="61F5250E">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20.5 其他保险</w:t>
      </w:r>
    </w:p>
    <w:p w14:paraId="52C69F1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需要投保其他内容、保险金额、费率及期限等： </w:t>
      </w:r>
      <w:r>
        <w:rPr>
          <w:rFonts w:hint="eastAsia" w:ascii="宋体" w:hAnsi="宋体" w:eastAsia="宋体" w:cs="宋体"/>
          <w:b/>
          <w:color w:val="auto"/>
          <w:sz w:val="21"/>
          <w:szCs w:val="21"/>
          <w:u w:val="single"/>
        </w:rPr>
        <w:t>由承包人负责。</w:t>
      </w:r>
    </w:p>
    <w:p w14:paraId="602DB4CD">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20.6  对各项保险的一般要求</w:t>
      </w:r>
    </w:p>
    <w:p w14:paraId="263C1FB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20.6.1  保险凭证</w:t>
      </w:r>
    </w:p>
    <w:p w14:paraId="4FBC3C53">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保险条件：</w:t>
      </w:r>
      <w:r>
        <w:rPr>
          <w:rFonts w:hint="eastAsia" w:ascii="宋体" w:hAnsi="宋体" w:eastAsia="宋体" w:cs="宋体"/>
          <w:b/>
          <w:color w:val="auto"/>
          <w:sz w:val="21"/>
          <w:szCs w:val="21"/>
          <w:u w:val="single"/>
        </w:rPr>
        <w:t>按国家相关规定和发包人要求执行。</w:t>
      </w:r>
    </w:p>
    <w:p w14:paraId="3B711B9A">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承包人提交保险凭证的期限： </w:t>
      </w:r>
      <w:r>
        <w:rPr>
          <w:rFonts w:hint="eastAsia" w:ascii="宋体" w:hAnsi="宋体" w:eastAsia="宋体" w:cs="宋体"/>
          <w:b/>
          <w:color w:val="auto"/>
          <w:sz w:val="21"/>
          <w:szCs w:val="21"/>
          <w:u w:val="single"/>
        </w:rPr>
        <w:t>工程开工前。</w:t>
      </w:r>
    </w:p>
    <w:p w14:paraId="66205DEA">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20.6.4  对各项保险的一般要求</w:t>
      </w:r>
    </w:p>
    <w:p w14:paraId="68155B14">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保险金不足以补偿损失时，应由承包人负责补偿的范围与金额： </w:t>
      </w:r>
      <w:r>
        <w:rPr>
          <w:rFonts w:hint="eastAsia" w:ascii="宋体" w:hAnsi="宋体" w:eastAsia="宋体" w:cs="宋体"/>
          <w:b/>
          <w:color w:val="auto"/>
          <w:sz w:val="21"/>
          <w:szCs w:val="21"/>
          <w:u w:val="single"/>
        </w:rPr>
        <w:t>以发包人和承包人共同名义投保的，当保险金不足以补偿损失时，由承包人负责补偿；发包人、承包人以各自名义投保的，保险金不足以补偿损失时，由各自负责其补偿。</w:t>
      </w:r>
    </w:p>
    <w:p w14:paraId="3EBC0124">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21. 不可抗力</w:t>
      </w:r>
    </w:p>
    <w:p w14:paraId="1077E90B">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21.1 不可抗力的确认</w:t>
      </w:r>
    </w:p>
    <w:p w14:paraId="5812BF68">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 xml:space="preserve">不可抗力的范围： </w:t>
      </w:r>
      <w:r>
        <w:rPr>
          <w:rFonts w:hint="eastAsia" w:ascii="宋体" w:hAnsi="宋体" w:eastAsia="宋体" w:cs="宋体"/>
          <w:b/>
          <w:color w:val="auto"/>
          <w:sz w:val="21"/>
          <w:szCs w:val="21"/>
          <w:u w:val="single"/>
        </w:rPr>
        <w:t>按通用合同条款。</w:t>
      </w:r>
    </w:p>
    <w:p w14:paraId="100DD2C6">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21.3 不可抗力后果及其处理</w:t>
      </w:r>
    </w:p>
    <w:p w14:paraId="65C0AE7C">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21.3.1不可抗力造成损害的责任</w:t>
      </w:r>
    </w:p>
    <w:p w14:paraId="04FD659A">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不可抗力导致的人员伤亡、财产损失、费用增加和（或）工期延误，合同双方按以下方法承担： </w:t>
      </w:r>
      <w:r>
        <w:rPr>
          <w:rFonts w:hint="eastAsia" w:ascii="宋体" w:hAnsi="宋体" w:eastAsia="宋体" w:cs="宋体"/>
          <w:b/>
          <w:color w:val="auto"/>
          <w:sz w:val="21"/>
          <w:szCs w:val="21"/>
          <w:u w:val="single"/>
        </w:rPr>
        <w:t>按通用合同条款执行。</w:t>
      </w:r>
    </w:p>
    <w:p w14:paraId="6B54DDD4">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22. 违约</w:t>
      </w:r>
    </w:p>
    <w:p w14:paraId="3D939AE5">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22.1承包人违约</w:t>
      </w:r>
    </w:p>
    <w:p w14:paraId="717CDDC4">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22.1.1 承包人违约的情形</w:t>
      </w:r>
    </w:p>
    <w:p w14:paraId="5181218F">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增加下列条款：</w:t>
      </w:r>
    </w:p>
    <w:p w14:paraId="48D2384C">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（8）如果因承包人的原因工程质量达不到合同协议书第四条约定的质量标准，承包人在通用合同条款第22.1.2（2）目约定的指定期限内不进行整改或经整改后仍不</w:t>
      </w:r>
      <w:r>
        <w:rPr>
          <w:rFonts w:hint="eastAsia" w:ascii="宋体" w:hAnsi="宋体" w:eastAsia="宋体" w:cs="宋体"/>
          <w:b/>
          <w:color w:val="auto"/>
          <w:sz w:val="21"/>
          <w:szCs w:val="21"/>
          <w:u w:val="single"/>
        </w:rPr>
        <w:t>能达到要求的，发包人有权单方解除合同；发包人发现承包人将本工程转包、未经发包人同意进行分包的，承包人必须在</w:t>
      </w:r>
      <w:r>
        <w:rPr>
          <w:rFonts w:hint="eastAsia" w:ascii="宋体" w:hAnsi="宋体" w:eastAsia="宋体" w:cs="宋体"/>
          <w:b/>
          <w:color w:val="auto"/>
          <w:sz w:val="21"/>
          <w:szCs w:val="21"/>
          <w:u w:val="single"/>
          <w:lang w:val="en-US" w:eastAsia="zh-CN"/>
        </w:rPr>
        <w:t>5</w:t>
      </w:r>
      <w:r>
        <w:rPr>
          <w:rFonts w:hint="eastAsia" w:ascii="宋体" w:hAnsi="宋体" w:eastAsia="宋体" w:cs="宋体"/>
          <w:b/>
          <w:color w:val="auto"/>
          <w:sz w:val="21"/>
          <w:szCs w:val="21"/>
          <w:u w:val="single"/>
        </w:rPr>
        <w:t>日内纠正，否则发包人有权单方解除合同，并按通用合同条款第22.1.3项、第22.1.4项和第22.1.5项的约定进行处理，同时不退还承包人全部履约保证金</w:t>
      </w:r>
      <w:r>
        <w:rPr>
          <w:rFonts w:hint="eastAsia" w:ascii="宋体" w:hAnsi="宋体" w:eastAsia="宋体" w:cs="宋体"/>
          <w:b/>
          <w:color w:val="auto"/>
          <w:sz w:val="21"/>
          <w:szCs w:val="21"/>
          <w:u w:val="single"/>
          <w:lang w:eastAsia="zh-CN"/>
        </w:rPr>
        <w:t>，</w:t>
      </w:r>
      <w:r>
        <w:rPr>
          <w:rFonts w:hint="eastAsia" w:ascii="宋体" w:hAnsi="宋体" w:eastAsia="宋体" w:cs="宋体"/>
          <w:b/>
          <w:color w:val="auto"/>
          <w:sz w:val="21"/>
          <w:szCs w:val="21"/>
          <w:u w:val="single"/>
        </w:rPr>
        <w:t>并承担由此给发包人造成的全部</w:t>
      </w:r>
      <w:r>
        <w:rPr>
          <w:rFonts w:hint="eastAsia" w:ascii="宋体" w:hAnsi="宋体" w:eastAsia="宋体" w:cs="宋体"/>
          <w:b/>
          <w:color w:val="auto"/>
          <w:sz w:val="21"/>
          <w:szCs w:val="21"/>
          <w:u w:val="single"/>
        </w:rPr>
        <w:t>经济损失；承包人在收到发包人解除合同通知14天内，向发包人交齐全部工程资料、图纸等并撤出施工场地，承包人撤出施工场地应遵守通用合同条款第18.7.1项的约定，撤场费用由承包人承担。</w:t>
      </w:r>
    </w:p>
    <w:p w14:paraId="6AF5E796">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（9）承包人违反国家和重庆市安全生产、文明施工、环保及环卫有关规定的，除接受相关规定进行处罚外，每发现一次或一处，发包人有权要求承包人支付</w:t>
      </w:r>
      <w:r>
        <w:rPr>
          <w:rFonts w:hint="eastAsia" w:ascii="宋体" w:hAnsi="宋体" w:eastAsia="宋体" w:cs="宋体"/>
          <w:b/>
          <w:color w:val="auto"/>
          <w:sz w:val="21"/>
          <w:szCs w:val="21"/>
          <w:u w:val="single"/>
          <w:lang w:val="en-US" w:eastAsia="zh-CN"/>
        </w:rPr>
        <w:t>2</w:t>
      </w:r>
      <w:r>
        <w:rPr>
          <w:rFonts w:hint="eastAsia" w:ascii="宋体" w:hAnsi="宋体" w:eastAsia="宋体" w:cs="宋体"/>
          <w:b/>
          <w:color w:val="auto"/>
          <w:sz w:val="21"/>
          <w:szCs w:val="21"/>
          <w:u w:val="single"/>
        </w:rPr>
        <w:t>000元违约金，同时承包人必须按监理人或发包人的要求立即进行整改直至合格。</w:t>
      </w:r>
    </w:p>
    <w:p w14:paraId="12B5D74C">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（10）承包人向监理人和发包人提供的所有工程资料和数据必须真实可靠。经检查发现承包人有弄虚作假的，每发现一次，发包人有权要求承包人支付</w:t>
      </w:r>
      <w:r>
        <w:rPr>
          <w:rFonts w:hint="eastAsia" w:ascii="宋体" w:hAnsi="宋体" w:eastAsia="宋体" w:cs="宋体"/>
          <w:b/>
          <w:color w:val="auto"/>
          <w:sz w:val="21"/>
          <w:szCs w:val="21"/>
          <w:u w:val="single"/>
          <w:lang w:val="en-US" w:eastAsia="zh-CN"/>
        </w:rPr>
        <w:t>2</w:t>
      </w:r>
      <w:r>
        <w:rPr>
          <w:rFonts w:hint="eastAsia" w:ascii="宋体" w:hAnsi="宋体" w:eastAsia="宋体" w:cs="宋体"/>
          <w:b/>
          <w:color w:val="auto"/>
          <w:sz w:val="21"/>
          <w:szCs w:val="21"/>
          <w:u w:val="single"/>
        </w:rPr>
        <w:t>000元</w:t>
      </w:r>
      <w:r>
        <w:rPr>
          <w:rFonts w:hint="eastAsia" w:ascii="宋体" w:hAnsi="宋体" w:eastAsia="宋体" w:cs="宋体"/>
          <w:b/>
          <w:color w:val="auto"/>
          <w:sz w:val="21"/>
          <w:szCs w:val="21"/>
          <w:u w:val="single"/>
        </w:rPr>
        <w:t>违约金。</w:t>
      </w:r>
    </w:p>
    <w:p w14:paraId="37BA8BB1">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（11）承包人在工程收方中采用欺骗手段或弄虚作假的，每发现一次，发包人有权要求承包人支付</w:t>
      </w:r>
      <w:r>
        <w:rPr>
          <w:rFonts w:hint="eastAsia" w:ascii="宋体" w:hAnsi="宋体" w:eastAsia="宋体" w:cs="宋体"/>
          <w:b/>
          <w:color w:val="auto"/>
          <w:sz w:val="21"/>
          <w:szCs w:val="21"/>
          <w:u w:val="single"/>
        </w:rPr>
        <w:t>5-10万元</w:t>
      </w:r>
      <w:r>
        <w:rPr>
          <w:rFonts w:hint="eastAsia" w:ascii="宋体" w:hAnsi="宋体" w:eastAsia="宋体" w:cs="宋体"/>
          <w:b/>
          <w:color w:val="auto"/>
          <w:sz w:val="21"/>
          <w:szCs w:val="21"/>
          <w:u w:val="single"/>
        </w:rPr>
        <w:t>的违约金。</w:t>
      </w:r>
    </w:p>
    <w:p w14:paraId="2716FFC5">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12）在施工过程中因承包人自身原因停工10日以上，发包人或监理人应发出限期整改通知书，承包人在规定期限内仍不整改的，视为承包人不履行合同，发包人有权单方解除合同。承包人在接到发包人解除合同通知后3日内自行退场，</w:t>
      </w:r>
      <w:r>
        <w:rPr>
          <w:rFonts w:hint="eastAsia" w:ascii="宋体" w:hAnsi="宋体" w:eastAsia="宋体" w:cs="宋体"/>
          <w:b/>
          <w:color w:val="auto"/>
          <w:sz w:val="21"/>
          <w:szCs w:val="21"/>
          <w:u w:val="single"/>
        </w:rPr>
        <w:t>其履约保证金不予退还</w:t>
      </w:r>
      <w:r>
        <w:rPr>
          <w:rFonts w:hint="eastAsia" w:ascii="宋体" w:hAnsi="宋体" w:eastAsia="宋体" w:cs="宋体"/>
          <w:b/>
          <w:color w:val="auto"/>
          <w:sz w:val="21"/>
          <w:szCs w:val="21"/>
          <w:u w:val="single"/>
          <w:lang w:eastAsia="zh-CN"/>
        </w:rPr>
        <w:t>，</w:t>
      </w:r>
      <w:r>
        <w:rPr>
          <w:rFonts w:hint="eastAsia" w:ascii="宋体" w:hAnsi="宋体" w:eastAsia="宋体" w:cs="宋体"/>
          <w:b/>
          <w:color w:val="auto"/>
          <w:sz w:val="21"/>
          <w:szCs w:val="21"/>
          <w:u w:val="single"/>
        </w:rPr>
        <w:t>给发包人造成的损失超过履约保证金数额的</w:t>
      </w:r>
      <w:r>
        <w:rPr>
          <w:rFonts w:hint="eastAsia" w:ascii="宋体" w:hAnsi="宋体" w:eastAsia="宋体" w:cs="宋体"/>
          <w:b/>
          <w:color w:val="auto"/>
          <w:sz w:val="21"/>
          <w:szCs w:val="21"/>
          <w:u w:val="single"/>
        </w:rPr>
        <w:t>，承包人还应进行赔偿。</w:t>
      </w:r>
    </w:p>
    <w:p w14:paraId="5E05B6A2">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（13）承包人应严格遵守通用合同条款第4.8.1的约定，不能以任何原因拖欠民工工资。如果出现承包人拖欠民工工资行</w:t>
      </w:r>
      <w:r>
        <w:rPr>
          <w:rFonts w:hint="eastAsia" w:ascii="宋体" w:hAnsi="宋体" w:eastAsia="宋体" w:cs="宋体"/>
          <w:b/>
          <w:color w:val="auto"/>
          <w:sz w:val="21"/>
          <w:szCs w:val="21"/>
          <w:u w:val="single"/>
        </w:rPr>
        <w:t>为，经确认后，发包人有权从承包人工程款或履约保证金或农民工工资保证金中直接支付给民工，并有权要求承包人支付1‰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w:t>
      </w:r>
      <w:r>
        <w:rPr>
          <w:rFonts w:hint="eastAsia" w:ascii="宋体" w:hAnsi="宋体" w:eastAsia="宋体" w:cs="宋体"/>
          <w:b/>
          <w:color w:val="auto"/>
          <w:sz w:val="21"/>
          <w:szCs w:val="21"/>
          <w:u w:val="single"/>
          <w:lang w:val="en-US" w:eastAsia="zh-CN"/>
        </w:rPr>
        <w:t>2</w:t>
      </w:r>
      <w:r>
        <w:rPr>
          <w:rFonts w:hint="eastAsia" w:ascii="宋体" w:hAnsi="宋体" w:eastAsia="宋体" w:cs="宋体"/>
          <w:b/>
          <w:color w:val="auto"/>
          <w:sz w:val="21"/>
          <w:szCs w:val="21"/>
          <w:u w:val="single"/>
        </w:rPr>
        <w:t>000元</w:t>
      </w:r>
      <w:r>
        <w:rPr>
          <w:rFonts w:hint="eastAsia" w:ascii="宋体" w:hAnsi="宋体" w:eastAsia="宋体" w:cs="宋体"/>
          <w:b/>
          <w:color w:val="auto"/>
          <w:sz w:val="21"/>
          <w:szCs w:val="21"/>
          <w:u w:val="single"/>
        </w:rPr>
        <w:t>。</w:t>
      </w:r>
    </w:p>
    <w:p w14:paraId="061FB7D4">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（14）施工合同签订后，承包人必须按合同约定工期内完成建设任务，若承包人不按审批的施工组织设计施工或不服从发包人及监理人依法管理的，每发生一次，发包人有权要求承包人支付</w:t>
      </w:r>
      <w:r>
        <w:rPr>
          <w:rFonts w:hint="eastAsia" w:ascii="宋体" w:hAnsi="宋体" w:eastAsia="宋体" w:cs="宋体"/>
          <w:b/>
          <w:color w:val="auto"/>
          <w:sz w:val="21"/>
          <w:szCs w:val="21"/>
          <w:u w:val="single"/>
          <w:lang w:val="en-US" w:eastAsia="zh-CN"/>
        </w:rPr>
        <w:t>1000</w:t>
      </w:r>
      <w:r>
        <w:rPr>
          <w:rFonts w:hint="eastAsia" w:ascii="宋体" w:hAnsi="宋体" w:eastAsia="宋体" w:cs="宋体"/>
          <w:b/>
          <w:color w:val="auto"/>
          <w:sz w:val="21"/>
          <w:szCs w:val="21"/>
          <w:u w:val="single"/>
        </w:rPr>
        <w:t>元</w:t>
      </w:r>
      <w:r>
        <w:rPr>
          <w:rFonts w:hint="eastAsia" w:ascii="宋体" w:hAnsi="宋体" w:eastAsia="宋体" w:cs="宋体"/>
          <w:b/>
          <w:color w:val="auto"/>
          <w:sz w:val="21"/>
          <w:szCs w:val="21"/>
          <w:u w:val="single"/>
        </w:rPr>
        <w:t>违约金。</w:t>
      </w:r>
    </w:p>
    <w:p w14:paraId="38E548B7">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15）发包人发现承包人将承接的工程转包、违法分包、挂靠（指承包人允许他人以承包人的名义承担本合同项目）的，发包人应当报相关行政主管部门依法处理。承包人拒不改正违法行为的，发包人有权解除合同，履约保证金不予退还，给发包人造成的损失超过履约保证金数额的，承包人还应进行赔偿。</w:t>
      </w:r>
    </w:p>
    <w:p w14:paraId="14B9E69F">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u w:val="single"/>
        </w:rPr>
        <w:t>（16）承包人应加强对招聘劳务工的管理，积极配合公安机关对外来</w:t>
      </w:r>
      <w:r>
        <w:rPr>
          <w:rFonts w:hint="eastAsia" w:ascii="宋体" w:hAnsi="宋体" w:eastAsia="宋体" w:cs="宋体"/>
          <w:b/>
          <w:color w:val="auto"/>
          <w:sz w:val="21"/>
          <w:szCs w:val="21"/>
          <w:u w:val="single"/>
        </w:rPr>
        <w:t>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w:t>
      </w:r>
      <w:r>
        <w:rPr>
          <w:rFonts w:hint="eastAsia" w:ascii="宋体" w:hAnsi="宋体" w:eastAsia="宋体" w:cs="宋体"/>
          <w:b/>
          <w:color w:val="auto"/>
          <w:sz w:val="21"/>
          <w:szCs w:val="21"/>
          <w:u w:val="single"/>
          <w:lang w:val="en-US" w:eastAsia="zh-CN"/>
        </w:rPr>
        <w:t>2</w:t>
      </w:r>
      <w:r>
        <w:rPr>
          <w:rFonts w:hint="eastAsia" w:ascii="宋体" w:hAnsi="宋体" w:eastAsia="宋体" w:cs="宋体"/>
          <w:b/>
          <w:color w:val="auto"/>
          <w:sz w:val="21"/>
          <w:szCs w:val="21"/>
          <w:u w:val="single"/>
        </w:rPr>
        <w:t>000元。</w:t>
      </w:r>
    </w:p>
    <w:p w14:paraId="55792D1F">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（17）工程项目部管理人员必须与投标文件中拟派人员相符，并到位履职，否则发包人有权单方解除合同，</w:t>
      </w:r>
      <w:r>
        <w:rPr>
          <w:rFonts w:hint="eastAsia" w:ascii="宋体" w:hAnsi="宋体" w:eastAsia="宋体" w:cs="宋体"/>
          <w:b/>
          <w:color w:val="auto"/>
          <w:sz w:val="21"/>
          <w:szCs w:val="21"/>
          <w:u w:val="single"/>
        </w:rPr>
        <w:t>承包人的履约保证金不予退还，给发包人造成的损失超过履约保证金数额的</w:t>
      </w:r>
      <w:r>
        <w:rPr>
          <w:rFonts w:hint="eastAsia" w:ascii="宋体" w:hAnsi="宋体" w:eastAsia="宋体" w:cs="宋体"/>
          <w:b/>
          <w:color w:val="auto"/>
          <w:sz w:val="21"/>
          <w:szCs w:val="21"/>
          <w:u w:val="single"/>
        </w:rPr>
        <w:t>，承包人还应予以赔偿。</w:t>
      </w:r>
    </w:p>
    <w:p w14:paraId="6228ABE1">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（18）除通用合同条款规定外，工程项目部主要管理人员不按约定（特殊情况如生病除外，每周在现场的时间少于5天）常驻施工现场，发包人有权要求承包人无条件更换，并有权要求承包人支付5万元违约金。</w:t>
      </w:r>
    </w:p>
    <w:p w14:paraId="5CBE34BC">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（19）若承包人出现以下情形之一，经发包人催告后仍不配合，则视为承包人严重违约，发包人有权解除合同</w:t>
      </w:r>
      <w:r>
        <w:rPr>
          <w:rFonts w:hint="eastAsia" w:ascii="宋体" w:hAnsi="宋体" w:eastAsia="宋体" w:cs="宋体"/>
          <w:b/>
          <w:color w:val="auto"/>
          <w:sz w:val="21"/>
          <w:szCs w:val="21"/>
          <w:u w:val="single"/>
          <w:lang w:eastAsia="zh-CN"/>
        </w:rPr>
        <w:t>，</w:t>
      </w:r>
      <w:r>
        <w:rPr>
          <w:rFonts w:hint="eastAsia" w:ascii="宋体" w:hAnsi="宋体" w:eastAsia="宋体" w:cs="宋体"/>
          <w:b/>
          <w:color w:val="auto"/>
          <w:sz w:val="21"/>
          <w:szCs w:val="21"/>
          <w:u w:val="single"/>
        </w:rPr>
        <w:t>其履约保证金不予退还。</w:t>
      </w:r>
    </w:p>
    <w:p w14:paraId="4739D982">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a.本工程施工</w:t>
      </w:r>
      <w:r>
        <w:rPr>
          <w:rFonts w:hint="eastAsia" w:ascii="宋体" w:hAnsi="宋体" w:eastAsia="宋体" w:cs="宋体"/>
          <w:b/>
          <w:color w:val="auto"/>
          <w:sz w:val="21"/>
          <w:szCs w:val="21"/>
          <w:u w:val="single"/>
        </w:rPr>
        <w:t>合同签订后7日内，承包人必须向建设行政主管部门等部门缴纳办理本工程开工前的建设手续的相关费用（如农民工工资保障金等）而未行办理缴纳的；</w:t>
      </w:r>
    </w:p>
    <w:p w14:paraId="3656CF4C">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b.本工程施工合同签订后7日内，承包人必须配合发包人办理完成本工程开工前的相关建设手续而未行配合的；</w:t>
      </w:r>
    </w:p>
    <w:p w14:paraId="27888A1D">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c.本工程施工合同签订后7日内，承包人必须按监理人要求向监理人提供相关资料而未行提交的；</w:t>
      </w:r>
    </w:p>
    <w:p w14:paraId="4EB753E6">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d.本工程开工令下达后，承包人未按监理单位批准的施工组织设计方案正常组织施工的。</w:t>
      </w:r>
    </w:p>
    <w:p w14:paraId="50E57E13">
      <w:pPr>
        <w:keepNext w:val="0"/>
        <w:keepLines w:val="0"/>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（20）承包人违返上述条款的约定的违法金和损失款，发包人有权直接在工程款或履约保证金中直接扣除。</w:t>
      </w:r>
    </w:p>
    <w:p w14:paraId="7A1AFD0A">
      <w:pPr>
        <w:keepNext w:val="0"/>
        <w:keepLines w:val="0"/>
        <w:pageBreakBefore w:val="0"/>
        <w:widowControl w:val="0"/>
        <w:numPr>
          <w:ilvl w:val="0"/>
          <w:numId w:val="0"/>
        </w:numPr>
        <w:kinsoku/>
        <w:wordWrap/>
        <w:overflowPunct/>
        <w:topLinePunct w:val="0"/>
        <w:autoSpaceDE/>
        <w:autoSpaceDN/>
        <w:bidi w:val="0"/>
        <w:spacing w:line="400" w:lineRule="exact"/>
        <w:ind w:left="-420" w:leftChars="0" w:right="0" w:righ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 xml:space="preserve">23. </w:t>
      </w:r>
      <w:r>
        <w:rPr>
          <w:rFonts w:hint="eastAsia" w:ascii="宋体" w:hAnsi="宋体" w:eastAsia="宋体" w:cs="宋体"/>
          <w:b/>
          <w:color w:val="auto"/>
          <w:sz w:val="21"/>
          <w:szCs w:val="21"/>
        </w:rPr>
        <w:t>索赔</w:t>
      </w:r>
    </w:p>
    <w:p w14:paraId="659CA003">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23.1 承包人索赔的提出</w:t>
      </w:r>
    </w:p>
    <w:p w14:paraId="247F1E4C">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76948EA0">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24. 争议的解决</w:t>
      </w:r>
    </w:p>
    <w:p w14:paraId="5D993D81">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24.1 争议的解决方式</w:t>
      </w:r>
    </w:p>
    <w:p w14:paraId="3AAC7B6D">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争议的解决方式：</w:t>
      </w:r>
      <w:r>
        <w:rPr>
          <w:rFonts w:hint="eastAsia" w:ascii="宋体" w:hAnsi="宋体" w:eastAsia="宋体" w:cs="宋体"/>
          <w:b/>
          <w:color w:val="auto"/>
          <w:sz w:val="21"/>
          <w:szCs w:val="21"/>
        </w:rPr>
        <w:t>本合同履行地为工程项目所在地，发包人和承包人在履行合同中发生争议的，协商解决；合同当事人友好协商</w:t>
      </w:r>
      <w:r>
        <w:rPr>
          <w:rFonts w:hint="eastAsia" w:ascii="宋体" w:hAnsi="宋体" w:eastAsia="宋体" w:cs="宋体"/>
          <w:b/>
          <w:color w:val="auto"/>
          <w:sz w:val="21"/>
          <w:szCs w:val="21"/>
        </w:rPr>
        <w:t>解决不成的，</w:t>
      </w:r>
      <w:r>
        <w:rPr>
          <w:rFonts w:hint="eastAsia" w:ascii="宋体" w:hAnsi="宋体" w:eastAsia="宋体" w:cs="宋体"/>
          <w:b/>
          <w:color w:val="auto"/>
          <w:sz w:val="21"/>
          <w:szCs w:val="21"/>
        </w:rPr>
        <w:t>向</w:t>
      </w:r>
      <w:r>
        <w:rPr>
          <w:rFonts w:hint="eastAsia" w:ascii="宋体" w:hAnsi="宋体" w:eastAsia="宋体" w:cs="宋体"/>
          <w:b/>
          <w:color w:val="auto"/>
          <w:sz w:val="21"/>
          <w:szCs w:val="21"/>
          <w:lang w:eastAsia="zh-CN"/>
        </w:rPr>
        <w:t>重庆市铜梁区人民法院起诉</w:t>
      </w:r>
      <w:r>
        <w:rPr>
          <w:rFonts w:hint="eastAsia" w:ascii="宋体" w:hAnsi="宋体" w:eastAsia="宋体" w:cs="宋体"/>
          <w:b/>
          <w:color w:val="auto"/>
          <w:sz w:val="21"/>
          <w:szCs w:val="21"/>
        </w:rPr>
        <w:t>，但承包人不</w:t>
      </w:r>
      <w:r>
        <w:rPr>
          <w:rFonts w:hint="eastAsia" w:ascii="宋体" w:hAnsi="宋体" w:eastAsia="宋体" w:cs="宋体"/>
          <w:b/>
          <w:color w:val="auto"/>
          <w:sz w:val="21"/>
          <w:szCs w:val="21"/>
        </w:rPr>
        <w:t>得因此而停工</w:t>
      </w:r>
      <w:r>
        <w:rPr>
          <w:rFonts w:hint="eastAsia" w:ascii="宋体" w:hAnsi="宋体" w:eastAsia="宋体" w:cs="宋体"/>
          <w:color w:val="auto"/>
          <w:sz w:val="21"/>
          <w:szCs w:val="21"/>
        </w:rPr>
        <w:t>。</w:t>
      </w:r>
    </w:p>
    <w:p w14:paraId="6657C63C">
      <w:pPr>
        <w:pStyle w:val="6"/>
        <w:keepNext/>
        <w:keepLines/>
        <w:pageBreakBefore w:val="0"/>
        <w:kinsoku/>
        <w:wordWrap/>
        <w:overflowPunct/>
        <w:topLinePunct w:val="0"/>
        <w:bidi w:val="0"/>
        <w:spacing w:before="0" w:beforeAutospacing="0" w:after="0" w:afterAutospacing="0" w:line="400" w:lineRule="exact"/>
        <w:ind w:right="0" w:rightChars="0"/>
        <w:jc w:val="both"/>
        <w:textAlignment w:val="auto"/>
        <w:rPr>
          <w:rFonts w:hint="eastAsia" w:ascii="宋体" w:hAnsi="宋体" w:eastAsia="宋体" w:cs="宋体"/>
          <w:bCs w:val="0"/>
          <w:color w:val="auto"/>
          <w:kern w:val="2"/>
          <w:sz w:val="21"/>
          <w:szCs w:val="21"/>
        </w:rPr>
      </w:pPr>
      <w:bookmarkStart w:id="623" w:name="baidusnap7"/>
      <w:bookmarkEnd w:id="623"/>
      <w:bookmarkStart w:id="624" w:name="baidusnap3"/>
      <w:bookmarkEnd w:id="624"/>
      <w:bookmarkStart w:id="625" w:name="_Toc532377425"/>
      <w:bookmarkStart w:id="626" w:name="_Toc532375686"/>
      <w:r>
        <w:rPr>
          <w:rFonts w:hint="eastAsia" w:ascii="宋体" w:hAnsi="宋体" w:eastAsia="宋体" w:cs="宋体"/>
          <w:color w:val="auto"/>
          <w:kern w:val="2"/>
          <w:sz w:val="21"/>
          <w:szCs w:val="21"/>
          <w:lang w:val="en-US" w:eastAsia="zh-CN"/>
        </w:rPr>
        <w:t>25</w:t>
      </w:r>
      <w:r>
        <w:rPr>
          <w:rFonts w:hint="eastAsia" w:ascii="宋体" w:hAnsi="宋体" w:eastAsia="宋体" w:cs="宋体"/>
          <w:color w:val="auto"/>
          <w:kern w:val="2"/>
          <w:sz w:val="21"/>
          <w:szCs w:val="21"/>
        </w:rPr>
        <w:t>. 合同附件</w:t>
      </w:r>
      <w:bookmarkEnd w:id="625"/>
      <w:bookmarkEnd w:id="626"/>
    </w:p>
    <w:p w14:paraId="2B0AEBC9">
      <w:pPr>
        <w:pageBreakBefore w:val="0"/>
        <w:kinsoku/>
        <w:wordWrap/>
        <w:overflowPunct/>
        <w:topLinePunct w:val="0"/>
        <w:bidi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w:t>
      </w:r>
      <w:r>
        <w:rPr>
          <w:rFonts w:hint="eastAsia" w:ascii="宋体" w:hAnsi="宋体" w:cs="宋体"/>
          <w:color w:val="auto"/>
          <w:sz w:val="21"/>
          <w:szCs w:val="21"/>
          <w:lang w:eastAsia="zh-CN"/>
        </w:rPr>
        <w:t>四</w:t>
      </w:r>
      <w:r>
        <w:rPr>
          <w:rFonts w:hint="eastAsia" w:ascii="宋体" w:hAnsi="宋体" w:eastAsia="宋体" w:cs="宋体"/>
          <w:color w:val="auto"/>
          <w:sz w:val="21"/>
          <w:szCs w:val="21"/>
        </w:rPr>
        <w:t>个附件是本合同的有效组成部分：</w:t>
      </w:r>
    </w:p>
    <w:p w14:paraId="49EF099C">
      <w:pPr>
        <w:pageBreakBefore w:val="0"/>
        <w:kinsoku/>
        <w:wordWrap/>
        <w:overflowPunct/>
        <w:topLinePunct w:val="0"/>
        <w:bidi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附件1：工程质量保修书</w:t>
      </w:r>
    </w:p>
    <w:p w14:paraId="7DFD2253">
      <w:pPr>
        <w:pageBreakBefore w:val="0"/>
        <w:kinsoku/>
        <w:wordWrap/>
        <w:overflowPunct/>
        <w:topLinePunct w:val="0"/>
        <w:bidi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：廉洁从业协议</w:t>
      </w:r>
    </w:p>
    <w:p w14:paraId="3D6EEEB2">
      <w:pPr>
        <w:pageBreakBefore w:val="0"/>
        <w:kinsoku/>
        <w:wordWrap/>
        <w:overflowPunct/>
        <w:topLinePunct w:val="0"/>
        <w:bidi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：安全管理协议</w:t>
      </w:r>
    </w:p>
    <w:p w14:paraId="1D63D6B4">
      <w:pPr>
        <w:pageBreakBefore w:val="0"/>
        <w:kinsoku/>
        <w:wordWrap/>
        <w:overflowPunct/>
        <w:topLinePunct w:val="0"/>
        <w:bidi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：保障农民工工资支付协议</w:t>
      </w:r>
    </w:p>
    <w:p w14:paraId="7B034098">
      <w:pPr>
        <w:keepNext w:val="0"/>
        <w:keepLines w:val="0"/>
        <w:pageBreakBefore w:val="0"/>
        <w:widowControl w:val="0"/>
        <w:kinsoku/>
        <w:wordWrap/>
        <w:overflowPunct/>
        <w:topLinePunct w:val="0"/>
        <w:bidi w:val="0"/>
        <w:spacing w:line="400" w:lineRule="exact"/>
        <w:ind w:right="0" w:rightChars="0"/>
        <w:textAlignment w:val="auto"/>
        <w:rPr>
          <w:rFonts w:ascii="宋体" w:hAnsi="宋体"/>
          <w:color w:val="auto"/>
          <w:sz w:val="21"/>
          <w:szCs w:val="21"/>
        </w:rPr>
      </w:pPr>
      <w:r>
        <w:rPr>
          <w:rFonts w:hint="eastAsia" w:ascii="宋体" w:hAnsi="宋体" w:cs="宋体"/>
          <w:color w:val="auto"/>
          <w:sz w:val="21"/>
          <w:szCs w:val="21"/>
        </w:rPr>
        <w:br w:type="page"/>
      </w:r>
      <w:r>
        <w:rPr>
          <w:rFonts w:hint="eastAsia" w:ascii="宋体" w:hAnsi="宋体"/>
          <w:color w:val="auto"/>
          <w:sz w:val="21"/>
          <w:szCs w:val="21"/>
        </w:rPr>
        <w:t>附</w:t>
      </w:r>
      <w:bookmarkStart w:id="627" w:name="_Toc296347225"/>
      <w:bookmarkStart w:id="628" w:name="_Toc296503226"/>
      <w:bookmarkStart w:id="629" w:name="_Toc296346727"/>
      <w:bookmarkStart w:id="630" w:name="_Toc296891266"/>
      <w:bookmarkStart w:id="631" w:name="_Toc296944565"/>
      <w:bookmarkStart w:id="632" w:name="_Toc296891054"/>
      <w:bookmarkStart w:id="633" w:name="_Toc267261693"/>
      <w:r>
        <w:rPr>
          <w:rFonts w:hint="eastAsia" w:ascii="宋体" w:hAnsi="宋体"/>
          <w:color w:val="auto"/>
          <w:sz w:val="21"/>
          <w:szCs w:val="21"/>
        </w:rPr>
        <w:t>件1：</w:t>
      </w:r>
      <w:bookmarkEnd w:id="627"/>
      <w:bookmarkEnd w:id="628"/>
      <w:bookmarkEnd w:id="629"/>
      <w:bookmarkEnd w:id="630"/>
      <w:bookmarkEnd w:id="631"/>
      <w:bookmarkEnd w:id="632"/>
      <w:bookmarkEnd w:id="633"/>
    </w:p>
    <w:p w14:paraId="6D98FF0B">
      <w:pPr>
        <w:keepNext w:val="0"/>
        <w:keepLines w:val="0"/>
        <w:pageBreakBefore w:val="0"/>
        <w:widowControl w:val="0"/>
        <w:kinsoku/>
        <w:wordWrap/>
        <w:overflowPunct/>
        <w:topLinePunct w:val="0"/>
        <w:bidi w:val="0"/>
        <w:spacing w:before="120" w:beforeLines="50" w:after="120" w:afterLines="50" w:line="400" w:lineRule="exact"/>
        <w:jc w:val="center"/>
        <w:textAlignment w:val="auto"/>
        <w:rPr>
          <w:rFonts w:ascii="宋体" w:hAnsi="宋体"/>
          <w:color w:val="auto"/>
          <w:szCs w:val="21"/>
        </w:rPr>
      </w:pPr>
      <w:r>
        <w:rPr>
          <w:rFonts w:hint="eastAsia" w:ascii="宋体" w:hAnsi="宋体"/>
          <w:color w:val="auto"/>
          <w:sz w:val="21"/>
          <w:szCs w:val="21"/>
        </w:rPr>
        <w:t>工程质量保修书</w:t>
      </w:r>
    </w:p>
    <w:p w14:paraId="6715AE96">
      <w:pPr>
        <w:keepNext w:val="0"/>
        <w:keepLines w:val="0"/>
        <w:pageBreakBefore w:val="0"/>
        <w:widowControl w:val="0"/>
        <w:kinsoku/>
        <w:wordWrap/>
        <w:overflowPunct/>
        <w:topLinePunct w:val="0"/>
        <w:bidi w:val="0"/>
        <w:snapToGrid w:val="0"/>
        <w:spacing w:line="400" w:lineRule="exact"/>
        <w:ind w:firstLine="422" w:firstLineChars="200"/>
        <w:textAlignment w:val="auto"/>
        <w:rPr>
          <w:rFonts w:ascii="宋体" w:hAnsi="宋体"/>
          <w:b/>
          <w:color w:val="auto"/>
          <w:sz w:val="21"/>
          <w:szCs w:val="21"/>
          <w:u w:val="single"/>
        </w:rPr>
      </w:pPr>
      <w:r>
        <w:rPr>
          <w:rFonts w:hint="eastAsia" w:ascii="宋体" w:hAnsi="宋体"/>
          <w:b/>
          <w:color w:val="auto"/>
          <w:sz w:val="21"/>
          <w:szCs w:val="21"/>
        </w:rPr>
        <w:t>发包人（全称）：</w:t>
      </w:r>
      <w:r>
        <w:rPr>
          <w:rFonts w:hint="eastAsia" w:ascii="宋体" w:hAnsi="宋体"/>
          <w:color w:val="auto"/>
          <w:sz w:val="21"/>
          <w:szCs w:val="21"/>
          <w:u w:val="single"/>
        </w:rPr>
        <w:t></w:t>
      </w:r>
      <w:r>
        <w:rPr>
          <w:rFonts w:hint="eastAsia" w:ascii="宋体" w:hAnsi="宋体"/>
          <w:color w:val="auto"/>
          <w:sz w:val="21"/>
          <w:szCs w:val="21"/>
          <w:u w:val="single"/>
          <w:lang w:val="en-US" w:eastAsia="zh-CN"/>
        </w:rPr>
        <w:t xml:space="preserve">                        </w:t>
      </w:r>
    </w:p>
    <w:p w14:paraId="5921A74C">
      <w:pPr>
        <w:keepNext w:val="0"/>
        <w:keepLines w:val="0"/>
        <w:pageBreakBefore w:val="0"/>
        <w:widowControl w:val="0"/>
        <w:kinsoku/>
        <w:wordWrap/>
        <w:overflowPunct/>
        <w:topLinePunct w:val="0"/>
        <w:bidi w:val="0"/>
        <w:snapToGrid w:val="0"/>
        <w:spacing w:line="400" w:lineRule="exact"/>
        <w:ind w:firstLine="422" w:firstLineChars="200"/>
        <w:textAlignment w:val="auto"/>
        <w:rPr>
          <w:rFonts w:ascii="宋体" w:hAnsi="宋体"/>
          <w:b/>
          <w:color w:val="auto"/>
          <w:sz w:val="21"/>
          <w:szCs w:val="21"/>
          <w:u w:val="single"/>
        </w:rPr>
      </w:pPr>
      <w:r>
        <w:rPr>
          <w:rFonts w:hint="eastAsia" w:ascii="宋体" w:hAnsi="宋体"/>
          <w:b/>
          <w:color w:val="auto"/>
          <w:sz w:val="21"/>
          <w:szCs w:val="21"/>
        </w:rPr>
        <w:t>承包人（全称）：</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14:paraId="32C5E84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发包人和承包人根据《中华人民共和国建筑法》和《建设工程质量管理条例》，经协商一致就</w:t>
      </w:r>
      <w:r>
        <w:rPr>
          <w:rFonts w:hint="eastAsia" w:ascii="宋体" w:hAnsi="宋体"/>
          <w:color w:val="auto"/>
          <w:szCs w:val="21"/>
          <w:u w:val="single"/>
        </w:rPr>
        <w:t xml:space="preserve">  </w:t>
      </w:r>
      <w:r>
        <w:rPr>
          <w:rFonts w:hint="eastAsia" w:ascii="宋体" w:hAnsi="宋体"/>
          <w:color w:val="auto"/>
          <w:sz w:val="21"/>
          <w:szCs w:val="21"/>
        </w:rPr>
        <w:t>（工程全称）签订工程质量保修书。</w:t>
      </w:r>
    </w:p>
    <w:p w14:paraId="6508BC5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34" w:name="_Toc532375687"/>
      <w:r>
        <w:rPr>
          <w:rFonts w:hint="eastAsia" w:ascii="宋体" w:hAnsi="宋体"/>
          <w:color w:val="auto"/>
          <w:sz w:val="21"/>
          <w:szCs w:val="21"/>
        </w:rPr>
        <w:t>一、工程质量保修范围和内容</w:t>
      </w:r>
      <w:bookmarkEnd w:id="634"/>
    </w:p>
    <w:p w14:paraId="3A3F7D7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承包人在质量保修期内，按照有关法律规定和合同约定，承担工程质量保修责任。</w:t>
      </w:r>
    </w:p>
    <w:p w14:paraId="2323C24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88DFBB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承包人承包范围内容均属质量保修范围内容；其中：</w:t>
      </w:r>
    </w:p>
    <w:p w14:paraId="28C6099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1.属于设计原因造成的质量问题，承包人负责维修，不留隐患，费用由发包人承担；</w:t>
      </w:r>
    </w:p>
    <w:p w14:paraId="485BA18B">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2.属于施工造成的质量问题，承包人负责维修，不留隐患；</w:t>
      </w:r>
    </w:p>
    <w:p w14:paraId="6BDF1FEB">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3.属于业主使用不当造成的质量问题，配合抢修，费用由发包人承担。</w:t>
      </w:r>
    </w:p>
    <w:p w14:paraId="5A8CEA1D">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35" w:name="_Toc532375688"/>
      <w:r>
        <w:rPr>
          <w:rFonts w:hint="eastAsia" w:ascii="宋体" w:hAnsi="宋体"/>
          <w:color w:val="auto"/>
          <w:sz w:val="21"/>
          <w:szCs w:val="21"/>
        </w:rPr>
        <w:t>二、质量保修期</w:t>
      </w:r>
      <w:bookmarkEnd w:id="635"/>
    </w:p>
    <w:p w14:paraId="5707949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根据《建设工程质量管理条例》及有关规定，本工程质量保修期约定如下：</w:t>
      </w:r>
    </w:p>
    <w:p w14:paraId="4EBEFA2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1.基础设施工程、房屋建筑的地基基础工程和主体结构工程，为设计文件规定的该工程的合理使用年限；</w:t>
      </w:r>
    </w:p>
    <w:p w14:paraId="5C3E24F2">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2.屋面防水工程、有防水要求的卫生间、房间和外墙面的防渗漏，为5年；</w:t>
      </w:r>
    </w:p>
    <w:p w14:paraId="6AD2FB1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3.供热与供冷系统，为2个采暖期、供冷期；</w:t>
      </w:r>
    </w:p>
    <w:p w14:paraId="2EAD084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4.电气管线、给排水管道、设备安装和装修工程，为2年；</w:t>
      </w:r>
    </w:p>
    <w:p w14:paraId="68DD364D">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i w:val="0"/>
          <w:iCs/>
          <w:color w:val="auto"/>
          <w:sz w:val="21"/>
          <w:szCs w:val="21"/>
        </w:rPr>
      </w:pPr>
      <w:r>
        <w:rPr>
          <w:rFonts w:hint="eastAsia" w:ascii="宋体" w:hAnsi="宋体"/>
          <w:color w:val="auto"/>
          <w:sz w:val="21"/>
          <w:szCs w:val="21"/>
        </w:rPr>
        <w:t>5.其他项目保修期限：</w:t>
      </w:r>
      <w:r>
        <w:rPr>
          <w:rFonts w:hint="eastAsia" w:ascii="宋体" w:hAnsi="宋体"/>
          <w:color w:val="auto"/>
          <w:sz w:val="21"/>
          <w:szCs w:val="21"/>
          <w:lang w:val="en-US" w:eastAsia="zh-CN"/>
        </w:rPr>
        <w:t>2</w:t>
      </w:r>
      <w:r>
        <w:rPr>
          <w:rFonts w:hint="eastAsia" w:ascii="宋体" w:hAnsi="宋体"/>
          <w:color w:val="auto"/>
          <w:sz w:val="21"/>
          <w:szCs w:val="21"/>
        </w:rPr>
        <w:t>年；</w:t>
      </w:r>
    </w:p>
    <w:p w14:paraId="53021AE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建设工程的保修期，自工程竣工验收合格之日起计算。</w:t>
      </w:r>
    </w:p>
    <w:p w14:paraId="137BEA93">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36" w:name="_Toc532375689"/>
      <w:r>
        <w:rPr>
          <w:rFonts w:hint="eastAsia" w:ascii="宋体" w:hAnsi="宋体"/>
          <w:color w:val="auto"/>
          <w:sz w:val="21"/>
          <w:szCs w:val="21"/>
        </w:rPr>
        <w:t>三、质量保修责任</w:t>
      </w:r>
      <w:bookmarkEnd w:id="636"/>
    </w:p>
    <w:p w14:paraId="442298A3">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1.属于保修范围、内容的项目，承包人应当在接到保修通知之日起7天内派人保修。承包人不在约定期限内派人保修的，发包人可以委托他人修理。</w:t>
      </w:r>
    </w:p>
    <w:p w14:paraId="5A0D2608">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2.发生紧急事故需抢修的，承包人在接到事故通知后，应当立即到达事故现场抢修。</w:t>
      </w:r>
    </w:p>
    <w:p w14:paraId="64854BC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F81920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4.质量保修完成后，由发包人组织验收。</w:t>
      </w:r>
    </w:p>
    <w:p w14:paraId="1791360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37" w:name="_Toc532375690"/>
      <w:r>
        <w:rPr>
          <w:rFonts w:hint="eastAsia" w:ascii="宋体" w:hAnsi="宋体"/>
          <w:color w:val="auto"/>
          <w:sz w:val="21"/>
          <w:szCs w:val="21"/>
        </w:rPr>
        <w:t>四、保修费用</w:t>
      </w:r>
      <w:bookmarkEnd w:id="637"/>
    </w:p>
    <w:p w14:paraId="694B617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保修费用由质量缺陷的责任方承担。</w:t>
      </w:r>
    </w:p>
    <w:p w14:paraId="7CC8DB9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38" w:name="_Toc532375691"/>
      <w:r>
        <w:rPr>
          <w:rFonts w:hint="eastAsia" w:ascii="宋体" w:hAnsi="宋体"/>
          <w:color w:val="auto"/>
          <w:sz w:val="21"/>
          <w:szCs w:val="21"/>
        </w:rPr>
        <w:t>五、双方约定的其他工程质量保修事项</w:t>
      </w:r>
    </w:p>
    <w:p w14:paraId="2CDD62F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u w:val="single"/>
        </w:rPr>
        <w:t>按国家相关法律和规定执行</w:t>
      </w:r>
      <w:r>
        <w:rPr>
          <w:rFonts w:hint="eastAsia" w:ascii="宋体" w:hAnsi="宋体"/>
          <w:color w:val="auto"/>
          <w:sz w:val="21"/>
          <w:szCs w:val="21"/>
        </w:rPr>
        <w:t>。</w:t>
      </w:r>
      <w:bookmarkEnd w:id="638"/>
    </w:p>
    <w:p w14:paraId="4A4C859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本工程质量保修书由发包人、承包人在工程竣工验收前共同签署，作为施工合同附件，其有效期限至保修期满。</w:t>
      </w:r>
    </w:p>
    <w:p w14:paraId="5C8D561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ascii="宋体" w:hAnsi="宋体"/>
          <w:color w:val="auto"/>
          <w:sz w:val="21"/>
          <w:szCs w:val="21"/>
        </w:rPr>
        <w:t>六</w:t>
      </w:r>
      <w:r>
        <w:rPr>
          <w:rFonts w:hint="eastAsia" w:ascii="宋体" w:hAnsi="宋体"/>
          <w:color w:val="auto"/>
          <w:sz w:val="21"/>
          <w:szCs w:val="21"/>
        </w:rPr>
        <w:t>、</w:t>
      </w:r>
      <w:r>
        <w:rPr>
          <w:rFonts w:ascii="宋体" w:hAnsi="宋体"/>
          <w:color w:val="auto"/>
          <w:sz w:val="21"/>
          <w:szCs w:val="21"/>
        </w:rPr>
        <w:t>本文件生效</w:t>
      </w:r>
    </w:p>
    <w:p w14:paraId="67D6096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本工程质量保修书经发包人与承包人盖章后生效。</w:t>
      </w:r>
    </w:p>
    <w:p w14:paraId="192AB923">
      <w:pPr>
        <w:pStyle w:val="2"/>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p>
    <w:p w14:paraId="5A3D773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r>
        <w:rPr>
          <w:rFonts w:hint="eastAsia" w:ascii="宋体" w:hAnsi="宋体"/>
          <w:snapToGrid w:val="0"/>
          <w:color w:val="auto"/>
          <w:kern w:val="0"/>
          <w:sz w:val="21"/>
          <w:szCs w:val="21"/>
        </w:rPr>
        <w:t>发包人：</w:t>
      </w:r>
      <w:r>
        <w:rPr>
          <w:rFonts w:hint="eastAsia" w:ascii="宋体" w:hAnsi="宋体"/>
          <w:color w:val="auto"/>
          <w:sz w:val="21"/>
          <w:szCs w:val="21"/>
          <w:u w:val="single"/>
          <w:lang w:val="en-US" w:eastAsia="zh-CN"/>
        </w:rPr>
        <w:t xml:space="preserve">                  </w:t>
      </w:r>
      <w:r>
        <w:rPr>
          <w:rFonts w:hint="eastAsia" w:ascii="宋体" w:hAnsi="宋体"/>
          <w:snapToGrid w:val="0"/>
          <w:color w:val="auto"/>
          <w:kern w:val="0"/>
          <w:sz w:val="21"/>
          <w:szCs w:val="21"/>
        </w:rPr>
        <w:t>（盖单位公章）</w:t>
      </w:r>
    </w:p>
    <w:p w14:paraId="5F45E1E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3BE0AB4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5455208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r>
        <w:rPr>
          <w:rFonts w:hint="eastAsia" w:ascii="宋体" w:hAnsi="宋体"/>
          <w:snapToGrid w:val="0"/>
          <w:color w:val="auto"/>
          <w:kern w:val="0"/>
          <w:sz w:val="21"/>
          <w:szCs w:val="21"/>
        </w:rPr>
        <w:t>法定代表人或其委托代理人：（签字）</w:t>
      </w:r>
    </w:p>
    <w:p w14:paraId="4FAFB57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3D83B3F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04B837F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snapToGrid w:val="0"/>
          <w:color w:val="auto"/>
          <w:kern w:val="0"/>
          <w:sz w:val="21"/>
          <w:szCs w:val="21"/>
        </w:rPr>
        <w:t>承包人：</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snapToGrid w:val="0"/>
          <w:color w:val="auto"/>
          <w:kern w:val="0"/>
          <w:sz w:val="21"/>
          <w:szCs w:val="21"/>
        </w:rPr>
        <w:t>（盖单位公章）</w:t>
      </w:r>
    </w:p>
    <w:p w14:paraId="45927772">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623352B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p>
    <w:p w14:paraId="11D911EB">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bCs/>
          <w:color w:val="auto"/>
          <w:kern w:val="0"/>
          <w:sz w:val="21"/>
          <w:szCs w:val="21"/>
        </w:rPr>
      </w:pPr>
      <w:r>
        <w:rPr>
          <w:rFonts w:hint="eastAsia" w:ascii="宋体" w:hAnsi="宋体"/>
          <w:snapToGrid w:val="0"/>
          <w:color w:val="auto"/>
          <w:kern w:val="0"/>
          <w:sz w:val="21"/>
          <w:szCs w:val="21"/>
        </w:rPr>
        <w:t>法定代表人或其委托代理人：（签字）</w:t>
      </w:r>
    </w:p>
    <w:p w14:paraId="6FC7A4F3">
      <w:pPr>
        <w:keepNext w:val="0"/>
        <w:keepLines w:val="0"/>
        <w:pageBreakBefore w:val="0"/>
        <w:widowControl w:val="0"/>
        <w:kinsoku/>
        <w:wordWrap/>
        <w:overflowPunct/>
        <w:topLinePunct w:val="0"/>
        <w:bidi w:val="0"/>
        <w:spacing w:line="400" w:lineRule="exact"/>
        <w:ind w:firstLine="418" w:firstLineChars="200"/>
        <w:textAlignment w:val="auto"/>
        <w:rPr>
          <w:rFonts w:ascii="宋体" w:hAnsi="宋体"/>
          <w:snapToGrid w:val="0"/>
          <w:color w:val="auto"/>
          <w:spacing w:val="1"/>
          <w:w w:val="99"/>
          <w:kern w:val="0"/>
          <w:position w:val="-2"/>
          <w:sz w:val="21"/>
          <w:szCs w:val="21"/>
        </w:rPr>
      </w:pPr>
    </w:p>
    <w:p w14:paraId="43D436D9">
      <w:pPr>
        <w:keepNext w:val="0"/>
        <w:keepLines w:val="0"/>
        <w:pageBreakBefore w:val="0"/>
        <w:widowControl w:val="0"/>
        <w:kinsoku/>
        <w:wordWrap/>
        <w:overflowPunct/>
        <w:topLinePunct w:val="0"/>
        <w:bidi w:val="0"/>
        <w:spacing w:line="400" w:lineRule="exact"/>
        <w:ind w:firstLine="418" w:firstLineChars="200"/>
        <w:textAlignment w:val="auto"/>
        <w:rPr>
          <w:rFonts w:ascii="宋体" w:hAnsi="宋体"/>
          <w:snapToGrid w:val="0"/>
          <w:color w:val="auto"/>
          <w:spacing w:val="1"/>
          <w:w w:val="99"/>
          <w:kern w:val="0"/>
          <w:position w:val="-2"/>
          <w:sz w:val="21"/>
          <w:szCs w:val="21"/>
        </w:rPr>
      </w:pPr>
    </w:p>
    <w:p w14:paraId="5246087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snapToGrid w:val="0"/>
          <w:color w:val="auto"/>
          <w:kern w:val="0"/>
          <w:sz w:val="21"/>
          <w:szCs w:val="21"/>
        </w:rPr>
      </w:pPr>
      <w:r>
        <w:rPr>
          <w:rFonts w:hint="eastAsia" w:ascii="宋体" w:hAnsi="宋体"/>
          <w:snapToGrid w:val="0"/>
          <w:color w:val="auto"/>
          <w:kern w:val="0"/>
          <w:sz w:val="21"/>
          <w:szCs w:val="21"/>
        </w:rPr>
        <w:t>签约时间：</w:t>
      </w:r>
      <w:r>
        <w:rPr>
          <w:rFonts w:ascii="宋体" w:hAnsi="宋体"/>
          <w:snapToGrid w:val="0"/>
          <w:color w:val="auto"/>
          <w:kern w:val="0"/>
          <w:sz w:val="21"/>
          <w:szCs w:val="21"/>
        </w:rPr>
        <w:t xml:space="preserve">   </w:t>
      </w:r>
      <w:r>
        <w:rPr>
          <w:rFonts w:hint="eastAsia" w:ascii="宋体" w:hAnsi="宋体"/>
          <w:snapToGrid w:val="0"/>
          <w:color w:val="auto"/>
          <w:kern w:val="0"/>
          <w:sz w:val="21"/>
          <w:szCs w:val="21"/>
        </w:rPr>
        <w:t>年</w:t>
      </w:r>
      <w:r>
        <w:rPr>
          <w:rFonts w:ascii="宋体" w:hAnsi="宋体"/>
          <w:snapToGrid w:val="0"/>
          <w:color w:val="auto"/>
          <w:kern w:val="0"/>
          <w:sz w:val="21"/>
          <w:szCs w:val="21"/>
        </w:rPr>
        <w:t xml:space="preserve">   </w:t>
      </w:r>
      <w:r>
        <w:rPr>
          <w:rFonts w:hint="eastAsia" w:ascii="宋体" w:hAnsi="宋体"/>
          <w:snapToGrid w:val="0"/>
          <w:color w:val="auto"/>
          <w:kern w:val="0"/>
          <w:sz w:val="21"/>
          <w:szCs w:val="21"/>
        </w:rPr>
        <w:t>月</w:t>
      </w:r>
      <w:r>
        <w:rPr>
          <w:rFonts w:ascii="宋体" w:hAnsi="宋体"/>
          <w:snapToGrid w:val="0"/>
          <w:color w:val="auto"/>
          <w:kern w:val="0"/>
          <w:sz w:val="21"/>
          <w:szCs w:val="21"/>
        </w:rPr>
        <w:t xml:space="preserve">   </w:t>
      </w:r>
      <w:r>
        <w:rPr>
          <w:rFonts w:hint="eastAsia" w:ascii="宋体" w:hAnsi="宋体"/>
          <w:snapToGrid w:val="0"/>
          <w:color w:val="auto"/>
          <w:kern w:val="0"/>
          <w:sz w:val="21"/>
          <w:szCs w:val="21"/>
        </w:rPr>
        <w:t>日</w:t>
      </w:r>
    </w:p>
    <w:p w14:paraId="1BFDD8AC">
      <w:pPr>
        <w:keepNext w:val="0"/>
        <w:keepLines w:val="0"/>
        <w:pageBreakBefore w:val="0"/>
        <w:widowControl w:val="0"/>
        <w:kinsoku/>
        <w:wordWrap/>
        <w:overflowPunct/>
        <w:topLinePunct w:val="0"/>
        <w:bidi w:val="0"/>
        <w:spacing w:line="400" w:lineRule="exact"/>
        <w:textAlignment w:val="auto"/>
        <w:rPr>
          <w:rFonts w:ascii="宋体" w:hAnsi="宋体"/>
          <w:color w:val="auto"/>
          <w:szCs w:val="21"/>
        </w:rPr>
      </w:pPr>
    </w:p>
    <w:p w14:paraId="06B3655F">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184A1E7B">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1B8DA829">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0A84600C">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2EC4F7F1">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7048FC20">
      <w:pPr>
        <w:keepNext w:val="0"/>
        <w:keepLines w:val="0"/>
        <w:pageBreakBefore w:val="0"/>
        <w:widowControl w:val="0"/>
        <w:kinsoku/>
        <w:wordWrap/>
        <w:overflowPunct/>
        <w:topLinePunct w:val="0"/>
        <w:bidi w:val="0"/>
        <w:spacing w:line="400" w:lineRule="exact"/>
        <w:textAlignment w:val="auto"/>
        <w:rPr>
          <w:rFonts w:hint="eastAsia" w:ascii="宋体" w:hAnsi="宋体"/>
          <w:color w:val="auto"/>
          <w:szCs w:val="21"/>
        </w:rPr>
      </w:pPr>
    </w:p>
    <w:p w14:paraId="1586D3D5">
      <w:pPr>
        <w:rPr>
          <w:rFonts w:ascii="宋体" w:hAnsi="宋体"/>
          <w:color w:val="auto"/>
          <w:sz w:val="21"/>
          <w:szCs w:val="21"/>
        </w:rPr>
      </w:pPr>
      <w:r>
        <w:rPr>
          <w:rFonts w:hint="eastAsia" w:ascii="宋体" w:hAnsi="宋体"/>
          <w:color w:val="auto"/>
          <w:szCs w:val="21"/>
        </w:rPr>
        <w:br w:type="page"/>
      </w:r>
      <w:r>
        <w:rPr>
          <w:rFonts w:hint="eastAsia" w:ascii="宋体" w:hAnsi="宋体"/>
          <w:color w:val="auto"/>
          <w:sz w:val="21"/>
          <w:szCs w:val="21"/>
        </w:rPr>
        <w:t>附件</w:t>
      </w:r>
      <w:r>
        <w:rPr>
          <w:rFonts w:hint="eastAsia" w:ascii="宋体" w:hAnsi="宋体"/>
          <w:color w:val="auto"/>
          <w:sz w:val="21"/>
          <w:szCs w:val="21"/>
          <w:lang w:val="en-US" w:eastAsia="zh-CN"/>
        </w:rPr>
        <w:t>2</w:t>
      </w:r>
      <w:r>
        <w:rPr>
          <w:rFonts w:hint="eastAsia" w:ascii="宋体" w:hAnsi="宋体"/>
          <w:color w:val="auto"/>
          <w:sz w:val="21"/>
          <w:szCs w:val="21"/>
        </w:rPr>
        <w:t>：廉洁从业协议</w:t>
      </w:r>
    </w:p>
    <w:p w14:paraId="13AD5815">
      <w:pPr>
        <w:keepNext w:val="0"/>
        <w:keepLines w:val="0"/>
        <w:pageBreakBefore w:val="0"/>
        <w:widowControl w:val="0"/>
        <w:kinsoku/>
        <w:wordWrap/>
        <w:overflowPunct/>
        <w:topLinePunct w:val="0"/>
        <w:bidi w:val="0"/>
        <w:spacing w:before="120" w:beforeLines="50" w:after="120" w:afterLines="50" w:line="400" w:lineRule="exact"/>
        <w:jc w:val="center"/>
        <w:textAlignment w:val="auto"/>
        <w:rPr>
          <w:rFonts w:ascii="宋体" w:hAnsi="宋体"/>
          <w:color w:val="auto"/>
          <w:szCs w:val="21"/>
        </w:rPr>
      </w:pPr>
      <w:r>
        <w:rPr>
          <w:rFonts w:hint="eastAsia" w:ascii="宋体" w:hAnsi="宋体"/>
          <w:color w:val="auto"/>
          <w:sz w:val="21"/>
          <w:szCs w:val="21"/>
        </w:rPr>
        <w:t>廉洁从业协议</w:t>
      </w:r>
    </w:p>
    <w:p w14:paraId="7EC0B987">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宋体" w:hAnsi="宋体"/>
          <w:color w:val="auto"/>
          <w:sz w:val="21"/>
          <w:szCs w:val="21"/>
          <w:u w:val="single"/>
          <w:lang w:val="en-US" w:eastAsia="zh-CN"/>
        </w:rPr>
      </w:pPr>
      <w:r>
        <w:rPr>
          <w:rFonts w:hint="eastAsia" w:ascii="宋体" w:hAnsi="宋体"/>
          <w:b/>
          <w:color w:val="auto"/>
          <w:sz w:val="21"/>
          <w:szCs w:val="21"/>
        </w:rPr>
        <w:t>发包人（全称）：</w:t>
      </w:r>
      <w:r>
        <w:rPr>
          <w:rFonts w:hint="eastAsia" w:ascii="宋体" w:hAnsi="宋体"/>
          <w:color w:val="auto"/>
          <w:sz w:val="21"/>
          <w:szCs w:val="21"/>
          <w:u w:val="single"/>
        </w:rPr>
        <w:t></w:t>
      </w:r>
      <w:r>
        <w:rPr>
          <w:rFonts w:hint="eastAsia" w:ascii="宋体" w:hAnsi="宋体"/>
          <w:color w:val="auto"/>
          <w:sz w:val="21"/>
          <w:szCs w:val="21"/>
          <w:u w:val="single"/>
          <w:lang w:val="en-US" w:eastAsia="zh-CN"/>
        </w:rPr>
        <w:t xml:space="preserve">                       </w:t>
      </w:r>
    </w:p>
    <w:p w14:paraId="089074D5">
      <w:pPr>
        <w:keepNext w:val="0"/>
        <w:keepLines w:val="0"/>
        <w:pageBreakBefore w:val="0"/>
        <w:widowControl w:val="0"/>
        <w:kinsoku/>
        <w:wordWrap/>
        <w:overflowPunct/>
        <w:topLinePunct w:val="0"/>
        <w:bidi w:val="0"/>
        <w:snapToGrid w:val="0"/>
        <w:spacing w:line="400" w:lineRule="exact"/>
        <w:ind w:firstLine="422" w:firstLineChars="200"/>
        <w:textAlignment w:val="auto"/>
        <w:rPr>
          <w:rFonts w:ascii="宋体" w:hAnsi="宋体"/>
          <w:b/>
          <w:color w:val="auto"/>
          <w:sz w:val="21"/>
          <w:szCs w:val="21"/>
          <w:u w:val="single"/>
        </w:rPr>
      </w:pPr>
      <w:r>
        <w:rPr>
          <w:rFonts w:hint="eastAsia" w:ascii="宋体" w:hAnsi="宋体"/>
          <w:b/>
          <w:color w:val="auto"/>
          <w:sz w:val="21"/>
          <w:szCs w:val="21"/>
        </w:rPr>
        <w:t>承包人（全称）：</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14:paraId="41ADEBC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65B8836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 xml:space="preserve"> 1. 发包人承包人的权利和义务</w:t>
      </w:r>
    </w:p>
    <w:p w14:paraId="651F287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（1）严格遵守党的政策规定和国家有关法律法规及相关部门的有关规定。</w:t>
      </w:r>
    </w:p>
    <w:p w14:paraId="62C62E1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（2）严格执行 工程的合同文件，自觉按合同办事。</w:t>
      </w:r>
    </w:p>
    <w:p w14:paraId="53A01182">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（3）双方的业务活动坚持公开、公正、诚信、透明的原则（法律认定的商业秘密和合同文件另有规定除外），不得损害国家和集体利益，违反工程建设管理规章制度。</w:t>
      </w:r>
    </w:p>
    <w:p w14:paraId="244001D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（4）建立健全廉政制度，开展廉政教育，设立廉政告示牌，公布举报电话，监督并认真查处违法违纪行为。</w:t>
      </w:r>
    </w:p>
    <w:p w14:paraId="1564D332">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（5）发现对方在业务活动中有违反廉政规定的行为，有及时提醒对方纠正的权利和义务。</w:t>
      </w:r>
    </w:p>
    <w:p w14:paraId="54A21EE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（6）发现对方严重违反协议义务条款的行为，有向其上级有关部门举报、建议给予处理并要求告知处理结果的权利。</w:t>
      </w:r>
    </w:p>
    <w:p w14:paraId="54EF809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 发包人的义务</w:t>
      </w:r>
    </w:p>
    <w:p w14:paraId="627AECBB">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（1）发包人及其工作人员不得索要或接受承包人的礼金、有价证券和贵重物品，不得在承包人报销任何应由发包人或发包人工作人员个人支付的费用等。</w:t>
      </w:r>
    </w:p>
    <w:p w14:paraId="7FE86C73">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（2）发包人工作人员不得参加承包人安排的超标准宴请和娱乐活动；不得接受承包人提供的通讯工具、交通工具和高档办公用品等。</w:t>
      </w:r>
    </w:p>
    <w:p w14:paraId="25DF2E4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（3）发包人及其工作人员不得要求或者接受承包人为其住房装修、婚丧嫁娶活动、配偶子女的工作安排以及出国出境、旅游等提供方便等。</w:t>
      </w:r>
    </w:p>
    <w:p w14:paraId="6FAB2B7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（4）发包人工作人员及其配偶、子女不得从事与发包人工程有关的材料设备供应、工程分包、劳务等经济活动等。</w:t>
      </w:r>
    </w:p>
    <w:p w14:paraId="0EB016B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（5）发包人及其工作人员不得以任何理由向承包人推荐分包单位或推销材料，不得要求承包人购买合同规定外的材料和设备。</w:t>
      </w:r>
    </w:p>
    <w:p w14:paraId="484EA3B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（6）发包人工作人员要秉公办事，不准营私舞弊，不准利用职权从事各种个人有偿中介活动和安排个人施工队伍。</w:t>
      </w:r>
    </w:p>
    <w:p w14:paraId="3876BEE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 承包人义务</w:t>
      </w:r>
    </w:p>
    <w:p w14:paraId="4C4DDBC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（1）承包人不得以任何理由向发包人及其工作人员行贿或馈赠礼金、有价证券、贵重礼品。</w:t>
      </w:r>
    </w:p>
    <w:p w14:paraId="7BEC8CA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（2）承包人不得以任何名义为发包人及其工作人员报销应由发包人单位或个人支付的任何费用。</w:t>
      </w:r>
    </w:p>
    <w:p w14:paraId="73DAFB9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（3）承包人不得以任何理由安排发包人工作人员参加超标准宴请及娱乐活动。</w:t>
      </w:r>
    </w:p>
    <w:p w14:paraId="5D9F736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（4）承包人不得为发包人单位和个人购置或提供通讯工具、交通工具和高档办公用品等。</w:t>
      </w:r>
    </w:p>
    <w:p w14:paraId="1BF336D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 违约责任</w:t>
      </w:r>
    </w:p>
    <w:p w14:paraId="7067D736">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（1）发包人及其工作人员违反合同第1、2条，按管理权限，依据有关规定给予党纪、政纪或组织处理；涉嫌犯罪的，移交司法机关追究刑事责任；给承包人单位造成经济损失的，应予以赔偿。</w:t>
      </w:r>
    </w:p>
    <w:p w14:paraId="4797195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（2）承包人及其工作人员违反合同第1、3条，按管理权限，依据有关规定给予党纪、政纪或组织处理；给发包人单位造成经济损失的，应予以赔偿。</w:t>
      </w:r>
    </w:p>
    <w:p w14:paraId="630C250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F0186E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6. 协议有效期为甲乙双方签署之日起至该工程项目竣工验收后止。</w:t>
      </w:r>
    </w:p>
    <w:p w14:paraId="30ECB4C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7.协议作为 工程施工合同的附件，与工程施工合同具有同等的法律效力，经合同双方签署立即生效。</w:t>
      </w:r>
    </w:p>
    <w:p w14:paraId="1DEB584D">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（以下无正文）</w:t>
      </w:r>
    </w:p>
    <w:p w14:paraId="3FFF5E8D">
      <w:pPr>
        <w:pStyle w:val="2"/>
        <w:rPr>
          <w:color w:val="auto"/>
        </w:rPr>
      </w:pPr>
    </w:p>
    <w:p w14:paraId="79136E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甲     方：                         乙     方：</w:t>
      </w:r>
    </w:p>
    <w:p w14:paraId="27C5A7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p>
    <w:p w14:paraId="60498A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 xml:space="preserve">法定代表人                          法定代表人                      </w:t>
      </w:r>
    </w:p>
    <w:p w14:paraId="7885A4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或其授权的代理人：                  或授权的代理人：</w:t>
      </w:r>
    </w:p>
    <w:p w14:paraId="1CFE1A7D">
      <w:pPr>
        <w:pStyle w:val="2"/>
        <w:keepNext w:val="0"/>
        <w:keepLines w:val="0"/>
        <w:pageBreakBefore w:val="0"/>
        <w:widowControl w:val="0"/>
        <w:kinsoku/>
        <w:wordWrap/>
        <w:overflowPunct/>
        <w:topLinePunct w:val="0"/>
        <w:bidi w:val="0"/>
        <w:spacing w:line="400" w:lineRule="exact"/>
        <w:jc w:val="right"/>
        <w:textAlignment w:val="auto"/>
        <w:rPr>
          <w:rFonts w:hint="eastAsia" w:ascii="宋体" w:hAnsi="宋体" w:eastAsia="宋体" w:cs="宋体"/>
          <w:color w:val="auto"/>
          <w:sz w:val="21"/>
          <w:szCs w:val="21"/>
        </w:rPr>
      </w:pPr>
    </w:p>
    <w:p w14:paraId="0BEAAD6B">
      <w:pPr>
        <w:pStyle w:val="2"/>
        <w:keepNext w:val="0"/>
        <w:keepLines w:val="0"/>
        <w:pageBreakBefore w:val="0"/>
        <w:widowControl w:val="0"/>
        <w:kinsoku/>
        <w:wordWrap/>
        <w:overflowPunct/>
        <w:topLinePunct w:val="0"/>
        <w:bidi w:val="0"/>
        <w:spacing w:line="400" w:lineRule="exact"/>
        <w:ind w:firstLine="2310" w:firstLineChars="11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签订时间：    年   月   日</w:t>
      </w:r>
    </w:p>
    <w:p w14:paraId="30C30F4D">
      <w:pPr>
        <w:keepNext w:val="0"/>
        <w:keepLines w:val="0"/>
        <w:pageBreakBefore w:val="0"/>
        <w:widowControl w:val="0"/>
        <w:kinsoku/>
        <w:wordWrap/>
        <w:overflowPunct/>
        <w:topLinePunct w:val="0"/>
        <w:bidi w:val="0"/>
        <w:spacing w:line="400" w:lineRule="exact"/>
        <w:textAlignment w:val="auto"/>
        <w:rPr>
          <w:rFonts w:ascii="宋体" w:hAnsi="宋体"/>
          <w:color w:val="auto"/>
          <w:sz w:val="21"/>
          <w:szCs w:val="21"/>
        </w:rPr>
      </w:pPr>
      <w:r>
        <w:rPr>
          <w:rFonts w:hint="eastAsia" w:ascii="宋体" w:hAnsi="宋体"/>
          <w:color w:val="auto"/>
          <w:szCs w:val="21"/>
        </w:rPr>
        <w:br w:type="page"/>
      </w:r>
      <w:r>
        <w:rPr>
          <w:rFonts w:hint="eastAsia" w:ascii="宋体" w:hAnsi="宋体"/>
          <w:color w:val="auto"/>
          <w:sz w:val="21"/>
          <w:szCs w:val="21"/>
        </w:rPr>
        <w:t>附件</w:t>
      </w:r>
      <w:r>
        <w:rPr>
          <w:rFonts w:hint="eastAsia" w:ascii="宋体" w:hAnsi="宋体"/>
          <w:color w:val="auto"/>
          <w:sz w:val="21"/>
          <w:szCs w:val="21"/>
          <w:lang w:val="en-US" w:eastAsia="zh-CN"/>
        </w:rPr>
        <w:t>3</w:t>
      </w:r>
      <w:r>
        <w:rPr>
          <w:rFonts w:hint="eastAsia" w:ascii="宋体" w:hAnsi="宋体"/>
          <w:color w:val="auto"/>
          <w:sz w:val="21"/>
          <w:szCs w:val="21"/>
        </w:rPr>
        <w:t>：安全管理协议</w:t>
      </w:r>
    </w:p>
    <w:p w14:paraId="241BEE39">
      <w:pPr>
        <w:keepNext w:val="0"/>
        <w:keepLines w:val="0"/>
        <w:pageBreakBefore w:val="0"/>
        <w:widowControl w:val="0"/>
        <w:kinsoku/>
        <w:wordWrap/>
        <w:overflowPunct/>
        <w:topLinePunct w:val="0"/>
        <w:bidi w:val="0"/>
        <w:spacing w:before="120" w:beforeLines="50" w:after="120" w:afterLines="50" w:line="400" w:lineRule="exact"/>
        <w:jc w:val="center"/>
        <w:textAlignment w:val="auto"/>
        <w:rPr>
          <w:rFonts w:ascii="宋体" w:hAnsi="宋体"/>
          <w:color w:val="auto"/>
          <w:szCs w:val="21"/>
        </w:rPr>
      </w:pPr>
      <w:bookmarkStart w:id="639" w:name="_Toc448406299"/>
      <w:bookmarkStart w:id="640" w:name="_Toc435689499"/>
      <w:bookmarkStart w:id="641" w:name="_Toc239510288"/>
      <w:bookmarkStart w:id="642" w:name="_Toc247431422"/>
      <w:bookmarkStart w:id="643" w:name="_Toc435690184"/>
      <w:bookmarkStart w:id="644" w:name="_Toc336680145"/>
      <w:r>
        <w:rPr>
          <w:rFonts w:hint="eastAsia" w:ascii="宋体" w:hAnsi="宋体"/>
          <w:color w:val="auto"/>
          <w:sz w:val="21"/>
          <w:szCs w:val="21"/>
        </w:rPr>
        <w:t>安全管理协议</w:t>
      </w:r>
      <w:bookmarkEnd w:id="639"/>
      <w:bookmarkEnd w:id="640"/>
      <w:bookmarkEnd w:id="641"/>
      <w:bookmarkEnd w:id="642"/>
      <w:bookmarkEnd w:id="643"/>
      <w:bookmarkEnd w:id="644"/>
    </w:p>
    <w:p w14:paraId="4AF77DF6">
      <w:pPr>
        <w:keepNext w:val="0"/>
        <w:keepLines w:val="0"/>
        <w:pageBreakBefore w:val="0"/>
        <w:widowControl w:val="0"/>
        <w:kinsoku/>
        <w:wordWrap/>
        <w:overflowPunct/>
        <w:topLinePunct w:val="0"/>
        <w:bidi w:val="0"/>
        <w:snapToGrid w:val="0"/>
        <w:spacing w:line="400" w:lineRule="exact"/>
        <w:ind w:firstLine="422" w:firstLineChars="200"/>
        <w:textAlignment w:val="auto"/>
        <w:rPr>
          <w:rFonts w:ascii="宋体" w:hAnsi="宋体"/>
          <w:b/>
          <w:color w:val="auto"/>
          <w:sz w:val="21"/>
          <w:szCs w:val="21"/>
          <w:u w:val="single"/>
        </w:rPr>
      </w:pPr>
      <w:r>
        <w:rPr>
          <w:rFonts w:hint="eastAsia" w:ascii="宋体" w:hAnsi="宋体"/>
          <w:b/>
          <w:color w:val="auto"/>
          <w:sz w:val="21"/>
          <w:szCs w:val="21"/>
        </w:rPr>
        <w:t>发包人（全称）：</w:t>
      </w:r>
      <w:r>
        <w:rPr>
          <w:rFonts w:hint="eastAsia" w:ascii="宋体" w:hAnsi="宋体"/>
          <w:color w:val="auto"/>
          <w:sz w:val="21"/>
          <w:szCs w:val="21"/>
          <w:u w:val="single"/>
        </w:rPr>
        <w:t></w:t>
      </w:r>
      <w:r>
        <w:rPr>
          <w:rFonts w:hint="eastAsia" w:ascii="宋体" w:hAnsi="宋体"/>
          <w:color w:val="auto"/>
          <w:sz w:val="21"/>
          <w:szCs w:val="21"/>
          <w:u w:val="single"/>
          <w:lang w:val="en-US" w:eastAsia="zh-CN"/>
        </w:rPr>
        <w:t xml:space="preserve">                           </w:t>
      </w:r>
    </w:p>
    <w:p w14:paraId="42C972CA">
      <w:pPr>
        <w:keepNext w:val="0"/>
        <w:keepLines w:val="0"/>
        <w:pageBreakBefore w:val="0"/>
        <w:widowControl w:val="0"/>
        <w:kinsoku/>
        <w:wordWrap/>
        <w:overflowPunct/>
        <w:topLinePunct w:val="0"/>
        <w:bidi w:val="0"/>
        <w:snapToGrid w:val="0"/>
        <w:spacing w:line="400" w:lineRule="exact"/>
        <w:ind w:firstLine="422" w:firstLineChars="200"/>
        <w:textAlignment w:val="auto"/>
        <w:rPr>
          <w:rFonts w:ascii="宋体" w:hAnsi="宋体"/>
          <w:b/>
          <w:color w:val="auto"/>
          <w:sz w:val="21"/>
          <w:szCs w:val="21"/>
          <w:u w:val="single"/>
        </w:rPr>
      </w:pPr>
      <w:r>
        <w:rPr>
          <w:rFonts w:hint="eastAsia" w:ascii="宋体" w:hAnsi="宋体"/>
          <w:b/>
          <w:color w:val="auto"/>
          <w:sz w:val="21"/>
          <w:szCs w:val="21"/>
        </w:rPr>
        <w:t>承包人（全称）：</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p>
    <w:p w14:paraId="693111C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为了确保实现</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安全生产目标，进一步明确双方的安全管理责任，加强安全生产管理工作的协调、管理力度，</w:t>
      </w:r>
      <w:r>
        <w:rPr>
          <w:rFonts w:hint="eastAsia" w:ascii="宋体" w:hAnsi="宋体"/>
          <w:color w:val="auto"/>
          <w:sz w:val="21"/>
          <w:szCs w:val="21"/>
          <w:u w:val="single"/>
          <w:lang w:val="en-US" w:eastAsia="zh-CN"/>
        </w:rPr>
        <w:t xml:space="preserve">                </w:t>
      </w:r>
      <w:r>
        <w:rPr>
          <w:rFonts w:hint="eastAsia" w:ascii="宋体" w:hAnsi="宋体"/>
          <w:color w:val="auto"/>
          <w:sz w:val="21"/>
          <w:szCs w:val="21"/>
        </w:rPr>
        <w:t>（以下简称“发包人”）与</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7067B53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45" w:name="_Toc247418263"/>
      <w:bookmarkStart w:id="646" w:name="_Toc532375700"/>
      <w:bookmarkStart w:id="647" w:name="_Toc247431423"/>
      <w:bookmarkStart w:id="648" w:name="_Toc239510289"/>
      <w:r>
        <w:rPr>
          <w:rFonts w:hint="eastAsia" w:ascii="宋体" w:hAnsi="宋体"/>
          <w:color w:val="auto"/>
          <w:sz w:val="21"/>
          <w:szCs w:val="21"/>
        </w:rPr>
        <w:t>一、协议有效期限</w:t>
      </w:r>
      <w:bookmarkEnd w:id="645"/>
      <w:bookmarkEnd w:id="646"/>
      <w:bookmarkEnd w:id="647"/>
      <w:bookmarkEnd w:id="648"/>
    </w:p>
    <w:p w14:paraId="68F410EC">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本协议中所涉及的安全管理责任自合同签订之日起开始生效，至合同工程全部完工验收且经发包人与承包人签订移交协议生效后之日终止。</w:t>
      </w:r>
    </w:p>
    <w:p w14:paraId="232FE11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49" w:name="_Toc532375701"/>
      <w:bookmarkStart w:id="650" w:name="_Toc247431424"/>
      <w:bookmarkStart w:id="651" w:name="_Toc239510290"/>
      <w:bookmarkStart w:id="652" w:name="_Toc247418264"/>
      <w:r>
        <w:rPr>
          <w:rFonts w:hint="eastAsia" w:ascii="宋体" w:hAnsi="宋体"/>
          <w:color w:val="auto"/>
          <w:sz w:val="21"/>
          <w:szCs w:val="21"/>
        </w:rPr>
        <w:t>二、责任目标</w:t>
      </w:r>
      <w:bookmarkEnd w:id="649"/>
      <w:bookmarkEnd w:id="650"/>
      <w:bookmarkEnd w:id="651"/>
      <w:bookmarkEnd w:id="652"/>
    </w:p>
    <w:p w14:paraId="36855A5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（一）承包人承诺承担和履行合同和发包人所规定的安全责任，且满足要求。</w:t>
      </w:r>
    </w:p>
    <w:p w14:paraId="39C995D3">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（二）承包人的安全控制目标是确保本工程在实施过程中：</w:t>
      </w:r>
    </w:p>
    <w:p w14:paraId="793BEE96">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1．不发生人身重伤事故；</w:t>
      </w:r>
    </w:p>
    <w:p w14:paraId="138029A9">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2．不发生火灾事故；</w:t>
      </w:r>
    </w:p>
    <w:p w14:paraId="522A286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3．不发生负有同等及以上事故责任的造成人身重伤的一般交通事故；</w:t>
      </w:r>
    </w:p>
    <w:p w14:paraId="238BF68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4．不发生集体食物中毒事件（同时5人及以上的食物中毒）；</w:t>
      </w:r>
    </w:p>
    <w:p w14:paraId="4773245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5．不发生流行性传染病 （无甲型传染病、其他常见传染病未形成多人同时患病）；</w:t>
      </w:r>
    </w:p>
    <w:p w14:paraId="0A15188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6．不发生重大环境污染事件（生活、工业垃圾及其他污染物造成环境污染和大面积水土流失）；</w:t>
      </w:r>
    </w:p>
    <w:p w14:paraId="2E0C362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7．不发生对施工区附近生产、生活造成重大影响的事件（如造成重大设备损坏、重大财产损失、人员伤害等）；</w:t>
      </w:r>
    </w:p>
    <w:p w14:paraId="457C667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8．不发生治安保卫事件（构成刑事拘留及以上的事件、盗窃直接损失超过1万元人民币的事件）。</w:t>
      </w:r>
    </w:p>
    <w:p w14:paraId="5D4D1FC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bookmarkStart w:id="653" w:name="_Toc247418265"/>
      <w:bookmarkStart w:id="654" w:name="_Toc239510291"/>
      <w:bookmarkStart w:id="655" w:name="_Toc247431425"/>
      <w:r>
        <w:rPr>
          <w:rFonts w:hint="eastAsia" w:ascii="宋体" w:hAnsi="宋体"/>
          <w:color w:val="auto"/>
          <w:sz w:val="21"/>
          <w:szCs w:val="21"/>
        </w:rPr>
        <w:t>（三）承包人承诺在施工中控制以下安全事故的发生：</w:t>
      </w:r>
      <w:bookmarkEnd w:id="653"/>
      <w:bookmarkEnd w:id="654"/>
      <w:bookmarkEnd w:id="655"/>
    </w:p>
    <w:p w14:paraId="5E354B7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1．人员轻伤事故。</w:t>
      </w:r>
    </w:p>
    <w:p w14:paraId="318717C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2．负有同等及以上事故责任的人身轻伤交通事故。</w:t>
      </w:r>
    </w:p>
    <w:p w14:paraId="0A548C3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3．其他安全未遂事故和异常事件。</w:t>
      </w:r>
    </w:p>
    <w:p w14:paraId="1011309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56" w:name="_Toc247418266"/>
      <w:bookmarkStart w:id="657" w:name="_Toc239510292"/>
      <w:bookmarkStart w:id="658" w:name="_Toc247431426"/>
      <w:bookmarkStart w:id="659" w:name="_Toc532375702"/>
      <w:r>
        <w:rPr>
          <w:rFonts w:hint="eastAsia" w:ascii="宋体" w:hAnsi="宋体"/>
          <w:color w:val="auto"/>
          <w:sz w:val="21"/>
          <w:szCs w:val="21"/>
        </w:rPr>
        <w:t>三、安全责任</w:t>
      </w:r>
      <w:bookmarkEnd w:id="656"/>
      <w:bookmarkEnd w:id="657"/>
      <w:bookmarkEnd w:id="658"/>
      <w:bookmarkEnd w:id="659"/>
    </w:p>
    <w:p w14:paraId="0411731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1．承包人负有安全生产的管理责任和直接责任。</w:t>
      </w:r>
    </w:p>
    <w:p w14:paraId="4C8BA9A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2．承包人的法人或签署合同的公司总经理或受委托的代理人对合同安全负有全面的领导责任。</w:t>
      </w:r>
    </w:p>
    <w:p w14:paraId="588E471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3．承包人项目经理对施工现场的安全工作负有全面的直接领导责任。</w:t>
      </w:r>
    </w:p>
    <w:p w14:paraId="6EDDA2A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4．承包人保证执行“谁施工、谁负责”的施工安全原则。</w:t>
      </w:r>
    </w:p>
    <w:p w14:paraId="7189100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5．承包人保证服从发包人对安全工作的统一协调和管理。</w:t>
      </w:r>
    </w:p>
    <w:p w14:paraId="065FA6F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6．承包人保证对本工程项目安全生产条件及其管理资源自行投入，保证安全资金的专款专用。</w:t>
      </w:r>
    </w:p>
    <w:p w14:paraId="690CA54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7．承包人保证建立本工程项目的安全管理体系及安全保证体系（注：项目安全管理大纲/手册、管理性的程序文件等）。</w:t>
      </w:r>
    </w:p>
    <w:p w14:paraId="47F45719">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8．承包人保证现场的安全管理专职人员必须持有建设主管部门安全生产培训考核合格证书。</w:t>
      </w:r>
    </w:p>
    <w:p w14:paraId="394D32B3">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9．承包人保证为现场所有工作人员（含分包商员工及劳务人员）配备符合国家标准的有承包人和/或其下属分包商标志的个人基本劳动保护用品。</w:t>
      </w:r>
    </w:p>
    <w:p w14:paraId="60CA958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10．承包人保证按照国家法律规定为现场所有工作人员（含分包商员工及劳务人员）购买意外伤害保险。</w:t>
      </w:r>
    </w:p>
    <w:p w14:paraId="1A967A6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11．承包人保证施工生活营地（包括自建的和租用的营地）满足消防、安全用电、卫生防疫、防暴雨、防雷击等方面的安全要求。</w:t>
      </w:r>
    </w:p>
    <w:p w14:paraId="5BC755D2">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12．承包人保证对带入现场的设备、工具、材料按照国家法规和标准进行检测、试验，并持有法定部门出具的检验证书。</w:t>
      </w:r>
    </w:p>
    <w:p w14:paraId="5677004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13．承包人保证制订施工现场的文明施工措施，保护环境、树木和植被，保持施工现场的良好秩序和整洁的作业环境。</w:t>
      </w:r>
    </w:p>
    <w:p w14:paraId="532558D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14．承包人负责在施工过程中与当地政府、周边群众及其他承包商保持良好的沟通和交流。承包人遇到与周边群众发生纠纷时，应负责协调工作，确保工程能够顺利进行。</w:t>
      </w:r>
    </w:p>
    <w:p w14:paraId="0EBEBE5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60" w:name="_Toc532375703"/>
      <w:bookmarkStart w:id="661" w:name="_Toc239510293"/>
      <w:bookmarkStart w:id="662" w:name="_Toc247431427"/>
      <w:bookmarkStart w:id="663" w:name="_Toc247418267"/>
      <w:r>
        <w:rPr>
          <w:rFonts w:hint="eastAsia" w:ascii="宋体" w:hAnsi="宋体"/>
          <w:color w:val="auto"/>
          <w:sz w:val="21"/>
          <w:szCs w:val="21"/>
        </w:rPr>
        <w:t>四、接口及协调</w:t>
      </w:r>
      <w:bookmarkEnd w:id="660"/>
      <w:bookmarkEnd w:id="661"/>
      <w:bookmarkEnd w:id="662"/>
      <w:bookmarkEnd w:id="663"/>
    </w:p>
    <w:p w14:paraId="67715F5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1．发包人委托监理公司对该工程实施监理，监理公司在安全管理方面代表发包人行使监督检查职能，承包人必须给予配合和支持。</w:t>
      </w:r>
    </w:p>
    <w:p w14:paraId="30CF665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2．承包人人员、车辆的出入，带入现场的设备、机具、材料，在现场使用的或直接管理的办公、生活、生产性设施的安全管理须满足发包人现场管理的基本要求。</w:t>
      </w:r>
    </w:p>
    <w:p w14:paraId="6E869B6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500681E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7D008F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5．承包人指定的专职安全管理人员应与发包人委托的监理公司建立联系，在业务上接受发包人委托的监理公司的协调和指导。</w:t>
      </w:r>
    </w:p>
    <w:p w14:paraId="174283D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6．开工后承包人的专职安全管理人员应按照发包人委托的监理公司的规定，定期报送安全月度快报、季报、年报和各种专项事故报告等。</w:t>
      </w:r>
    </w:p>
    <w:p w14:paraId="71C4C5B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7．在工程实体未全部正式移交发包人施工管理部门之前，承包人依旧对施工范围内的安全管理负责。</w:t>
      </w:r>
    </w:p>
    <w:p w14:paraId="0F0E5D8A">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64" w:name="_Toc247418268"/>
      <w:bookmarkStart w:id="665" w:name="_Toc532375704"/>
      <w:bookmarkStart w:id="666" w:name="_Toc239510294"/>
      <w:bookmarkStart w:id="667" w:name="_Toc247431428"/>
      <w:r>
        <w:rPr>
          <w:rFonts w:hint="eastAsia" w:ascii="宋体" w:hAnsi="宋体"/>
          <w:color w:val="auto"/>
          <w:sz w:val="21"/>
          <w:szCs w:val="21"/>
        </w:rPr>
        <w:t>五、安全资质审查</w:t>
      </w:r>
      <w:bookmarkEnd w:id="664"/>
      <w:bookmarkEnd w:id="665"/>
      <w:bookmarkEnd w:id="666"/>
      <w:bookmarkEnd w:id="667"/>
    </w:p>
    <w:p w14:paraId="7C97F6D6">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承包人在项目开工前5个工作天内向发包人委托的监理公司提供以下安全资质供审查和存档：</w:t>
      </w:r>
    </w:p>
    <w:p w14:paraId="696BFC5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1．企业安全生产许可证书复印件。</w:t>
      </w:r>
    </w:p>
    <w:p w14:paraId="4EECA25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2．企业近三年的施工简历及安全施工业绩证明文件。</w:t>
      </w:r>
    </w:p>
    <w:p w14:paraId="4DF1DC2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3．企业主要安全管理人员（包括项目经理、专职安全管理人员）经建设主管部门安全生产知识考核合格证书。</w:t>
      </w:r>
    </w:p>
    <w:p w14:paraId="1B0A6AE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4．特种作业人员资格证书。</w:t>
      </w:r>
    </w:p>
    <w:p w14:paraId="178AE7B2">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5．项目安全管理机构及其人员配备（承包人必须配有专职的安全员）。</w:t>
      </w:r>
    </w:p>
    <w:p w14:paraId="24339ED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6．适用于项目的安全管理体系及保证体系文件（安全管理大纲及管理程序文件）。</w:t>
      </w:r>
    </w:p>
    <w:p w14:paraId="626CE90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68" w:name="_Toc247418269"/>
      <w:bookmarkStart w:id="669" w:name="_Toc247431429"/>
      <w:bookmarkStart w:id="670" w:name="_Toc239510295"/>
      <w:bookmarkStart w:id="671" w:name="_Toc532375705"/>
      <w:r>
        <w:rPr>
          <w:rFonts w:hint="eastAsia" w:ascii="宋体" w:hAnsi="宋体"/>
          <w:color w:val="auto"/>
          <w:sz w:val="21"/>
          <w:szCs w:val="21"/>
        </w:rPr>
        <w:t>六、人员基本素质</w:t>
      </w:r>
      <w:bookmarkEnd w:id="668"/>
      <w:bookmarkEnd w:id="669"/>
      <w:bookmarkEnd w:id="670"/>
      <w:bookmarkEnd w:id="671"/>
    </w:p>
    <w:p w14:paraId="0E5C542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承包人提供的人员必须满足下列要求：</w:t>
      </w:r>
    </w:p>
    <w:p w14:paraId="64385699">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6633B27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2．无刑事案件牵连。</w:t>
      </w:r>
    </w:p>
    <w:p w14:paraId="0D3DB3E6">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3．无吸毒、酗酒、赌博、嫖娼等恶习及违法行为。</w:t>
      </w:r>
    </w:p>
    <w:p w14:paraId="3993C45D">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72" w:name="_Toc247418270"/>
      <w:bookmarkStart w:id="673" w:name="_Toc247431430"/>
      <w:bookmarkStart w:id="674" w:name="_Toc239510296"/>
      <w:bookmarkStart w:id="675" w:name="_Toc532375706"/>
      <w:r>
        <w:rPr>
          <w:rFonts w:hint="eastAsia" w:ascii="宋体" w:hAnsi="宋体"/>
          <w:color w:val="auto"/>
          <w:sz w:val="21"/>
          <w:szCs w:val="21"/>
        </w:rPr>
        <w:t>七、劳动保护</w:t>
      </w:r>
      <w:bookmarkEnd w:id="672"/>
      <w:bookmarkEnd w:id="673"/>
      <w:bookmarkEnd w:id="674"/>
      <w:bookmarkEnd w:id="675"/>
    </w:p>
    <w:p w14:paraId="28EE015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1．承包人负责为本单位任何用工形式的员工提供个人劳动保护用品（包括工作服、安全帽、安全鞋等）。</w:t>
      </w:r>
    </w:p>
    <w:p w14:paraId="51CEEF3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2．承包人负责向特殊工种的员工提供特殊劳动保护，否则不得从事特殊工种作业。</w:t>
      </w:r>
    </w:p>
    <w:p w14:paraId="28B1E44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3．发包人委托的监理公司有权检查承包人的个人劳动保护用品是否符合国家的相应标准。</w:t>
      </w:r>
    </w:p>
    <w:p w14:paraId="6B9692C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 承包人在特殊风险场所作业而需要特殊防护用品或安全仪表时，必须在上述防护用品全部到位后才能开工。</w:t>
      </w:r>
    </w:p>
    <w:p w14:paraId="7D22F4B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5．承包人应配备临时安全围栏、警示带、警告标志、防火布等集体防护用品。</w:t>
      </w:r>
    </w:p>
    <w:p w14:paraId="36C9E3C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76" w:name="_Toc247431431"/>
      <w:bookmarkStart w:id="677" w:name="_Toc247418271"/>
      <w:bookmarkStart w:id="678" w:name="_Toc532375707"/>
      <w:bookmarkStart w:id="679" w:name="_Toc239510297"/>
      <w:r>
        <w:rPr>
          <w:rFonts w:hint="eastAsia" w:ascii="宋体" w:hAnsi="宋体"/>
          <w:color w:val="auto"/>
          <w:sz w:val="21"/>
          <w:szCs w:val="21"/>
        </w:rPr>
        <w:t>八、施工机具与材料</w:t>
      </w:r>
      <w:bookmarkEnd w:id="676"/>
      <w:bookmarkEnd w:id="677"/>
      <w:bookmarkEnd w:id="678"/>
      <w:bookmarkEnd w:id="679"/>
    </w:p>
    <w:p w14:paraId="41F92D19">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1．承包人对带入现场的施工机械和工器具的安全负责。</w:t>
      </w:r>
    </w:p>
    <w:p w14:paraId="22B2086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2．对于承包人带入现场的特殊工器具，如起重设备、索具、机动车辆、压缩气瓶等，承包人必须按国家法规和标准进行检测、试验，并持有法定部门出具的检验证书。</w:t>
      </w:r>
    </w:p>
    <w:p w14:paraId="08DE9F0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3．对于不属于法定检测的工器具，承包人也必须建立相应的管理、检测制度，这些工器具包括登高工具、脚手架材料、电动工具、安全防护设备及用具等。</w:t>
      </w:r>
    </w:p>
    <w:p w14:paraId="17864928">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80" w:name="_Toc532375708"/>
      <w:bookmarkStart w:id="681" w:name="_Toc239510298"/>
      <w:bookmarkStart w:id="682" w:name="_Toc247418272"/>
      <w:bookmarkStart w:id="683" w:name="_Toc247431432"/>
      <w:r>
        <w:rPr>
          <w:rFonts w:hint="eastAsia" w:ascii="宋体" w:hAnsi="宋体"/>
          <w:color w:val="auto"/>
          <w:sz w:val="21"/>
          <w:szCs w:val="21"/>
        </w:rPr>
        <w:t>九、开工前安全条件检查</w:t>
      </w:r>
      <w:bookmarkEnd w:id="680"/>
      <w:bookmarkEnd w:id="681"/>
      <w:bookmarkEnd w:id="682"/>
      <w:bookmarkEnd w:id="683"/>
    </w:p>
    <w:p w14:paraId="15518A8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3C5628C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77105D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2C1280C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84" w:name="_Toc247418273"/>
      <w:bookmarkStart w:id="685" w:name="_Toc532375709"/>
      <w:bookmarkStart w:id="686" w:name="_Toc247431433"/>
      <w:bookmarkStart w:id="687" w:name="_Toc239510299"/>
      <w:r>
        <w:rPr>
          <w:rFonts w:hint="eastAsia" w:ascii="宋体" w:hAnsi="宋体"/>
          <w:color w:val="auto"/>
          <w:sz w:val="21"/>
          <w:szCs w:val="21"/>
        </w:rPr>
        <w:t>十、安全监督</w:t>
      </w:r>
      <w:bookmarkEnd w:id="684"/>
      <w:bookmarkEnd w:id="685"/>
      <w:bookmarkEnd w:id="686"/>
      <w:bookmarkEnd w:id="687"/>
    </w:p>
    <w:p w14:paraId="6368D83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1．承包人应配备有满足项目安全管理需要的专职安全管理人员。</w:t>
      </w:r>
    </w:p>
    <w:p w14:paraId="0CC68C69">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2．承包人的专职安全管理人员必须持建设主管部门颁发的安全生产知识考核合格证书。</w:t>
      </w:r>
    </w:p>
    <w:p w14:paraId="4EA77CD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3．承包人的专职安全管理人员在业务上接受发包人委托的监理公司和发包人安全管理部门的协调和指导。</w:t>
      </w:r>
    </w:p>
    <w:p w14:paraId="606D29A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4．承包人应建立班前安全交底制度；施工期间坚持开展安全检查和日常安全监督并形成相应的记录。</w:t>
      </w:r>
    </w:p>
    <w:p w14:paraId="68A6C7A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5．承包人应在每个作业区任命兼职安全员，赋予兼职安全员相应的授权和义务，并对兼职安全员进行定期考核。</w:t>
      </w:r>
    </w:p>
    <w:p w14:paraId="3862C672">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6．承包人应接受和配合发包人专业部门及委托的监理公司的监督与安全评价。</w:t>
      </w:r>
    </w:p>
    <w:p w14:paraId="2D3316A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5E8C5588">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88" w:name="_Toc247431434"/>
      <w:bookmarkStart w:id="689" w:name="_Toc239510300"/>
      <w:bookmarkStart w:id="690" w:name="_Toc532375710"/>
      <w:bookmarkStart w:id="691" w:name="_Toc247418274"/>
      <w:r>
        <w:rPr>
          <w:rFonts w:hint="eastAsia" w:ascii="宋体" w:hAnsi="宋体"/>
          <w:color w:val="auto"/>
          <w:sz w:val="21"/>
          <w:szCs w:val="21"/>
        </w:rPr>
        <w:t>十一、安全培训与授权</w:t>
      </w:r>
      <w:bookmarkEnd w:id="688"/>
      <w:bookmarkEnd w:id="689"/>
      <w:bookmarkEnd w:id="690"/>
      <w:bookmarkEnd w:id="691"/>
    </w:p>
    <w:p w14:paraId="2F974283">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35E723F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2．承包人应在特殊工种之外的其他工种中，筛选出高风险工种，并对其开展针对性的专题安全培训。</w:t>
      </w:r>
    </w:p>
    <w:p w14:paraId="44773906">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3．承包人应组织 “入场培训”和考核。发包人委托的监理公司有权监督培训、考核情况或组织抽查考核。</w:t>
      </w:r>
    </w:p>
    <w:p w14:paraId="1C2B156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4．承包人应建立安全培训和考核机制，编制培训教材和培训滚动计划。承包人应组织安全考试/考核，建立培训考核记录，发包人委托的监理公司有权查看这些记录。</w:t>
      </w:r>
    </w:p>
    <w:p w14:paraId="439DF952">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92" w:name="_Toc247431435"/>
      <w:bookmarkStart w:id="693" w:name="_Toc239510301"/>
      <w:bookmarkStart w:id="694" w:name="_Toc247418275"/>
      <w:bookmarkStart w:id="695" w:name="_Toc532375711"/>
      <w:r>
        <w:rPr>
          <w:rFonts w:hint="eastAsia" w:ascii="宋体" w:hAnsi="宋体"/>
          <w:color w:val="auto"/>
          <w:sz w:val="21"/>
          <w:szCs w:val="21"/>
        </w:rPr>
        <w:t>十二、职业健康与卫生防疫</w:t>
      </w:r>
      <w:bookmarkEnd w:id="692"/>
      <w:bookmarkEnd w:id="693"/>
      <w:bookmarkEnd w:id="694"/>
      <w:bookmarkEnd w:id="695"/>
    </w:p>
    <w:p w14:paraId="174B192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1E35AAE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2．承包人应保证卫生防疫基本设施的投入，以满足医疗、急救的要求，建立外部医疗支持渠道。</w:t>
      </w:r>
    </w:p>
    <w:p w14:paraId="065BEDD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6DE46F9">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696" w:name="_Toc247431436"/>
      <w:bookmarkStart w:id="697" w:name="_Toc247418276"/>
      <w:bookmarkStart w:id="698" w:name="_Toc239510302"/>
      <w:bookmarkStart w:id="699" w:name="_Toc532375712"/>
      <w:r>
        <w:rPr>
          <w:rFonts w:hint="eastAsia" w:ascii="宋体" w:hAnsi="宋体"/>
          <w:color w:val="auto"/>
          <w:sz w:val="21"/>
          <w:szCs w:val="21"/>
        </w:rPr>
        <w:t>十三、文明施工与环保要求</w:t>
      </w:r>
      <w:bookmarkEnd w:id="696"/>
      <w:bookmarkEnd w:id="697"/>
      <w:bookmarkEnd w:id="698"/>
      <w:bookmarkEnd w:id="699"/>
    </w:p>
    <w:p w14:paraId="315E75E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1．承包人需制订施工现场的文明施工措施，保持良好的施工现场秩序。施工现场的物料堆放要摆放整齐，安全标志和宣传标志要清楚醒目，废料、废物要分类收集，安全通道要畅通。</w:t>
      </w:r>
    </w:p>
    <w:p w14:paraId="5793EF73">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2．承包人作业时应避免建筑材料抛洒、飞扬、流淌；应尽可能降低噪音、震动。</w:t>
      </w:r>
    </w:p>
    <w:p w14:paraId="24747F1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3．承包人应根据实际需要，在施工现场布置临时卫生设施（洗手间、卫生间等），施工作业不破坏环境卫生，不污染现场环境。</w:t>
      </w:r>
    </w:p>
    <w:p w14:paraId="32A91C4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4．承包人在施工中应充分重视对环境的保护，保护绿色植被，保护古树。施工如需伤害古树，必须报告发包人委托的监理公司，在未得到指令前，禁止擅自伤害古树。</w:t>
      </w:r>
    </w:p>
    <w:p w14:paraId="066C071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29DEE6A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6．承包人在施工中应禁止向环境，排放工业污水、生活污水、废油或其他有害物质。</w:t>
      </w:r>
    </w:p>
    <w:p w14:paraId="305FA5B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58CF2C1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700" w:name="_Toc239510303"/>
      <w:bookmarkStart w:id="701" w:name="_Toc247418277"/>
      <w:bookmarkStart w:id="702" w:name="_Toc247431437"/>
      <w:bookmarkStart w:id="703" w:name="_Toc532375713"/>
      <w:r>
        <w:rPr>
          <w:rFonts w:hint="eastAsia" w:ascii="宋体" w:hAnsi="宋体"/>
          <w:color w:val="auto"/>
          <w:sz w:val="21"/>
          <w:szCs w:val="21"/>
        </w:rPr>
        <w:t>十四、工程风险管理与事故预防</w:t>
      </w:r>
      <w:bookmarkEnd w:id="700"/>
      <w:bookmarkEnd w:id="701"/>
      <w:bookmarkEnd w:id="702"/>
      <w:bookmarkEnd w:id="703"/>
    </w:p>
    <w:p w14:paraId="5A871A36">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bookmarkStart w:id="704" w:name="_Toc247418278"/>
      <w:bookmarkStart w:id="705" w:name="_Toc239510304"/>
      <w:bookmarkStart w:id="706" w:name="_Toc247431438"/>
      <w:r>
        <w:rPr>
          <w:rFonts w:hint="eastAsia" w:ascii="宋体" w:hAnsi="宋体"/>
          <w:color w:val="auto"/>
          <w:sz w:val="21"/>
          <w:szCs w:val="21"/>
        </w:rPr>
        <w:t>（一）基本要求</w:t>
      </w:r>
      <w:bookmarkEnd w:id="704"/>
      <w:bookmarkEnd w:id="705"/>
      <w:bookmarkEnd w:id="706"/>
    </w:p>
    <w:p w14:paraId="5DA9E86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bookmarkStart w:id="707" w:name="_Toc532375714"/>
      <w:r>
        <w:rPr>
          <w:rFonts w:hint="eastAsia" w:ascii="宋体" w:hAnsi="宋体"/>
          <w:color w:val="auto"/>
          <w:sz w:val="21"/>
          <w:szCs w:val="21"/>
        </w:rPr>
        <w:t>1．承包人应对施工过程进行全面、深入的危险源识别和风险分析。在施工安全组织设计中提供危险源及重要危险源清单、作业风险分析报告，该报告应包括（但不限于）如下信息：</w:t>
      </w:r>
      <w:bookmarkEnd w:id="707"/>
    </w:p>
    <w:p w14:paraId="2C9EF42C">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（1）高风险作业和工种清单：作业名称、类别和数量、主要事故风险。</w:t>
      </w:r>
    </w:p>
    <w:p w14:paraId="38339E2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（2）施工能源和机械的种类、数量和主要事故风险。</w:t>
      </w:r>
    </w:p>
    <w:p w14:paraId="273C786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（3）施工作业条件的类型和主要事故风险。</w:t>
      </w:r>
    </w:p>
    <w:p w14:paraId="6E77F54D">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（4）主要工艺过程（或施工活动）的类别及其相关的事故风险。</w:t>
      </w:r>
    </w:p>
    <w:p w14:paraId="397EB0D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（5）主要火灾危险（可燃物、点火源）。</w:t>
      </w:r>
    </w:p>
    <w:p w14:paraId="76BBC6C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（6）主要自然灾害（洪水、大风、雷暴、暴雨、地质灾害等）。</w:t>
      </w:r>
    </w:p>
    <w:p w14:paraId="21BCCCF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（7）主要环境保护事件（有害垃圾、机械的跑冒滴漏、原材料流失、水土流失等）。</w:t>
      </w:r>
    </w:p>
    <w:p w14:paraId="0055B8C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（8）其他。</w:t>
      </w:r>
    </w:p>
    <w:p w14:paraId="0AB2030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2．承包人应针对识别出的危险源制定有针对性的事故预防措施并确保在施工中得到有效落实。</w:t>
      </w:r>
    </w:p>
    <w:p w14:paraId="4F2E3CB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3．承包人应建立日常施工活动的动态作业风险分析和安全交底制度。该制度应明确规定风险分析的方法、责任和交底的内容、时间及记录。</w:t>
      </w:r>
    </w:p>
    <w:p w14:paraId="0BF1145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bookmarkStart w:id="708" w:name="_Toc239510305"/>
      <w:bookmarkStart w:id="709" w:name="_Toc247431439"/>
      <w:bookmarkStart w:id="710" w:name="_Toc247418279"/>
      <w:r>
        <w:rPr>
          <w:rFonts w:hint="eastAsia" w:ascii="宋体" w:hAnsi="宋体"/>
          <w:color w:val="auto"/>
          <w:sz w:val="21"/>
          <w:szCs w:val="21"/>
        </w:rPr>
        <w:t>（二）现场作业基本安全条件</w:t>
      </w:r>
      <w:bookmarkEnd w:id="708"/>
      <w:bookmarkEnd w:id="709"/>
      <w:bookmarkEnd w:id="710"/>
    </w:p>
    <w:p w14:paraId="594B3AF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41A4D47E">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711" w:name="_Toc247418280"/>
      <w:bookmarkStart w:id="712" w:name="_Toc247431440"/>
      <w:bookmarkStart w:id="713" w:name="_Toc532375715"/>
      <w:bookmarkStart w:id="714" w:name="_Toc239510306"/>
      <w:r>
        <w:rPr>
          <w:rFonts w:hint="eastAsia" w:ascii="宋体" w:hAnsi="宋体"/>
          <w:color w:val="auto"/>
          <w:sz w:val="21"/>
          <w:szCs w:val="21"/>
        </w:rPr>
        <w:t>十五、事故报告与应急救援</w:t>
      </w:r>
      <w:bookmarkEnd w:id="711"/>
      <w:bookmarkEnd w:id="712"/>
      <w:bookmarkEnd w:id="713"/>
      <w:bookmarkEnd w:id="714"/>
    </w:p>
    <w:p w14:paraId="3FA4C52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1．承包人应制定对于未遂事故及以上级别的安全事件和事故，定期报送安全月度快报、季报、年报和各种专项事故报告等。</w:t>
      </w:r>
    </w:p>
    <w:p w14:paraId="1E36554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2．承包人应建立安全事故统计记录、未遂事故统计记录、违章统计记录，并根据统计情况进行分析，并就分析结果制定相应的预防措施。</w:t>
      </w:r>
    </w:p>
    <w:p w14:paraId="5A46795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3．承包人应建立事故应急救援机制，明确事故处置的基本原则，即现场发生事故时，首先抢救生命，向救援组织报警，并采取措施限制事故扩大。</w:t>
      </w:r>
    </w:p>
    <w:p w14:paraId="565907DE">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4．承包人应建立相应的应急响应组织，以便能迅速处理突发意外。</w:t>
      </w:r>
    </w:p>
    <w:p w14:paraId="56C1335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5．承包人应建立专项应急响应预案，包括重大人身伤亡事故的救护预案、火灾响应预案、“四防”预案（防风、防冻、防雷、防暴雨）、重大疫病防护预案、环境污染防护预案、地质灾害防护预案等。</w:t>
      </w:r>
    </w:p>
    <w:p w14:paraId="3F843E1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6．承包人应对应急预案进行适当演练，保证应急预案的可操作性。</w:t>
      </w:r>
    </w:p>
    <w:p w14:paraId="57287E64">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7．在工地的其他施工单位发生重大事故时，承包人应无条件立即配合、支持事故抢险。</w:t>
      </w:r>
    </w:p>
    <w:p w14:paraId="396E611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8．承包人必须为事故处置支付各项费用，包括受伤者的抚恤、补偿等费用，并按合同要求赔偿对发包人造成的损失。</w:t>
      </w:r>
    </w:p>
    <w:p w14:paraId="35518962">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9．由于发包人原因而造成的事故，发包人应负责按事故的具体损失情况给予承包人经济赔偿。</w:t>
      </w:r>
    </w:p>
    <w:p w14:paraId="089F445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10．涉及承包人员工的伤害事故，承包人除要报告发包人委托的监理公司外，还应负责按照国家、行业和本单位上级公司的要求，上报事故。</w:t>
      </w:r>
    </w:p>
    <w:p w14:paraId="3E5557CB">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715" w:name="_Toc247418281"/>
      <w:bookmarkStart w:id="716" w:name="_Toc239510307"/>
      <w:bookmarkStart w:id="717" w:name="_Toc247431441"/>
      <w:bookmarkStart w:id="718" w:name="_Toc532375716"/>
      <w:r>
        <w:rPr>
          <w:rFonts w:hint="eastAsia" w:ascii="宋体" w:hAnsi="宋体"/>
          <w:color w:val="auto"/>
          <w:sz w:val="21"/>
          <w:szCs w:val="21"/>
        </w:rPr>
        <w:t>十六、安全业绩考核</w:t>
      </w:r>
      <w:bookmarkEnd w:id="715"/>
      <w:bookmarkEnd w:id="716"/>
      <w:bookmarkEnd w:id="717"/>
      <w:bookmarkEnd w:id="718"/>
    </w:p>
    <w:p w14:paraId="6571EA9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为了落实安全管理的责任，承包人在施工过程中发生安全事故时，承包人除应按国家有关规定承担责任和处罚外，发包人还将按照以下标准进行考核：</w:t>
      </w:r>
    </w:p>
    <w:tbl>
      <w:tblPr>
        <w:tblStyle w:val="45"/>
        <w:tblW w:w="0" w:type="auto"/>
        <w:jc w:val="center"/>
        <w:tblLayout w:type="fixed"/>
        <w:tblCellMar>
          <w:top w:w="0" w:type="dxa"/>
          <w:left w:w="0" w:type="dxa"/>
          <w:bottom w:w="0" w:type="dxa"/>
          <w:right w:w="0" w:type="dxa"/>
        </w:tblCellMar>
      </w:tblPr>
      <w:tblGrid>
        <w:gridCol w:w="3240"/>
        <w:gridCol w:w="3765"/>
      </w:tblGrid>
      <w:tr w14:paraId="7E45FE16">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605B7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02C8D7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违约金额</w:t>
            </w:r>
          </w:p>
        </w:tc>
      </w:tr>
      <w:tr w14:paraId="6E7A4CE6">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17114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较大事故</w:t>
            </w:r>
          </w:p>
        </w:tc>
        <w:tc>
          <w:tcPr>
            <w:tcW w:w="3765" w:type="dxa"/>
            <w:tcBorders>
              <w:top w:val="single" w:color="auto" w:sz="8" w:space="0"/>
              <w:left w:val="nil"/>
              <w:bottom w:val="single" w:color="auto" w:sz="8" w:space="0"/>
              <w:right w:val="single" w:color="auto" w:sz="8" w:space="0"/>
            </w:tcBorders>
            <w:noWrap w:val="0"/>
            <w:vAlign w:val="center"/>
          </w:tcPr>
          <w:p w14:paraId="42936DF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kern w:val="0"/>
                <w:sz w:val="21"/>
                <w:szCs w:val="21"/>
              </w:rPr>
              <w:t>签约合同价</w:t>
            </w:r>
            <w:r>
              <w:rPr>
                <w:rFonts w:hint="eastAsia" w:ascii="宋体" w:hAnsi="宋体"/>
                <w:color w:val="auto"/>
                <w:sz w:val="21"/>
                <w:szCs w:val="21"/>
              </w:rPr>
              <w:t>的0.5‰</w:t>
            </w:r>
          </w:p>
        </w:tc>
      </w:tr>
      <w:tr w14:paraId="1A9E5842">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A1FB8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重大事故</w:t>
            </w:r>
          </w:p>
        </w:tc>
        <w:tc>
          <w:tcPr>
            <w:tcW w:w="3765" w:type="dxa"/>
            <w:tcBorders>
              <w:top w:val="single" w:color="auto" w:sz="8" w:space="0"/>
              <w:left w:val="nil"/>
              <w:bottom w:val="single" w:color="auto" w:sz="8" w:space="0"/>
              <w:right w:val="single" w:color="auto" w:sz="8" w:space="0"/>
            </w:tcBorders>
            <w:noWrap w:val="0"/>
            <w:vAlign w:val="center"/>
          </w:tcPr>
          <w:p w14:paraId="57BDCBAF">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签约合同价的2‰</w:t>
            </w:r>
          </w:p>
        </w:tc>
      </w:tr>
      <w:tr w14:paraId="2FD59CDC">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8A6F92">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61BD386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签约合同价的4‰</w:t>
            </w:r>
          </w:p>
        </w:tc>
      </w:tr>
    </w:tbl>
    <w:p w14:paraId="2F410818">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（1）较大事故，是指造成3人以上10人以下死亡，或者10人以上50人以下重伤，或者1000万元以上5000万元以下直接经济损失的事故；</w:t>
      </w:r>
    </w:p>
    <w:p w14:paraId="73D5E1B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（2）重大事故，是指造成10人以上30人以下死亡，或者50人以上100人以下重伤，或者5000万元以上1亿元以下直接经济损失的事故；</w:t>
      </w:r>
    </w:p>
    <w:p w14:paraId="25A828CB">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（3）特别重大事故，是指造成30人以上死亡，或者100人以上重伤（包括急性工业中毒，下同），或者1亿元以上直接经济损失的事故；</w:t>
      </w:r>
    </w:p>
    <w:p w14:paraId="05DD4E6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（4）所称的“以上”包括本数，所称的“以下”不包括本数。</w:t>
      </w:r>
    </w:p>
    <w:p w14:paraId="10F5DA7C">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（5）如整个施工过程未发生以上安全事故，则给予承包人建安费总额的1‰的安全奖励。</w:t>
      </w:r>
    </w:p>
    <w:p w14:paraId="3C8B8E93">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75B864E5">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bookmarkStart w:id="719" w:name="_Toc239510308"/>
      <w:bookmarkStart w:id="720" w:name="_Toc247431442"/>
      <w:bookmarkStart w:id="721" w:name="_Toc532375717"/>
      <w:bookmarkStart w:id="722" w:name="_Toc247418282"/>
      <w:r>
        <w:rPr>
          <w:rFonts w:hint="eastAsia" w:ascii="宋体" w:hAnsi="宋体"/>
          <w:color w:val="auto"/>
          <w:sz w:val="21"/>
          <w:szCs w:val="21"/>
        </w:rPr>
        <w:t>十七、协议条款的修订</w:t>
      </w:r>
      <w:bookmarkEnd w:id="719"/>
      <w:bookmarkEnd w:id="720"/>
      <w:bookmarkEnd w:id="721"/>
      <w:bookmarkEnd w:id="722"/>
    </w:p>
    <w:p w14:paraId="15A8F32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在项目实施过程中，经双方友好协商，本协议的有关条款也可做出相应的修改。</w:t>
      </w:r>
    </w:p>
    <w:p w14:paraId="0A1EE75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本工程安全管理协议，由发包人、承包人双方在施工承包合同签订后7天内共同签署，作为施工合同附件。</w:t>
      </w:r>
    </w:p>
    <w:p w14:paraId="577A6567">
      <w:pPr>
        <w:keepNext w:val="0"/>
        <w:keepLines w:val="0"/>
        <w:pageBreakBefore w:val="0"/>
        <w:widowControl w:val="0"/>
        <w:kinsoku/>
        <w:wordWrap/>
        <w:overflowPunct/>
        <w:topLinePunct w:val="0"/>
        <w:bidi w:val="0"/>
        <w:spacing w:line="400" w:lineRule="exact"/>
        <w:ind w:firstLine="420" w:firstLineChars="200"/>
        <w:jc w:val="left"/>
        <w:textAlignment w:val="auto"/>
        <w:rPr>
          <w:rFonts w:hint="eastAsia" w:ascii="宋体" w:hAnsi="宋体"/>
          <w:color w:val="auto"/>
          <w:sz w:val="21"/>
          <w:szCs w:val="21"/>
          <w:u w:val="single"/>
          <w:lang w:val="en-US" w:eastAsia="zh-CN"/>
        </w:rPr>
      </w:pPr>
      <w:r>
        <w:rPr>
          <w:rFonts w:hint="eastAsia" w:ascii="宋体" w:hAnsi="宋体"/>
          <w:color w:val="auto"/>
          <w:sz w:val="21"/>
          <w:szCs w:val="21"/>
        </w:rPr>
        <w:t>发  包  人（公章）：</w:t>
      </w:r>
      <w:r>
        <w:rPr>
          <w:rFonts w:hint="eastAsia" w:ascii="宋体" w:hAnsi="宋体"/>
          <w:color w:val="auto"/>
          <w:sz w:val="21"/>
          <w:szCs w:val="21"/>
          <w:u w:val="single"/>
          <w:lang w:val="en-US" w:eastAsia="zh-CN"/>
        </w:rPr>
        <w:t xml:space="preserve">                             </w:t>
      </w:r>
    </w:p>
    <w:p w14:paraId="2759C2A5">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法定代表人（签字）：</w:t>
      </w:r>
    </w:p>
    <w:p w14:paraId="68BBDBF1">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或其委托代理人（签字）：</w:t>
      </w:r>
    </w:p>
    <w:p w14:paraId="39C910B7">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kern w:val="0"/>
          <w:sz w:val="21"/>
          <w:szCs w:val="21"/>
        </w:rPr>
      </w:pPr>
      <w:r>
        <w:rPr>
          <w:rFonts w:hint="eastAsia" w:ascii="宋体" w:hAnsi="宋体"/>
          <w:color w:val="auto"/>
          <w:sz w:val="21"/>
          <w:szCs w:val="21"/>
        </w:rPr>
        <w:t>承  包  人（公章）：</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14:paraId="3828C38A">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法定代表人（签字）：</w:t>
      </w:r>
    </w:p>
    <w:p w14:paraId="70B06ED0">
      <w:pPr>
        <w:keepNext w:val="0"/>
        <w:keepLines w:val="0"/>
        <w:pageBreakBefore w:val="0"/>
        <w:widowControl w:val="0"/>
        <w:kinsoku/>
        <w:wordWrap/>
        <w:overflowPunct/>
        <w:topLinePunct w:val="0"/>
        <w:bidi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或其委托代理人（签字）：</w:t>
      </w:r>
    </w:p>
    <w:p w14:paraId="677888DD">
      <w:pPr>
        <w:pStyle w:val="2"/>
        <w:keepNext w:val="0"/>
        <w:keepLines w:val="0"/>
        <w:pageBreakBefore w:val="0"/>
        <w:widowControl w:val="0"/>
        <w:kinsoku/>
        <w:wordWrap/>
        <w:overflowPunct/>
        <w:topLinePunct w:val="0"/>
        <w:bidi w:val="0"/>
        <w:spacing w:line="400" w:lineRule="exact"/>
        <w:textAlignment w:val="auto"/>
        <w:rPr>
          <w:color w:val="auto"/>
          <w:sz w:val="21"/>
          <w:szCs w:val="21"/>
        </w:rPr>
      </w:pPr>
    </w:p>
    <w:p w14:paraId="2FF4ADFA">
      <w:pPr>
        <w:keepNext w:val="0"/>
        <w:keepLines w:val="0"/>
        <w:pageBreakBefore w:val="0"/>
        <w:widowControl w:val="0"/>
        <w:kinsoku/>
        <w:wordWrap/>
        <w:overflowPunct/>
        <w:topLinePunct w:val="0"/>
        <w:bidi w:val="0"/>
        <w:spacing w:line="400" w:lineRule="exact"/>
        <w:textAlignment w:val="auto"/>
        <w:rPr>
          <w:rFonts w:ascii="宋体" w:hAnsi="宋体"/>
          <w:color w:val="auto"/>
          <w:sz w:val="21"/>
          <w:szCs w:val="21"/>
        </w:rPr>
      </w:pPr>
      <w:r>
        <w:rPr>
          <w:rFonts w:hint="eastAsia" w:ascii="宋体" w:hAnsi="宋体"/>
          <w:color w:val="auto"/>
          <w:sz w:val="21"/>
          <w:szCs w:val="21"/>
        </w:rPr>
        <w:br w:type="page"/>
      </w:r>
      <w:r>
        <w:rPr>
          <w:rFonts w:hint="eastAsia" w:ascii="宋体" w:hAnsi="宋体"/>
          <w:color w:val="auto"/>
          <w:sz w:val="21"/>
          <w:szCs w:val="21"/>
        </w:rPr>
        <w:t>附件</w:t>
      </w:r>
      <w:r>
        <w:rPr>
          <w:rFonts w:hint="eastAsia" w:ascii="宋体" w:hAnsi="宋体"/>
          <w:color w:val="auto"/>
          <w:sz w:val="21"/>
          <w:szCs w:val="21"/>
          <w:lang w:val="en-US" w:eastAsia="zh-CN"/>
        </w:rPr>
        <w:t>4：</w:t>
      </w:r>
      <w:r>
        <w:rPr>
          <w:rFonts w:hint="eastAsia" w:ascii="宋体" w:hAnsi="宋体"/>
          <w:color w:val="auto"/>
          <w:sz w:val="21"/>
          <w:szCs w:val="21"/>
        </w:rPr>
        <w:t xml:space="preserve"> 保障农民工工资支付协议</w:t>
      </w:r>
    </w:p>
    <w:p w14:paraId="0C08E18F">
      <w:pPr>
        <w:keepNext w:val="0"/>
        <w:keepLines w:val="0"/>
        <w:pageBreakBefore w:val="0"/>
        <w:widowControl w:val="0"/>
        <w:kinsoku/>
        <w:wordWrap/>
        <w:overflowPunct/>
        <w:topLinePunct w:val="0"/>
        <w:bidi w:val="0"/>
        <w:spacing w:before="120" w:beforeLines="50" w:after="120" w:afterLines="50" w:line="400" w:lineRule="exact"/>
        <w:jc w:val="center"/>
        <w:textAlignment w:val="auto"/>
        <w:rPr>
          <w:rFonts w:ascii="宋体" w:hAnsi="宋体"/>
          <w:color w:val="auto"/>
          <w:sz w:val="21"/>
          <w:szCs w:val="21"/>
        </w:rPr>
      </w:pPr>
      <w:r>
        <w:rPr>
          <w:rFonts w:hint="eastAsia" w:ascii="宋体" w:hAnsi="宋体"/>
          <w:color w:val="auto"/>
          <w:sz w:val="21"/>
          <w:szCs w:val="21"/>
        </w:rPr>
        <w:t>保障农民工工资支付协议</w:t>
      </w:r>
    </w:p>
    <w:p w14:paraId="62C4C859">
      <w:pPr>
        <w:keepNext w:val="0"/>
        <w:keepLines w:val="0"/>
        <w:pageBreakBefore w:val="0"/>
        <w:widowControl w:val="0"/>
        <w:kinsoku/>
        <w:wordWrap/>
        <w:overflowPunct/>
        <w:topLinePunct w:val="0"/>
        <w:bidi w:val="0"/>
        <w:snapToGrid w:val="0"/>
        <w:spacing w:line="400" w:lineRule="exact"/>
        <w:textAlignment w:val="auto"/>
        <w:rPr>
          <w:rFonts w:ascii="宋体" w:hAnsi="宋体"/>
          <w:color w:val="auto"/>
          <w:sz w:val="21"/>
          <w:szCs w:val="21"/>
        </w:rPr>
      </w:pPr>
      <w:r>
        <w:rPr>
          <w:rFonts w:hint="eastAsia" w:ascii="宋体" w:hAnsi="宋体"/>
          <w:color w:val="auto"/>
          <w:szCs w:val="21"/>
        </w:rPr>
        <w:t xml:space="preserve"> </w:t>
      </w:r>
      <w:r>
        <w:rPr>
          <w:rFonts w:hint="eastAsia" w:ascii="宋体" w:hAnsi="宋体"/>
          <w:color w:val="auto"/>
          <w:sz w:val="21"/>
          <w:szCs w:val="21"/>
        </w:rPr>
        <w:t>发包人：</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（发包人）</w:t>
      </w:r>
    </w:p>
    <w:p w14:paraId="6335AB63">
      <w:pPr>
        <w:keepNext w:val="0"/>
        <w:keepLines w:val="0"/>
        <w:pageBreakBefore w:val="0"/>
        <w:widowControl w:val="0"/>
        <w:kinsoku/>
        <w:wordWrap/>
        <w:overflowPunct/>
        <w:topLinePunct w:val="0"/>
        <w:bidi w:val="0"/>
        <w:snapToGrid w:val="0"/>
        <w:spacing w:line="400" w:lineRule="exact"/>
        <w:textAlignment w:val="auto"/>
        <w:rPr>
          <w:rFonts w:ascii="宋体" w:hAnsi="宋体"/>
          <w:color w:val="auto"/>
          <w:sz w:val="21"/>
          <w:szCs w:val="21"/>
        </w:rPr>
      </w:pPr>
      <w:r>
        <w:rPr>
          <w:rFonts w:hint="eastAsia" w:ascii="宋体" w:hAnsi="宋体"/>
          <w:color w:val="auto"/>
          <w:sz w:val="21"/>
          <w:szCs w:val="21"/>
        </w:rPr>
        <w:t xml:space="preserve"> 承包人：</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（承包人）</w:t>
      </w:r>
    </w:p>
    <w:p w14:paraId="7E364067">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27D5828D">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13324DA1">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6FB22F6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3D24EAD1">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olor w:val="auto"/>
          <w:sz w:val="21"/>
          <w:szCs w:val="21"/>
          <w:lang w:eastAsia="zh-CN"/>
        </w:rPr>
      </w:pPr>
      <w:r>
        <w:rPr>
          <w:rFonts w:hint="eastAsia" w:ascii="宋体" w:hAnsi="宋体"/>
          <w:color w:val="auto"/>
          <w:sz w:val="21"/>
          <w:szCs w:val="21"/>
        </w:rPr>
        <w:t>四、若发现承包人有下列事项的，发包人在支付当期进度款时暂扣当期应支付进度款5%比例的款项。</w:t>
      </w:r>
    </w:p>
    <w:p w14:paraId="241EA05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（一）现场检查发现项目存在拖欠农民工工资情况并经核查属实的；</w:t>
      </w:r>
    </w:p>
    <w:p w14:paraId="0F2B8500">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olor w:val="auto"/>
          <w:sz w:val="21"/>
          <w:szCs w:val="21"/>
          <w:lang w:eastAsia="zh-CN"/>
        </w:rPr>
      </w:pPr>
      <w:r>
        <w:rPr>
          <w:rFonts w:hint="eastAsia" w:ascii="宋体" w:hAnsi="宋体"/>
          <w:color w:val="auto"/>
          <w:sz w:val="21"/>
          <w:szCs w:val="21"/>
        </w:rPr>
        <w:t>（二）相关行政管理部门检查发现存在拖欠农民工工资情况并经核查属实的；</w:t>
      </w:r>
    </w:p>
    <w:p w14:paraId="5AE8F908">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olor w:val="auto"/>
          <w:sz w:val="21"/>
          <w:szCs w:val="21"/>
          <w:lang w:eastAsia="zh-CN"/>
        </w:rPr>
      </w:pPr>
      <w:r>
        <w:rPr>
          <w:rFonts w:hint="eastAsia" w:ascii="宋体" w:hAnsi="宋体"/>
          <w:color w:val="auto"/>
          <w:sz w:val="21"/>
          <w:szCs w:val="21"/>
        </w:rPr>
        <w:t>（三）有拖欠农民工工资投诉事项并经核查属实的。</w:t>
      </w:r>
    </w:p>
    <w:p w14:paraId="0FA4177B">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38240DFF">
      <w:pPr>
        <w:keepNext w:val="0"/>
        <w:keepLines w:val="0"/>
        <w:pageBreakBefore w:val="0"/>
        <w:widowControl w:val="0"/>
        <w:tabs>
          <w:tab w:val="left" w:pos="1080"/>
          <w:tab w:val="left" w:pos="1260"/>
          <w:tab w:val="left" w:pos="1440"/>
        </w:tabs>
        <w:kinsoku/>
        <w:wordWrap/>
        <w:overflowPunct/>
        <w:topLinePunct w:val="0"/>
        <w:bidi w:val="0"/>
        <w:spacing w:line="400" w:lineRule="exact"/>
        <w:ind w:firstLine="420" w:firstLineChars="200"/>
        <w:textAlignment w:val="auto"/>
        <w:rPr>
          <w:rFonts w:ascii="宋体" w:hAnsi="宋体"/>
          <w:snapToGrid w:val="0"/>
          <w:color w:val="auto"/>
          <w:spacing w:val="-4"/>
          <w:kern w:val="0"/>
          <w:sz w:val="21"/>
          <w:szCs w:val="21"/>
        </w:rPr>
      </w:pPr>
      <w:r>
        <w:rPr>
          <w:rFonts w:hint="eastAsia" w:ascii="宋体" w:hAnsi="宋体"/>
          <w:color w:val="auto"/>
          <w:sz w:val="21"/>
          <w:szCs w:val="21"/>
        </w:rPr>
        <w:t>六、本协议经双方法定代表人或委托代理人签字并加盖公章后生效，履行完毕后自然失效。</w:t>
      </w:r>
    </w:p>
    <w:p w14:paraId="301D3013">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附件：</w:t>
      </w:r>
    </w:p>
    <w:p w14:paraId="641E3174">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1、关于农民工工资发放情况的说明表</w:t>
      </w:r>
    </w:p>
    <w:p w14:paraId="7DF8BDBF">
      <w:pPr>
        <w:pStyle w:val="2"/>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p>
    <w:p w14:paraId="6B1FD9B5">
      <w:pPr>
        <w:pStyle w:val="2"/>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p>
    <w:p w14:paraId="51FDEB81">
      <w:pPr>
        <w:pStyle w:val="2"/>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p>
    <w:p w14:paraId="52AA7FAC">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（以下无正文）</w:t>
      </w:r>
    </w:p>
    <w:p w14:paraId="2D3837FF">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p>
    <w:p w14:paraId="2CD876B8">
      <w:pPr>
        <w:keepNext w:val="0"/>
        <w:keepLines w:val="0"/>
        <w:pageBreakBefore w:val="0"/>
        <w:widowControl w:val="0"/>
        <w:kinsoku/>
        <w:wordWrap/>
        <w:overflowPunct/>
        <w:topLinePunct w:val="0"/>
        <w:bidi w:val="0"/>
        <w:spacing w:line="400" w:lineRule="exact"/>
        <w:ind w:firstLine="420" w:firstLineChars="200"/>
        <w:textAlignment w:val="auto"/>
        <w:rPr>
          <w:rFonts w:ascii="宋体" w:hAnsi="宋体"/>
          <w:color w:val="auto"/>
          <w:sz w:val="21"/>
          <w:szCs w:val="21"/>
        </w:rPr>
      </w:pPr>
    </w:p>
    <w:p w14:paraId="081CAF31">
      <w:pPr>
        <w:pStyle w:val="2"/>
        <w:keepNext w:val="0"/>
        <w:keepLines w:val="0"/>
        <w:pageBreakBefore w:val="0"/>
        <w:widowControl w:val="0"/>
        <w:kinsoku/>
        <w:wordWrap/>
        <w:overflowPunct/>
        <w:topLinePunct w:val="0"/>
        <w:bidi w:val="0"/>
        <w:spacing w:line="400" w:lineRule="exact"/>
        <w:textAlignment w:val="auto"/>
        <w:rPr>
          <w:rFonts w:ascii="宋体" w:hAnsi="宋体"/>
          <w:color w:val="auto"/>
          <w:sz w:val="21"/>
          <w:szCs w:val="21"/>
        </w:rPr>
      </w:pPr>
    </w:p>
    <w:p w14:paraId="05A071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发包人：</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（发包人）</w:t>
      </w:r>
    </w:p>
    <w:p w14:paraId="10E6F7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法定代表人：</w:t>
      </w:r>
    </w:p>
    <w:p w14:paraId="259617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或委托代理人：</w:t>
      </w:r>
    </w:p>
    <w:p w14:paraId="4C1B08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联系人：</w:t>
      </w:r>
    </w:p>
    <w:p w14:paraId="3655AA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p>
    <w:p w14:paraId="03D937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p>
    <w:p w14:paraId="6AADAC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p>
    <w:p w14:paraId="79C134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承包人：</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（承包人）</w:t>
      </w:r>
    </w:p>
    <w:p w14:paraId="005865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法定代表人：</w:t>
      </w:r>
    </w:p>
    <w:p w14:paraId="68CD36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或委托代理人：</w:t>
      </w:r>
    </w:p>
    <w:p w14:paraId="739BE1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联系人：</w:t>
      </w:r>
    </w:p>
    <w:p w14:paraId="44C2F8FC">
      <w:pPr>
        <w:snapToGrid w:val="0"/>
        <w:spacing w:line="360" w:lineRule="auto"/>
        <w:ind w:firstLine="560"/>
        <w:rPr>
          <w:rFonts w:ascii="宋体" w:hAnsi="宋体"/>
          <w:color w:val="auto"/>
          <w:szCs w:val="21"/>
        </w:rPr>
      </w:pPr>
    </w:p>
    <w:p w14:paraId="7AE17F56">
      <w:pPr>
        <w:spacing w:line="480" w:lineRule="auto"/>
        <w:rPr>
          <w:rFonts w:ascii="宋体" w:hAnsi="宋体"/>
          <w:color w:val="auto"/>
          <w:szCs w:val="21"/>
        </w:rPr>
      </w:pPr>
      <w:r>
        <w:rPr>
          <w:rFonts w:hint="eastAsia" w:ascii="宋体" w:hAnsi="宋体"/>
          <w:color w:val="auto"/>
          <w:szCs w:val="21"/>
        </w:rPr>
        <w:br w:type="page"/>
      </w:r>
      <w:r>
        <w:rPr>
          <w:rFonts w:hint="eastAsia" w:ascii="宋体" w:hAnsi="宋体"/>
          <w:color w:val="auto"/>
          <w:sz w:val="21"/>
          <w:szCs w:val="16"/>
        </w:rPr>
        <w:t>保障农民工工资支付协议附件1：</w:t>
      </w:r>
    </w:p>
    <w:p w14:paraId="6EA5B26B">
      <w:pPr>
        <w:widowControl/>
        <w:snapToGrid w:val="0"/>
        <w:spacing w:after="100" w:afterAutospacing="1" w:line="480" w:lineRule="auto"/>
        <w:jc w:val="center"/>
        <w:rPr>
          <w:rFonts w:ascii="宋体" w:hAnsi="宋体"/>
          <w:color w:val="auto"/>
          <w:sz w:val="21"/>
          <w:szCs w:val="21"/>
        </w:rPr>
      </w:pPr>
      <w:r>
        <w:rPr>
          <w:rFonts w:hint="eastAsia" w:ascii="宋体" w:hAnsi="宋体"/>
          <w:color w:val="auto"/>
          <w:sz w:val="21"/>
          <w:szCs w:val="21"/>
        </w:rPr>
        <w:t>关于农民工工资发放情况的说明表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5AA1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14:paraId="7CF826F4">
            <w:pPr>
              <w:widowControl/>
              <w:snapToGrid w:val="0"/>
              <w:spacing w:after="100" w:afterAutospacing="1" w:line="400" w:lineRule="exact"/>
              <w:jc w:val="left"/>
              <w:rPr>
                <w:rFonts w:ascii="宋体" w:hAnsi="宋体"/>
                <w:color w:val="auto"/>
                <w:kern w:val="0"/>
                <w:sz w:val="21"/>
                <w:szCs w:val="21"/>
              </w:rPr>
            </w:pPr>
            <w:r>
              <w:rPr>
                <w:rFonts w:hint="eastAsia" w:ascii="宋体" w:hAnsi="宋体"/>
                <w:color w:val="auto"/>
                <w:kern w:val="0"/>
                <w:sz w:val="21"/>
                <w:szCs w:val="21"/>
              </w:rPr>
              <w:t>工程名称：</w:t>
            </w:r>
            <w:r>
              <w:rPr>
                <w:rFonts w:ascii="宋体" w:hAnsi="宋体"/>
                <w:color w:val="auto"/>
                <w:kern w:val="0"/>
                <w:sz w:val="21"/>
                <w:szCs w:val="21"/>
              </w:rPr>
              <w:t xml:space="preserve"> </w:t>
            </w:r>
          </w:p>
        </w:tc>
      </w:tr>
      <w:tr w14:paraId="0973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noWrap w:val="0"/>
            <w:vAlign w:val="top"/>
          </w:tcPr>
          <w:p w14:paraId="32F1E200">
            <w:pPr>
              <w:widowControl/>
              <w:snapToGrid w:val="0"/>
              <w:spacing w:after="100" w:afterAutospacing="1" w:line="400" w:lineRule="exact"/>
              <w:rPr>
                <w:rFonts w:ascii="宋体" w:hAnsi="宋体"/>
                <w:color w:val="auto"/>
                <w:kern w:val="0"/>
                <w:sz w:val="21"/>
                <w:szCs w:val="21"/>
              </w:rPr>
            </w:pPr>
            <w:r>
              <w:rPr>
                <w:rFonts w:hint="eastAsia" w:ascii="宋体" w:hAnsi="宋体"/>
                <w:color w:val="auto"/>
                <w:kern w:val="0"/>
                <w:sz w:val="21"/>
                <w:szCs w:val="21"/>
              </w:rPr>
              <w:t>施工单位：</w:t>
            </w:r>
          </w:p>
        </w:tc>
        <w:tc>
          <w:tcPr>
            <w:tcW w:w="6201" w:type="dxa"/>
            <w:noWrap w:val="0"/>
            <w:vAlign w:val="top"/>
          </w:tcPr>
          <w:p w14:paraId="63F5B900">
            <w:pPr>
              <w:widowControl/>
              <w:snapToGrid w:val="0"/>
              <w:spacing w:after="100" w:afterAutospacing="1" w:line="400" w:lineRule="exact"/>
              <w:rPr>
                <w:rFonts w:ascii="宋体" w:hAnsi="宋体"/>
                <w:color w:val="auto"/>
                <w:kern w:val="0"/>
                <w:sz w:val="21"/>
                <w:szCs w:val="21"/>
              </w:rPr>
            </w:pPr>
            <w:r>
              <w:rPr>
                <w:rFonts w:hint="eastAsia" w:ascii="宋体" w:hAnsi="宋体"/>
                <w:color w:val="auto"/>
                <w:sz w:val="21"/>
                <w:szCs w:val="21"/>
              </w:rPr>
              <w:t xml:space="preserve"> </w:t>
            </w:r>
          </w:p>
        </w:tc>
      </w:tr>
      <w:tr w14:paraId="2355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top"/>
          </w:tcPr>
          <w:p w14:paraId="7F4A2CA0">
            <w:pPr>
              <w:widowControl/>
              <w:snapToGrid w:val="0"/>
              <w:spacing w:after="100" w:afterAutospacing="1" w:line="400" w:lineRule="exact"/>
              <w:rPr>
                <w:rFonts w:ascii="宋体" w:hAnsi="宋体"/>
                <w:color w:val="auto"/>
                <w:kern w:val="0"/>
                <w:sz w:val="21"/>
                <w:szCs w:val="21"/>
              </w:rPr>
            </w:pPr>
            <w:r>
              <w:rPr>
                <w:rFonts w:hint="eastAsia" w:ascii="宋体" w:hAnsi="宋体"/>
                <w:color w:val="auto"/>
                <w:kern w:val="0"/>
                <w:sz w:val="21"/>
                <w:szCs w:val="21"/>
              </w:rPr>
              <w:t>监理单位：</w:t>
            </w:r>
          </w:p>
        </w:tc>
        <w:tc>
          <w:tcPr>
            <w:tcW w:w="6201" w:type="dxa"/>
            <w:noWrap w:val="0"/>
            <w:vAlign w:val="top"/>
          </w:tcPr>
          <w:p w14:paraId="337E2D34">
            <w:pPr>
              <w:widowControl/>
              <w:snapToGrid w:val="0"/>
              <w:spacing w:after="100" w:afterAutospacing="1" w:line="400" w:lineRule="exact"/>
              <w:rPr>
                <w:rFonts w:ascii="宋体" w:hAnsi="宋体"/>
                <w:color w:val="auto"/>
                <w:kern w:val="0"/>
                <w:sz w:val="21"/>
                <w:szCs w:val="21"/>
              </w:rPr>
            </w:pPr>
          </w:p>
        </w:tc>
      </w:tr>
      <w:tr w14:paraId="43F3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noWrap w:val="0"/>
            <w:vAlign w:val="top"/>
          </w:tcPr>
          <w:p w14:paraId="0C7B36B6">
            <w:pPr>
              <w:widowControl/>
              <w:snapToGrid w:val="0"/>
              <w:spacing w:after="100" w:afterAutospacing="1" w:line="400" w:lineRule="exact"/>
              <w:rPr>
                <w:rFonts w:ascii="宋体" w:hAnsi="宋体"/>
                <w:color w:val="auto"/>
                <w:kern w:val="0"/>
                <w:sz w:val="21"/>
                <w:szCs w:val="21"/>
                <w:u w:val="single"/>
              </w:rPr>
            </w:pPr>
          </w:p>
          <w:p w14:paraId="797C6DB8">
            <w:pPr>
              <w:widowControl/>
              <w:snapToGrid w:val="0"/>
              <w:spacing w:after="100" w:afterAutospacing="1" w:line="400" w:lineRule="exact"/>
              <w:rPr>
                <w:rFonts w:hint="eastAsia" w:ascii="宋体" w:hAnsi="宋体" w:eastAsia="宋体"/>
                <w:color w:val="auto"/>
                <w:kern w:val="0"/>
                <w:sz w:val="21"/>
                <w:szCs w:val="21"/>
                <w:lang w:eastAsia="zh-CN"/>
              </w:rPr>
            </w:pPr>
            <w:r>
              <w:rPr>
                <w:rFonts w:hint="eastAsia" w:ascii="宋体" w:hAnsi="宋体"/>
                <w:color w:val="auto"/>
                <w:kern w:val="0"/>
                <w:sz w:val="21"/>
                <w:szCs w:val="21"/>
              </w:rPr>
              <w:t>（项目业主单位名称）：</w:t>
            </w:r>
          </w:p>
          <w:p w14:paraId="42ADA663">
            <w:pPr>
              <w:widowControl/>
              <w:snapToGrid w:val="0"/>
              <w:spacing w:after="100" w:afterAutospacing="1" w:line="400" w:lineRule="exact"/>
              <w:rPr>
                <w:rFonts w:hint="eastAsia" w:ascii="宋体" w:hAnsi="宋体" w:eastAsia="宋体"/>
                <w:color w:val="auto"/>
                <w:kern w:val="0"/>
                <w:sz w:val="21"/>
                <w:szCs w:val="21"/>
                <w:lang w:eastAsia="zh-CN"/>
              </w:rPr>
            </w:pPr>
            <w:r>
              <w:rPr>
                <w:rFonts w:hint="eastAsia" w:ascii="宋体" w:hAnsi="宋体"/>
                <w:color w:val="auto"/>
                <w:kern w:val="0"/>
                <w:sz w:val="21"/>
                <w:szCs w:val="21"/>
              </w:rPr>
              <w:t xml:space="preserve">    我单位负责承建的</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kern w:val="0"/>
                <w:sz w:val="21"/>
                <w:szCs w:val="21"/>
              </w:rPr>
              <w:t>无拖欠农民工资的情况，贵单位先期支付我单位的工程款已优先用于支付了农民工工资，农民工工资全部按时足额进行了发放，请贵单位予以审核。</w:t>
            </w:r>
          </w:p>
          <w:p w14:paraId="33129528">
            <w:pPr>
              <w:pStyle w:val="2"/>
              <w:rPr>
                <w:rFonts w:hint="eastAsia"/>
                <w:color w:val="auto"/>
                <w:lang w:eastAsia="zh-CN"/>
              </w:rPr>
            </w:pPr>
          </w:p>
          <w:p w14:paraId="0D7DE8AC">
            <w:pPr>
              <w:widowControl/>
              <w:snapToGrid w:val="0"/>
              <w:spacing w:after="100" w:afterAutospacing="1" w:line="400" w:lineRule="exact"/>
              <w:ind w:firstLine="1260" w:firstLineChars="600"/>
              <w:rPr>
                <w:rFonts w:hint="default" w:ascii="宋体" w:hAnsi="宋体" w:eastAsia="宋体"/>
                <w:color w:val="auto"/>
                <w:kern w:val="0"/>
                <w:sz w:val="21"/>
                <w:szCs w:val="21"/>
                <w:u w:val="single"/>
                <w:lang w:val="en-US" w:eastAsia="zh-CN"/>
              </w:rPr>
            </w:pPr>
            <w:r>
              <w:rPr>
                <w:rFonts w:hint="eastAsia" w:ascii="宋体" w:hAnsi="宋体"/>
                <w:color w:val="auto"/>
                <w:kern w:val="0"/>
                <w:sz w:val="21"/>
                <w:szCs w:val="21"/>
              </w:rPr>
              <w:t>施工单位项目负责人签字（加盖项目章）：</w:t>
            </w:r>
            <w:r>
              <w:rPr>
                <w:rFonts w:hint="eastAsia" w:ascii="宋体" w:hAnsi="宋体"/>
                <w:color w:val="auto"/>
                <w:kern w:val="0"/>
                <w:sz w:val="21"/>
                <w:szCs w:val="21"/>
                <w:u w:val="single"/>
                <w:lang w:val="en-US" w:eastAsia="zh-CN"/>
              </w:rPr>
              <w:t xml:space="preserve">           </w:t>
            </w:r>
          </w:p>
        </w:tc>
      </w:tr>
      <w:tr w14:paraId="37E9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noWrap w:val="0"/>
            <w:vAlign w:val="center"/>
          </w:tcPr>
          <w:p w14:paraId="127E71D0">
            <w:pPr>
              <w:widowControl/>
              <w:snapToGrid w:val="0"/>
              <w:spacing w:after="100" w:afterAutospacing="1" w:line="400" w:lineRule="exact"/>
              <w:jc w:val="center"/>
              <w:rPr>
                <w:rFonts w:ascii="宋体" w:hAnsi="宋体" w:cs="宋体"/>
                <w:color w:val="auto"/>
                <w:kern w:val="0"/>
                <w:sz w:val="21"/>
                <w:szCs w:val="21"/>
              </w:rPr>
            </w:pPr>
            <w:r>
              <w:rPr>
                <w:rFonts w:hint="eastAsia" w:ascii="宋体" w:hAnsi="宋体" w:cs="宋体"/>
                <w:color w:val="auto"/>
                <w:kern w:val="0"/>
                <w:sz w:val="21"/>
                <w:szCs w:val="21"/>
              </w:rPr>
              <w:t>监理单位意见：</w:t>
            </w:r>
          </w:p>
        </w:tc>
        <w:tc>
          <w:tcPr>
            <w:tcW w:w="6201" w:type="dxa"/>
            <w:noWrap w:val="0"/>
            <w:vAlign w:val="top"/>
          </w:tcPr>
          <w:p w14:paraId="7C5B676B">
            <w:pPr>
              <w:widowControl/>
              <w:snapToGrid w:val="0"/>
              <w:spacing w:after="100" w:afterAutospacing="1" w:line="400" w:lineRule="exact"/>
              <w:rPr>
                <w:rFonts w:ascii="宋体" w:hAnsi="宋体"/>
                <w:color w:val="auto"/>
                <w:kern w:val="0"/>
                <w:sz w:val="21"/>
                <w:szCs w:val="21"/>
                <w:u w:val="single"/>
              </w:rPr>
            </w:pPr>
          </w:p>
          <w:p w14:paraId="467C0E07">
            <w:pPr>
              <w:widowControl/>
              <w:snapToGrid w:val="0"/>
              <w:spacing w:after="100" w:afterAutospacing="1" w:line="400" w:lineRule="exact"/>
              <w:rPr>
                <w:rFonts w:hint="default" w:ascii="宋体" w:hAnsi="宋体" w:eastAsia="宋体"/>
                <w:color w:val="auto"/>
                <w:kern w:val="0"/>
                <w:sz w:val="21"/>
                <w:szCs w:val="21"/>
                <w:u w:val="single"/>
                <w:lang w:val="en-US" w:eastAsia="zh-CN"/>
              </w:rPr>
            </w:pPr>
            <w:r>
              <w:rPr>
                <w:rFonts w:hint="eastAsia" w:ascii="宋体" w:hAnsi="宋体"/>
                <w:color w:val="auto"/>
                <w:kern w:val="0"/>
                <w:sz w:val="21"/>
                <w:szCs w:val="21"/>
              </w:rPr>
              <w:t xml:space="preserve">             总监签字并加盖项目章：</w:t>
            </w:r>
            <w:r>
              <w:rPr>
                <w:rFonts w:hint="eastAsia" w:ascii="宋体" w:hAnsi="宋体"/>
                <w:color w:val="auto"/>
                <w:kern w:val="0"/>
                <w:sz w:val="21"/>
                <w:szCs w:val="21"/>
                <w:u w:val="single"/>
                <w:lang w:val="en-US" w:eastAsia="zh-CN"/>
              </w:rPr>
              <w:t xml:space="preserve">        </w:t>
            </w:r>
          </w:p>
        </w:tc>
      </w:tr>
      <w:tr w14:paraId="1AFD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noWrap w:val="0"/>
            <w:vAlign w:val="center"/>
          </w:tcPr>
          <w:p w14:paraId="3D51672D">
            <w:pPr>
              <w:widowControl/>
              <w:snapToGrid w:val="0"/>
              <w:spacing w:after="100" w:afterAutospacing="1" w:line="400" w:lineRule="exact"/>
              <w:jc w:val="center"/>
              <w:rPr>
                <w:rFonts w:ascii="宋体" w:hAnsi="宋体"/>
                <w:color w:val="auto"/>
                <w:kern w:val="0"/>
                <w:sz w:val="21"/>
                <w:szCs w:val="21"/>
              </w:rPr>
            </w:pPr>
            <w:r>
              <w:rPr>
                <w:rFonts w:hint="eastAsia" w:ascii="宋体" w:hAnsi="宋体"/>
                <w:color w:val="auto"/>
                <w:kern w:val="0"/>
                <w:sz w:val="21"/>
                <w:szCs w:val="21"/>
              </w:rPr>
              <w:t>工程部项目负责人意见：</w:t>
            </w:r>
          </w:p>
        </w:tc>
        <w:tc>
          <w:tcPr>
            <w:tcW w:w="6201" w:type="dxa"/>
            <w:noWrap w:val="0"/>
            <w:vAlign w:val="top"/>
          </w:tcPr>
          <w:p w14:paraId="7F4B2475">
            <w:pPr>
              <w:widowControl/>
              <w:snapToGrid w:val="0"/>
              <w:spacing w:after="100" w:afterAutospacing="1" w:line="400" w:lineRule="exact"/>
              <w:rPr>
                <w:rFonts w:ascii="宋体" w:hAnsi="宋体"/>
                <w:color w:val="auto"/>
                <w:kern w:val="0"/>
                <w:sz w:val="21"/>
                <w:szCs w:val="21"/>
                <w:u w:val="single"/>
              </w:rPr>
            </w:pPr>
          </w:p>
          <w:p w14:paraId="45E30AB8">
            <w:pPr>
              <w:widowControl/>
              <w:snapToGrid w:val="0"/>
              <w:spacing w:after="100" w:afterAutospacing="1" w:line="400" w:lineRule="exact"/>
              <w:rPr>
                <w:rFonts w:hint="default" w:ascii="宋体" w:hAnsi="宋体" w:eastAsia="宋体"/>
                <w:color w:val="auto"/>
                <w:kern w:val="0"/>
                <w:sz w:val="21"/>
                <w:szCs w:val="21"/>
                <w:u w:val="single"/>
                <w:lang w:val="en-US" w:eastAsia="zh-CN"/>
              </w:rPr>
            </w:pPr>
            <w:r>
              <w:rPr>
                <w:rFonts w:hint="eastAsia" w:ascii="宋体" w:hAnsi="宋体"/>
                <w:color w:val="auto"/>
                <w:kern w:val="0"/>
                <w:sz w:val="21"/>
                <w:szCs w:val="21"/>
              </w:rPr>
              <w:t xml:space="preserve">                   项目负责人签字：</w:t>
            </w:r>
            <w:r>
              <w:rPr>
                <w:rFonts w:hint="eastAsia" w:ascii="宋体" w:hAnsi="宋体"/>
                <w:color w:val="auto"/>
                <w:kern w:val="0"/>
                <w:sz w:val="21"/>
                <w:szCs w:val="21"/>
                <w:u w:val="single"/>
                <w:lang w:val="en-US" w:eastAsia="zh-CN"/>
              </w:rPr>
              <w:t xml:space="preserve">        </w:t>
            </w:r>
          </w:p>
        </w:tc>
      </w:tr>
    </w:tbl>
    <w:p w14:paraId="1B81AE0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63BEBA55">
      <w:pPr>
        <w:rPr>
          <w:color w:val="auto"/>
          <w:highlight w:val="none"/>
        </w:rPr>
      </w:pPr>
    </w:p>
    <w:p w14:paraId="5D3EE44D">
      <w:pPr>
        <w:rPr>
          <w:rFonts w:ascii="宋体" w:hAnsi="宋体"/>
          <w:b/>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12B241D1"/>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12B241D1"/>
                  </w:txbxContent>
                </v:textbox>
              </v:rect>
            </w:pict>
          </mc:Fallback>
        </mc:AlternateContent>
      </w:r>
      <w:r>
        <w:rPr>
          <w:rFonts w:ascii="宋体" w:hAnsi="宋体"/>
          <w:color w:val="auto"/>
          <w:highlight w:val="none"/>
        </w:rPr>
        <w:br w:type="page"/>
      </w:r>
    </w:p>
    <w:p w14:paraId="22C51F7F">
      <w:pPr>
        <w:spacing w:line="360" w:lineRule="auto"/>
        <w:ind w:firstLine="420" w:firstLineChars="200"/>
        <w:rPr>
          <w:rFonts w:ascii="宋体" w:hAnsi="宋体"/>
          <w:color w:val="auto"/>
          <w:szCs w:val="20"/>
          <w:highlight w:val="none"/>
        </w:rPr>
      </w:pPr>
      <w:bookmarkStart w:id="723" w:name="招标文件05章工程量清单"/>
      <w:bookmarkEnd w:id="723"/>
    </w:p>
    <w:p w14:paraId="12545FD7">
      <w:pPr>
        <w:pStyle w:val="3"/>
        <w:spacing w:before="0" w:after="0" w:line="360" w:lineRule="auto"/>
        <w:jc w:val="center"/>
        <w:rPr>
          <w:rFonts w:ascii="宋体" w:hAnsi="宋体"/>
          <w:color w:val="auto"/>
          <w:highlight w:val="none"/>
        </w:rPr>
      </w:pPr>
      <w:bookmarkStart w:id="724" w:name="_Toc287607855"/>
      <w:bookmarkStart w:id="725" w:name="_Toc287620797"/>
      <w:bookmarkStart w:id="726" w:name="_Toc29526"/>
      <w:bookmarkStart w:id="727" w:name="_Toc534185822"/>
      <w:bookmarkStart w:id="728" w:name="_Toc509218843"/>
      <w:bookmarkStart w:id="729" w:name="_Toc430530513"/>
      <w:bookmarkStart w:id="730" w:name="_Toc16194"/>
      <w:r>
        <w:rPr>
          <w:rFonts w:hint="eastAsia" w:ascii="宋体" w:hAnsi="宋体"/>
          <w:color w:val="auto"/>
          <w:highlight w:val="none"/>
        </w:rPr>
        <w:t>第五章  工程量清单</w:t>
      </w:r>
      <w:bookmarkEnd w:id="724"/>
      <w:bookmarkEnd w:id="725"/>
      <w:bookmarkEnd w:id="726"/>
      <w:bookmarkEnd w:id="727"/>
      <w:bookmarkEnd w:id="728"/>
      <w:bookmarkEnd w:id="729"/>
      <w:bookmarkEnd w:id="730"/>
      <w:bookmarkStart w:id="731" w:name="招标文件05章工程量清单01"/>
      <w:bookmarkEnd w:id="731"/>
      <w:bookmarkStart w:id="732" w:name="_Toc287607856"/>
      <w:bookmarkStart w:id="733" w:name="_Toc224103477"/>
      <w:bookmarkStart w:id="734" w:name="_Toc277082638"/>
      <w:bookmarkStart w:id="735" w:name="_Toc430530514"/>
      <w:bookmarkStart w:id="736" w:name="_Toc287620798"/>
    </w:p>
    <w:bookmarkEnd w:id="732"/>
    <w:bookmarkEnd w:id="733"/>
    <w:bookmarkEnd w:id="734"/>
    <w:bookmarkEnd w:id="735"/>
    <w:bookmarkEnd w:id="736"/>
    <w:p w14:paraId="1360444F">
      <w:pPr>
        <w:snapToGrid w:val="0"/>
        <w:spacing w:line="360" w:lineRule="auto"/>
        <w:jc w:val="center"/>
        <w:rPr>
          <w:rFonts w:ascii="宋体" w:hAnsi="宋体"/>
          <w:color w:val="auto"/>
          <w:sz w:val="24"/>
          <w:highlight w:val="none"/>
        </w:rPr>
      </w:pPr>
    </w:p>
    <w:p w14:paraId="26532EFB">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“行采家”（www.gec123.com）</w:t>
      </w:r>
      <w:r>
        <w:rPr>
          <w:rFonts w:hint="eastAsia" w:ascii="宋体" w:hAnsi="宋体"/>
          <w:color w:val="auto"/>
          <w:szCs w:val="20"/>
          <w:highlight w:val="none"/>
          <w:u w:val="none"/>
          <w:lang w:eastAsia="zh-CN"/>
        </w:rPr>
        <w:t>下载</w:t>
      </w:r>
      <w:r>
        <w:rPr>
          <w:rFonts w:hint="eastAsia" w:ascii="宋体" w:hAnsi="宋体"/>
          <w:color w:val="auto"/>
          <w:szCs w:val="20"/>
          <w:highlight w:val="none"/>
        </w:rPr>
        <w:t>。</w:t>
      </w:r>
    </w:p>
    <w:p w14:paraId="6B2B3000">
      <w:pPr>
        <w:ind w:right="561"/>
        <w:rPr>
          <w:rFonts w:ascii="宋体" w:hAnsi="宋体"/>
          <w:color w:val="auto"/>
          <w:szCs w:val="21"/>
          <w:highlight w:val="none"/>
        </w:rPr>
      </w:pPr>
      <w:r>
        <w:rPr>
          <w:rFonts w:ascii="宋体" w:hAnsi="宋体"/>
          <w:color w:val="auto"/>
          <w:sz w:val="24"/>
          <w:highlight w:val="none"/>
        </w:rPr>
        <w:br w:type="page"/>
      </w:r>
    </w:p>
    <w:p w14:paraId="36001AF5">
      <w:pPr>
        <w:pStyle w:val="3"/>
        <w:spacing w:line="360" w:lineRule="auto"/>
        <w:jc w:val="center"/>
        <w:rPr>
          <w:rFonts w:ascii="宋体" w:hAnsi="宋体"/>
          <w:color w:val="auto"/>
          <w:highlight w:val="none"/>
        </w:rPr>
      </w:pPr>
      <w:bookmarkStart w:id="737" w:name="招标文件06章图纸"/>
      <w:bookmarkEnd w:id="737"/>
      <w:bookmarkStart w:id="738" w:name="_Toc20092"/>
      <w:bookmarkStart w:id="739" w:name="_Toc430530519"/>
      <w:bookmarkStart w:id="740" w:name="_Toc509218846"/>
      <w:bookmarkStart w:id="741" w:name="_Toc534185825"/>
      <w:bookmarkStart w:id="742" w:name="_Toc22154"/>
      <w:bookmarkStart w:id="743" w:name="_Toc287620803"/>
      <w:bookmarkStart w:id="744" w:name="_Toc287607861"/>
      <w:r>
        <w:rPr>
          <w:rFonts w:hint="eastAsia" w:ascii="宋体" w:hAnsi="宋体"/>
          <w:color w:val="auto"/>
          <w:highlight w:val="none"/>
        </w:rPr>
        <w:t>第六章  图纸</w:t>
      </w:r>
      <w:bookmarkEnd w:id="738"/>
      <w:bookmarkEnd w:id="739"/>
      <w:bookmarkEnd w:id="740"/>
      <w:bookmarkEnd w:id="741"/>
      <w:bookmarkEnd w:id="742"/>
      <w:bookmarkEnd w:id="743"/>
      <w:bookmarkEnd w:id="744"/>
    </w:p>
    <w:p w14:paraId="1D3A178E">
      <w:pPr>
        <w:spacing w:line="360" w:lineRule="auto"/>
        <w:jc w:val="center"/>
        <w:rPr>
          <w:rFonts w:ascii="宋体" w:hAnsi="宋体"/>
          <w:color w:val="auto"/>
          <w:szCs w:val="20"/>
          <w:highlight w:val="none"/>
        </w:rPr>
      </w:pPr>
      <w:r>
        <w:rPr>
          <w:rFonts w:hint="eastAsia" w:ascii="宋体" w:hAnsi="宋体"/>
          <w:color w:val="auto"/>
          <w:szCs w:val="20"/>
          <w:highlight w:val="none"/>
          <w:lang w:eastAsia="zh-CN"/>
        </w:rPr>
        <w:t>图纸为电子档，</w:t>
      </w:r>
      <w:r>
        <w:rPr>
          <w:rFonts w:hint="eastAsia" w:ascii="宋体" w:hAnsi="宋体"/>
          <w:color w:val="auto"/>
          <w:szCs w:val="20"/>
          <w:highlight w:val="none"/>
        </w:rPr>
        <w:t>在</w:t>
      </w:r>
      <w:r>
        <w:rPr>
          <w:rFonts w:hint="eastAsia" w:ascii="宋体" w:hAnsi="宋体"/>
          <w:color w:val="auto"/>
          <w:szCs w:val="20"/>
          <w:highlight w:val="none"/>
          <w:u w:val="single"/>
          <w:lang w:eastAsia="zh-CN"/>
        </w:rPr>
        <w:t>“行采家”（www.gec123.com）</w:t>
      </w:r>
      <w:r>
        <w:rPr>
          <w:rFonts w:hint="eastAsia" w:ascii="宋体" w:hAnsi="宋体"/>
          <w:color w:val="auto"/>
          <w:szCs w:val="20"/>
          <w:highlight w:val="none"/>
          <w:u w:val="none"/>
          <w:lang w:eastAsia="zh-CN"/>
        </w:rPr>
        <w:t>下载</w:t>
      </w:r>
      <w:r>
        <w:rPr>
          <w:rFonts w:hint="eastAsia" w:ascii="宋体" w:hAnsi="宋体"/>
          <w:color w:val="auto"/>
          <w:szCs w:val="20"/>
          <w:highlight w:val="none"/>
        </w:rPr>
        <w:t>。</w:t>
      </w:r>
    </w:p>
    <w:p w14:paraId="786686FF">
      <w:pPr>
        <w:spacing w:line="360" w:lineRule="auto"/>
        <w:rPr>
          <w:rFonts w:ascii="宋体" w:hAnsi="宋体"/>
          <w:color w:val="auto"/>
          <w:szCs w:val="20"/>
          <w:highlight w:val="none"/>
        </w:rPr>
      </w:pPr>
      <w:bookmarkStart w:id="745" w:name="招标文件06章图纸01"/>
      <w:bookmarkEnd w:id="745"/>
      <w:bookmarkStart w:id="746" w:name="_Toc430530520"/>
      <w:bookmarkStart w:id="747" w:name="_Toc287620804"/>
    </w:p>
    <w:bookmarkEnd w:id="746"/>
    <w:bookmarkEnd w:id="747"/>
    <w:p w14:paraId="41C3B5FB">
      <w:pPr>
        <w:spacing w:line="360" w:lineRule="auto"/>
        <w:rPr>
          <w:rFonts w:ascii="宋体" w:hAnsi="宋体"/>
          <w:color w:val="auto"/>
          <w:highlight w:val="none"/>
        </w:rPr>
      </w:pPr>
      <w:r>
        <w:rPr>
          <w:rFonts w:ascii="宋体" w:hAnsi="宋体"/>
          <w:color w:val="auto"/>
          <w:szCs w:val="20"/>
          <w:highlight w:val="none"/>
        </w:rPr>
        <w:br w:type="page"/>
      </w:r>
    </w:p>
    <w:p w14:paraId="25C5B5BC">
      <w:pPr>
        <w:pStyle w:val="3"/>
        <w:spacing w:line="360" w:lineRule="auto"/>
        <w:jc w:val="center"/>
        <w:rPr>
          <w:rFonts w:ascii="宋体" w:hAnsi="宋体"/>
          <w:color w:val="auto"/>
          <w:highlight w:val="none"/>
        </w:rPr>
      </w:pPr>
      <w:bookmarkStart w:id="748" w:name="招标文件07章技术标准和要求"/>
      <w:bookmarkEnd w:id="748"/>
      <w:bookmarkStart w:id="749" w:name="_Toc12"/>
      <w:bookmarkStart w:id="750" w:name="_Toc17170"/>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749"/>
      <w:bookmarkEnd w:id="750"/>
      <w:bookmarkStart w:id="751" w:name="招标文件07章技术标准和要求01"/>
      <w:bookmarkEnd w:id="751"/>
      <w:bookmarkStart w:id="752" w:name="_Toc287620808"/>
      <w:bookmarkStart w:id="753" w:name="_Toc430530524"/>
    </w:p>
    <w:bookmarkEnd w:id="752"/>
    <w:bookmarkEnd w:id="753"/>
    <w:p w14:paraId="10220826">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w:t>
      </w:r>
      <w:r>
        <w:rPr>
          <w:rFonts w:hint="eastAsia" w:ascii="宋体" w:hAnsi="宋体"/>
          <w:color w:val="auto"/>
          <w:szCs w:val="21"/>
          <w:highlight w:val="none"/>
          <w:lang w:eastAsia="zh-CN"/>
        </w:rPr>
        <w:t>比选项目</w:t>
      </w:r>
      <w:r>
        <w:rPr>
          <w:rFonts w:ascii="宋体" w:hAnsi="宋体"/>
          <w:color w:val="auto"/>
          <w:szCs w:val="21"/>
          <w:highlight w:val="none"/>
        </w:rPr>
        <w:t>的实际情况编写</w:t>
      </w:r>
      <w:r>
        <w:rPr>
          <w:rFonts w:hint="eastAsia" w:ascii="宋体" w:hAnsi="宋体"/>
          <w:color w:val="auto"/>
          <w:szCs w:val="21"/>
          <w:highlight w:val="none"/>
        </w:rPr>
        <w:t>（如有）。</w:t>
      </w:r>
    </w:p>
    <w:p w14:paraId="21AA3EC3">
      <w:pPr>
        <w:spacing w:line="360" w:lineRule="auto"/>
        <w:rPr>
          <w:rFonts w:ascii="宋体" w:hAnsi="宋体"/>
          <w:color w:val="auto"/>
          <w:highlight w:val="none"/>
        </w:rPr>
      </w:pPr>
      <w:r>
        <w:rPr>
          <w:rFonts w:ascii="宋体" w:hAnsi="宋体"/>
          <w:color w:val="auto"/>
          <w:highlight w:val="none"/>
        </w:rPr>
        <w:br w:type="page"/>
      </w:r>
    </w:p>
    <w:p w14:paraId="6A0F62A9">
      <w:pPr>
        <w:pStyle w:val="3"/>
        <w:spacing w:line="360" w:lineRule="auto"/>
        <w:jc w:val="center"/>
        <w:rPr>
          <w:rFonts w:ascii="宋体" w:hAnsi="宋体"/>
          <w:color w:val="auto"/>
          <w:highlight w:val="none"/>
        </w:rPr>
      </w:pPr>
      <w:bookmarkStart w:id="754" w:name="_Toc287607865"/>
      <w:bookmarkStart w:id="755" w:name="_Toc534185829"/>
      <w:bookmarkStart w:id="756" w:name="_Toc287620812"/>
      <w:bookmarkStart w:id="757" w:name="_Toc23843"/>
      <w:bookmarkStart w:id="758" w:name="_Toc509218852"/>
      <w:bookmarkStart w:id="759" w:name="_Toc430530528"/>
      <w:bookmarkStart w:id="760" w:name="_Toc13509"/>
      <w:r>
        <w:rPr>
          <w:rFonts w:hint="eastAsia" w:ascii="宋体" w:hAnsi="宋体"/>
          <w:color w:val="auto"/>
          <w:highlight w:val="none"/>
        </w:rPr>
        <w:t>第八章  投标文件格式</w:t>
      </w:r>
      <w:bookmarkEnd w:id="754"/>
      <w:bookmarkEnd w:id="755"/>
      <w:bookmarkEnd w:id="756"/>
      <w:bookmarkEnd w:id="757"/>
      <w:bookmarkEnd w:id="758"/>
      <w:bookmarkEnd w:id="759"/>
      <w:bookmarkEnd w:id="760"/>
    </w:p>
    <w:p w14:paraId="271F35D7">
      <w:pPr>
        <w:spacing w:line="360" w:lineRule="auto"/>
        <w:rPr>
          <w:rFonts w:ascii="宋体" w:hAnsi="宋体"/>
          <w:color w:val="auto"/>
          <w:sz w:val="32"/>
          <w:szCs w:val="32"/>
          <w:highlight w:val="none"/>
        </w:rPr>
      </w:pPr>
    </w:p>
    <w:p w14:paraId="594C6B01">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761" w:name="_Toc224103493"/>
      <w:r>
        <w:rPr>
          <w:rFonts w:hint="eastAsia" w:ascii="宋体" w:hAnsi="宋体"/>
          <w:color w:val="auto"/>
          <w:sz w:val="36"/>
          <w:szCs w:val="36"/>
          <w:highlight w:val="none"/>
        </w:rPr>
        <w:t>目  录</w:t>
      </w:r>
      <w:bookmarkEnd w:id="761"/>
    </w:p>
    <w:p w14:paraId="63D8B6C4">
      <w:pPr>
        <w:spacing w:line="360" w:lineRule="auto"/>
        <w:jc w:val="center"/>
        <w:rPr>
          <w:rFonts w:ascii="宋体" w:hAnsi="宋体"/>
          <w:color w:val="auto"/>
          <w:szCs w:val="20"/>
          <w:highlight w:val="none"/>
        </w:rPr>
      </w:pPr>
    </w:p>
    <w:p w14:paraId="0677B2E1">
      <w:pPr>
        <w:spacing w:line="360" w:lineRule="auto"/>
        <w:rPr>
          <w:rFonts w:ascii="宋体" w:hAnsi="宋体"/>
          <w:b/>
          <w:color w:val="auto"/>
          <w:highlight w:val="none"/>
        </w:rPr>
      </w:pPr>
      <w:r>
        <w:rPr>
          <w:rFonts w:hint="eastAsia" w:ascii="宋体" w:hAnsi="宋体"/>
          <w:b/>
          <w:color w:val="auto"/>
          <w:highlight w:val="none"/>
          <w:lang w:eastAsia="zh-CN"/>
        </w:rPr>
        <w:t>一</w:t>
      </w:r>
      <w:r>
        <w:rPr>
          <w:rFonts w:ascii="宋体" w:hAnsi="宋体"/>
          <w:b/>
          <w:color w:val="auto"/>
          <w:highlight w:val="none"/>
        </w:rPr>
        <w:t>、投标函部分</w:t>
      </w:r>
    </w:p>
    <w:p w14:paraId="749B097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1660D688">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5C58E795">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699F9188">
      <w:pPr>
        <w:spacing w:line="360" w:lineRule="auto"/>
        <w:rPr>
          <w:rFonts w:ascii="宋体" w:hAnsi="宋体"/>
          <w:b/>
          <w:color w:val="auto"/>
          <w:highlight w:val="none"/>
        </w:rPr>
      </w:pPr>
      <w:r>
        <w:rPr>
          <w:rFonts w:hint="eastAsia" w:ascii="宋体" w:hAnsi="宋体"/>
          <w:b/>
          <w:color w:val="auto"/>
          <w:highlight w:val="none"/>
          <w:lang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7EF9383B">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6BC632DF">
      <w:pPr>
        <w:spacing w:line="360" w:lineRule="auto"/>
        <w:rPr>
          <w:rFonts w:ascii="宋体" w:hAnsi="宋体"/>
          <w:b/>
          <w:color w:val="auto"/>
          <w:highlight w:val="none"/>
        </w:rPr>
      </w:pPr>
      <w:r>
        <w:rPr>
          <w:rFonts w:hint="eastAsia" w:ascii="宋体" w:hAnsi="宋体"/>
          <w:b/>
          <w:color w:val="auto"/>
          <w:highlight w:val="none"/>
          <w:lang w:eastAsia="zh-CN"/>
        </w:rPr>
        <w:t>三</w:t>
      </w:r>
      <w:r>
        <w:rPr>
          <w:rFonts w:ascii="宋体" w:hAnsi="宋体"/>
          <w:b/>
          <w:color w:val="auto"/>
          <w:highlight w:val="none"/>
        </w:rPr>
        <w:t>、</w:t>
      </w:r>
      <w:r>
        <w:rPr>
          <w:rFonts w:hint="eastAsia" w:ascii="宋体" w:hAnsi="宋体"/>
          <w:b/>
          <w:color w:val="auto"/>
          <w:highlight w:val="none"/>
        </w:rPr>
        <w:t>资格审查部分</w:t>
      </w:r>
    </w:p>
    <w:p w14:paraId="1B881CDB">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6463DADB">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14:paraId="089C13A2">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1F5AE3F0">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0CC7B847">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036B241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762" w:name="_Toc430530529"/>
      <w:bookmarkStart w:id="763" w:name="_Toc287620813"/>
      <w:bookmarkStart w:id="764" w:name="_Toc287607866"/>
      <w:bookmarkStart w:id="765" w:name="_Toc277082642"/>
      <w:bookmarkStart w:id="766" w:name="_Toc224103494"/>
    </w:p>
    <w:p w14:paraId="00FD1422">
      <w:pPr>
        <w:pStyle w:val="4"/>
        <w:spacing w:line="360" w:lineRule="auto"/>
        <w:jc w:val="center"/>
        <w:rPr>
          <w:rFonts w:ascii="宋体" w:hAnsi="宋体"/>
          <w:b w:val="0"/>
          <w:bCs w:val="0"/>
          <w:color w:val="auto"/>
          <w:sz w:val="44"/>
          <w:szCs w:val="44"/>
          <w:highlight w:val="none"/>
        </w:rPr>
      </w:pPr>
      <w:bookmarkStart w:id="767" w:name="_Toc19476"/>
      <w:bookmarkStart w:id="768" w:name="_Toc17164"/>
      <w:r>
        <w:rPr>
          <w:rFonts w:hint="eastAsia" w:ascii="宋体" w:hAnsi="宋体"/>
          <w:b w:val="0"/>
          <w:bCs w:val="0"/>
          <w:color w:val="auto"/>
          <w:sz w:val="44"/>
          <w:szCs w:val="44"/>
          <w:highlight w:val="none"/>
          <w:lang w:eastAsia="zh-CN"/>
        </w:rPr>
        <w:t>一</w:t>
      </w:r>
      <w:r>
        <w:rPr>
          <w:rFonts w:hint="eastAsia" w:ascii="宋体" w:hAnsi="宋体"/>
          <w:b w:val="0"/>
          <w:bCs w:val="0"/>
          <w:color w:val="auto"/>
          <w:sz w:val="44"/>
          <w:szCs w:val="44"/>
          <w:highlight w:val="none"/>
        </w:rPr>
        <w:t>、投标函部分</w:t>
      </w:r>
      <w:bookmarkEnd w:id="762"/>
      <w:bookmarkEnd w:id="763"/>
      <w:bookmarkEnd w:id="764"/>
      <w:bookmarkEnd w:id="765"/>
      <w:bookmarkEnd w:id="766"/>
      <w:bookmarkEnd w:id="767"/>
      <w:bookmarkEnd w:id="768"/>
    </w:p>
    <w:p w14:paraId="431BF13D">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60AEA956">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5A504D91">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7EAEEE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7B0421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350A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F00FCE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E27871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B62AA73">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68FEDBD7">
      <w:pPr>
        <w:autoSpaceDE w:val="0"/>
        <w:autoSpaceDN w:val="0"/>
        <w:adjustRightInd w:val="0"/>
        <w:snapToGrid w:val="0"/>
        <w:spacing w:line="360" w:lineRule="auto"/>
        <w:jc w:val="left"/>
        <w:rPr>
          <w:rFonts w:ascii="宋体" w:hAnsi="宋体"/>
          <w:color w:val="auto"/>
          <w:kern w:val="0"/>
          <w:sz w:val="16"/>
          <w:szCs w:val="16"/>
          <w:highlight w:val="none"/>
        </w:rPr>
      </w:pPr>
    </w:p>
    <w:p w14:paraId="726C087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2090C3B9">
      <w:pPr>
        <w:autoSpaceDE w:val="0"/>
        <w:autoSpaceDN w:val="0"/>
        <w:adjustRightInd w:val="0"/>
        <w:snapToGrid w:val="0"/>
        <w:spacing w:line="360" w:lineRule="auto"/>
        <w:jc w:val="left"/>
        <w:rPr>
          <w:rFonts w:ascii="宋体" w:hAnsi="宋体"/>
          <w:b/>
          <w:color w:val="auto"/>
          <w:kern w:val="0"/>
          <w:sz w:val="20"/>
          <w:szCs w:val="20"/>
          <w:highlight w:val="none"/>
        </w:rPr>
      </w:pPr>
    </w:p>
    <w:p w14:paraId="38252FC4">
      <w:pPr>
        <w:autoSpaceDE w:val="0"/>
        <w:autoSpaceDN w:val="0"/>
        <w:adjustRightInd w:val="0"/>
        <w:snapToGrid w:val="0"/>
        <w:spacing w:line="360" w:lineRule="auto"/>
        <w:jc w:val="left"/>
        <w:rPr>
          <w:rFonts w:ascii="宋体" w:hAnsi="宋体"/>
          <w:b/>
          <w:color w:val="auto"/>
          <w:kern w:val="0"/>
          <w:sz w:val="20"/>
          <w:szCs w:val="20"/>
          <w:highlight w:val="none"/>
        </w:rPr>
      </w:pPr>
    </w:p>
    <w:p w14:paraId="20D4A24A">
      <w:pPr>
        <w:autoSpaceDE w:val="0"/>
        <w:autoSpaceDN w:val="0"/>
        <w:adjustRightInd w:val="0"/>
        <w:snapToGrid w:val="0"/>
        <w:spacing w:line="360" w:lineRule="auto"/>
        <w:jc w:val="left"/>
        <w:rPr>
          <w:rFonts w:ascii="宋体" w:hAnsi="宋体"/>
          <w:b/>
          <w:color w:val="auto"/>
          <w:kern w:val="0"/>
          <w:sz w:val="20"/>
          <w:szCs w:val="20"/>
          <w:highlight w:val="none"/>
        </w:rPr>
      </w:pPr>
    </w:p>
    <w:p w14:paraId="396D6C89">
      <w:pPr>
        <w:autoSpaceDE w:val="0"/>
        <w:autoSpaceDN w:val="0"/>
        <w:adjustRightInd w:val="0"/>
        <w:snapToGrid w:val="0"/>
        <w:spacing w:line="360" w:lineRule="auto"/>
        <w:jc w:val="left"/>
        <w:rPr>
          <w:rFonts w:ascii="宋体" w:hAnsi="宋体"/>
          <w:b/>
          <w:color w:val="auto"/>
          <w:kern w:val="0"/>
          <w:sz w:val="20"/>
          <w:szCs w:val="20"/>
          <w:highlight w:val="none"/>
        </w:rPr>
      </w:pPr>
    </w:p>
    <w:p w14:paraId="3D65144B">
      <w:pPr>
        <w:autoSpaceDE w:val="0"/>
        <w:autoSpaceDN w:val="0"/>
        <w:adjustRightInd w:val="0"/>
        <w:snapToGrid w:val="0"/>
        <w:spacing w:line="360" w:lineRule="auto"/>
        <w:jc w:val="left"/>
        <w:rPr>
          <w:rFonts w:ascii="宋体" w:hAnsi="宋体"/>
          <w:b/>
          <w:color w:val="auto"/>
          <w:kern w:val="0"/>
          <w:sz w:val="20"/>
          <w:szCs w:val="20"/>
          <w:highlight w:val="none"/>
        </w:rPr>
      </w:pPr>
    </w:p>
    <w:p w14:paraId="3548EEA1">
      <w:pPr>
        <w:autoSpaceDE w:val="0"/>
        <w:autoSpaceDN w:val="0"/>
        <w:adjustRightInd w:val="0"/>
        <w:snapToGrid w:val="0"/>
        <w:spacing w:line="360" w:lineRule="auto"/>
        <w:jc w:val="left"/>
        <w:rPr>
          <w:rFonts w:ascii="宋体" w:hAnsi="宋体"/>
          <w:b/>
          <w:color w:val="auto"/>
          <w:kern w:val="0"/>
          <w:sz w:val="20"/>
          <w:szCs w:val="20"/>
          <w:highlight w:val="none"/>
        </w:rPr>
      </w:pPr>
    </w:p>
    <w:p w14:paraId="7E7AD551">
      <w:pPr>
        <w:autoSpaceDE w:val="0"/>
        <w:autoSpaceDN w:val="0"/>
        <w:adjustRightInd w:val="0"/>
        <w:snapToGrid w:val="0"/>
        <w:spacing w:line="360" w:lineRule="auto"/>
        <w:jc w:val="left"/>
        <w:rPr>
          <w:rFonts w:ascii="宋体" w:hAnsi="宋体"/>
          <w:b/>
          <w:color w:val="auto"/>
          <w:kern w:val="0"/>
          <w:sz w:val="20"/>
          <w:szCs w:val="20"/>
          <w:highlight w:val="none"/>
        </w:rPr>
      </w:pPr>
    </w:p>
    <w:p w14:paraId="12F52728">
      <w:pPr>
        <w:autoSpaceDE w:val="0"/>
        <w:autoSpaceDN w:val="0"/>
        <w:adjustRightInd w:val="0"/>
        <w:snapToGrid w:val="0"/>
        <w:spacing w:line="360" w:lineRule="auto"/>
        <w:jc w:val="left"/>
        <w:rPr>
          <w:rFonts w:ascii="宋体" w:hAnsi="宋体"/>
          <w:b/>
          <w:color w:val="auto"/>
          <w:kern w:val="0"/>
          <w:sz w:val="20"/>
          <w:szCs w:val="20"/>
          <w:highlight w:val="none"/>
        </w:rPr>
      </w:pPr>
    </w:p>
    <w:p w14:paraId="27DA3FC0">
      <w:pPr>
        <w:autoSpaceDE w:val="0"/>
        <w:autoSpaceDN w:val="0"/>
        <w:adjustRightInd w:val="0"/>
        <w:snapToGrid w:val="0"/>
        <w:spacing w:line="360" w:lineRule="auto"/>
        <w:jc w:val="left"/>
        <w:rPr>
          <w:rFonts w:ascii="宋体" w:hAnsi="宋体"/>
          <w:b/>
          <w:color w:val="auto"/>
          <w:kern w:val="0"/>
          <w:sz w:val="20"/>
          <w:szCs w:val="20"/>
          <w:highlight w:val="none"/>
        </w:rPr>
      </w:pPr>
    </w:p>
    <w:p w14:paraId="6D24FFF9">
      <w:pPr>
        <w:autoSpaceDE w:val="0"/>
        <w:autoSpaceDN w:val="0"/>
        <w:adjustRightInd w:val="0"/>
        <w:snapToGrid w:val="0"/>
        <w:spacing w:line="360" w:lineRule="auto"/>
        <w:jc w:val="left"/>
        <w:rPr>
          <w:rFonts w:ascii="宋体" w:hAnsi="宋体"/>
          <w:b/>
          <w:color w:val="auto"/>
          <w:kern w:val="0"/>
          <w:sz w:val="20"/>
          <w:szCs w:val="20"/>
          <w:highlight w:val="none"/>
        </w:rPr>
      </w:pPr>
    </w:p>
    <w:p w14:paraId="329EC0CF">
      <w:pPr>
        <w:autoSpaceDE w:val="0"/>
        <w:autoSpaceDN w:val="0"/>
        <w:adjustRightInd w:val="0"/>
        <w:snapToGrid w:val="0"/>
        <w:spacing w:line="360" w:lineRule="auto"/>
        <w:jc w:val="left"/>
        <w:rPr>
          <w:rFonts w:ascii="宋体" w:hAnsi="宋体"/>
          <w:b/>
          <w:color w:val="auto"/>
          <w:kern w:val="0"/>
          <w:sz w:val="20"/>
          <w:szCs w:val="20"/>
          <w:highlight w:val="none"/>
        </w:rPr>
      </w:pPr>
    </w:p>
    <w:p w14:paraId="55CFC7B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6F04D82">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117DE90">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F022013">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181B920">
      <w:pPr>
        <w:autoSpaceDE w:val="0"/>
        <w:autoSpaceDN w:val="0"/>
        <w:adjustRightInd w:val="0"/>
        <w:snapToGrid w:val="0"/>
        <w:spacing w:line="360" w:lineRule="auto"/>
        <w:jc w:val="left"/>
        <w:rPr>
          <w:rFonts w:ascii="宋体" w:hAnsi="宋体"/>
          <w:color w:val="auto"/>
          <w:kern w:val="0"/>
          <w:sz w:val="24"/>
          <w:szCs w:val="21"/>
          <w:highlight w:val="none"/>
        </w:rPr>
      </w:pPr>
    </w:p>
    <w:p w14:paraId="0405BE8C">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7F3ED5C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7A1B3A2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45E50835">
      <w:pPr>
        <w:autoSpaceDE w:val="0"/>
        <w:autoSpaceDN w:val="0"/>
        <w:adjustRightInd w:val="0"/>
        <w:snapToGrid w:val="0"/>
        <w:spacing w:line="360" w:lineRule="auto"/>
        <w:jc w:val="left"/>
        <w:rPr>
          <w:rFonts w:ascii="宋体" w:hAnsi="宋体"/>
          <w:color w:val="auto"/>
          <w:w w:val="99"/>
          <w:kern w:val="0"/>
          <w:sz w:val="28"/>
          <w:szCs w:val="28"/>
          <w:highlight w:val="none"/>
        </w:rPr>
      </w:pPr>
    </w:p>
    <w:p w14:paraId="35D0043C">
      <w:pPr>
        <w:pStyle w:val="5"/>
        <w:spacing w:before="0" w:after="0" w:line="400" w:lineRule="exact"/>
        <w:jc w:val="center"/>
        <w:rPr>
          <w:rFonts w:ascii="宋体" w:hAnsi="宋体"/>
          <w:b w:val="0"/>
          <w:color w:val="auto"/>
          <w:highlight w:val="none"/>
        </w:rPr>
      </w:pPr>
      <w:bookmarkStart w:id="769" w:name="_Toc277082643"/>
      <w:bookmarkStart w:id="770" w:name="_Toc287607867"/>
      <w:bookmarkStart w:id="771" w:name="_Toc224103495"/>
      <w:bookmarkStart w:id="772" w:name="_Toc430530530"/>
      <w:bookmarkStart w:id="773" w:name="_Toc287620814"/>
      <w:bookmarkStart w:id="774" w:name="_Toc534185831"/>
      <w:bookmarkStart w:id="775" w:name="_Toc509218854"/>
      <w:r>
        <w:rPr>
          <w:rFonts w:ascii="宋体" w:hAnsi="宋体"/>
          <w:color w:val="auto"/>
          <w:highlight w:val="none"/>
        </w:rPr>
        <w:br w:type="page"/>
      </w:r>
      <w:bookmarkStart w:id="776" w:name="_Toc26071"/>
      <w:bookmarkStart w:id="777" w:name="_Toc14548"/>
      <w:r>
        <w:rPr>
          <w:rFonts w:hint="eastAsia"/>
          <w:color w:val="auto"/>
          <w:highlight w:val="none"/>
        </w:rPr>
        <w:t>（一）投标函</w:t>
      </w:r>
      <w:bookmarkEnd w:id="769"/>
      <w:bookmarkEnd w:id="770"/>
      <w:bookmarkEnd w:id="771"/>
      <w:bookmarkEnd w:id="772"/>
      <w:bookmarkEnd w:id="773"/>
      <w:bookmarkEnd w:id="774"/>
      <w:bookmarkEnd w:id="775"/>
      <w:bookmarkEnd w:id="776"/>
      <w:bookmarkEnd w:id="777"/>
    </w:p>
    <w:p w14:paraId="5E88856E">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549D6D01">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p>
    <w:p w14:paraId="139F3C27">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在投标有效期内不修改、撤销投标文件。</w:t>
      </w:r>
    </w:p>
    <w:p w14:paraId="0C3F987F">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E0FB5B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0E32D57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5004099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规定向你方递交履约担保。</w:t>
      </w:r>
    </w:p>
    <w:p w14:paraId="31B3805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ECAAB3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第七章 技术标准和要求中所列的技术指标和参数要求完成全部合同工程。</w:t>
      </w:r>
    </w:p>
    <w:p w14:paraId="7079076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A44EE9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7B750C50">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C7884B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674EDE30">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7E4559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CB56CE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6345E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C4EF2C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A6F0B6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9F6CAD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3F1326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0D3A0F6D">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29944AB9">
      <w:pPr>
        <w:pStyle w:val="5"/>
        <w:jc w:val="center"/>
        <w:rPr>
          <w:rFonts w:ascii="宋体" w:hAnsi="宋体"/>
          <w:snapToGrid w:val="0"/>
          <w:color w:val="auto"/>
          <w:kern w:val="0"/>
          <w:szCs w:val="21"/>
          <w:highlight w:val="none"/>
        </w:rPr>
      </w:pPr>
      <w:bookmarkStart w:id="778" w:name="_Toc224103496"/>
      <w:bookmarkStart w:id="779" w:name="_Toc287620815"/>
      <w:bookmarkStart w:id="780" w:name="_Toc430530531"/>
      <w:bookmarkStart w:id="781" w:name="_Toc277082644"/>
      <w:bookmarkStart w:id="782" w:name="_Toc287607868"/>
      <w:r>
        <w:rPr>
          <w:rFonts w:ascii="宋体" w:hAnsi="宋体"/>
          <w:color w:val="auto"/>
          <w:sz w:val="28"/>
          <w:highlight w:val="none"/>
        </w:rPr>
        <w:br w:type="page"/>
      </w:r>
      <w:bookmarkStart w:id="783" w:name="_Toc534185832"/>
      <w:bookmarkStart w:id="784" w:name="_Toc17361"/>
      <w:bookmarkStart w:id="785" w:name="_Toc509218855"/>
      <w:bookmarkStart w:id="786" w:name="_Toc30967"/>
      <w:r>
        <w:rPr>
          <w:color w:val="auto"/>
          <w:highlight w:val="none"/>
        </w:rPr>
        <w:t>（二）投标函附录</w:t>
      </w:r>
      <w:bookmarkEnd w:id="778"/>
      <w:bookmarkEnd w:id="779"/>
      <w:bookmarkEnd w:id="780"/>
      <w:bookmarkEnd w:id="781"/>
      <w:bookmarkEnd w:id="782"/>
      <w:bookmarkEnd w:id="783"/>
      <w:bookmarkEnd w:id="784"/>
      <w:bookmarkEnd w:id="785"/>
      <w:bookmarkEnd w:id="786"/>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2C796F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FB9C42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53EF9D6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1899A07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7F0815C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1D717DB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03C11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401D1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1AB99B2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4164224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582D0A45">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1250DC43">
            <w:pPr>
              <w:autoSpaceDE w:val="0"/>
              <w:autoSpaceDN w:val="0"/>
              <w:adjustRightInd w:val="0"/>
              <w:jc w:val="center"/>
              <w:rPr>
                <w:rFonts w:ascii="宋体" w:hAnsi="宋体"/>
                <w:snapToGrid w:val="0"/>
                <w:color w:val="auto"/>
                <w:kern w:val="0"/>
                <w:szCs w:val="21"/>
                <w:highlight w:val="none"/>
              </w:rPr>
            </w:pPr>
          </w:p>
        </w:tc>
      </w:tr>
      <w:tr w14:paraId="77766F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5DD78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6E5D65D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63611851">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4.3</w:t>
            </w:r>
          </w:p>
        </w:tc>
        <w:tc>
          <w:tcPr>
            <w:tcW w:w="2987" w:type="dxa"/>
            <w:vAlign w:val="center"/>
          </w:tcPr>
          <w:p w14:paraId="60FA3FC9">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3B4DAA02">
            <w:pPr>
              <w:autoSpaceDE w:val="0"/>
              <w:autoSpaceDN w:val="0"/>
              <w:adjustRightInd w:val="0"/>
              <w:jc w:val="center"/>
              <w:rPr>
                <w:rFonts w:ascii="宋体" w:hAnsi="宋体"/>
                <w:snapToGrid w:val="0"/>
                <w:color w:val="auto"/>
                <w:kern w:val="0"/>
                <w:szCs w:val="21"/>
                <w:highlight w:val="none"/>
              </w:rPr>
            </w:pPr>
          </w:p>
        </w:tc>
      </w:tr>
      <w:tr w14:paraId="6FE3FA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08764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5A2B0235">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4E22089C">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13</w:t>
            </w:r>
            <w:r>
              <w:rPr>
                <w:rFonts w:hint="eastAsia" w:ascii="宋体" w:hAnsi="宋体"/>
                <w:snapToGrid w:val="0"/>
                <w:color w:val="auto"/>
                <w:kern w:val="0"/>
                <w:szCs w:val="21"/>
                <w:highlight w:val="none"/>
              </w:rPr>
              <w:t>.1</w:t>
            </w:r>
          </w:p>
        </w:tc>
        <w:tc>
          <w:tcPr>
            <w:tcW w:w="2987" w:type="dxa"/>
            <w:vAlign w:val="center"/>
          </w:tcPr>
          <w:p w14:paraId="2EF23A1F">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02A0081B">
            <w:pPr>
              <w:autoSpaceDE w:val="0"/>
              <w:autoSpaceDN w:val="0"/>
              <w:adjustRightInd w:val="0"/>
              <w:jc w:val="center"/>
              <w:rPr>
                <w:rFonts w:ascii="宋体" w:hAnsi="宋体"/>
                <w:snapToGrid w:val="0"/>
                <w:color w:val="auto"/>
                <w:kern w:val="0"/>
                <w:szCs w:val="21"/>
                <w:highlight w:val="none"/>
              </w:rPr>
            </w:pPr>
          </w:p>
        </w:tc>
      </w:tr>
      <w:tr w14:paraId="190FA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7729A9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14FDF52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6843736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86CAF5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2B7519D3">
            <w:pPr>
              <w:autoSpaceDE w:val="0"/>
              <w:autoSpaceDN w:val="0"/>
              <w:adjustRightInd w:val="0"/>
              <w:jc w:val="center"/>
              <w:rPr>
                <w:rFonts w:ascii="宋体" w:hAnsi="宋体"/>
                <w:snapToGrid w:val="0"/>
                <w:color w:val="auto"/>
                <w:kern w:val="0"/>
                <w:szCs w:val="21"/>
                <w:highlight w:val="none"/>
              </w:rPr>
            </w:pPr>
          </w:p>
        </w:tc>
      </w:tr>
      <w:tr w14:paraId="41BB9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026BA3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92F6C5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1DBCD6C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00A5397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50B56C6C">
            <w:pPr>
              <w:autoSpaceDE w:val="0"/>
              <w:autoSpaceDN w:val="0"/>
              <w:adjustRightInd w:val="0"/>
              <w:jc w:val="center"/>
              <w:rPr>
                <w:rFonts w:ascii="宋体" w:hAnsi="宋体"/>
                <w:snapToGrid w:val="0"/>
                <w:color w:val="auto"/>
                <w:kern w:val="0"/>
                <w:szCs w:val="21"/>
                <w:highlight w:val="none"/>
              </w:rPr>
            </w:pPr>
          </w:p>
        </w:tc>
      </w:tr>
    </w:tbl>
    <w:p w14:paraId="63D1514D">
      <w:pPr>
        <w:spacing w:line="360" w:lineRule="auto"/>
        <w:rPr>
          <w:rFonts w:ascii="宋体" w:hAnsi="宋体"/>
          <w:snapToGrid w:val="0"/>
          <w:color w:val="auto"/>
          <w:w w:val="99"/>
          <w:highlight w:val="none"/>
        </w:rPr>
      </w:pPr>
    </w:p>
    <w:p w14:paraId="68776135">
      <w:pPr>
        <w:spacing w:line="360" w:lineRule="auto"/>
        <w:rPr>
          <w:rFonts w:ascii="宋体" w:hAnsi="宋体"/>
          <w:snapToGrid w:val="0"/>
          <w:color w:val="auto"/>
          <w:highlight w:val="none"/>
        </w:rPr>
      </w:pPr>
    </w:p>
    <w:p w14:paraId="36B0A9C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07D0ACA9">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7073D38C">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7D5A98AD">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348E826D">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787" w:name="_Toc8650"/>
      <w:bookmarkStart w:id="788" w:name="_Toc277082645"/>
      <w:bookmarkStart w:id="789" w:name="_Toc13127"/>
      <w:bookmarkStart w:id="790" w:name="_Toc430530532"/>
      <w:bookmarkStart w:id="791" w:name="_Toc224103497"/>
      <w:bookmarkStart w:id="792" w:name="_Toc287607869"/>
      <w:bookmarkStart w:id="793" w:name="_Toc287620816"/>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787"/>
      <w:bookmarkEnd w:id="788"/>
      <w:bookmarkEnd w:id="789"/>
      <w:bookmarkEnd w:id="790"/>
      <w:bookmarkEnd w:id="791"/>
      <w:bookmarkEnd w:id="792"/>
      <w:bookmarkEnd w:id="793"/>
    </w:p>
    <w:p w14:paraId="3A987E4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2DB3B63">
      <w:pPr>
        <w:spacing w:line="480" w:lineRule="auto"/>
        <w:jc w:val="center"/>
        <w:rPr>
          <w:rFonts w:ascii="宋体" w:hAnsi="宋体"/>
          <w:color w:val="auto"/>
          <w:highlight w:val="none"/>
        </w:rPr>
      </w:pPr>
    </w:p>
    <w:p w14:paraId="1BB9E1C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87E4E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A4BD6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61708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E46EBD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D5D90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F03DAB5">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0F3206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C33A2B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EF4560C">
      <w:pPr>
        <w:pStyle w:val="2"/>
        <w:spacing w:after="0" w:line="360" w:lineRule="auto"/>
        <w:rPr>
          <w:rFonts w:ascii="宋体" w:hAnsi="宋体"/>
          <w:color w:val="auto"/>
          <w:szCs w:val="21"/>
          <w:highlight w:val="none"/>
        </w:rPr>
      </w:pPr>
    </w:p>
    <w:p w14:paraId="2DCEE965">
      <w:pPr>
        <w:pStyle w:val="2"/>
        <w:spacing w:after="0" w:line="360" w:lineRule="auto"/>
        <w:rPr>
          <w:rFonts w:ascii="宋体" w:hAnsi="宋体"/>
          <w:color w:val="auto"/>
          <w:szCs w:val="21"/>
          <w:highlight w:val="none"/>
        </w:rPr>
      </w:pPr>
    </w:p>
    <w:p w14:paraId="10ADB8AF">
      <w:pPr>
        <w:pStyle w:val="2"/>
        <w:spacing w:after="0" w:line="360" w:lineRule="auto"/>
        <w:rPr>
          <w:rFonts w:ascii="宋体" w:hAnsi="宋体"/>
          <w:color w:val="auto"/>
          <w:szCs w:val="21"/>
          <w:highlight w:val="none"/>
        </w:rPr>
      </w:pPr>
    </w:p>
    <w:p w14:paraId="3AEBA763">
      <w:pPr>
        <w:pStyle w:val="2"/>
        <w:spacing w:after="0" w:line="360" w:lineRule="auto"/>
        <w:rPr>
          <w:rFonts w:ascii="宋体" w:hAnsi="宋体"/>
          <w:color w:val="auto"/>
          <w:szCs w:val="21"/>
          <w:highlight w:val="none"/>
        </w:rPr>
      </w:pPr>
    </w:p>
    <w:p w14:paraId="778E7CC8">
      <w:pPr>
        <w:pStyle w:val="2"/>
        <w:spacing w:after="0" w:line="360" w:lineRule="auto"/>
        <w:rPr>
          <w:rFonts w:ascii="宋体" w:hAnsi="宋体"/>
          <w:color w:val="auto"/>
          <w:szCs w:val="21"/>
          <w:highlight w:val="none"/>
        </w:rPr>
      </w:pPr>
    </w:p>
    <w:p w14:paraId="43E98CE0">
      <w:pPr>
        <w:pStyle w:val="2"/>
        <w:spacing w:after="0" w:line="360" w:lineRule="auto"/>
        <w:rPr>
          <w:rFonts w:ascii="宋体" w:hAnsi="宋体"/>
          <w:color w:val="auto"/>
          <w:szCs w:val="21"/>
          <w:highlight w:val="none"/>
        </w:rPr>
      </w:pPr>
    </w:p>
    <w:p w14:paraId="5B9A1ABF">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2FE1BEA">
      <w:pPr>
        <w:autoSpaceDE w:val="0"/>
        <w:autoSpaceDN w:val="0"/>
        <w:adjustRightInd w:val="0"/>
        <w:snapToGrid w:val="0"/>
        <w:spacing w:line="480" w:lineRule="auto"/>
        <w:jc w:val="left"/>
        <w:rPr>
          <w:rFonts w:ascii="宋体" w:hAnsi="宋体"/>
          <w:color w:val="auto"/>
          <w:kern w:val="0"/>
          <w:sz w:val="20"/>
          <w:szCs w:val="20"/>
          <w:highlight w:val="none"/>
        </w:rPr>
      </w:pPr>
    </w:p>
    <w:p w14:paraId="4418B97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14B785D">
      <w:pPr>
        <w:autoSpaceDE w:val="0"/>
        <w:autoSpaceDN w:val="0"/>
        <w:adjustRightInd w:val="0"/>
        <w:snapToGrid w:val="0"/>
        <w:spacing w:line="360" w:lineRule="auto"/>
        <w:jc w:val="left"/>
        <w:rPr>
          <w:rFonts w:ascii="宋体" w:hAnsi="宋体"/>
          <w:color w:val="auto"/>
          <w:kern w:val="0"/>
          <w:highlight w:val="none"/>
        </w:rPr>
      </w:pPr>
    </w:p>
    <w:p w14:paraId="31F8ED87">
      <w:pPr>
        <w:autoSpaceDE w:val="0"/>
        <w:autoSpaceDN w:val="0"/>
        <w:adjustRightInd w:val="0"/>
        <w:snapToGrid w:val="0"/>
        <w:spacing w:line="360" w:lineRule="auto"/>
        <w:jc w:val="left"/>
        <w:rPr>
          <w:rFonts w:ascii="宋体" w:hAnsi="宋体"/>
          <w:color w:val="auto"/>
          <w:kern w:val="0"/>
          <w:highlight w:val="none"/>
        </w:rPr>
      </w:pPr>
    </w:p>
    <w:p w14:paraId="6522038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18C9CC5">
      <w:pPr>
        <w:autoSpaceDE w:val="0"/>
        <w:autoSpaceDN w:val="0"/>
        <w:adjustRightInd w:val="0"/>
        <w:snapToGrid w:val="0"/>
        <w:spacing w:line="360" w:lineRule="auto"/>
        <w:jc w:val="left"/>
        <w:rPr>
          <w:rFonts w:ascii="宋体" w:hAnsi="宋体"/>
          <w:color w:val="auto"/>
          <w:kern w:val="0"/>
          <w:highlight w:val="none"/>
        </w:rPr>
      </w:pPr>
    </w:p>
    <w:p w14:paraId="516A1FF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E2FC74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B95B67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4FFE5D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130E4C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B96997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C1FA8E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FD89C4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3074F5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DDCD3A7">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5B82747">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07CC7F0">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56B884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21012B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2CEC64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C6F89B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DDC4E8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8AD02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9C29D5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FBD26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6F5DFA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0E954DD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7F8B2032">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9659A80">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34A3F39E">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0C54545">
      <w:pPr>
        <w:spacing w:line="360" w:lineRule="auto"/>
        <w:ind w:firstLine="420" w:firstLineChars="200"/>
        <w:rPr>
          <w:rFonts w:ascii="宋体" w:hAnsi="宋体"/>
          <w:color w:val="auto"/>
          <w:highlight w:val="none"/>
        </w:rPr>
      </w:pPr>
      <w:r>
        <w:rPr>
          <w:rFonts w:ascii="宋体" w:hAnsi="宋体"/>
          <w:color w:val="auto"/>
          <w:highlight w:val="none"/>
        </w:rPr>
        <w:br w:type="page"/>
      </w:r>
    </w:p>
    <w:p w14:paraId="5AB143E3">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794" w:name="_Toc287607872"/>
      <w:bookmarkStart w:id="795" w:name="_Toc287620819"/>
      <w:bookmarkStart w:id="796" w:name="_Toc430530534"/>
      <w:bookmarkStart w:id="797" w:name="_Toc224103500"/>
    </w:p>
    <w:p w14:paraId="7F8A1CFD">
      <w:pPr>
        <w:pStyle w:val="4"/>
        <w:spacing w:line="360" w:lineRule="auto"/>
        <w:jc w:val="center"/>
        <w:rPr>
          <w:rFonts w:ascii="宋体" w:hAnsi="宋体"/>
          <w:b w:val="0"/>
          <w:bCs w:val="0"/>
          <w:color w:val="auto"/>
          <w:sz w:val="44"/>
          <w:szCs w:val="44"/>
          <w:highlight w:val="none"/>
        </w:rPr>
      </w:pPr>
      <w:bookmarkStart w:id="798" w:name="_Toc29522"/>
      <w:bookmarkStart w:id="799" w:name="_Toc23891"/>
      <w:r>
        <w:rPr>
          <w:rFonts w:hint="eastAsia" w:ascii="宋体" w:hAnsi="宋体"/>
          <w:b w:val="0"/>
          <w:bCs w:val="0"/>
          <w:color w:val="auto"/>
          <w:sz w:val="44"/>
          <w:szCs w:val="44"/>
          <w:highlight w:val="none"/>
          <w:lang w:eastAsia="zh-CN"/>
        </w:rPr>
        <w:t>二</w:t>
      </w:r>
      <w:r>
        <w:rPr>
          <w:rFonts w:hint="eastAsia" w:ascii="宋体" w:hAnsi="宋体"/>
          <w:b w:val="0"/>
          <w:bCs w:val="0"/>
          <w:color w:val="auto"/>
          <w:sz w:val="44"/>
          <w:szCs w:val="44"/>
          <w:highlight w:val="none"/>
        </w:rPr>
        <w:t>、经济部分</w:t>
      </w:r>
      <w:bookmarkEnd w:id="794"/>
      <w:bookmarkEnd w:id="795"/>
      <w:bookmarkEnd w:id="796"/>
      <w:bookmarkEnd w:id="797"/>
      <w:bookmarkEnd w:id="798"/>
      <w:bookmarkEnd w:id="799"/>
    </w:p>
    <w:p w14:paraId="68A5F98C">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7AE19A5">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80FDABB">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DD2C97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22A350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19CEFE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E3DC46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B2158A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91EF754">
      <w:pPr>
        <w:autoSpaceDE w:val="0"/>
        <w:autoSpaceDN w:val="0"/>
        <w:adjustRightInd w:val="0"/>
        <w:snapToGrid w:val="0"/>
        <w:spacing w:line="360" w:lineRule="auto"/>
        <w:jc w:val="left"/>
        <w:rPr>
          <w:rFonts w:ascii="宋体" w:hAnsi="宋体"/>
          <w:color w:val="auto"/>
          <w:kern w:val="0"/>
          <w:sz w:val="16"/>
          <w:szCs w:val="16"/>
          <w:highlight w:val="none"/>
        </w:rPr>
      </w:pPr>
    </w:p>
    <w:p w14:paraId="75CE586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7872CC60">
      <w:pPr>
        <w:autoSpaceDE w:val="0"/>
        <w:autoSpaceDN w:val="0"/>
        <w:adjustRightInd w:val="0"/>
        <w:snapToGrid w:val="0"/>
        <w:spacing w:line="360" w:lineRule="auto"/>
        <w:jc w:val="left"/>
        <w:rPr>
          <w:rFonts w:ascii="宋体" w:hAnsi="宋体"/>
          <w:b/>
          <w:color w:val="auto"/>
          <w:kern w:val="0"/>
          <w:sz w:val="20"/>
          <w:szCs w:val="20"/>
          <w:highlight w:val="none"/>
        </w:rPr>
      </w:pPr>
    </w:p>
    <w:p w14:paraId="27AB7CD7">
      <w:pPr>
        <w:autoSpaceDE w:val="0"/>
        <w:autoSpaceDN w:val="0"/>
        <w:adjustRightInd w:val="0"/>
        <w:snapToGrid w:val="0"/>
        <w:spacing w:line="360" w:lineRule="auto"/>
        <w:jc w:val="left"/>
        <w:rPr>
          <w:rFonts w:ascii="宋体" w:hAnsi="宋体"/>
          <w:b/>
          <w:color w:val="auto"/>
          <w:kern w:val="0"/>
          <w:sz w:val="20"/>
          <w:szCs w:val="20"/>
          <w:highlight w:val="none"/>
        </w:rPr>
      </w:pPr>
    </w:p>
    <w:p w14:paraId="44B78CC8">
      <w:pPr>
        <w:autoSpaceDE w:val="0"/>
        <w:autoSpaceDN w:val="0"/>
        <w:adjustRightInd w:val="0"/>
        <w:snapToGrid w:val="0"/>
        <w:spacing w:line="360" w:lineRule="auto"/>
        <w:jc w:val="left"/>
        <w:rPr>
          <w:rFonts w:ascii="宋体" w:hAnsi="宋体"/>
          <w:b/>
          <w:color w:val="auto"/>
          <w:kern w:val="0"/>
          <w:sz w:val="20"/>
          <w:szCs w:val="20"/>
          <w:highlight w:val="none"/>
        </w:rPr>
      </w:pPr>
    </w:p>
    <w:p w14:paraId="78737B4A">
      <w:pPr>
        <w:autoSpaceDE w:val="0"/>
        <w:autoSpaceDN w:val="0"/>
        <w:adjustRightInd w:val="0"/>
        <w:snapToGrid w:val="0"/>
        <w:spacing w:line="360" w:lineRule="auto"/>
        <w:jc w:val="left"/>
        <w:rPr>
          <w:rFonts w:ascii="宋体" w:hAnsi="宋体"/>
          <w:b/>
          <w:color w:val="auto"/>
          <w:kern w:val="0"/>
          <w:sz w:val="20"/>
          <w:szCs w:val="20"/>
          <w:highlight w:val="none"/>
        </w:rPr>
      </w:pPr>
    </w:p>
    <w:p w14:paraId="67BDA8FA">
      <w:pPr>
        <w:autoSpaceDE w:val="0"/>
        <w:autoSpaceDN w:val="0"/>
        <w:adjustRightInd w:val="0"/>
        <w:snapToGrid w:val="0"/>
        <w:spacing w:line="360" w:lineRule="auto"/>
        <w:jc w:val="left"/>
        <w:rPr>
          <w:rFonts w:ascii="宋体" w:hAnsi="宋体"/>
          <w:b/>
          <w:color w:val="auto"/>
          <w:kern w:val="0"/>
          <w:sz w:val="20"/>
          <w:szCs w:val="20"/>
          <w:highlight w:val="none"/>
        </w:rPr>
      </w:pPr>
    </w:p>
    <w:p w14:paraId="168552A3">
      <w:pPr>
        <w:autoSpaceDE w:val="0"/>
        <w:autoSpaceDN w:val="0"/>
        <w:adjustRightInd w:val="0"/>
        <w:snapToGrid w:val="0"/>
        <w:spacing w:line="360" w:lineRule="auto"/>
        <w:jc w:val="left"/>
        <w:rPr>
          <w:rFonts w:ascii="宋体" w:hAnsi="宋体"/>
          <w:b/>
          <w:color w:val="auto"/>
          <w:kern w:val="0"/>
          <w:sz w:val="20"/>
          <w:szCs w:val="20"/>
          <w:highlight w:val="none"/>
        </w:rPr>
      </w:pPr>
    </w:p>
    <w:p w14:paraId="2E2C472F">
      <w:pPr>
        <w:autoSpaceDE w:val="0"/>
        <w:autoSpaceDN w:val="0"/>
        <w:adjustRightInd w:val="0"/>
        <w:snapToGrid w:val="0"/>
        <w:spacing w:line="360" w:lineRule="auto"/>
        <w:jc w:val="left"/>
        <w:rPr>
          <w:rFonts w:ascii="宋体" w:hAnsi="宋体"/>
          <w:b/>
          <w:color w:val="auto"/>
          <w:kern w:val="0"/>
          <w:sz w:val="20"/>
          <w:szCs w:val="20"/>
          <w:highlight w:val="none"/>
        </w:rPr>
      </w:pPr>
    </w:p>
    <w:p w14:paraId="2420A9A5">
      <w:pPr>
        <w:autoSpaceDE w:val="0"/>
        <w:autoSpaceDN w:val="0"/>
        <w:adjustRightInd w:val="0"/>
        <w:snapToGrid w:val="0"/>
        <w:spacing w:line="360" w:lineRule="auto"/>
        <w:jc w:val="left"/>
        <w:rPr>
          <w:rFonts w:ascii="宋体" w:hAnsi="宋体"/>
          <w:b/>
          <w:color w:val="auto"/>
          <w:kern w:val="0"/>
          <w:sz w:val="20"/>
          <w:szCs w:val="20"/>
          <w:highlight w:val="none"/>
        </w:rPr>
      </w:pPr>
    </w:p>
    <w:p w14:paraId="320465A8">
      <w:pPr>
        <w:autoSpaceDE w:val="0"/>
        <w:autoSpaceDN w:val="0"/>
        <w:adjustRightInd w:val="0"/>
        <w:snapToGrid w:val="0"/>
        <w:spacing w:line="360" w:lineRule="auto"/>
        <w:jc w:val="left"/>
        <w:rPr>
          <w:rFonts w:ascii="宋体" w:hAnsi="宋体"/>
          <w:b/>
          <w:color w:val="auto"/>
          <w:kern w:val="0"/>
          <w:sz w:val="20"/>
          <w:szCs w:val="20"/>
          <w:highlight w:val="none"/>
        </w:rPr>
      </w:pPr>
    </w:p>
    <w:p w14:paraId="4A0AA9CD">
      <w:pPr>
        <w:autoSpaceDE w:val="0"/>
        <w:autoSpaceDN w:val="0"/>
        <w:adjustRightInd w:val="0"/>
        <w:snapToGrid w:val="0"/>
        <w:spacing w:line="360" w:lineRule="auto"/>
        <w:jc w:val="left"/>
        <w:rPr>
          <w:rFonts w:ascii="宋体" w:hAnsi="宋体"/>
          <w:b/>
          <w:color w:val="auto"/>
          <w:kern w:val="0"/>
          <w:sz w:val="20"/>
          <w:szCs w:val="20"/>
          <w:highlight w:val="none"/>
        </w:rPr>
      </w:pPr>
    </w:p>
    <w:p w14:paraId="744C8033">
      <w:pPr>
        <w:autoSpaceDE w:val="0"/>
        <w:autoSpaceDN w:val="0"/>
        <w:adjustRightInd w:val="0"/>
        <w:snapToGrid w:val="0"/>
        <w:spacing w:line="360" w:lineRule="auto"/>
        <w:jc w:val="left"/>
        <w:rPr>
          <w:rFonts w:ascii="宋体" w:hAnsi="宋体"/>
          <w:b/>
          <w:color w:val="auto"/>
          <w:kern w:val="0"/>
          <w:sz w:val="20"/>
          <w:szCs w:val="20"/>
          <w:highlight w:val="none"/>
        </w:rPr>
      </w:pPr>
    </w:p>
    <w:p w14:paraId="732CA35C">
      <w:pPr>
        <w:autoSpaceDE w:val="0"/>
        <w:autoSpaceDN w:val="0"/>
        <w:adjustRightInd w:val="0"/>
        <w:snapToGrid w:val="0"/>
        <w:spacing w:line="360" w:lineRule="auto"/>
        <w:jc w:val="left"/>
        <w:rPr>
          <w:rFonts w:ascii="宋体" w:hAnsi="宋体"/>
          <w:b/>
          <w:color w:val="auto"/>
          <w:kern w:val="0"/>
          <w:sz w:val="20"/>
          <w:szCs w:val="20"/>
          <w:highlight w:val="none"/>
        </w:rPr>
      </w:pPr>
    </w:p>
    <w:p w14:paraId="665850D8">
      <w:pPr>
        <w:autoSpaceDE w:val="0"/>
        <w:autoSpaceDN w:val="0"/>
        <w:adjustRightInd w:val="0"/>
        <w:snapToGrid w:val="0"/>
        <w:spacing w:line="360" w:lineRule="auto"/>
        <w:jc w:val="left"/>
        <w:rPr>
          <w:rFonts w:ascii="宋体" w:hAnsi="宋体"/>
          <w:b/>
          <w:color w:val="auto"/>
          <w:kern w:val="0"/>
          <w:sz w:val="20"/>
          <w:szCs w:val="20"/>
          <w:highlight w:val="none"/>
        </w:rPr>
      </w:pPr>
    </w:p>
    <w:p w14:paraId="50E8AE3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DD92921">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06CC927">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6103194">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3C40785">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1B5213B9">
      <w:pPr>
        <w:autoSpaceDE w:val="0"/>
        <w:autoSpaceDN w:val="0"/>
        <w:adjustRightInd w:val="0"/>
        <w:snapToGrid w:val="0"/>
        <w:spacing w:line="360" w:lineRule="auto"/>
        <w:jc w:val="left"/>
        <w:rPr>
          <w:rFonts w:ascii="宋体" w:hAnsi="宋体"/>
          <w:color w:val="auto"/>
          <w:kern w:val="0"/>
          <w:szCs w:val="21"/>
          <w:highlight w:val="none"/>
        </w:rPr>
      </w:pPr>
    </w:p>
    <w:p w14:paraId="79E28E5E">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31D867B0">
      <w:pPr>
        <w:autoSpaceDE w:val="0"/>
        <w:autoSpaceDN w:val="0"/>
        <w:adjustRightInd w:val="0"/>
        <w:snapToGrid w:val="0"/>
        <w:spacing w:line="360" w:lineRule="auto"/>
        <w:jc w:val="left"/>
        <w:rPr>
          <w:rFonts w:ascii="宋体" w:hAnsi="宋体"/>
          <w:color w:val="auto"/>
          <w:w w:val="99"/>
          <w:kern w:val="0"/>
          <w:sz w:val="28"/>
          <w:szCs w:val="28"/>
          <w:highlight w:val="none"/>
        </w:rPr>
      </w:pPr>
    </w:p>
    <w:p w14:paraId="0F094517">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800" w:name="_Toc287607873"/>
      <w:bookmarkStart w:id="801" w:name="_Toc287620820"/>
      <w:bookmarkStart w:id="802" w:name="_Toc430530535"/>
      <w:bookmarkStart w:id="803" w:name="_Toc277082648"/>
      <w:bookmarkStart w:id="804" w:name="_Toc224103501"/>
    </w:p>
    <w:p w14:paraId="1C145CD1">
      <w:pPr>
        <w:pStyle w:val="5"/>
        <w:jc w:val="center"/>
        <w:rPr>
          <w:color w:val="auto"/>
          <w:highlight w:val="none"/>
        </w:rPr>
      </w:pPr>
      <w:bookmarkStart w:id="805" w:name="_Toc28475"/>
      <w:bookmarkStart w:id="806" w:name="_Toc2269"/>
      <w:r>
        <w:rPr>
          <w:rFonts w:hint="eastAsia"/>
          <w:color w:val="auto"/>
          <w:highlight w:val="none"/>
        </w:rPr>
        <w:t>（一）已标价工程量清单</w:t>
      </w:r>
      <w:bookmarkEnd w:id="800"/>
      <w:bookmarkEnd w:id="801"/>
      <w:bookmarkEnd w:id="802"/>
      <w:bookmarkEnd w:id="803"/>
      <w:bookmarkEnd w:id="804"/>
      <w:bookmarkEnd w:id="805"/>
      <w:bookmarkEnd w:id="806"/>
    </w:p>
    <w:p w14:paraId="7858CE46">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31E5689">
      <w:pPr>
        <w:autoSpaceDE w:val="0"/>
        <w:autoSpaceDN w:val="0"/>
        <w:adjustRightInd w:val="0"/>
        <w:snapToGrid w:val="0"/>
        <w:spacing w:line="360" w:lineRule="auto"/>
        <w:jc w:val="left"/>
        <w:rPr>
          <w:rFonts w:ascii="宋体" w:hAnsi="宋体"/>
          <w:color w:val="auto"/>
          <w:kern w:val="0"/>
          <w:sz w:val="24"/>
          <w:szCs w:val="21"/>
          <w:highlight w:val="none"/>
        </w:rPr>
      </w:pPr>
      <w:bookmarkStart w:id="807" w:name="_Toc287607874"/>
      <w:bookmarkStart w:id="808" w:name="_Toc224103502"/>
      <w:bookmarkStart w:id="809" w:name="_Toc287620821"/>
      <w:bookmarkStart w:id="810" w:name="_Toc430530536"/>
      <w:r>
        <w:rPr>
          <w:rFonts w:ascii="宋体" w:hAnsi="宋体"/>
          <w:color w:val="auto"/>
          <w:highlight w:val="none"/>
        </w:rPr>
        <w:br w:type="page"/>
      </w:r>
    </w:p>
    <w:bookmarkEnd w:id="807"/>
    <w:bookmarkEnd w:id="808"/>
    <w:bookmarkEnd w:id="809"/>
    <w:bookmarkEnd w:id="810"/>
    <w:p w14:paraId="252FF5AE">
      <w:pPr>
        <w:pStyle w:val="4"/>
        <w:spacing w:line="360" w:lineRule="auto"/>
        <w:jc w:val="center"/>
        <w:rPr>
          <w:rFonts w:ascii="宋体" w:hAnsi="宋体"/>
          <w:b w:val="0"/>
          <w:bCs w:val="0"/>
          <w:color w:val="auto"/>
          <w:sz w:val="44"/>
          <w:szCs w:val="44"/>
          <w:highlight w:val="none"/>
        </w:rPr>
      </w:pPr>
      <w:bookmarkStart w:id="811" w:name="_Toc224103510"/>
      <w:bookmarkStart w:id="812" w:name="_Toc287607882"/>
      <w:bookmarkStart w:id="813" w:name="_Toc430530545"/>
      <w:bookmarkStart w:id="814" w:name="_Toc287620829"/>
      <w:bookmarkStart w:id="815" w:name="_Toc277082656"/>
      <w:bookmarkStart w:id="816" w:name="_Toc27141"/>
      <w:bookmarkStart w:id="817" w:name="_Toc1124"/>
      <w:r>
        <w:rPr>
          <w:rFonts w:hint="eastAsia" w:ascii="宋体" w:hAnsi="宋体"/>
          <w:b w:val="0"/>
          <w:bCs w:val="0"/>
          <w:color w:val="auto"/>
          <w:sz w:val="44"/>
          <w:szCs w:val="44"/>
          <w:highlight w:val="none"/>
          <w:lang w:eastAsia="zh-CN"/>
        </w:rPr>
        <w:t>三</w:t>
      </w:r>
      <w:r>
        <w:rPr>
          <w:rFonts w:hint="eastAsia" w:ascii="宋体" w:hAnsi="宋体"/>
          <w:b w:val="0"/>
          <w:bCs w:val="0"/>
          <w:color w:val="auto"/>
          <w:sz w:val="44"/>
          <w:szCs w:val="44"/>
          <w:highlight w:val="none"/>
        </w:rPr>
        <w:t>、</w:t>
      </w:r>
      <w:bookmarkEnd w:id="811"/>
      <w:bookmarkEnd w:id="812"/>
      <w:bookmarkEnd w:id="813"/>
      <w:bookmarkEnd w:id="814"/>
      <w:bookmarkEnd w:id="815"/>
      <w:r>
        <w:rPr>
          <w:rFonts w:hint="eastAsia" w:ascii="宋体" w:hAnsi="宋体"/>
          <w:b w:val="0"/>
          <w:bCs w:val="0"/>
          <w:color w:val="auto"/>
          <w:sz w:val="44"/>
          <w:szCs w:val="44"/>
          <w:highlight w:val="none"/>
        </w:rPr>
        <w:t>资格审查部分</w:t>
      </w:r>
      <w:bookmarkEnd w:id="816"/>
      <w:bookmarkEnd w:id="817"/>
    </w:p>
    <w:p w14:paraId="379A8F96">
      <w:pPr>
        <w:spacing w:line="360" w:lineRule="auto"/>
        <w:rPr>
          <w:rFonts w:ascii="宋体" w:hAnsi="宋体"/>
          <w:color w:val="auto"/>
          <w:sz w:val="32"/>
          <w:szCs w:val="32"/>
          <w:highlight w:val="none"/>
        </w:rPr>
      </w:pPr>
    </w:p>
    <w:p w14:paraId="46AAEA2C">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3F1937A7">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4A823CA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FB7DAD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047998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A723C1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E022F62">
      <w:pPr>
        <w:autoSpaceDE w:val="0"/>
        <w:autoSpaceDN w:val="0"/>
        <w:adjustRightInd w:val="0"/>
        <w:snapToGrid w:val="0"/>
        <w:spacing w:line="360" w:lineRule="auto"/>
        <w:jc w:val="left"/>
        <w:rPr>
          <w:rFonts w:ascii="宋体" w:hAnsi="宋体"/>
          <w:color w:val="auto"/>
          <w:kern w:val="0"/>
          <w:sz w:val="16"/>
          <w:szCs w:val="16"/>
          <w:highlight w:val="none"/>
        </w:rPr>
      </w:pPr>
    </w:p>
    <w:p w14:paraId="7A0A994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0652C99A">
      <w:pPr>
        <w:autoSpaceDE w:val="0"/>
        <w:autoSpaceDN w:val="0"/>
        <w:adjustRightInd w:val="0"/>
        <w:snapToGrid w:val="0"/>
        <w:spacing w:line="360" w:lineRule="auto"/>
        <w:jc w:val="left"/>
        <w:rPr>
          <w:rFonts w:ascii="宋体" w:hAnsi="宋体" w:cs="MingLiU"/>
          <w:color w:val="auto"/>
          <w:kern w:val="0"/>
          <w:sz w:val="20"/>
          <w:szCs w:val="20"/>
          <w:highlight w:val="none"/>
        </w:rPr>
      </w:pPr>
    </w:p>
    <w:p w14:paraId="421DE41E">
      <w:pPr>
        <w:adjustRightInd w:val="0"/>
        <w:snapToGrid w:val="0"/>
        <w:spacing w:line="264" w:lineRule="auto"/>
        <w:rPr>
          <w:rFonts w:ascii="宋体" w:hAnsi="宋体"/>
          <w:color w:val="auto"/>
          <w:szCs w:val="21"/>
          <w:highlight w:val="none"/>
        </w:rPr>
      </w:pPr>
    </w:p>
    <w:p w14:paraId="2C642B71">
      <w:pPr>
        <w:autoSpaceDE w:val="0"/>
        <w:autoSpaceDN w:val="0"/>
        <w:adjustRightInd w:val="0"/>
        <w:snapToGrid w:val="0"/>
        <w:spacing w:line="360" w:lineRule="auto"/>
        <w:jc w:val="left"/>
        <w:rPr>
          <w:rFonts w:ascii="宋体" w:hAnsi="宋体" w:cs="MingLiU"/>
          <w:color w:val="auto"/>
          <w:kern w:val="0"/>
          <w:sz w:val="20"/>
          <w:szCs w:val="20"/>
          <w:highlight w:val="none"/>
        </w:rPr>
      </w:pPr>
    </w:p>
    <w:p w14:paraId="17D29048">
      <w:pPr>
        <w:autoSpaceDE w:val="0"/>
        <w:autoSpaceDN w:val="0"/>
        <w:adjustRightInd w:val="0"/>
        <w:snapToGrid w:val="0"/>
        <w:spacing w:line="360" w:lineRule="auto"/>
        <w:jc w:val="left"/>
        <w:rPr>
          <w:rFonts w:ascii="宋体" w:hAnsi="宋体" w:cs="MingLiU"/>
          <w:color w:val="auto"/>
          <w:kern w:val="0"/>
          <w:sz w:val="20"/>
          <w:szCs w:val="20"/>
          <w:highlight w:val="none"/>
        </w:rPr>
      </w:pPr>
    </w:p>
    <w:p w14:paraId="737197AD">
      <w:pPr>
        <w:autoSpaceDE w:val="0"/>
        <w:autoSpaceDN w:val="0"/>
        <w:adjustRightInd w:val="0"/>
        <w:snapToGrid w:val="0"/>
        <w:spacing w:line="360" w:lineRule="auto"/>
        <w:jc w:val="left"/>
        <w:rPr>
          <w:rFonts w:ascii="宋体" w:hAnsi="宋体" w:cs="MingLiU"/>
          <w:color w:val="auto"/>
          <w:kern w:val="0"/>
          <w:sz w:val="20"/>
          <w:szCs w:val="20"/>
          <w:highlight w:val="none"/>
        </w:rPr>
      </w:pPr>
    </w:p>
    <w:p w14:paraId="38D9FAFC">
      <w:pPr>
        <w:autoSpaceDE w:val="0"/>
        <w:autoSpaceDN w:val="0"/>
        <w:adjustRightInd w:val="0"/>
        <w:snapToGrid w:val="0"/>
        <w:spacing w:line="360" w:lineRule="auto"/>
        <w:jc w:val="left"/>
        <w:rPr>
          <w:rFonts w:ascii="宋体" w:hAnsi="宋体" w:cs="MingLiU"/>
          <w:color w:val="auto"/>
          <w:kern w:val="0"/>
          <w:sz w:val="20"/>
          <w:szCs w:val="20"/>
          <w:highlight w:val="none"/>
        </w:rPr>
      </w:pPr>
    </w:p>
    <w:p w14:paraId="34F11CD1">
      <w:pPr>
        <w:autoSpaceDE w:val="0"/>
        <w:autoSpaceDN w:val="0"/>
        <w:adjustRightInd w:val="0"/>
        <w:snapToGrid w:val="0"/>
        <w:spacing w:line="360" w:lineRule="auto"/>
        <w:jc w:val="left"/>
        <w:rPr>
          <w:rFonts w:ascii="宋体" w:hAnsi="宋体" w:cs="MingLiU"/>
          <w:color w:val="auto"/>
          <w:kern w:val="0"/>
          <w:sz w:val="20"/>
          <w:szCs w:val="20"/>
          <w:highlight w:val="none"/>
        </w:rPr>
      </w:pPr>
    </w:p>
    <w:p w14:paraId="6703BE1F">
      <w:pPr>
        <w:autoSpaceDE w:val="0"/>
        <w:autoSpaceDN w:val="0"/>
        <w:adjustRightInd w:val="0"/>
        <w:snapToGrid w:val="0"/>
        <w:spacing w:line="360" w:lineRule="auto"/>
        <w:jc w:val="left"/>
        <w:rPr>
          <w:rFonts w:ascii="宋体" w:hAnsi="宋体" w:cs="MingLiU"/>
          <w:color w:val="auto"/>
          <w:kern w:val="0"/>
          <w:sz w:val="20"/>
          <w:szCs w:val="20"/>
          <w:highlight w:val="none"/>
        </w:rPr>
      </w:pPr>
    </w:p>
    <w:p w14:paraId="79902EB1">
      <w:pPr>
        <w:autoSpaceDE w:val="0"/>
        <w:autoSpaceDN w:val="0"/>
        <w:adjustRightInd w:val="0"/>
        <w:snapToGrid w:val="0"/>
        <w:spacing w:line="360" w:lineRule="auto"/>
        <w:jc w:val="left"/>
        <w:rPr>
          <w:rFonts w:ascii="宋体" w:hAnsi="宋体" w:cs="MingLiU"/>
          <w:color w:val="auto"/>
          <w:kern w:val="0"/>
          <w:sz w:val="20"/>
          <w:szCs w:val="20"/>
          <w:highlight w:val="none"/>
        </w:rPr>
      </w:pPr>
    </w:p>
    <w:p w14:paraId="34FA2716">
      <w:pPr>
        <w:autoSpaceDE w:val="0"/>
        <w:autoSpaceDN w:val="0"/>
        <w:adjustRightInd w:val="0"/>
        <w:snapToGrid w:val="0"/>
        <w:spacing w:line="360" w:lineRule="auto"/>
        <w:jc w:val="left"/>
        <w:rPr>
          <w:rFonts w:ascii="宋体" w:hAnsi="宋体" w:cs="MingLiU"/>
          <w:color w:val="auto"/>
          <w:kern w:val="0"/>
          <w:sz w:val="20"/>
          <w:szCs w:val="20"/>
          <w:highlight w:val="none"/>
        </w:rPr>
      </w:pPr>
    </w:p>
    <w:p w14:paraId="1592DC8B">
      <w:pPr>
        <w:autoSpaceDE w:val="0"/>
        <w:autoSpaceDN w:val="0"/>
        <w:adjustRightInd w:val="0"/>
        <w:snapToGrid w:val="0"/>
        <w:spacing w:line="360" w:lineRule="auto"/>
        <w:jc w:val="left"/>
        <w:rPr>
          <w:rFonts w:ascii="宋体" w:hAnsi="宋体" w:cs="MingLiU"/>
          <w:color w:val="auto"/>
          <w:kern w:val="0"/>
          <w:sz w:val="20"/>
          <w:szCs w:val="20"/>
          <w:highlight w:val="none"/>
        </w:rPr>
      </w:pPr>
    </w:p>
    <w:p w14:paraId="7B21297C">
      <w:pPr>
        <w:autoSpaceDE w:val="0"/>
        <w:autoSpaceDN w:val="0"/>
        <w:adjustRightInd w:val="0"/>
        <w:snapToGrid w:val="0"/>
        <w:spacing w:line="360" w:lineRule="auto"/>
        <w:jc w:val="left"/>
        <w:rPr>
          <w:rFonts w:ascii="宋体" w:hAnsi="宋体" w:cs="MingLiU"/>
          <w:color w:val="auto"/>
          <w:kern w:val="0"/>
          <w:sz w:val="20"/>
          <w:szCs w:val="20"/>
          <w:highlight w:val="none"/>
        </w:rPr>
      </w:pPr>
    </w:p>
    <w:p w14:paraId="786B97A4">
      <w:pPr>
        <w:autoSpaceDE w:val="0"/>
        <w:autoSpaceDN w:val="0"/>
        <w:adjustRightInd w:val="0"/>
        <w:snapToGrid w:val="0"/>
        <w:spacing w:line="360" w:lineRule="auto"/>
        <w:jc w:val="left"/>
        <w:rPr>
          <w:rFonts w:ascii="宋体" w:hAnsi="宋体" w:cs="MingLiU"/>
          <w:color w:val="auto"/>
          <w:kern w:val="0"/>
          <w:sz w:val="20"/>
          <w:szCs w:val="20"/>
          <w:highlight w:val="none"/>
        </w:rPr>
      </w:pPr>
    </w:p>
    <w:p w14:paraId="428E7127">
      <w:pPr>
        <w:autoSpaceDE w:val="0"/>
        <w:autoSpaceDN w:val="0"/>
        <w:adjustRightInd w:val="0"/>
        <w:snapToGrid w:val="0"/>
        <w:spacing w:line="360" w:lineRule="auto"/>
        <w:jc w:val="left"/>
        <w:rPr>
          <w:rFonts w:ascii="宋体" w:hAnsi="宋体" w:cs="MingLiU"/>
          <w:color w:val="auto"/>
          <w:kern w:val="0"/>
          <w:sz w:val="20"/>
          <w:szCs w:val="20"/>
          <w:highlight w:val="none"/>
        </w:rPr>
      </w:pPr>
    </w:p>
    <w:p w14:paraId="37994F9C">
      <w:pPr>
        <w:autoSpaceDE w:val="0"/>
        <w:autoSpaceDN w:val="0"/>
        <w:adjustRightInd w:val="0"/>
        <w:snapToGrid w:val="0"/>
        <w:spacing w:line="360" w:lineRule="auto"/>
        <w:jc w:val="left"/>
        <w:rPr>
          <w:rFonts w:ascii="宋体" w:hAnsi="宋体" w:cs="MingLiU"/>
          <w:color w:val="auto"/>
          <w:kern w:val="0"/>
          <w:sz w:val="20"/>
          <w:szCs w:val="20"/>
          <w:highlight w:val="none"/>
        </w:rPr>
      </w:pPr>
    </w:p>
    <w:p w14:paraId="1D6450BE">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B30FF4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64CCF64">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3B81B3B">
      <w:pPr>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14:paraId="4FF7112A">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C44AA78">
      <w:pPr>
        <w:spacing w:line="360" w:lineRule="auto"/>
        <w:jc w:val="center"/>
        <w:rPr>
          <w:rFonts w:ascii="宋体" w:hAnsi="宋体"/>
          <w:b/>
          <w:color w:val="auto"/>
          <w:kern w:val="0"/>
          <w:sz w:val="32"/>
          <w:szCs w:val="32"/>
          <w:highlight w:val="none"/>
        </w:rPr>
      </w:pPr>
    </w:p>
    <w:p w14:paraId="061446C7">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4F39692F">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14:paraId="71D319B2">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2DEE8E4B">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47B8D7F4">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75D7F8D8">
      <w:pPr>
        <w:spacing w:line="360" w:lineRule="auto"/>
        <w:jc w:val="center"/>
        <w:rPr>
          <w:rFonts w:ascii="宋体" w:hAnsi="宋体"/>
          <w:b/>
          <w:color w:val="auto"/>
          <w:kern w:val="0"/>
          <w:sz w:val="32"/>
          <w:szCs w:val="32"/>
          <w:highlight w:val="none"/>
        </w:rPr>
      </w:pPr>
    </w:p>
    <w:p w14:paraId="5B32CB5E">
      <w:pPr>
        <w:spacing w:line="360" w:lineRule="auto"/>
        <w:jc w:val="center"/>
        <w:rPr>
          <w:rFonts w:ascii="宋体" w:hAnsi="宋体"/>
          <w:b/>
          <w:color w:val="auto"/>
          <w:kern w:val="0"/>
          <w:sz w:val="32"/>
          <w:szCs w:val="32"/>
          <w:highlight w:val="none"/>
        </w:rPr>
      </w:pPr>
    </w:p>
    <w:p w14:paraId="22897901">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818" w:name="_Toc26057"/>
      <w:bookmarkStart w:id="819" w:name="_Toc5633"/>
      <w:bookmarkStart w:id="820" w:name="_Toc287607883"/>
      <w:bookmarkStart w:id="821" w:name="_Toc287620830"/>
      <w:bookmarkStart w:id="822" w:name="_Toc277082657"/>
      <w:bookmarkStart w:id="823" w:name="_Toc224103511"/>
      <w:bookmarkStart w:id="824" w:name="_Toc430530546"/>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818"/>
      <w:bookmarkEnd w:id="819"/>
    </w:p>
    <w:p w14:paraId="0F11106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DB5A549">
      <w:pPr>
        <w:spacing w:line="480" w:lineRule="auto"/>
        <w:jc w:val="center"/>
        <w:rPr>
          <w:rFonts w:ascii="宋体" w:hAnsi="宋体"/>
          <w:color w:val="auto"/>
          <w:highlight w:val="none"/>
        </w:rPr>
      </w:pPr>
    </w:p>
    <w:p w14:paraId="04BBB32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72CEBC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ABA5D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1FD7AA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23CE49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0913D1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E790742">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221A867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271A4A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B4C82A3">
      <w:pPr>
        <w:autoSpaceDE w:val="0"/>
        <w:autoSpaceDN w:val="0"/>
        <w:adjustRightInd w:val="0"/>
        <w:snapToGrid w:val="0"/>
        <w:spacing w:line="360" w:lineRule="auto"/>
        <w:jc w:val="left"/>
        <w:rPr>
          <w:rFonts w:ascii="宋体" w:hAnsi="宋体"/>
          <w:color w:val="auto"/>
          <w:szCs w:val="21"/>
          <w:highlight w:val="none"/>
        </w:rPr>
      </w:pPr>
    </w:p>
    <w:p w14:paraId="60E5EA2A">
      <w:pPr>
        <w:pStyle w:val="2"/>
        <w:spacing w:after="0" w:line="360" w:lineRule="auto"/>
        <w:rPr>
          <w:rFonts w:ascii="宋体" w:hAnsi="宋体"/>
          <w:color w:val="auto"/>
          <w:szCs w:val="21"/>
          <w:highlight w:val="none"/>
        </w:rPr>
      </w:pPr>
    </w:p>
    <w:p w14:paraId="5392B198">
      <w:pPr>
        <w:pStyle w:val="2"/>
        <w:spacing w:after="0" w:line="360" w:lineRule="auto"/>
        <w:rPr>
          <w:rFonts w:ascii="宋体" w:hAnsi="宋体"/>
          <w:color w:val="auto"/>
          <w:szCs w:val="21"/>
          <w:highlight w:val="none"/>
        </w:rPr>
      </w:pPr>
    </w:p>
    <w:p w14:paraId="3D7703F2">
      <w:pPr>
        <w:pStyle w:val="2"/>
        <w:spacing w:after="0" w:line="360" w:lineRule="auto"/>
        <w:rPr>
          <w:rFonts w:ascii="宋体" w:hAnsi="宋体"/>
          <w:color w:val="auto"/>
          <w:szCs w:val="21"/>
          <w:highlight w:val="none"/>
        </w:rPr>
      </w:pPr>
    </w:p>
    <w:p w14:paraId="3249B213">
      <w:pPr>
        <w:pStyle w:val="2"/>
        <w:spacing w:after="0" w:line="360" w:lineRule="auto"/>
        <w:rPr>
          <w:rFonts w:ascii="宋体" w:hAnsi="宋体"/>
          <w:color w:val="auto"/>
          <w:szCs w:val="21"/>
          <w:highlight w:val="none"/>
        </w:rPr>
      </w:pPr>
    </w:p>
    <w:p w14:paraId="719ABD7E">
      <w:pPr>
        <w:pStyle w:val="2"/>
        <w:spacing w:after="0" w:line="360" w:lineRule="auto"/>
        <w:rPr>
          <w:rFonts w:ascii="宋体" w:hAnsi="宋体"/>
          <w:color w:val="auto"/>
          <w:szCs w:val="21"/>
          <w:highlight w:val="none"/>
        </w:rPr>
      </w:pPr>
    </w:p>
    <w:p w14:paraId="30DC44F7">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FE1559C">
      <w:pPr>
        <w:autoSpaceDE w:val="0"/>
        <w:autoSpaceDN w:val="0"/>
        <w:adjustRightInd w:val="0"/>
        <w:snapToGrid w:val="0"/>
        <w:spacing w:line="480" w:lineRule="auto"/>
        <w:jc w:val="left"/>
        <w:rPr>
          <w:rFonts w:ascii="宋体" w:hAnsi="宋体"/>
          <w:color w:val="auto"/>
          <w:kern w:val="0"/>
          <w:sz w:val="20"/>
          <w:szCs w:val="20"/>
          <w:highlight w:val="none"/>
        </w:rPr>
      </w:pPr>
    </w:p>
    <w:p w14:paraId="126C5DD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6261A88">
      <w:pPr>
        <w:autoSpaceDE w:val="0"/>
        <w:autoSpaceDN w:val="0"/>
        <w:adjustRightInd w:val="0"/>
        <w:snapToGrid w:val="0"/>
        <w:spacing w:line="360" w:lineRule="auto"/>
        <w:jc w:val="left"/>
        <w:rPr>
          <w:rFonts w:ascii="宋体" w:hAnsi="宋体"/>
          <w:color w:val="auto"/>
          <w:kern w:val="0"/>
          <w:highlight w:val="none"/>
        </w:rPr>
      </w:pPr>
    </w:p>
    <w:p w14:paraId="0665FA36">
      <w:pPr>
        <w:autoSpaceDE w:val="0"/>
        <w:autoSpaceDN w:val="0"/>
        <w:adjustRightInd w:val="0"/>
        <w:snapToGrid w:val="0"/>
        <w:spacing w:line="360" w:lineRule="auto"/>
        <w:jc w:val="left"/>
        <w:rPr>
          <w:rFonts w:ascii="宋体" w:hAnsi="宋体"/>
          <w:color w:val="auto"/>
          <w:kern w:val="0"/>
          <w:highlight w:val="none"/>
        </w:rPr>
      </w:pPr>
    </w:p>
    <w:p w14:paraId="37C4A084">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20"/>
      <w:bookmarkEnd w:id="821"/>
      <w:bookmarkEnd w:id="822"/>
      <w:bookmarkEnd w:id="823"/>
      <w:bookmarkEnd w:id="824"/>
      <w:r>
        <w:rPr>
          <w:rFonts w:hint="eastAsia" w:ascii="宋体" w:hAnsi="宋体"/>
          <w:color w:val="auto"/>
          <w:kern w:val="0"/>
          <w:szCs w:val="21"/>
          <w:highlight w:val="none"/>
        </w:rPr>
        <w:t>。</w:t>
      </w:r>
    </w:p>
    <w:p w14:paraId="744DC586">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93C990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0F5141C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9C0398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2DCC3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61E0F53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2E5B66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6D15A4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B7F9A5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43A0BC2B">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9F0D3CF">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4BAE5E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571EC8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C06644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E2AAE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26B9A7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DCDA05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773536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2559A2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0D2FD61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12F89F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7D27F7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8538A8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73E10C56">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F7B0C0C">
      <w:pPr>
        <w:pStyle w:val="5"/>
        <w:spacing w:before="0" w:after="0" w:line="240" w:lineRule="auto"/>
        <w:jc w:val="center"/>
        <w:rPr>
          <w:rFonts w:ascii="宋体" w:hAnsi="宋体"/>
          <w:color w:val="auto"/>
          <w:highlight w:val="none"/>
        </w:rPr>
      </w:pPr>
      <w:bookmarkStart w:id="825" w:name="_Toc27740"/>
      <w:bookmarkStart w:id="826" w:name="_Toc277082659"/>
      <w:bookmarkStart w:id="827" w:name="_Toc287607887"/>
      <w:r>
        <w:rPr>
          <w:rFonts w:hint="eastAsia" w:ascii="宋体" w:hAnsi="宋体"/>
          <w:b w:val="0"/>
          <w:bCs w:val="0"/>
          <w:color w:val="auto"/>
          <w:highlight w:val="none"/>
        </w:rPr>
        <w:t>（</w:t>
      </w:r>
      <w:r>
        <w:rPr>
          <w:rFonts w:hint="eastAsia" w:ascii="宋体" w:hAnsi="宋体"/>
          <w:b w:val="0"/>
          <w:bCs w:val="0"/>
          <w:color w:val="auto"/>
          <w:highlight w:val="none"/>
          <w:lang w:eastAsia="zh-CN"/>
        </w:rPr>
        <w:t>二</w:t>
      </w:r>
      <w:r>
        <w:rPr>
          <w:rFonts w:hint="eastAsia" w:ascii="宋体" w:hAnsi="宋体"/>
          <w:b w:val="0"/>
          <w:bCs w:val="0"/>
          <w:color w:val="auto"/>
          <w:highlight w:val="none"/>
        </w:rPr>
        <w:t>）投标人基本情况表</w:t>
      </w:r>
      <w:bookmarkEnd w:id="825"/>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CC66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2DF5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03650AC9">
            <w:pPr>
              <w:autoSpaceDE w:val="0"/>
              <w:autoSpaceDN w:val="0"/>
              <w:adjustRightInd w:val="0"/>
              <w:snapToGrid w:val="0"/>
              <w:jc w:val="center"/>
              <w:rPr>
                <w:rFonts w:ascii="宋体" w:hAnsi="宋体"/>
                <w:color w:val="auto"/>
                <w:kern w:val="0"/>
                <w:szCs w:val="21"/>
                <w:highlight w:val="none"/>
              </w:rPr>
            </w:pPr>
          </w:p>
        </w:tc>
      </w:tr>
      <w:tr w14:paraId="458A66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3FC5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62ACEAA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0AF559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D9A0A09">
            <w:pPr>
              <w:autoSpaceDE w:val="0"/>
              <w:autoSpaceDN w:val="0"/>
              <w:adjustRightInd w:val="0"/>
              <w:snapToGrid w:val="0"/>
              <w:jc w:val="center"/>
              <w:rPr>
                <w:rFonts w:ascii="宋体" w:hAnsi="宋体"/>
                <w:color w:val="auto"/>
                <w:kern w:val="0"/>
                <w:szCs w:val="21"/>
                <w:highlight w:val="none"/>
              </w:rPr>
            </w:pPr>
          </w:p>
        </w:tc>
      </w:tr>
      <w:tr w14:paraId="115767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34ECA7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B2879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27BCBA2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AD420B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271C36A8">
            <w:pPr>
              <w:autoSpaceDE w:val="0"/>
              <w:autoSpaceDN w:val="0"/>
              <w:adjustRightInd w:val="0"/>
              <w:snapToGrid w:val="0"/>
              <w:jc w:val="center"/>
              <w:rPr>
                <w:rFonts w:ascii="宋体" w:hAnsi="宋体"/>
                <w:color w:val="auto"/>
                <w:kern w:val="0"/>
                <w:szCs w:val="21"/>
                <w:highlight w:val="none"/>
              </w:rPr>
            </w:pPr>
          </w:p>
        </w:tc>
      </w:tr>
      <w:tr w14:paraId="07038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D19F98A">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C8BA4E2">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7D75B5F7">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2881E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31AEAE32">
            <w:pPr>
              <w:autoSpaceDE w:val="0"/>
              <w:autoSpaceDN w:val="0"/>
              <w:adjustRightInd w:val="0"/>
              <w:snapToGrid w:val="0"/>
              <w:jc w:val="center"/>
              <w:rPr>
                <w:rFonts w:ascii="宋体" w:hAnsi="宋体"/>
                <w:color w:val="auto"/>
                <w:kern w:val="0"/>
                <w:szCs w:val="21"/>
                <w:highlight w:val="none"/>
              </w:rPr>
            </w:pPr>
          </w:p>
        </w:tc>
      </w:tr>
      <w:tr w14:paraId="46A06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EDB9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5E4EC5D1">
            <w:pPr>
              <w:autoSpaceDE w:val="0"/>
              <w:autoSpaceDN w:val="0"/>
              <w:adjustRightInd w:val="0"/>
              <w:snapToGrid w:val="0"/>
              <w:jc w:val="center"/>
              <w:rPr>
                <w:rFonts w:ascii="宋体" w:hAnsi="宋体"/>
                <w:color w:val="auto"/>
                <w:kern w:val="0"/>
                <w:szCs w:val="21"/>
                <w:highlight w:val="none"/>
              </w:rPr>
            </w:pPr>
          </w:p>
        </w:tc>
      </w:tr>
      <w:tr w14:paraId="41E7DD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3193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6C3489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AD3F383">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3B414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36E01C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61BD1C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4B8F3DD3">
            <w:pPr>
              <w:autoSpaceDE w:val="0"/>
              <w:autoSpaceDN w:val="0"/>
              <w:adjustRightInd w:val="0"/>
              <w:snapToGrid w:val="0"/>
              <w:jc w:val="center"/>
              <w:rPr>
                <w:rFonts w:ascii="宋体" w:hAnsi="宋体"/>
                <w:color w:val="auto"/>
                <w:kern w:val="0"/>
                <w:szCs w:val="21"/>
                <w:highlight w:val="none"/>
              </w:rPr>
            </w:pPr>
          </w:p>
        </w:tc>
      </w:tr>
      <w:tr w14:paraId="1D4E44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C4C1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7815D0A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319739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26DF8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2E94C2F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014F5EF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CD54746">
            <w:pPr>
              <w:autoSpaceDE w:val="0"/>
              <w:autoSpaceDN w:val="0"/>
              <w:adjustRightInd w:val="0"/>
              <w:snapToGrid w:val="0"/>
              <w:jc w:val="center"/>
              <w:rPr>
                <w:rFonts w:ascii="宋体" w:hAnsi="宋体"/>
                <w:color w:val="auto"/>
                <w:kern w:val="0"/>
                <w:szCs w:val="21"/>
                <w:highlight w:val="none"/>
              </w:rPr>
            </w:pPr>
          </w:p>
        </w:tc>
      </w:tr>
      <w:tr w14:paraId="1654E3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0AD81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F5B24AC">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514C61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AF0A1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AE6F5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350B0C75">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3693041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526802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653D776D">
            <w:pPr>
              <w:autoSpaceDE w:val="0"/>
              <w:autoSpaceDN w:val="0"/>
              <w:adjustRightInd w:val="0"/>
              <w:snapToGrid w:val="0"/>
              <w:jc w:val="center"/>
              <w:rPr>
                <w:rFonts w:ascii="宋体" w:hAnsi="宋体"/>
                <w:color w:val="auto"/>
                <w:kern w:val="0"/>
                <w:szCs w:val="21"/>
                <w:highlight w:val="none"/>
              </w:rPr>
            </w:pPr>
          </w:p>
        </w:tc>
      </w:tr>
      <w:tr w14:paraId="2302D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F851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6D49052">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4E789A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71131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E824CF4">
            <w:pPr>
              <w:autoSpaceDE w:val="0"/>
              <w:autoSpaceDN w:val="0"/>
              <w:adjustRightInd w:val="0"/>
              <w:snapToGrid w:val="0"/>
              <w:jc w:val="center"/>
              <w:rPr>
                <w:rFonts w:ascii="宋体" w:hAnsi="宋体"/>
                <w:color w:val="auto"/>
                <w:kern w:val="0"/>
                <w:szCs w:val="21"/>
                <w:highlight w:val="none"/>
              </w:rPr>
            </w:pPr>
          </w:p>
        </w:tc>
      </w:tr>
      <w:tr w14:paraId="6884C7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62C435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E0DA6AB">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504C47B">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BFF2E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D3A7524">
            <w:pPr>
              <w:autoSpaceDE w:val="0"/>
              <w:autoSpaceDN w:val="0"/>
              <w:adjustRightInd w:val="0"/>
              <w:snapToGrid w:val="0"/>
              <w:jc w:val="center"/>
              <w:rPr>
                <w:rFonts w:ascii="宋体" w:hAnsi="宋体"/>
                <w:color w:val="auto"/>
                <w:kern w:val="0"/>
                <w:szCs w:val="21"/>
                <w:highlight w:val="none"/>
              </w:rPr>
            </w:pPr>
          </w:p>
        </w:tc>
      </w:tr>
      <w:tr w14:paraId="2EF82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6577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3D594F9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AE5AC6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83FCF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A68A98D">
            <w:pPr>
              <w:autoSpaceDE w:val="0"/>
              <w:autoSpaceDN w:val="0"/>
              <w:adjustRightInd w:val="0"/>
              <w:snapToGrid w:val="0"/>
              <w:jc w:val="center"/>
              <w:rPr>
                <w:rFonts w:ascii="宋体" w:hAnsi="宋体"/>
                <w:color w:val="auto"/>
                <w:kern w:val="0"/>
                <w:szCs w:val="21"/>
                <w:highlight w:val="none"/>
              </w:rPr>
            </w:pPr>
          </w:p>
        </w:tc>
      </w:tr>
      <w:tr w14:paraId="29F102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9698C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148C6BB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B79F245">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A9E343A">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38A6B450">
            <w:pPr>
              <w:autoSpaceDE w:val="0"/>
              <w:autoSpaceDN w:val="0"/>
              <w:adjustRightInd w:val="0"/>
              <w:snapToGrid w:val="0"/>
              <w:jc w:val="center"/>
              <w:rPr>
                <w:rFonts w:ascii="宋体" w:hAnsi="宋体"/>
                <w:color w:val="auto"/>
                <w:kern w:val="0"/>
                <w:szCs w:val="21"/>
                <w:highlight w:val="none"/>
              </w:rPr>
            </w:pPr>
          </w:p>
        </w:tc>
      </w:tr>
      <w:tr w14:paraId="658003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153ED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2ECDCA4E">
            <w:pPr>
              <w:autoSpaceDE w:val="0"/>
              <w:autoSpaceDN w:val="0"/>
              <w:adjustRightInd w:val="0"/>
              <w:snapToGrid w:val="0"/>
              <w:jc w:val="center"/>
              <w:rPr>
                <w:rFonts w:ascii="宋体" w:hAnsi="宋体"/>
                <w:color w:val="auto"/>
                <w:kern w:val="0"/>
                <w:szCs w:val="21"/>
                <w:highlight w:val="none"/>
              </w:rPr>
            </w:pPr>
          </w:p>
        </w:tc>
      </w:tr>
      <w:tr w14:paraId="7A01D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B230A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22ED7DF0">
            <w:pPr>
              <w:autoSpaceDE w:val="0"/>
              <w:autoSpaceDN w:val="0"/>
              <w:adjustRightInd w:val="0"/>
              <w:snapToGrid w:val="0"/>
              <w:jc w:val="center"/>
              <w:rPr>
                <w:rFonts w:ascii="宋体" w:hAnsi="宋体"/>
                <w:color w:val="auto"/>
                <w:kern w:val="0"/>
                <w:szCs w:val="21"/>
                <w:highlight w:val="none"/>
              </w:rPr>
            </w:pPr>
          </w:p>
        </w:tc>
      </w:tr>
    </w:tbl>
    <w:p w14:paraId="65133312">
      <w:pPr>
        <w:spacing w:line="360" w:lineRule="auto"/>
        <w:jc w:val="center"/>
        <w:rPr>
          <w:rFonts w:ascii="宋体" w:hAnsi="宋体"/>
          <w:color w:val="auto"/>
          <w:szCs w:val="21"/>
          <w:highlight w:val="none"/>
        </w:rPr>
      </w:pPr>
    </w:p>
    <w:p w14:paraId="01B9F9B2">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28" w:name="_Toc509218863"/>
      <w:bookmarkStart w:id="829" w:name="_Toc534185840"/>
      <w:bookmarkStart w:id="830" w:name="_Toc9292"/>
      <w:r>
        <w:rPr>
          <w:rFonts w:hint="eastAsia" w:ascii="宋体" w:hAnsi="宋体"/>
          <w:b w:val="0"/>
          <w:bCs w:val="0"/>
          <w:color w:val="auto"/>
          <w:highlight w:val="none"/>
        </w:rPr>
        <w:t>（</w:t>
      </w:r>
      <w:r>
        <w:rPr>
          <w:rFonts w:hint="eastAsia" w:ascii="宋体" w:hAnsi="宋体"/>
          <w:b w:val="0"/>
          <w:bCs w:val="0"/>
          <w:color w:val="auto"/>
          <w:highlight w:val="none"/>
          <w:lang w:eastAsia="zh-CN"/>
        </w:rPr>
        <w:t>三</w:t>
      </w:r>
      <w:r>
        <w:rPr>
          <w:rFonts w:hint="eastAsia" w:ascii="宋体" w:hAnsi="宋体"/>
          <w:b w:val="0"/>
          <w:bCs w:val="0"/>
          <w:color w:val="auto"/>
          <w:highlight w:val="none"/>
        </w:rPr>
        <w:t>）项目管理机构</w:t>
      </w:r>
      <w:bookmarkEnd w:id="828"/>
      <w:bookmarkEnd w:id="829"/>
      <w:bookmarkEnd w:id="830"/>
    </w:p>
    <w:p w14:paraId="2B9A4FE4">
      <w:pPr>
        <w:spacing w:line="360" w:lineRule="auto"/>
        <w:rPr>
          <w:rFonts w:ascii="宋体" w:hAnsi="宋体"/>
          <w:color w:val="auto"/>
          <w:highlight w:val="none"/>
        </w:rPr>
      </w:pPr>
    </w:p>
    <w:p w14:paraId="228A37E3">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41B3B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B8A0E4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78504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0A89B4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696895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13C98D8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AF6F3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185E6548">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374DB4BC">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3F4EED81">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6FCB0F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5F3B861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7236A6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DFC0E1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04F505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4CA002C3">
            <w:pPr>
              <w:autoSpaceDE w:val="0"/>
              <w:autoSpaceDN w:val="0"/>
              <w:adjustRightInd w:val="0"/>
              <w:snapToGrid w:val="0"/>
              <w:jc w:val="left"/>
              <w:rPr>
                <w:rFonts w:ascii="宋体" w:hAnsi="宋体"/>
                <w:color w:val="auto"/>
                <w:kern w:val="0"/>
                <w:szCs w:val="21"/>
                <w:highlight w:val="none"/>
              </w:rPr>
            </w:pPr>
          </w:p>
        </w:tc>
      </w:tr>
      <w:tr w14:paraId="20A5AE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64E3BED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48D28894">
            <w:pPr>
              <w:autoSpaceDE w:val="0"/>
              <w:autoSpaceDN w:val="0"/>
              <w:adjustRightInd w:val="0"/>
              <w:snapToGrid w:val="0"/>
              <w:jc w:val="left"/>
              <w:rPr>
                <w:rFonts w:ascii="宋体" w:hAnsi="宋体"/>
                <w:color w:val="auto"/>
                <w:kern w:val="0"/>
                <w:szCs w:val="21"/>
                <w:highlight w:val="none"/>
              </w:rPr>
            </w:pPr>
          </w:p>
        </w:tc>
        <w:tc>
          <w:tcPr>
            <w:tcW w:w="776" w:type="dxa"/>
          </w:tcPr>
          <w:p w14:paraId="1830EACC">
            <w:pPr>
              <w:autoSpaceDE w:val="0"/>
              <w:autoSpaceDN w:val="0"/>
              <w:adjustRightInd w:val="0"/>
              <w:snapToGrid w:val="0"/>
              <w:jc w:val="left"/>
              <w:rPr>
                <w:rFonts w:ascii="宋体" w:hAnsi="宋体"/>
                <w:color w:val="auto"/>
                <w:kern w:val="0"/>
                <w:szCs w:val="21"/>
                <w:highlight w:val="none"/>
              </w:rPr>
            </w:pPr>
          </w:p>
        </w:tc>
        <w:tc>
          <w:tcPr>
            <w:tcW w:w="1167" w:type="dxa"/>
          </w:tcPr>
          <w:p w14:paraId="28FFB66C">
            <w:pPr>
              <w:autoSpaceDE w:val="0"/>
              <w:autoSpaceDN w:val="0"/>
              <w:adjustRightInd w:val="0"/>
              <w:snapToGrid w:val="0"/>
              <w:jc w:val="left"/>
              <w:rPr>
                <w:rFonts w:ascii="宋体" w:hAnsi="宋体"/>
                <w:color w:val="auto"/>
                <w:kern w:val="0"/>
                <w:szCs w:val="21"/>
                <w:highlight w:val="none"/>
              </w:rPr>
            </w:pPr>
          </w:p>
        </w:tc>
        <w:tc>
          <w:tcPr>
            <w:tcW w:w="776" w:type="dxa"/>
          </w:tcPr>
          <w:p w14:paraId="0AF0898A">
            <w:pPr>
              <w:autoSpaceDE w:val="0"/>
              <w:autoSpaceDN w:val="0"/>
              <w:adjustRightInd w:val="0"/>
              <w:snapToGrid w:val="0"/>
              <w:jc w:val="left"/>
              <w:rPr>
                <w:rFonts w:ascii="宋体" w:hAnsi="宋体"/>
                <w:color w:val="auto"/>
                <w:kern w:val="0"/>
                <w:szCs w:val="21"/>
                <w:highlight w:val="none"/>
              </w:rPr>
            </w:pPr>
          </w:p>
        </w:tc>
        <w:tc>
          <w:tcPr>
            <w:tcW w:w="778" w:type="dxa"/>
          </w:tcPr>
          <w:p w14:paraId="76D1FDC0">
            <w:pPr>
              <w:autoSpaceDE w:val="0"/>
              <w:autoSpaceDN w:val="0"/>
              <w:adjustRightInd w:val="0"/>
              <w:snapToGrid w:val="0"/>
              <w:jc w:val="left"/>
              <w:rPr>
                <w:rFonts w:ascii="宋体" w:hAnsi="宋体"/>
                <w:color w:val="auto"/>
                <w:kern w:val="0"/>
                <w:szCs w:val="21"/>
                <w:highlight w:val="none"/>
              </w:rPr>
            </w:pPr>
          </w:p>
        </w:tc>
        <w:tc>
          <w:tcPr>
            <w:tcW w:w="776" w:type="dxa"/>
          </w:tcPr>
          <w:p w14:paraId="2161CAE4">
            <w:pPr>
              <w:autoSpaceDE w:val="0"/>
              <w:autoSpaceDN w:val="0"/>
              <w:adjustRightInd w:val="0"/>
              <w:snapToGrid w:val="0"/>
              <w:jc w:val="left"/>
              <w:rPr>
                <w:rFonts w:ascii="宋体" w:hAnsi="宋体"/>
                <w:color w:val="auto"/>
                <w:kern w:val="0"/>
                <w:szCs w:val="21"/>
                <w:highlight w:val="none"/>
              </w:rPr>
            </w:pPr>
          </w:p>
        </w:tc>
        <w:tc>
          <w:tcPr>
            <w:tcW w:w="2723" w:type="dxa"/>
          </w:tcPr>
          <w:p w14:paraId="5605A2DC">
            <w:pPr>
              <w:autoSpaceDE w:val="0"/>
              <w:autoSpaceDN w:val="0"/>
              <w:adjustRightInd w:val="0"/>
              <w:snapToGrid w:val="0"/>
              <w:jc w:val="left"/>
              <w:rPr>
                <w:rFonts w:ascii="宋体" w:hAnsi="宋体"/>
                <w:color w:val="auto"/>
                <w:kern w:val="0"/>
                <w:szCs w:val="21"/>
                <w:highlight w:val="none"/>
              </w:rPr>
            </w:pPr>
          </w:p>
        </w:tc>
        <w:tc>
          <w:tcPr>
            <w:tcW w:w="896" w:type="dxa"/>
          </w:tcPr>
          <w:p w14:paraId="12A0E45B">
            <w:pPr>
              <w:autoSpaceDE w:val="0"/>
              <w:autoSpaceDN w:val="0"/>
              <w:adjustRightInd w:val="0"/>
              <w:snapToGrid w:val="0"/>
              <w:jc w:val="left"/>
              <w:rPr>
                <w:rFonts w:ascii="宋体" w:hAnsi="宋体"/>
                <w:color w:val="auto"/>
                <w:kern w:val="0"/>
                <w:szCs w:val="21"/>
                <w:highlight w:val="none"/>
              </w:rPr>
            </w:pPr>
          </w:p>
        </w:tc>
      </w:tr>
      <w:tr w14:paraId="6ED715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60F0716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16C2ED10">
            <w:pPr>
              <w:autoSpaceDE w:val="0"/>
              <w:autoSpaceDN w:val="0"/>
              <w:adjustRightInd w:val="0"/>
              <w:snapToGrid w:val="0"/>
              <w:jc w:val="left"/>
              <w:rPr>
                <w:rFonts w:ascii="宋体" w:hAnsi="宋体"/>
                <w:color w:val="auto"/>
                <w:kern w:val="0"/>
                <w:szCs w:val="21"/>
                <w:highlight w:val="none"/>
              </w:rPr>
            </w:pPr>
          </w:p>
        </w:tc>
        <w:tc>
          <w:tcPr>
            <w:tcW w:w="776" w:type="dxa"/>
          </w:tcPr>
          <w:p w14:paraId="60435BED">
            <w:pPr>
              <w:autoSpaceDE w:val="0"/>
              <w:autoSpaceDN w:val="0"/>
              <w:adjustRightInd w:val="0"/>
              <w:snapToGrid w:val="0"/>
              <w:jc w:val="left"/>
              <w:rPr>
                <w:rFonts w:ascii="宋体" w:hAnsi="宋体"/>
                <w:color w:val="auto"/>
                <w:kern w:val="0"/>
                <w:szCs w:val="21"/>
                <w:highlight w:val="none"/>
              </w:rPr>
            </w:pPr>
          </w:p>
        </w:tc>
        <w:tc>
          <w:tcPr>
            <w:tcW w:w="1167" w:type="dxa"/>
          </w:tcPr>
          <w:p w14:paraId="341F10F2">
            <w:pPr>
              <w:autoSpaceDE w:val="0"/>
              <w:autoSpaceDN w:val="0"/>
              <w:adjustRightInd w:val="0"/>
              <w:snapToGrid w:val="0"/>
              <w:jc w:val="left"/>
              <w:rPr>
                <w:rFonts w:ascii="宋体" w:hAnsi="宋体"/>
                <w:color w:val="auto"/>
                <w:kern w:val="0"/>
                <w:szCs w:val="21"/>
                <w:highlight w:val="none"/>
              </w:rPr>
            </w:pPr>
          </w:p>
        </w:tc>
        <w:tc>
          <w:tcPr>
            <w:tcW w:w="776" w:type="dxa"/>
          </w:tcPr>
          <w:p w14:paraId="621D0375">
            <w:pPr>
              <w:autoSpaceDE w:val="0"/>
              <w:autoSpaceDN w:val="0"/>
              <w:adjustRightInd w:val="0"/>
              <w:snapToGrid w:val="0"/>
              <w:jc w:val="left"/>
              <w:rPr>
                <w:rFonts w:ascii="宋体" w:hAnsi="宋体"/>
                <w:color w:val="auto"/>
                <w:kern w:val="0"/>
                <w:szCs w:val="21"/>
                <w:highlight w:val="none"/>
              </w:rPr>
            </w:pPr>
          </w:p>
        </w:tc>
        <w:tc>
          <w:tcPr>
            <w:tcW w:w="778" w:type="dxa"/>
          </w:tcPr>
          <w:p w14:paraId="6C71CBC7">
            <w:pPr>
              <w:autoSpaceDE w:val="0"/>
              <w:autoSpaceDN w:val="0"/>
              <w:adjustRightInd w:val="0"/>
              <w:snapToGrid w:val="0"/>
              <w:jc w:val="left"/>
              <w:rPr>
                <w:rFonts w:ascii="宋体" w:hAnsi="宋体"/>
                <w:color w:val="auto"/>
                <w:kern w:val="0"/>
                <w:szCs w:val="21"/>
                <w:highlight w:val="none"/>
              </w:rPr>
            </w:pPr>
          </w:p>
        </w:tc>
        <w:tc>
          <w:tcPr>
            <w:tcW w:w="776" w:type="dxa"/>
          </w:tcPr>
          <w:p w14:paraId="29ABD93D">
            <w:pPr>
              <w:autoSpaceDE w:val="0"/>
              <w:autoSpaceDN w:val="0"/>
              <w:adjustRightInd w:val="0"/>
              <w:snapToGrid w:val="0"/>
              <w:jc w:val="left"/>
              <w:rPr>
                <w:rFonts w:ascii="宋体" w:hAnsi="宋体"/>
                <w:color w:val="auto"/>
                <w:kern w:val="0"/>
                <w:szCs w:val="21"/>
                <w:highlight w:val="none"/>
              </w:rPr>
            </w:pPr>
          </w:p>
        </w:tc>
        <w:tc>
          <w:tcPr>
            <w:tcW w:w="2723" w:type="dxa"/>
          </w:tcPr>
          <w:p w14:paraId="6F6DBD70">
            <w:pPr>
              <w:autoSpaceDE w:val="0"/>
              <w:autoSpaceDN w:val="0"/>
              <w:adjustRightInd w:val="0"/>
              <w:snapToGrid w:val="0"/>
              <w:jc w:val="left"/>
              <w:rPr>
                <w:rFonts w:ascii="宋体" w:hAnsi="宋体"/>
                <w:color w:val="auto"/>
                <w:kern w:val="0"/>
                <w:szCs w:val="21"/>
                <w:highlight w:val="none"/>
              </w:rPr>
            </w:pPr>
          </w:p>
        </w:tc>
        <w:tc>
          <w:tcPr>
            <w:tcW w:w="896" w:type="dxa"/>
          </w:tcPr>
          <w:p w14:paraId="3299BF22">
            <w:pPr>
              <w:autoSpaceDE w:val="0"/>
              <w:autoSpaceDN w:val="0"/>
              <w:adjustRightInd w:val="0"/>
              <w:snapToGrid w:val="0"/>
              <w:jc w:val="left"/>
              <w:rPr>
                <w:rFonts w:ascii="宋体" w:hAnsi="宋体"/>
                <w:color w:val="auto"/>
                <w:kern w:val="0"/>
                <w:szCs w:val="21"/>
                <w:highlight w:val="none"/>
              </w:rPr>
            </w:pPr>
          </w:p>
        </w:tc>
      </w:tr>
      <w:tr w14:paraId="3F89C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9D817CE">
            <w:pPr>
              <w:autoSpaceDE w:val="0"/>
              <w:autoSpaceDN w:val="0"/>
              <w:adjustRightInd w:val="0"/>
              <w:snapToGrid w:val="0"/>
              <w:jc w:val="left"/>
              <w:rPr>
                <w:rFonts w:ascii="宋体" w:hAnsi="宋体"/>
                <w:color w:val="auto"/>
                <w:kern w:val="0"/>
                <w:szCs w:val="21"/>
                <w:highlight w:val="none"/>
              </w:rPr>
            </w:pPr>
          </w:p>
        </w:tc>
        <w:tc>
          <w:tcPr>
            <w:tcW w:w="734" w:type="dxa"/>
          </w:tcPr>
          <w:p w14:paraId="2D5ED4D8">
            <w:pPr>
              <w:autoSpaceDE w:val="0"/>
              <w:autoSpaceDN w:val="0"/>
              <w:adjustRightInd w:val="0"/>
              <w:snapToGrid w:val="0"/>
              <w:jc w:val="left"/>
              <w:rPr>
                <w:rFonts w:ascii="宋体" w:hAnsi="宋体"/>
                <w:color w:val="auto"/>
                <w:kern w:val="0"/>
                <w:szCs w:val="21"/>
                <w:highlight w:val="none"/>
              </w:rPr>
            </w:pPr>
          </w:p>
        </w:tc>
        <w:tc>
          <w:tcPr>
            <w:tcW w:w="776" w:type="dxa"/>
          </w:tcPr>
          <w:p w14:paraId="42F12881">
            <w:pPr>
              <w:autoSpaceDE w:val="0"/>
              <w:autoSpaceDN w:val="0"/>
              <w:adjustRightInd w:val="0"/>
              <w:snapToGrid w:val="0"/>
              <w:jc w:val="left"/>
              <w:rPr>
                <w:rFonts w:ascii="宋体" w:hAnsi="宋体"/>
                <w:color w:val="auto"/>
                <w:kern w:val="0"/>
                <w:szCs w:val="21"/>
                <w:highlight w:val="none"/>
              </w:rPr>
            </w:pPr>
          </w:p>
        </w:tc>
        <w:tc>
          <w:tcPr>
            <w:tcW w:w="1167" w:type="dxa"/>
          </w:tcPr>
          <w:p w14:paraId="3D7AD7E7">
            <w:pPr>
              <w:autoSpaceDE w:val="0"/>
              <w:autoSpaceDN w:val="0"/>
              <w:adjustRightInd w:val="0"/>
              <w:snapToGrid w:val="0"/>
              <w:jc w:val="left"/>
              <w:rPr>
                <w:rFonts w:ascii="宋体" w:hAnsi="宋体"/>
                <w:color w:val="auto"/>
                <w:kern w:val="0"/>
                <w:szCs w:val="21"/>
                <w:highlight w:val="none"/>
              </w:rPr>
            </w:pPr>
          </w:p>
        </w:tc>
        <w:tc>
          <w:tcPr>
            <w:tcW w:w="776" w:type="dxa"/>
          </w:tcPr>
          <w:p w14:paraId="42DC1F71">
            <w:pPr>
              <w:autoSpaceDE w:val="0"/>
              <w:autoSpaceDN w:val="0"/>
              <w:adjustRightInd w:val="0"/>
              <w:snapToGrid w:val="0"/>
              <w:jc w:val="left"/>
              <w:rPr>
                <w:rFonts w:ascii="宋体" w:hAnsi="宋体"/>
                <w:color w:val="auto"/>
                <w:kern w:val="0"/>
                <w:szCs w:val="21"/>
                <w:highlight w:val="none"/>
              </w:rPr>
            </w:pPr>
          </w:p>
        </w:tc>
        <w:tc>
          <w:tcPr>
            <w:tcW w:w="778" w:type="dxa"/>
          </w:tcPr>
          <w:p w14:paraId="48854263">
            <w:pPr>
              <w:autoSpaceDE w:val="0"/>
              <w:autoSpaceDN w:val="0"/>
              <w:adjustRightInd w:val="0"/>
              <w:snapToGrid w:val="0"/>
              <w:jc w:val="left"/>
              <w:rPr>
                <w:rFonts w:ascii="宋体" w:hAnsi="宋体"/>
                <w:color w:val="auto"/>
                <w:kern w:val="0"/>
                <w:szCs w:val="21"/>
                <w:highlight w:val="none"/>
              </w:rPr>
            </w:pPr>
          </w:p>
        </w:tc>
        <w:tc>
          <w:tcPr>
            <w:tcW w:w="776" w:type="dxa"/>
          </w:tcPr>
          <w:p w14:paraId="3D280D40">
            <w:pPr>
              <w:autoSpaceDE w:val="0"/>
              <w:autoSpaceDN w:val="0"/>
              <w:adjustRightInd w:val="0"/>
              <w:snapToGrid w:val="0"/>
              <w:jc w:val="left"/>
              <w:rPr>
                <w:rFonts w:ascii="宋体" w:hAnsi="宋体"/>
                <w:color w:val="auto"/>
                <w:kern w:val="0"/>
                <w:szCs w:val="21"/>
                <w:highlight w:val="none"/>
              </w:rPr>
            </w:pPr>
          </w:p>
        </w:tc>
        <w:tc>
          <w:tcPr>
            <w:tcW w:w="2723" w:type="dxa"/>
          </w:tcPr>
          <w:p w14:paraId="53938AED">
            <w:pPr>
              <w:autoSpaceDE w:val="0"/>
              <w:autoSpaceDN w:val="0"/>
              <w:adjustRightInd w:val="0"/>
              <w:snapToGrid w:val="0"/>
              <w:jc w:val="left"/>
              <w:rPr>
                <w:rFonts w:ascii="宋体" w:hAnsi="宋体"/>
                <w:color w:val="auto"/>
                <w:kern w:val="0"/>
                <w:szCs w:val="21"/>
                <w:highlight w:val="none"/>
              </w:rPr>
            </w:pPr>
          </w:p>
        </w:tc>
        <w:tc>
          <w:tcPr>
            <w:tcW w:w="896" w:type="dxa"/>
          </w:tcPr>
          <w:p w14:paraId="65764286">
            <w:pPr>
              <w:autoSpaceDE w:val="0"/>
              <w:autoSpaceDN w:val="0"/>
              <w:adjustRightInd w:val="0"/>
              <w:snapToGrid w:val="0"/>
              <w:jc w:val="left"/>
              <w:rPr>
                <w:rFonts w:ascii="宋体" w:hAnsi="宋体"/>
                <w:color w:val="auto"/>
                <w:kern w:val="0"/>
                <w:szCs w:val="21"/>
                <w:highlight w:val="none"/>
              </w:rPr>
            </w:pPr>
          </w:p>
        </w:tc>
      </w:tr>
      <w:tr w14:paraId="61E846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97BCAD">
            <w:pPr>
              <w:autoSpaceDE w:val="0"/>
              <w:autoSpaceDN w:val="0"/>
              <w:adjustRightInd w:val="0"/>
              <w:snapToGrid w:val="0"/>
              <w:jc w:val="left"/>
              <w:rPr>
                <w:rFonts w:ascii="宋体" w:hAnsi="宋体"/>
                <w:color w:val="auto"/>
                <w:kern w:val="0"/>
                <w:szCs w:val="21"/>
                <w:highlight w:val="none"/>
              </w:rPr>
            </w:pPr>
          </w:p>
        </w:tc>
        <w:tc>
          <w:tcPr>
            <w:tcW w:w="734" w:type="dxa"/>
          </w:tcPr>
          <w:p w14:paraId="0A8B5B8B">
            <w:pPr>
              <w:autoSpaceDE w:val="0"/>
              <w:autoSpaceDN w:val="0"/>
              <w:adjustRightInd w:val="0"/>
              <w:snapToGrid w:val="0"/>
              <w:jc w:val="left"/>
              <w:rPr>
                <w:rFonts w:ascii="宋体" w:hAnsi="宋体"/>
                <w:color w:val="auto"/>
                <w:kern w:val="0"/>
                <w:szCs w:val="21"/>
                <w:highlight w:val="none"/>
              </w:rPr>
            </w:pPr>
          </w:p>
        </w:tc>
        <w:tc>
          <w:tcPr>
            <w:tcW w:w="776" w:type="dxa"/>
          </w:tcPr>
          <w:p w14:paraId="646BB1A7">
            <w:pPr>
              <w:autoSpaceDE w:val="0"/>
              <w:autoSpaceDN w:val="0"/>
              <w:adjustRightInd w:val="0"/>
              <w:snapToGrid w:val="0"/>
              <w:jc w:val="left"/>
              <w:rPr>
                <w:rFonts w:ascii="宋体" w:hAnsi="宋体"/>
                <w:color w:val="auto"/>
                <w:kern w:val="0"/>
                <w:szCs w:val="21"/>
                <w:highlight w:val="none"/>
              </w:rPr>
            </w:pPr>
          </w:p>
        </w:tc>
        <w:tc>
          <w:tcPr>
            <w:tcW w:w="1167" w:type="dxa"/>
          </w:tcPr>
          <w:p w14:paraId="479A0BB2">
            <w:pPr>
              <w:autoSpaceDE w:val="0"/>
              <w:autoSpaceDN w:val="0"/>
              <w:adjustRightInd w:val="0"/>
              <w:snapToGrid w:val="0"/>
              <w:jc w:val="left"/>
              <w:rPr>
                <w:rFonts w:ascii="宋体" w:hAnsi="宋体"/>
                <w:color w:val="auto"/>
                <w:kern w:val="0"/>
                <w:szCs w:val="21"/>
                <w:highlight w:val="none"/>
              </w:rPr>
            </w:pPr>
          </w:p>
        </w:tc>
        <w:tc>
          <w:tcPr>
            <w:tcW w:w="776" w:type="dxa"/>
          </w:tcPr>
          <w:p w14:paraId="58D06A10">
            <w:pPr>
              <w:autoSpaceDE w:val="0"/>
              <w:autoSpaceDN w:val="0"/>
              <w:adjustRightInd w:val="0"/>
              <w:snapToGrid w:val="0"/>
              <w:jc w:val="left"/>
              <w:rPr>
                <w:rFonts w:ascii="宋体" w:hAnsi="宋体"/>
                <w:color w:val="auto"/>
                <w:kern w:val="0"/>
                <w:szCs w:val="21"/>
                <w:highlight w:val="none"/>
              </w:rPr>
            </w:pPr>
          </w:p>
        </w:tc>
        <w:tc>
          <w:tcPr>
            <w:tcW w:w="778" w:type="dxa"/>
          </w:tcPr>
          <w:p w14:paraId="021E782F">
            <w:pPr>
              <w:autoSpaceDE w:val="0"/>
              <w:autoSpaceDN w:val="0"/>
              <w:adjustRightInd w:val="0"/>
              <w:snapToGrid w:val="0"/>
              <w:jc w:val="left"/>
              <w:rPr>
                <w:rFonts w:ascii="宋体" w:hAnsi="宋体"/>
                <w:color w:val="auto"/>
                <w:kern w:val="0"/>
                <w:szCs w:val="21"/>
                <w:highlight w:val="none"/>
              </w:rPr>
            </w:pPr>
          </w:p>
        </w:tc>
        <w:tc>
          <w:tcPr>
            <w:tcW w:w="776" w:type="dxa"/>
          </w:tcPr>
          <w:p w14:paraId="604EC96C">
            <w:pPr>
              <w:autoSpaceDE w:val="0"/>
              <w:autoSpaceDN w:val="0"/>
              <w:adjustRightInd w:val="0"/>
              <w:snapToGrid w:val="0"/>
              <w:jc w:val="left"/>
              <w:rPr>
                <w:rFonts w:ascii="宋体" w:hAnsi="宋体"/>
                <w:color w:val="auto"/>
                <w:kern w:val="0"/>
                <w:szCs w:val="21"/>
                <w:highlight w:val="none"/>
              </w:rPr>
            </w:pPr>
          </w:p>
        </w:tc>
        <w:tc>
          <w:tcPr>
            <w:tcW w:w="2723" w:type="dxa"/>
          </w:tcPr>
          <w:p w14:paraId="27A6136C">
            <w:pPr>
              <w:autoSpaceDE w:val="0"/>
              <w:autoSpaceDN w:val="0"/>
              <w:adjustRightInd w:val="0"/>
              <w:snapToGrid w:val="0"/>
              <w:jc w:val="left"/>
              <w:rPr>
                <w:rFonts w:ascii="宋体" w:hAnsi="宋体"/>
                <w:color w:val="auto"/>
                <w:kern w:val="0"/>
                <w:szCs w:val="21"/>
                <w:highlight w:val="none"/>
              </w:rPr>
            </w:pPr>
          </w:p>
        </w:tc>
        <w:tc>
          <w:tcPr>
            <w:tcW w:w="896" w:type="dxa"/>
          </w:tcPr>
          <w:p w14:paraId="243FC29F">
            <w:pPr>
              <w:autoSpaceDE w:val="0"/>
              <w:autoSpaceDN w:val="0"/>
              <w:adjustRightInd w:val="0"/>
              <w:snapToGrid w:val="0"/>
              <w:jc w:val="left"/>
              <w:rPr>
                <w:rFonts w:ascii="宋体" w:hAnsi="宋体"/>
                <w:color w:val="auto"/>
                <w:kern w:val="0"/>
                <w:szCs w:val="21"/>
                <w:highlight w:val="none"/>
              </w:rPr>
            </w:pPr>
          </w:p>
        </w:tc>
      </w:tr>
      <w:tr w14:paraId="6A9F7D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930BE5">
            <w:pPr>
              <w:autoSpaceDE w:val="0"/>
              <w:autoSpaceDN w:val="0"/>
              <w:adjustRightInd w:val="0"/>
              <w:snapToGrid w:val="0"/>
              <w:jc w:val="left"/>
              <w:rPr>
                <w:rFonts w:ascii="宋体" w:hAnsi="宋体"/>
                <w:color w:val="auto"/>
                <w:kern w:val="0"/>
                <w:szCs w:val="21"/>
                <w:highlight w:val="none"/>
              </w:rPr>
            </w:pPr>
          </w:p>
        </w:tc>
        <w:tc>
          <w:tcPr>
            <w:tcW w:w="734" w:type="dxa"/>
          </w:tcPr>
          <w:p w14:paraId="1AC31A41">
            <w:pPr>
              <w:autoSpaceDE w:val="0"/>
              <w:autoSpaceDN w:val="0"/>
              <w:adjustRightInd w:val="0"/>
              <w:snapToGrid w:val="0"/>
              <w:jc w:val="left"/>
              <w:rPr>
                <w:rFonts w:ascii="宋体" w:hAnsi="宋体"/>
                <w:color w:val="auto"/>
                <w:kern w:val="0"/>
                <w:szCs w:val="21"/>
                <w:highlight w:val="none"/>
              </w:rPr>
            </w:pPr>
          </w:p>
        </w:tc>
        <w:tc>
          <w:tcPr>
            <w:tcW w:w="776" w:type="dxa"/>
          </w:tcPr>
          <w:p w14:paraId="04273F86">
            <w:pPr>
              <w:autoSpaceDE w:val="0"/>
              <w:autoSpaceDN w:val="0"/>
              <w:adjustRightInd w:val="0"/>
              <w:snapToGrid w:val="0"/>
              <w:jc w:val="left"/>
              <w:rPr>
                <w:rFonts w:ascii="宋体" w:hAnsi="宋体"/>
                <w:color w:val="auto"/>
                <w:kern w:val="0"/>
                <w:szCs w:val="21"/>
                <w:highlight w:val="none"/>
              </w:rPr>
            </w:pPr>
          </w:p>
        </w:tc>
        <w:tc>
          <w:tcPr>
            <w:tcW w:w="1167" w:type="dxa"/>
          </w:tcPr>
          <w:p w14:paraId="6B79D18B">
            <w:pPr>
              <w:autoSpaceDE w:val="0"/>
              <w:autoSpaceDN w:val="0"/>
              <w:adjustRightInd w:val="0"/>
              <w:snapToGrid w:val="0"/>
              <w:jc w:val="left"/>
              <w:rPr>
                <w:rFonts w:ascii="宋体" w:hAnsi="宋体"/>
                <w:color w:val="auto"/>
                <w:kern w:val="0"/>
                <w:szCs w:val="21"/>
                <w:highlight w:val="none"/>
              </w:rPr>
            </w:pPr>
          </w:p>
        </w:tc>
        <w:tc>
          <w:tcPr>
            <w:tcW w:w="776" w:type="dxa"/>
          </w:tcPr>
          <w:p w14:paraId="11CB7324">
            <w:pPr>
              <w:autoSpaceDE w:val="0"/>
              <w:autoSpaceDN w:val="0"/>
              <w:adjustRightInd w:val="0"/>
              <w:snapToGrid w:val="0"/>
              <w:jc w:val="left"/>
              <w:rPr>
                <w:rFonts w:ascii="宋体" w:hAnsi="宋体"/>
                <w:color w:val="auto"/>
                <w:kern w:val="0"/>
                <w:szCs w:val="21"/>
                <w:highlight w:val="none"/>
              </w:rPr>
            </w:pPr>
          </w:p>
        </w:tc>
        <w:tc>
          <w:tcPr>
            <w:tcW w:w="778" w:type="dxa"/>
          </w:tcPr>
          <w:p w14:paraId="1D2ECE61">
            <w:pPr>
              <w:autoSpaceDE w:val="0"/>
              <w:autoSpaceDN w:val="0"/>
              <w:adjustRightInd w:val="0"/>
              <w:snapToGrid w:val="0"/>
              <w:jc w:val="left"/>
              <w:rPr>
                <w:rFonts w:ascii="宋体" w:hAnsi="宋体"/>
                <w:color w:val="auto"/>
                <w:kern w:val="0"/>
                <w:szCs w:val="21"/>
                <w:highlight w:val="none"/>
              </w:rPr>
            </w:pPr>
          </w:p>
        </w:tc>
        <w:tc>
          <w:tcPr>
            <w:tcW w:w="776" w:type="dxa"/>
          </w:tcPr>
          <w:p w14:paraId="291CB12F">
            <w:pPr>
              <w:autoSpaceDE w:val="0"/>
              <w:autoSpaceDN w:val="0"/>
              <w:adjustRightInd w:val="0"/>
              <w:snapToGrid w:val="0"/>
              <w:jc w:val="left"/>
              <w:rPr>
                <w:rFonts w:ascii="宋体" w:hAnsi="宋体"/>
                <w:color w:val="auto"/>
                <w:kern w:val="0"/>
                <w:szCs w:val="21"/>
                <w:highlight w:val="none"/>
              </w:rPr>
            </w:pPr>
          </w:p>
        </w:tc>
        <w:tc>
          <w:tcPr>
            <w:tcW w:w="2723" w:type="dxa"/>
          </w:tcPr>
          <w:p w14:paraId="7CB193C6">
            <w:pPr>
              <w:autoSpaceDE w:val="0"/>
              <w:autoSpaceDN w:val="0"/>
              <w:adjustRightInd w:val="0"/>
              <w:snapToGrid w:val="0"/>
              <w:jc w:val="left"/>
              <w:rPr>
                <w:rFonts w:ascii="宋体" w:hAnsi="宋体"/>
                <w:color w:val="auto"/>
                <w:kern w:val="0"/>
                <w:szCs w:val="21"/>
                <w:highlight w:val="none"/>
              </w:rPr>
            </w:pPr>
          </w:p>
        </w:tc>
        <w:tc>
          <w:tcPr>
            <w:tcW w:w="896" w:type="dxa"/>
          </w:tcPr>
          <w:p w14:paraId="2BD50AB8">
            <w:pPr>
              <w:autoSpaceDE w:val="0"/>
              <w:autoSpaceDN w:val="0"/>
              <w:adjustRightInd w:val="0"/>
              <w:snapToGrid w:val="0"/>
              <w:jc w:val="left"/>
              <w:rPr>
                <w:rFonts w:ascii="宋体" w:hAnsi="宋体"/>
                <w:color w:val="auto"/>
                <w:kern w:val="0"/>
                <w:szCs w:val="21"/>
                <w:highlight w:val="none"/>
              </w:rPr>
            </w:pPr>
          </w:p>
        </w:tc>
      </w:tr>
      <w:tr w14:paraId="07BF89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C10A99">
            <w:pPr>
              <w:autoSpaceDE w:val="0"/>
              <w:autoSpaceDN w:val="0"/>
              <w:adjustRightInd w:val="0"/>
              <w:snapToGrid w:val="0"/>
              <w:jc w:val="left"/>
              <w:rPr>
                <w:rFonts w:ascii="宋体" w:hAnsi="宋体"/>
                <w:color w:val="auto"/>
                <w:kern w:val="0"/>
                <w:szCs w:val="21"/>
                <w:highlight w:val="none"/>
              </w:rPr>
            </w:pPr>
          </w:p>
        </w:tc>
        <w:tc>
          <w:tcPr>
            <w:tcW w:w="734" w:type="dxa"/>
          </w:tcPr>
          <w:p w14:paraId="593BCB9E">
            <w:pPr>
              <w:autoSpaceDE w:val="0"/>
              <w:autoSpaceDN w:val="0"/>
              <w:adjustRightInd w:val="0"/>
              <w:snapToGrid w:val="0"/>
              <w:jc w:val="left"/>
              <w:rPr>
                <w:rFonts w:ascii="宋体" w:hAnsi="宋体"/>
                <w:color w:val="auto"/>
                <w:kern w:val="0"/>
                <w:szCs w:val="21"/>
                <w:highlight w:val="none"/>
              </w:rPr>
            </w:pPr>
          </w:p>
        </w:tc>
        <w:tc>
          <w:tcPr>
            <w:tcW w:w="776" w:type="dxa"/>
          </w:tcPr>
          <w:p w14:paraId="77850715">
            <w:pPr>
              <w:autoSpaceDE w:val="0"/>
              <w:autoSpaceDN w:val="0"/>
              <w:adjustRightInd w:val="0"/>
              <w:snapToGrid w:val="0"/>
              <w:jc w:val="left"/>
              <w:rPr>
                <w:rFonts w:ascii="宋体" w:hAnsi="宋体"/>
                <w:color w:val="auto"/>
                <w:kern w:val="0"/>
                <w:szCs w:val="21"/>
                <w:highlight w:val="none"/>
              </w:rPr>
            </w:pPr>
          </w:p>
        </w:tc>
        <w:tc>
          <w:tcPr>
            <w:tcW w:w="1167" w:type="dxa"/>
          </w:tcPr>
          <w:p w14:paraId="6305DD3F">
            <w:pPr>
              <w:autoSpaceDE w:val="0"/>
              <w:autoSpaceDN w:val="0"/>
              <w:adjustRightInd w:val="0"/>
              <w:snapToGrid w:val="0"/>
              <w:jc w:val="left"/>
              <w:rPr>
                <w:rFonts w:ascii="宋体" w:hAnsi="宋体"/>
                <w:color w:val="auto"/>
                <w:kern w:val="0"/>
                <w:szCs w:val="21"/>
                <w:highlight w:val="none"/>
              </w:rPr>
            </w:pPr>
          </w:p>
        </w:tc>
        <w:tc>
          <w:tcPr>
            <w:tcW w:w="776" w:type="dxa"/>
          </w:tcPr>
          <w:p w14:paraId="5D07CD53">
            <w:pPr>
              <w:autoSpaceDE w:val="0"/>
              <w:autoSpaceDN w:val="0"/>
              <w:adjustRightInd w:val="0"/>
              <w:snapToGrid w:val="0"/>
              <w:jc w:val="left"/>
              <w:rPr>
                <w:rFonts w:ascii="宋体" w:hAnsi="宋体"/>
                <w:color w:val="auto"/>
                <w:kern w:val="0"/>
                <w:szCs w:val="21"/>
                <w:highlight w:val="none"/>
              </w:rPr>
            </w:pPr>
          </w:p>
        </w:tc>
        <w:tc>
          <w:tcPr>
            <w:tcW w:w="778" w:type="dxa"/>
          </w:tcPr>
          <w:p w14:paraId="223E72D8">
            <w:pPr>
              <w:autoSpaceDE w:val="0"/>
              <w:autoSpaceDN w:val="0"/>
              <w:adjustRightInd w:val="0"/>
              <w:snapToGrid w:val="0"/>
              <w:jc w:val="left"/>
              <w:rPr>
                <w:rFonts w:ascii="宋体" w:hAnsi="宋体"/>
                <w:color w:val="auto"/>
                <w:kern w:val="0"/>
                <w:szCs w:val="21"/>
                <w:highlight w:val="none"/>
              </w:rPr>
            </w:pPr>
          </w:p>
        </w:tc>
        <w:tc>
          <w:tcPr>
            <w:tcW w:w="776" w:type="dxa"/>
          </w:tcPr>
          <w:p w14:paraId="5B679B7D">
            <w:pPr>
              <w:autoSpaceDE w:val="0"/>
              <w:autoSpaceDN w:val="0"/>
              <w:adjustRightInd w:val="0"/>
              <w:snapToGrid w:val="0"/>
              <w:jc w:val="left"/>
              <w:rPr>
                <w:rFonts w:ascii="宋体" w:hAnsi="宋体"/>
                <w:color w:val="auto"/>
                <w:kern w:val="0"/>
                <w:szCs w:val="21"/>
                <w:highlight w:val="none"/>
              </w:rPr>
            </w:pPr>
          </w:p>
        </w:tc>
        <w:tc>
          <w:tcPr>
            <w:tcW w:w="2723" w:type="dxa"/>
          </w:tcPr>
          <w:p w14:paraId="1C35287D">
            <w:pPr>
              <w:autoSpaceDE w:val="0"/>
              <w:autoSpaceDN w:val="0"/>
              <w:adjustRightInd w:val="0"/>
              <w:snapToGrid w:val="0"/>
              <w:jc w:val="left"/>
              <w:rPr>
                <w:rFonts w:ascii="宋体" w:hAnsi="宋体"/>
                <w:color w:val="auto"/>
                <w:kern w:val="0"/>
                <w:szCs w:val="21"/>
                <w:highlight w:val="none"/>
              </w:rPr>
            </w:pPr>
          </w:p>
        </w:tc>
        <w:tc>
          <w:tcPr>
            <w:tcW w:w="896" w:type="dxa"/>
          </w:tcPr>
          <w:p w14:paraId="0EA79BE4">
            <w:pPr>
              <w:autoSpaceDE w:val="0"/>
              <w:autoSpaceDN w:val="0"/>
              <w:adjustRightInd w:val="0"/>
              <w:snapToGrid w:val="0"/>
              <w:jc w:val="left"/>
              <w:rPr>
                <w:rFonts w:ascii="宋体" w:hAnsi="宋体"/>
                <w:color w:val="auto"/>
                <w:kern w:val="0"/>
                <w:szCs w:val="21"/>
                <w:highlight w:val="none"/>
              </w:rPr>
            </w:pPr>
          </w:p>
        </w:tc>
      </w:tr>
      <w:tr w14:paraId="4BEAA1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0C504A">
            <w:pPr>
              <w:autoSpaceDE w:val="0"/>
              <w:autoSpaceDN w:val="0"/>
              <w:adjustRightInd w:val="0"/>
              <w:snapToGrid w:val="0"/>
              <w:jc w:val="left"/>
              <w:rPr>
                <w:rFonts w:ascii="宋体" w:hAnsi="宋体"/>
                <w:color w:val="auto"/>
                <w:kern w:val="0"/>
                <w:szCs w:val="21"/>
                <w:highlight w:val="none"/>
              </w:rPr>
            </w:pPr>
          </w:p>
        </w:tc>
        <w:tc>
          <w:tcPr>
            <w:tcW w:w="734" w:type="dxa"/>
          </w:tcPr>
          <w:p w14:paraId="5AF02D1A">
            <w:pPr>
              <w:autoSpaceDE w:val="0"/>
              <w:autoSpaceDN w:val="0"/>
              <w:adjustRightInd w:val="0"/>
              <w:snapToGrid w:val="0"/>
              <w:jc w:val="left"/>
              <w:rPr>
                <w:rFonts w:ascii="宋体" w:hAnsi="宋体"/>
                <w:color w:val="auto"/>
                <w:kern w:val="0"/>
                <w:szCs w:val="21"/>
                <w:highlight w:val="none"/>
              </w:rPr>
            </w:pPr>
          </w:p>
        </w:tc>
        <w:tc>
          <w:tcPr>
            <w:tcW w:w="776" w:type="dxa"/>
          </w:tcPr>
          <w:p w14:paraId="667BCC18">
            <w:pPr>
              <w:autoSpaceDE w:val="0"/>
              <w:autoSpaceDN w:val="0"/>
              <w:adjustRightInd w:val="0"/>
              <w:snapToGrid w:val="0"/>
              <w:jc w:val="left"/>
              <w:rPr>
                <w:rFonts w:ascii="宋体" w:hAnsi="宋体"/>
                <w:color w:val="auto"/>
                <w:kern w:val="0"/>
                <w:szCs w:val="21"/>
                <w:highlight w:val="none"/>
              </w:rPr>
            </w:pPr>
          </w:p>
        </w:tc>
        <w:tc>
          <w:tcPr>
            <w:tcW w:w="1167" w:type="dxa"/>
          </w:tcPr>
          <w:p w14:paraId="1DD25423">
            <w:pPr>
              <w:autoSpaceDE w:val="0"/>
              <w:autoSpaceDN w:val="0"/>
              <w:adjustRightInd w:val="0"/>
              <w:snapToGrid w:val="0"/>
              <w:jc w:val="left"/>
              <w:rPr>
                <w:rFonts w:ascii="宋体" w:hAnsi="宋体"/>
                <w:color w:val="auto"/>
                <w:kern w:val="0"/>
                <w:szCs w:val="21"/>
                <w:highlight w:val="none"/>
              </w:rPr>
            </w:pPr>
          </w:p>
        </w:tc>
        <w:tc>
          <w:tcPr>
            <w:tcW w:w="776" w:type="dxa"/>
          </w:tcPr>
          <w:p w14:paraId="23D1970B">
            <w:pPr>
              <w:autoSpaceDE w:val="0"/>
              <w:autoSpaceDN w:val="0"/>
              <w:adjustRightInd w:val="0"/>
              <w:snapToGrid w:val="0"/>
              <w:jc w:val="left"/>
              <w:rPr>
                <w:rFonts w:ascii="宋体" w:hAnsi="宋体"/>
                <w:color w:val="auto"/>
                <w:kern w:val="0"/>
                <w:szCs w:val="21"/>
                <w:highlight w:val="none"/>
              </w:rPr>
            </w:pPr>
          </w:p>
        </w:tc>
        <w:tc>
          <w:tcPr>
            <w:tcW w:w="778" w:type="dxa"/>
          </w:tcPr>
          <w:p w14:paraId="7CD3C645">
            <w:pPr>
              <w:autoSpaceDE w:val="0"/>
              <w:autoSpaceDN w:val="0"/>
              <w:adjustRightInd w:val="0"/>
              <w:snapToGrid w:val="0"/>
              <w:jc w:val="left"/>
              <w:rPr>
                <w:rFonts w:ascii="宋体" w:hAnsi="宋体"/>
                <w:color w:val="auto"/>
                <w:kern w:val="0"/>
                <w:szCs w:val="21"/>
                <w:highlight w:val="none"/>
              </w:rPr>
            </w:pPr>
          </w:p>
        </w:tc>
        <w:tc>
          <w:tcPr>
            <w:tcW w:w="776" w:type="dxa"/>
          </w:tcPr>
          <w:p w14:paraId="488E1AEA">
            <w:pPr>
              <w:autoSpaceDE w:val="0"/>
              <w:autoSpaceDN w:val="0"/>
              <w:adjustRightInd w:val="0"/>
              <w:snapToGrid w:val="0"/>
              <w:jc w:val="left"/>
              <w:rPr>
                <w:rFonts w:ascii="宋体" w:hAnsi="宋体"/>
                <w:color w:val="auto"/>
                <w:kern w:val="0"/>
                <w:szCs w:val="21"/>
                <w:highlight w:val="none"/>
              </w:rPr>
            </w:pPr>
          </w:p>
        </w:tc>
        <w:tc>
          <w:tcPr>
            <w:tcW w:w="2723" w:type="dxa"/>
          </w:tcPr>
          <w:p w14:paraId="7CC7E733">
            <w:pPr>
              <w:autoSpaceDE w:val="0"/>
              <w:autoSpaceDN w:val="0"/>
              <w:adjustRightInd w:val="0"/>
              <w:snapToGrid w:val="0"/>
              <w:jc w:val="left"/>
              <w:rPr>
                <w:rFonts w:ascii="宋体" w:hAnsi="宋体"/>
                <w:color w:val="auto"/>
                <w:kern w:val="0"/>
                <w:szCs w:val="21"/>
                <w:highlight w:val="none"/>
              </w:rPr>
            </w:pPr>
          </w:p>
        </w:tc>
        <w:tc>
          <w:tcPr>
            <w:tcW w:w="896" w:type="dxa"/>
          </w:tcPr>
          <w:p w14:paraId="37D24DC2">
            <w:pPr>
              <w:autoSpaceDE w:val="0"/>
              <w:autoSpaceDN w:val="0"/>
              <w:adjustRightInd w:val="0"/>
              <w:snapToGrid w:val="0"/>
              <w:jc w:val="left"/>
              <w:rPr>
                <w:rFonts w:ascii="宋体" w:hAnsi="宋体"/>
                <w:color w:val="auto"/>
                <w:kern w:val="0"/>
                <w:szCs w:val="21"/>
                <w:highlight w:val="none"/>
              </w:rPr>
            </w:pPr>
          </w:p>
        </w:tc>
      </w:tr>
      <w:tr w14:paraId="432DE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A7F81C">
            <w:pPr>
              <w:autoSpaceDE w:val="0"/>
              <w:autoSpaceDN w:val="0"/>
              <w:adjustRightInd w:val="0"/>
              <w:snapToGrid w:val="0"/>
              <w:jc w:val="left"/>
              <w:rPr>
                <w:rFonts w:ascii="宋体" w:hAnsi="宋体"/>
                <w:color w:val="auto"/>
                <w:kern w:val="0"/>
                <w:szCs w:val="21"/>
                <w:highlight w:val="none"/>
              </w:rPr>
            </w:pPr>
          </w:p>
        </w:tc>
        <w:tc>
          <w:tcPr>
            <w:tcW w:w="734" w:type="dxa"/>
          </w:tcPr>
          <w:p w14:paraId="1CF8B9FA">
            <w:pPr>
              <w:autoSpaceDE w:val="0"/>
              <w:autoSpaceDN w:val="0"/>
              <w:adjustRightInd w:val="0"/>
              <w:snapToGrid w:val="0"/>
              <w:jc w:val="left"/>
              <w:rPr>
                <w:rFonts w:ascii="宋体" w:hAnsi="宋体"/>
                <w:color w:val="auto"/>
                <w:kern w:val="0"/>
                <w:szCs w:val="21"/>
                <w:highlight w:val="none"/>
              </w:rPr>
            </w:pPr>
          </w:p>
        </w:tc>
        <w:tc>
          <w:tcPr>
            <w:tcW w:w="776" w:type="dxa"/>
          </w:tcPr>
          <w:p w14:paraId="01C302EB">
            <w:pPr>
              <w:autoSpaceDE w:val="0"/>
              <w:autoSpaceDN w:val="0"/>
              <w:adjustRightInd w:val="0"/>
              <w:snapToGrid w:val="0"/>
              <w:jc w:val="left"/>
              <w:rPr>
                <w:rFonts w:ascii="宋体" w:hAnsi="宋体"/>
                <w:color w:val="auto"/>
                <w:kern w:val="0"/>
                <w:szCs w:val="21"/>
                <w:highlight w:val="none"/>
              </w:rPr>
            </w:pPr>
          </w:p>
        </w:tc>
        <w:tc>
          <w:tcPr>
            <w:tcW w:w="1167" w:type="dxa"/>
          </w:tcPr>
          <w:p w14:paraId="1516E839">
            <w:pPr>
              <w:autoSpaceDE w:val="0"/>
              <w:autoSpaceDN w:val="0"/>
              <w:adjustRightInd w:val="0"/>
              <w:snapToGrid w:val="0"/>
              <w:jc w:val="left"/>
              <w:rPr>
                <w:rFonts w:ascii="宋体" w:hAnsi="宋体"/>
                <w:color w:val="auto"/>
                <w:kern w:val="0"/>
                <w:szCs w:val="21"/>
                <w:highlight w:val="none"/>
              </w:rPr>
            </w:pPr>
          </w:p>
        </w:tc>
        <w:tc>
          <w:tcPr>
            <w:tcW w:w="776" w:type="dxa"/>
          </w:tcPr>
          <w:p w14:paraId="5576D552">
            <w:pPr>
              <w:autoSpaceDE w:val="0"/>
              <w:autoSpaceDN w:val="0"/>
              <w:adjustRightInd w:val="0"/>
              <w:snapToGrid w:val="0"/>
              <w:jc w:val="left"/>
              <w:rPr>
                <w:rFonts w:ascii="宋体" w:hAnsi="宋体"/>
                <w:color w:val="auto"/>
                <w:kern w:val="0"/>
                <w:szCs w:val="21"/>
                <w:highlight w:val="none"/>
              </w:rPr>
            </w:pPr>
          </w:p>
        </w:tc>
        <w:tc>
          <w:tcPr>
            <w:tcW w:w="778" w:type="dxa"/>
          </w:tcPr>
          <w:p w14:paraId="4BE9C96A">
            <w:pPr>
              <w:autoSpaceDE w:val="0"/>
              <w:autoSpaceDN w:val="0"/>
              <w:adjustRightInd w:val="0"/>
              <w:snapToGrid w:val="0"/>
              <w:jc w:val="left"/>
              <w:rPr>
                <w:rFonts w:ascii="宋体" w:hAnsi="宋体"/>
                <w:color w:val="auto"/>
                <w:kern w:val="0"/>
                <w:szCs w:val="21"/>
                <w:highlight w:val="none"/>
              </w:rPr>
            </w:pPr>
          </w:p>
        </w:tc>
        <w:tc>
          <w:tcPr>
            <w:tcW w:w="776" w:type="dxa"/>
          </w:tcPr>
          <w:p w14:paraId="0ADEF307">
            <w:pPr>
              <w:autoSpaceDE w:val="0"/>
              <w:autoSpaceDN w:val="0"/>
              <w:adjustRightInd w:val="0"/>
              <w:snapToGrid w:val="0"/>
              <w:jc w:val="left"/>
              <w:rPr>
                <w:rFonts w:ascii="宋体" w:hAnsi="宋体"/>
                <w:color w:val="auto"/>
                <w:kern w:val="0"/>
                <w:szCs w:val="21"/>
                <w:highlight w:val="none"/>
              </w:rPr>
            </w:pPr>
          </w:p>
        </w:tc>
        <w:tc>
          <w:tcPr>
            <w:tcW w:w="2723" w:type="dxa"/>
          </w:tcPr>
          <w:p w14:paraId="0A6CA575">
            <w:pPr>
              <w:autoSpaceDE w:val="0"/>
              <w:autoSpaceDN w:val="0"/>
              <w:adjustRightInd w:val="0"/>
              <w:snapToGrid w:val="0"/>
              <w:jc w:val="left"/>
              <w:rPr>
                <w:rFonts w:ascii="宋体" w:hAnsi="宋体"/>
                <w:color w:val="auto"/>
                <w:kern w:val="0"/>
                <w:szCs w:val="21"/>
                <w:highlight w:val="none"/>
              </w:rPr>
            </w:pPr>
          </w:p>
        </w:tc>
        <w:tc>
          <w:tcPr>
            <w:tcW w:w="896" w:type="dxa"/>
          </w:tcPr>
          <w:p w14:paraId="33E7A5D6">
            <w:pPr>
              <w:autoSpaceDE w:val="0"/>
              <w:autoSpaceDN w:val="0"/>
              <w:adjustRightInd w:val="0"/>
              <w:snapToGrid w:val="0"/>
              <w:jc w:val="left"/>
              <w:rPr>
                <w:rFonts w:ascii="宋体" w:hAnsi="宋体"/>
                <w:color w:val="auto"/>
                <w:kern w:val="0"/>
                <w:szCs w:val="21"/>
                <w:highlight w:val="none"/>
              </w:rPr>
            </w:pPr>
          </w:p>
        </w:tc>
      </w:tr>
      <w:tr w14:paraId="096C58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8172247">
            <w:pPr>
              <w:autoSpaceDE w:val="0"/>
              <w:autoSpaceDN w:val="0"/>
              <w:adjustRightInd w:val="0"/>
              <w:snapToGrid w:val="0"/>
              <w:jc w:val="left"/>
              <w:rPr>
                <w:rFonts w:ascii="宋体" w:hAnsi="宋体"/>
                <w:color w:val="auto"/>
                <w:kern w:val="0"/>
                <w:szCs w:val="21"/>
                <w:highlight w:val="none"/>
              </w:rPr>
            </w:pPr>
          </w:p>
        </w:tc>
        <w:tc>
          <w:tcPr>
            <w:tcW w:w="734" w:type="dxa"/>
          </w:tcPr>
          <w:p w14:paraId="20075A90">
            <w:pPr>
              <w:autoSpaceDE w:val="0"/>
              <w:autoSpaceDN w:val="0"/>
              <w:adjustRightInd w:val="0"/>
              <w:snapToGrid w:val="0"/>
              <w:jc w:val="left"/>
              <w:rPr>
                <w:rFonts w:ascii="宋体" w:hAnsi="宋体"/>
                <w:color w:val="auto"/>
                <w:kern w:val="0"/>
                <w:szCs w:val="21"/>
                <w:highlight w:val="none"/>
              </w:rPr>
            </w:pPr>
          </w:p>
        </w:tc>
        <w:tc>
          <w:tcPr>
            <w:tcW w:w="776" w:type="dxa"/>
          </w:tcPr>
          <w:p w14:paraId="7FD13C0E">
            <w:pPr>
              <w:autoSpaceDE w:val="0"/>
              <w:autoSpaceDN w:val="0"/>
              <w:adjustRightInd w:val="0"/>
              <w:snapToGrid w:val="0"/>
              <w:jc w:val="left"/>
              <w:rPr>
                <w:rFonts w:ascii="宋体" w:hAnsi="宋体"/>
                <w:color w:val="auto"/>
                <w:kern w:val="0"/>
                <w:szCs w:val="21"/>
                <w:highlight w:val="none"/>
              </w:rPr>
            </w:pPr>
          </w:p>
        </w:tc>
        <w:tc>
          <w:tcPr>
            <w:tcW w:w="1167" w:type="dxa"/>
          </w:tcPr>
          <w:p w14:paraId="4A4D6165">
            <w:pPr>
              <w:autoSpaceDE w:val="0"/>
              <w:autoSpaceDN w:val="0"/>
              <w:adjustRightInd w:val="0"/>
              <w:snapToGrid w:val="0"/>
              <w:jc w:val="left"/>
              <w:rPr>
                <w:rFonts w:ascii="宋体" w:hAnsi="宋体"/>
                <w:color w:val="auto"/>
                <w:kern w:val="0"/>
                <w:szCs w:val="21"/>
                <w:highlight w:val="none"/>
              </w:rPr>
            </w:pPr>
          </w:p>
        </w:tc>
        <w:tc>
          <w:tcPr>
            <w:tcW w:w="776" w:type="dxa"/>
          </w:tcPr>
          <w:p w14:paraId="2BDF62DF">
            <w:pPr>
              <w:autoSpaceDE w:val="0"/>
              <w:autoSpaceDN w:val="0"/>
              <w:adjustRightInd w:val="0"/>
              <w:snapToGrid w:val="0"/>
              <w:jc w:val="left"/>
              <w:rPr>
                <w:rFonts w:ascii="宋体" w:hAnsi="宋体"/>
                <w:color w:val="auto"/>
                <w:kern w:val="0"/>
                <w:szCs w:val="21"/>
                <w:highlight w:val="none"/>
              </w:rPr>
            </w:pPr>
          </w:p>
        </w:tc>
        <w:tc>
          <w:tcPr>
            <w:tcW w:w="778" w:type="dxa"/>
          </w:tcPr>
          <w:p w14:paraId="3FD60F8E">
            <w:pPr>
              <w:autoSpaceDE w:val="0"/>
              <w:autoSpaceDN w:val="0"/>
              <w:adjustRightInd w:val="0"/>
              <w:snapToGrid w:val="0"/>
              <w:jc w:val="left"/>
              <w:rPr>
                <w:rFonts w:ascii="宋体" w:hAnsi="宋体"/>
                <w:color w:val="auto"/>
                <w:kern w:val="0"/>
                <w:szCs w:val="21"/>
                <w:highlight w:val="none"/>
              </w:rPr>
            </w:pPr>
          </w:p>
        </w:tc>
        <w:tc>
          <w:tcPr>
            <w:tcW w:w="776" w:type="dxa"/>
          </w:tcPr>
          <w:p w14:paraId="0142391C">
            <w:pPr>
              <w:autoSpaceDE w:val="0"/>
              <w:autoSpaceDN w:val="0"/>
              <w:adjustRightInd w:val="0"/>
              <w:snapToGrid w:val="0"/>
              <w:jc w:val="left"/>
              <w:rPr>
                <w:rFonts w:ascii="宋体" w:hAnsi="宋体"/>
                <w:color w:val="auto"/>
                <w:kern w:val="0"/>
                <w:szCs w:val="21"/>
                <w:highlight w:val="none"/>
              </w:rPr>
            </w:pPr>
          </w:p>
        </w:tc>
        <w:tc>
          <w:tcPr>
            <w:tcW w:w="2723" w:type="dxa"/>
          </w:tcPr>
          <w:p w14:paraId="501D0A2C">
            <w:pPr>
              <w:autoSpaceDE w:val="0"/>
              <w:autoSpaceDN w:val="0"/>
              <w:adjustRightInd w:val="0"/>
              <w:snapToGrid w:val="0"/>
              <w:jc w:val="left"/>
              <w:rPr>
                <w:rFonts w:ascii="宋体" w:hAnsi="宋体"/>
                <w:color w:val="auto"/>
                <w:kern w:val="0"/>
                <w:szCs w:val="21"/>
                <w:highlight w:val="none"/>
              </w:rPr>
            </w:pPr>
          </w:p>
        </w:tc>
        <w:tc>
          <w:tcPr>
            <w:tcW w:w="896" w:type="dxa"/>
          </w:tcPr>
          <w:p w14:paraId="3E743657">
            <w:pPr>
              <w:autoSpaceDE w:val="0"/>
              <w:autoSpaceDN w:val="0"/>
              <w:adjustRightInd w:val="0"/>
              <w:snapToGrid w:val="0"/>
              <w:jc w:val="left"/>
              <w:rPr>
                <w:rFonts w:ascii="宋体" w:hAnsi="宋体"/>
                <w:color w:val="auto"/>
                <w:kern w:val="0"/>
                <w:szCs w:val="21"/>
                <w:highlight w:val="none"/>
              </w:rPr>
            </w:pPr>
          </w:p>
        </w:tc>
      </w:tr>
      <w:tr w14:paraId="415425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5D44C6">
            <w:pPr>
              <w:autoSpaceDE w:val="0"/>
              <w:autoSpaceDN w:val="0"/>
              <w:adjustRightInd w:val="0"/>
              <w:snapToGrid w:val="0"/>
              <w:jc w:val="left"/>
              <w:rPr>
                <w:rFonts w:ascii="宋体" w:hAnsi="宋体"/>
                <w:color w:val="auto"/>
                <w:kern w:val="0"/>
                <w:szCs w:val="21"/>
                <w:highlight w:val="none"/>
              </w:rPr>
            </w:pPr>
          </w:p>
        </w:tc>
        <w:tc>
          <w:tcPr>
            <w:tcW w:w="734" w:type="dxa"/>
          </w:tcPr>
          <w:p w14:paraId="44A6A69D">
            <w:pPr>
              <w:autoSpaceDE w:val="0"/>
              <w:autoSpaceDN w:val="0"/>
              <w:adjustRightInd w:val="0"/>
              <w:snapToGrid w:val="0"/>
              <w:jc w:val="left"/>
              <w:rPr>
                <w:rFonts w:ascii="宋体" w:hAnsi="宋体"/>
                <w:color w:val="auto"/>
                <w:kern w:val="0"/>
                <w:szCs w:val="21"/>
                <w:highlight w:val="none"/>
              </w:rPr>
            </w:pPr>
          </w:p>
        </w:tc>
        <w:tc>
          <w:tcPr>
            <w:tcW w:w="776" w:type="dxa"/>
          </w:tcPr>
          <w:p w14:paraId="335282E6">
            <w:pPr>
              <w:autoSpaceDE w:val="0"/>
              <w:autoSpaceDN w:val="0"/>
              <w:adjustRightInd w:val="0"/>
              <w:snapToGrid w:val="0"/>
              <w:jc w:val="left"/>
              <w:rPr>
                <w:rFonts w:ascii="宋体" w:hAnsi="宋体"/>
                <w:color w:val="auto"/>
                <w:kern w:val="0"/>
                <w:szCs w:val="21"/>
                <w:highlight w:val="none"/>
              </w:rPr>
            </w:pPr>
          </w:p>
        </w:tc>
        <w:tc>
          <w:tcPr>
            <w:tcW w:w="1167" w:type="dxa"/>
          </w:tcPr>
          <w:p w14:paraId="607D8932">
            <w:pPr>
              <w:autoSpaceDE w:val="0"/>
              <w:autoSpaceDN w:val="0"/>
              <w:adjustRightInd w:val="0"/>
              <w:snapToGrid w:val="0"/>
              <w:jc w:val="left"/>
              <w:rPr>
                <w:rFonts w:ascii="宋体" w:hAnsi="宋体"/>
                <w:color w:val="auto"/>
                <w:kern w:val="0"/>
                <w:szCs w:val="21"/>
                <w:highlight w:val="none"/>
              </w:rPr>
            </w:pPr>
          </w:p>
        </w:tc>
        <w:tc>
          <w:tcPr>
            <w:tcW w:w="776" w:type="dxa"/>
          </w:tcPr>
          <w:p w14:paraId="19629CF0">
            <w:pPr>
              <w:autoSpaceDE w:val="0"/>
              <w:autoSpaceDN w:val="0"/>
              <w:adjustRightInd w:val="0"/>
              <w:snapToGrid w:val="0"/>
              <w:jc w:val="left"/>
              <w:rPr>
                <w:rFonts w:ascii="宋体" w:hAnsi="宋体"/>
                <w:color w:val="auto"/>
                <w:kern w:val="0"/>
                <w:szCs w:val="21"/>
                <w:highlight w:val="none"/>
              </w:rPr>
            </w:pPr>
          </w:p>
        </w:tc>
        <w:tc>
          <w:tcPr>
            <w:tcW w:w="778" w:type="dxa"/>
          </w:tcPr>
          <w:p w14:paraId="7D3AA399">
            <w:pPr>
              <w:autoSpaceDE w:val="0"/>
              <w:autoSpaceDN w:val="0"/>
              <w:adjustRightInd w:val="0"/>
              <w:snapToGrid w:val="0"/>
              <w:jc w:val="left"/>
              <w:rPr>
                <w:rFonts w:ascii="宋体" w:hAnsi="宋体"/>
                <w:color w:val="auto"/>
                <w:kern w:val="0"/>
                <w:szCs w:val="21"/>
                <w:highlight w:val="none"/>
              </w:rPr>
            </w:pPr>
          </w:p>
        </w:tc>
        <w:tc>
          <w:tcPr>
            <w:tcW w:w="776" w:type="dxa"/>
          </w:tcPr>
          <w:p w14:paraId="7AE2427E">
            <w:pPr>
              <w:autoSpaceDE w:val="0"/>
              <w:autoSpaceDN w:val="0"/>
              <w:adjustRightInd w:val="0"/>
              <w:snapToGrid w:val="0"/>
              <w:jc w:val="left"/>
              <w:rPr>
                <w:rFonts w:ascii="宋体" w:hAnsi="宋体"/>
                <w:color w:val="auto"/>
                <w:kern w:val="0"/>
                <w:szCs w:val="21"/>
                <w:highlight w:val="none"/>
              </w:rPr>
            </w:pPr>
          </w:p>
        </w:tc>
        <w:tc>
          <w:tcPr>
            <w:tcW w:w="2723" w:type="dxa"/>
          </w:tcPr>
          <w:p w14:paraId="3048DB03">
            <w:pPr>
              <w:autoSpaceDE w:val="0"/>
              <w:autoSpaceDN w:val="0"/>
              <w:adjustRightInd w:val="0"/>
              <w:snapToGrid w:val="0"/>
              <w:jc w:val="left"/>
              <w:rPr>
                <w:rFonts w:ascii="宋体" w:hAnsi="宋体"/>
                <w:color w:val="auto"/>
                <w:kern w:val="0"/>
                <w:szCs w:val="21"/>
                <w:highlight w:val="none"/>
              </w:rPr>
            </w:pPr>
          </w:p>
        </w:tc>
        <w:tc>
          <w:tcPr>
            <w:tcW w:w="896" w:type="dxa"/>
          </w:tcPr>
          <w:p w14:paraId="7ABFBD15">
            <w:pPr>
              <w:autoSpaceDE w:val="0"/>
              <w:autoSpaceDN w:val="0"/>
              <w:adjustRightInd w:val="0"/>
              <w:snapToGrid w:val="0"/>
              <w:jc w:val="left"/>
              <w:rPr>
                <w:rFonts w:ascii="宋体" w:hAnsi="宋体"/>
                <w:color w:val="auto"/>
                <w:kern w:val="0"/>
                <w:szCs w:val="21"/>
                <w:highlight w:val="none"/>
              </w:rPr>
            </w:pPr>
          </w:p>
        </w:tc>
      </w:tr>
      <w:tr w14:paraId="6D44A6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FFF180F">
            <w:pPr>
              <w:autoSpaceDE w:val="0"/>
              <w:autoSpaceDN w:val="0"/>
              <w:adjustRightInd w:val="0"/>
              <w:snapToGrid w:val="0"/>
              <w:jc w:val="left"/>
              <w:rPr>
                <w:rFonts w:ascii="宋体" w:hAnsi="宋体"/>
                <w:color w:val="auto"/>
                <w:kern w:val="0"/>
                <w:szCs w:val="21"/>
                <w:highlight w:val="none"/>
              </w:rPr>
            </w:pPr>
          </w:p>
        </w:tc>
        <w:tc>
          <w:tcPr>
            <w:tcW w:w="734" w:type="dxa"/>
          </w:tcPr>
          <w:p w14:paraId="0E524185">
            <w:pPr>
              <w:autoSpaceDE w:val="0"/>
              <w:autoSpaceDN w:val="0"/>
              <w:adjustRightInd w:val="0"/>
              <w:snapToGrid w:val="0"/>
              <w:jc w:val="left"/>
              <w:rPr>
                <w:rFonts w:ascii="宋体" w:hAnsi="宋体"/>
                <w:color w:val="auto"/>
                <w:kern w:val="0"/>
                <w:szCs w:val="21"/>
                <w:highlight w:val="none"/>
              </w:rPr>
            </w:pPr>
          </w:p>
        </w:tc>
        <w:tc>
          <w:tcPr>
            <w:tcW w:w="776" w:type="dxa"/>
          </w:tcPr>
          <w:p w14:paraId="5F3EADB4">
            <w:pPr>
              <w:autoSpaceDE w:val="0"/>
              <w:autoSpaceDN w:val="0"/>
              <w:adjustRightInd w:val="0"/>
              <w:snapToGrid w:val="0"/>
              <w:jc w:val="left"/>
              <w:rPr>
                <w:rFonts w:ascii="宋体" w:hAnsi="宋体"/>
                <w:color w:val="auto"/>
                <w:kern w:val="0"/>
                <w:szCs w:val="21"/>
                <w:highlight w:val="none"/>
              </w:rPr>
            </w:pPr>
          </w:p>
        </w:tc>
        <w:tc>
          <w:tcPr>
            <w:tcW w:w="1167" w:type="dxa"/>
          </w:tcPr>
          <w:p w14:paraId="595FB817">
            <w:pPr>
              <w:autoSpaceDE w:val="0"/>
              <w:autoSpaceDN w:val="0"/>
              <w:adjustRightInd w:val="0"/>
              <w:snapToGrid w:val="0"/>
              <w:jc w:val="left"/>
              <w:rPr>
                <w:rFonts w:ascii="宋体" w:hAnsi="宋体"/>
                <w:color w:val="auto"/>
                <w:kern w:val="0"/>
                <w:szCs w:val="21"/>
                <w:highlight w:val="none"/>
              </w:rPr>
            </w:pPr>
          </w:p>
        </w:tc>
        <w:tc>
          <w:tcPr>
            <w:tcW w:w="776" w:type="dxa"/>
          </w:tcPr>
          <w:p w14:paraId="12EAA1AE">
            <w:pPr>
              <w:autoSpaceDE w:val="0"/>
              <w:autoSpaceDN w:val="0"/>
              <w:adjustRightInd w:val="0"/>
              <w:snapToGrid w:val="0"/>
              <w:jc w:val="left"/>
              <w:rPr>
                <w:rFonts w:ascii="宋体" w:hAnsi="宋体"/>
                <w:color w:val="auto"/>
                <w:kern w:val="0"/>
                <w:szCs w:val="21"/>
                <w:highlight w:val="none"/>
              </w:rPr>
            </w:pPr>
          </w:p>
        </w:tc>
        <w:tc>
          <w:tcPr>
            <w:tcW w:w="778" w:type="dxa"/>
          </w:tcPr>
          <w:p w14:paraId="1088CD97">
            <w:pPr>
              <w:autoSpaceDE w:val="0"/>
              <w:autoSpaceDN w:val="0"/>
              <w:adjustRightInd w:val="0"/>
              <w:snapToGrid w:val="0"/>
              <w:jc w:val="left"/>
              <w:rPr>
                <w:rFonts w:ascii="宋体" w:hAnsi="宋体"/>
                <w:color w:val="auto"/>
                <w:kern w:val="0"/>
                <w:szCs w:val="21"/>
                <w:highlight w:val="none"/>
              </w:rPr>
            </w:pPr>
          </w:p>
        </w:tc>
        <w:tc>
          <w:tcPr>
            <w:tcW w:w="776" w:type="dxa"/>
          </w:tcPr>
          <w:p w14:paraId="6A47D306">
            <w:pPr>
              <w:autoSpaceDE w:val="0"/>
              <w:autoSpaceDN w:val="0"/>
              <w:adjustRightInd w:val="0"/>
              <w:snapToGrid w:val="0"/>
              <w:jc w:val="left"/>
              <w:rPr>
                <w:rFonts w:ascii="宋体" w:hAnsi="宋体"/>
                <w:color w:val="auto"/>
                <w:kern w:val="0"/>
                <w:szCs w:val="21"/>
                <w:highlight w:val="none"/>
              </w:rPr>
            </w:pPr>
          </w:p>
        </w:tc>
        <w:tc>
          <w:tcPr>
            <w:tcW w:w="2723" w:type="dxa"/>
          </w:tcPr>
          <w:p w14:paraId="35707B36">
            <w:pPr>
              <w:autoSpaceDE w:val="0"/>
              <w:autoSpaceDN w:val="0"/>
              <w:adjustRightInd w:val="0"/>
              <w:snapToGrid w:val="0"/>
              <w:jc w:val="left"/>
              <w:rPr>
                <w:rFonts w:ascii="宋体" w:hAnsi="宋体"/>
                <w:color w:val="auto"/>
                <w:kern w:val="0"/>
                <w:szCs w:val="21"/>
                <w:highlight w:val="none"/>
              </w:rPr>
            </w:pPr>
          </w:p>
        </w:tc>
        <w:tc>
          <w:tcPr>
            <w:tcW w:w="896" w:type="dxa"/>
          </w:tcPr>
          <w:p w14:paraId="66B86807">
            <w:pPr>
              <w:autoSpaceDE w:val="0"/>
              <w:autoSpaceDN w:val="0"/>
              <w:adjustRightInd w:val="0"/>
              <w:snapToGrid w:val="0"/>
              <w:jc w:val="left"/>
              <w:rPr>
                <w:rFonts w:ascii="宋体" w:hAnsi="宋体"/>
                <w:color w:val="auto"/>
                <w:kern w:val="0"/>
                <w:szCs w:val="21"/>
                <w:highlight w:val="none"/>
              </w:rPr>
            </w:pPr>
          </w:p>
        </w:tc>
      </w:tr>
      <w:tr w14:paraId="3BDE01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31F63C">
            <w:pPr>
              <w:autoSpaceDE w:val="0"/>
              <w:autoSpaceDN w:val="0"/>
              <w:adjustRightInd w:val="0"/>
              <w:snapToGrid w:val="0"/>
              <w:jc w:val="left"/>
              <w:rPr>
                <w:rFonts w:ascii="宋体" w:hAnsi="宋体"/>
                <w:color w:val="auto"/>
                <w:kern w:val="0"/>
                <w:szCs w:val="21"/>
                <w:highlight w:val="none"/>
              </w:rPr>
            </w:pPr>
          </w:p>
        </w:tc>
        <w:tc>
          <w:tcPr>
            <w:tcW w:w="734" w:type="dxa"/>
          </w:tcPr>
          <w:p w14:paraId="34A4FE62">
            <w:pPr>
              <w:autoSpaceDE w:val="0"/>
              <w:autoSpaceDN w:val="0"/>
              <w:adjustRightInd w:val="0"/>
              <w:snapToGrid w:val="0"/>
              <w:jc w:val="left"/>
              <w:rPr>
                <w:rFonts w:ascii="宋体" w:hAnsi="宋体"/>
                <w:color w:val="auto"/>
                <w:kern w:val="0"/>
                <w:szCs w:val="21"/>
                <w:highlight w:val="none"/>
              </w:rPr>
            </w:pPr>
          </w:p>
        </w:tc>
        <w:tc>
          <w:tcPr>
            <w:tcW w:w="776" w:type="dxa"/>
          </w:tcPr>
          <w:p w14:paraId="3C618C46">
            <w:pPr>
              <w:autoSpaceDE w:val="0"/>
              <w:autoSpaceDN w:val="0"/>
              <w:adjustRightInd w:val="0"/>
              <w:snapToGrid w:val="0"/>
              <w:jc w:val="left"/>
              <w:rPr>
                <w:rFonts w:ascii="宋体" w:hAnsi="宋体"/>
                <w:color w:val="auto"/>
                <w:kern w:val="0"/>
                <w:szCs w:val="21"/>
                <w:highlight w:val="none"/>
              </w:rPr>
            </w:pPr>
          </w:p>
        </w:tc>
        <w:tc>
          <w:tcPr>
            <w:tcW w:w="1167" w:type="dxa"/>
          </w:tcPr>
          <w:p w14:paraId="17DC819A">
            <w:pPr>
              <w:autoSpaceDE w:val="0"/>
              <w:autoSpaceDN w:val="0"/>
              <w:adjustRightInd w:val="0"/>
              <w:snapToGrid w:val="0"/>
              <w:jc w:val="left"/>
              <w:rPr>
                <w:rFonts w:ascii="宋体" w:hAnsi="宋体"/>
                <w:color w:val="auto"/>
                <w:kern w:val="0"/>
                <w:szCs w:val="21"/>
                <w:highlight w:val="none"/>
              </w:rPr>
            </w:pPr>
          </w:p>
        </w:tc>
        <w:tc>
          <w:tcPr>
            <w:tcW w:w="776" w:type="dxa"/>
          </w:tcPr>
          <w:p w14:paraId="60A9CF85">
            <w:pPr>
              <w:autoSpaceDE w:val="0"/>
              <w:autoSpaceDN w:val="0"/>
              <w:adjustRightInd w:val="0"/>
              <w:snapToGrid w:val="0"/>
              <w:jc w:val="left"/>
              <w:rPr>
                <w:rFonts w:ascii="宋体" w:hAnsi="宋体"/>
                <w:color w:val="auto"/>
                <w:kern w:val="0"/>
                <w:szCs w:val="21"/>
                <w:highlight w:val="none"/>
              </w:rPr>
            </w:pPr>
          </w:p>
        </w:tc>
        <w:tc>
          <w:tcPr>
            <w:tcW w:w="778" w:type="dxa"/>
          </w:tcPr>
          <w:p w14:paraId="134C1BBF">
            <w:pPr>
              <w:autoSpaceDE w:val="0"/>
              <w:autoSpaceDN w:val="0"/>
              <w:adjustRightInd w:val="0"/>
              <w:snapToGrid w:val="0"/>
              <w:jc w:val="left"/>
              <w:rPr>
                <w:rFonts w:ascii="宋体" w:hAnsi="宋体"/>
                <w:color w:val="auto"/>
                <w:kern w:val="0"/>
                <w:szCs w:val="21"/>
                <w:highlight w:val="none"/>
              </w:rPr>
            </w:pPr>
          </w:p>
        </w:tc>
        <w:tc>
          <w:tcPr>
            <w:tcW w:w="776" w:type="dxa"/>
          </w:tcPr>
          <w:p w14:paraId="0F0FF52A">
            <w:pPr>
              <w:autoSpaceDE w:val="0"/>
              <w:autoSpaceDN w:val="0"/>
              <w:adjustRightInd w:val="0"/>
              <w:snapToGrid w:val="0"/>
              <w:jc w:val="left"/>
              <w:rPr>
                <w:rFonts w:ascii="宋体" w:hAnsi="宋体"/>
                <w:color w:val="auto"/>
                <w:kern w:val="0"/>
                <w:szCs w:val="21"/>
                <w:highlight w:val="none"/>
              </w:rPr>
            </w:pPr>
          </w:p>
        </w:tc>
        <w:tc>
          <w:tcPr>
            <w:tcW w:w="2723" w:type="dxa"/>
          </w:tcPr>
          <w:p w14:paraId="48849E4B">
            <w:pPr>
              <w:autoSpaceDE w:val="0"/>
              <w:autoSpaceDN w:val="0"/>
              <w:adjustRightInd w:val="0"/>
              <w:snapToGrid w:val="0"/>
              <w:jc w:val="left"/>
              <w:rPr>
                <w:rFonts w:ascii="宋体" w:hAnsi="宋体"/>
                <w:color w:val="auto"/>
                <w:kern w:val="0"/>
                <w:szCs w:val="21"/>
                <w:highlight w:val="none"/>
              </w:rPr>
            </w:pPr>
          </w:p>
        </w:tc>
        <w:tc>
          <w:tcPr>
            <w:tcW w:w="896" w:type="dxa"/>
          </w:tcPr>
          <w:p w14:paraId="0AFED0A3">
            <w:pPr>
              <w:autoSpaceDE w:val="0"/>
              <w:autoSpaceDN w:val="0"/>
              <w:adjustRightInd w:val="0"/>
              <w:snapToGrid w:val="0"/>
              <w:jc w:val="left"/>
              <w:rPr>
                <w:rFonts w:ascii="宋体" w:hAnsi="宋体"/>
                <w:color w:val="auto"/>
                <w:kern w:val="0"/>
                <w:szCs w:val="21"/>
                <w:highlight w:val="none"/>
              </w:rPr>
            </w:pPr>
          </w:p>
        </w:tc>
      </w:tr>
      <w:tr w14:paraId="1C3BC6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3FBB50">
            <w:pPr>
              <w:autoSpaceDE w:val="0"/>
              <w:autoSpaceDN w:val="0"/>
              <w:adjustRightInd w:val="0"/>
              <w:snapToGrid w:val="0"/>
              <w:jc w:val="left"/>
              <w:rPr>
                <w:rFonts w:ascii="宋体" w:hAnsi="宋体"/>
                <w:color w:val="auto"/>
                <w:kern w:val="0"/>
                <w:szCs w:val="21"/>
                <w:highlight w:val="none"/>
              </w:rPr>
            </w:pPr>
          </w:p>
        </w:tc>
        <w:tc>
          <w:tcPr>
            <w:tcW w:w="734" w:type="dxa"/>
          </w:tcPr>
          <w:p w14:paraId="02D0D4E2">
            <w:pPr>
              <w:autoSpaceDE w:val="0"/>
              <w:autoSpaceDN w:val="0"/>
              <w:adjustRightInd w:val="0"/>
              <w:snapToGrid w:val="0"/>
              <w:jc w:val="left"/>
              <w:rPr>
                <w:rFonts w:ascii="宋体" w:hAnsi="宋体"/>
                <w:color w:val="auto"/>
                <w:kern w:val="0"/>
                <w:szCs w:val="21"/>
                <w:highlight w:val="none"/>
              </w:rPr>
            </w:pPr>
          </w:p>
        </w:tc>
        <w:tc>
          <w:tcPr>
            <w:tcW w:w="776" w:type="dxa"/>
          </w:tcPr>
          <w:p w14:paraId="24F05857">
            <w:pPr>
              <w:autoSpaceDE w:val="0"/>
              <w:autoSpaceDN w:val="0"/>
              <w:adjustRightInd w:val="0"/>
              <w:snapToGrid w:val="0"/>
              <w:jc w:val="left"/>
              <w:rPr>
                <w:rFonts w:ascii="宋体" w:hAnsi="宋体"/>
                <w:color w:val="auto"/>
                <w:kern w:val="0"/>
                <w:szCs w:val="21"/>
                <w:highlight w:val="none"/>
              </w:rPr>
            </w:pPr>
          </w:p>
        </w:tc>
        <w:tc>
          <w:tcPr>
            <w:tcW w:w="1167" w:type="dxa"/>
          </w:tcPr>
          <w:p w14:paraId="526BC4A1">
            <w:pPr>
              <w:autoSpaceDE w:val="0"/>
              <w:autoSpaceDN w:val="0"/>
              <w:adjustRightInd w:val="0"/>
              <w:snapToGrid w:val="0"/>
              <w:jc w:val="left"/>
              <w:rPr>
                <w:rFonts w:ascii="宋体" w:hAnsi="宋体"/>
                <w:color w:val="auto"/>
                <w:kern w:val="0"/>
                <w:szCs w:val="21"/>
                <w:highlight w:val="none"/>
              </w:rPr>
            </w:pPr>
          </w:p>
        </w:tc>
        <w:tc>
          <w:tcPr>
            <w:tcW w:w="776" w:type="dxa"/>
          </w:tcPr>
          <w:p w14:paraId="377306D6">
            <w:pPr>
              <w:autoSpaceDE w:val="0"/>
              <w:autoSpaceDN w:val="0"/>
              <w:adjustRightInd w:val="0"/>
              <w:snapToGrid w:val="0"/>
              <w:jc w:val="left"/>
              <w:rPr>
                <w:rFonts w:ascii="宋体" w:hAnsi="宋体"/>
                <w:color w:val="auto"/>
                <w:kern w:val="0"/>
                <w:szCs w:val="21"/>
                <w:highlight w:val="none"/>
              </w:rPr>
            </w:pPr>
          </w:p>
        </w:tc>
        <w:tc>
          <w:tcPr>
            <w:tcW w:w="778" w:type="dxa"/>
          </w:tcPr>
          <w:p w14:paraId="6655627C">
            <w:pPr>
              <w:autoSpaceDE w:val="0"/>
              <w:autoSpaceDN w:val="0"/>
              <w:adjustRightInd w:val="0"/>
              <w:snapToGrid w:val="0"/>
              <w:jc w:val="left"/>
              <w:rPr>
                <w:rFonts w:ascii="宋体" w:hAnsi="宋体"/>
                <w:color w:val="auto"/>
                <w:kern w:val="0"/>
                <w:szCs w:val="21"/>
                <w:highlight w:val="none"/>
              </w:rPr>
            </w:pPr>
          </w:p>
        </w:tc>
        <w:tc>
          <w:tcPr>
            <w:tcW w:w="776" w:type="dxa"/>
          </w:tcPr>
          <w:p w14:paraId="1FD0C2AF">
            <w:pPr>
              <w:autoSpaceDE w:val="0"/>
              <w:autoSpaceDN w:val="0"/>
              <w:adjustRightInd w:val="0"/>
              <w:snapToGrid w:val="0"/>
              <w:jc w:val="left"/>
              <w:rPr>
                <w:rFonts w:ascii="宋体" w:hAnsi="宋体"/>
                <w:color w:val="auto"/>
                <w:kern w:val="0"/>
                <w:szCs w:val="21"/>
                <w:highlight w:val="none"/>
              </w:rPr>
            </w:pPr>
          </w:p>
        </w:tc>
        <w:tc>
          <w:tcPr>
            <w:tcW w:w="2723" w:type="dxa"/>
          </w:tcPr>
          <w:p w14:paraId="68E2873C">
            <w:pPr>
              <w:autoSpaceDE w:val="0"/>
              <w:autoSpaceDN w:val="0"/>
              <w:adjustRightInd w:val="0"/>
              <w:snapToGrid w:val="0"/>
              <w:jc w:val="left"/>
              <w:rPr>
                <w:rFonts w:ascii="宋体" w:hAnsi="宋体"/>
                <w:color w:val="auto"/>
                <w:kern w:val="0"/>
                <w:szCs w:val="21"/>
                <w:highlight w:val="none"/>
              </w:rPr>
            </w:pPr>
          </w:p>
        </w:tc>
        <w:tc>
          <w:tcPr>
            <w:tcW w:w="896" w:type="dxa"/>
          </w:tcPr>
          <w:p w14:paraId="78AF71DC">
            <w:pPr>
              <w:autoSpaceDE w:val="0"/>
              <w:autoSpaceDN w:val="0"/>
              <w:adjustRightInd w:val="0"/>
              <w:snapToGrid w:val="0"/>
              <w:jc w:val="left"/>
              <w:rPr>
                <w:rFonts w:ascii="宋体" w:hAnsi="宋体"/>
                <w:color w:val="auto"/>
                <w:kern w:val="0"/>
                <w:szCs w:val="21"/>
                <w:highlight w:val="none"/>
              </w:rPr>
            </w:pPr>
          </w:p>
        </w:tc>
      </w:tr>
      <w:tr w14:paraId="02AD4A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C18BC2">
            <w:pPr>
              <w:autoSpaceDE w:val="0"/>
              <w:autoSpaceDN w:val="0"/>
              <w:adjustRightInd w:val="0"/>
              <w:snapToGrid w:val="0"/>
              <w:jc w:val="left"/>
              <w:rPr>
                <w:rFonts w:ascii="宋体" w:hAnsi="宋体"/>
                <w:color w:val="auto"/>
                <w:kern w:val="0"/>
                <w:szCs w:val="21"/>
                <w:highlight w:val="none"/>
              </w:rPr>
            </w:pPr>
          </w:p>
        </w:tc>
        <w:tc>
          <w:tcPr>
            <w:tcW w:w="734" w:type="dxa"/>
          </w:tcPr>
          <w:p w14:paraId="1A6F067F">
            <w:pPr>
              <w:autoSpaceDE w:val="0"/>
              <w:autoSpaceDN w:val="0"/>
              <w:adjustRightInd w:val="0"/>
              <w:snapToGrid w:val="0"/>
              <w:jc w:val="left"/>
              <w:rPr>
                <w:rFonts w:ascii="宋体" w:hAnsi="宋体"/>
                <w:color w:val="auto"/>
                <w:kern w:val="0"/>
                <w:szCs w:val="21"/>
                <w:highlight w:val="none"/>
              </w:rPr>
            </w:pPr>
          </w:p>
        </w:tc>
        <w:tc>
          <w:tcPr>
            <w:tcW w:w="776" w:type="dxa"/>
          </w:tcPr>
          <w:p w14:paraId="49D2B705">
            <w:pPr>
              <w:autoSpaceDE w:val="0"/>
              <w:autoSpaceDN w:val="0"/>
              <w:adjustRightInd w:val="0"/>
              <w:snapToGrid w:val="0"/>
              <w:jc w:val="left"/>
              <w:rPr>
                <w:rFonts w:ascii="宋体" w:hAnsi="宋体"/>
                <w:color w:val="auto"/>
                <w:kern w:val="0"/>
                <w:szCs w:val="21"/>
                <w:highlight w:val="none"/>
              </w:rPr>
            </w:pPr>
          </w:p>
        </w:tc>
        <w:tc>
          <w:tcPr>
            <w:tcW w:w="1167" w:type="dxa"/>
          </w:tcPr>
          <w:p w14:paraId="4CC04CB8">
            <w:pPr>
              <w:autoSpaceDE w:val="0"/>
              <w:autoSpaceDN w:val="0"/>
              <w:adjustRightInd w:val="0"/>
              <w:snapToGrid w:val="0"/>
              <w:jc w:val="left"/>
              <w:rPr>
                <w:rFonts w:ascii="宋体" w:hAnsi="宋体"/>
                <w:color w:val="auto"/>
                <w:kern w:val="0"/>
                <w:szCs w:val="21"/>
                <w:highlight w:val="none"/>
              </w:rPr>
            </w:pPr>
          </w:p>
        </w:tc>
        <w:tc>
          <w:tcPr>
            <w:tcW w:w="776" w:type="dxa"/>
          </w:tcPr>
          <w:p w14:paraId="1F56FF49">
            <w:pPr>
              <w:autoSpaceDE w:val="0"/>
              <w:autoSpaceDN w:val="0"/>
              <w:adjustRightInd w:val="0"/>
              <w:snapToGrid w:val="0"/>
              <w:jc w:val="left"/>
              <w:rPr>
                <w:rFonts w:ascii="宋体" w:hAnsi="宋体"/>
                <w:color w:val="auto"/>
                <w:kern w:val="0"/>
                <w:szCs w:val="21"/>
                <w:highlight w:val="none"/>
              </w:rPr>
            </w:pPr>
          </w:p>
        </w:tc>
        <w:tc>
          <w:tcPr>
            <w:tcW w:w="778" w:type="dxa"/>
          </w:tcPr>
          <w:p w14:paraId="16C568BF">
            <w:pPr>
              <w:autoSpaceDE w:val="0"/>
              <w:autoSpaceDN w:val="0"/>
              <w:adjustRightInd w:val="0"/>
              <w:snapToGrid w:val="0"/>
              <w:jc w:val="left"/>
              <w:rPr>
                <w:rFonts w:ascii="宋体" w:hAnsi="宋体"/>
                <w:color w:val="auto"/>
                <w:kern w:val="0"/>
                <w:szCs w:val="21"/>
                <w:highlight w:val="none"/>
              </w:rPr>
            </w:pPr>
          </w:p>
        </w:tc>
        <w:tc>
          <w:tcPr>
            <w:tcW w:w="776" w:type="dxa"/>
          </w:tcPr>
          <w:p w14:paraId="135149C2">
            <w:pPr>
              <w:autoSpaceDE w:val="0"/>
              <w:autoSpaceDN w:val="0"/>
              <w:adjustRightInd w:val="0"/>
              <w:snapToGrid w:val="0"/>
              <w:jc w:val="left"/>
              <w:rPr>
                <w:rFonts w:ascii="宋体" w:hAnsi="宋体"/>
                <w:color w:val="auto"/>
                <w:kern w:val="0"/>
                <w:szCs w:val="21"/>
                <w:highlight w:val="none"/>
              </w:rPr>
            </w:pPr>
          </w:p>
        </w:tc>
        <w:tc>
          <w:tcPr>
            <w:tcW w:w="2723" w:type="dxa"/>
          </w:tcPr>
          <w:p w14:paraId="3CA32457">
            <w:pPr>
              <w:autoSpaceDE w:val="0"/>
              <w:autoSpaceDN w:val="0"/>
              <w:adjustRightInd w:val="0"/>
              <w:snapToGrid w:val="0"/>
              <w:jc w:val="left"/>
              <w:rPr>
                <w:rFonts w:ascii="宋体" w:hAnsi="宋体"/>
                <w:color w:val="auto"/>
                <w:kern w:val="0"/>
                <w:szCs w:val="21"/>
                <w:highlight w:val="none"/>
              </w:rPr>
            </w:pPr>
          </w:p>
        </w:tc>
        <w:tc>
          <w:tcPr>
            <w:tcW w:w="896" w:type="dxa"/>
          </w:tcPr>
          <w:p w14:paraId="7EE7BEB7">
            <w:pPr>
              <w:autoSpaceDE w:val="0"/>
              <w:autoSpaceDN w:val="0"/>
              <w:adjustRightInd w:val="0"/>
              <w:snapToGrid w:val="0"/>
              <w:jc w:val="left"/>
              <w:rPr>
                <w:rFonts w:ascii="宋体" w:hAnsi="宋体"/>
                <w:color w:val="auto"/>
                <w:kern w:val="0"/>
                <w:szCs w:val="21"/>
                <w:highlight w:val="none"/>
              </w:rPr>
            </w:pPr>
          </w:p>
        </w:tc>
      </w:tr>
      <w:tr w14:paraId="71E30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5824313">
            <w:pPr>
              <w:autoSpaceDE w:val="0"/>
              <w:autoSpaceDN w:val="0"/>
              <w:adjustRightInd w:val="0"/>
              <w:snapToGrid w:val="0"/>
              <w:jc w:val="left"/>
              <w:rPr>
                <w:rFonts w:ascii="宋体" w:hAnsi="宋体"/>
                <w:color w:val="auto"/>
                <w:kern w:val="0"/>
                <w:szCs w:val="21"/>
                <w:highlight w:val="none"/>
              </w:rPr>
            </w:pPr>
          </w:p>
        </w:tc>
        <w:tc>
          <w:tcPr>
            <w:tcW w:w="734" w:type="dxa"/>
          </w:tcPr>
          <w:p w14:paraId="6A866547">
            <w:pPr>
              <w:autoSpaceDE w:val="0"/>
              <w:autoSpaceDN w:val="0"/>
              <w:adjustRightInd w:val="0"/>
              <w:snapToGrid w:val="0"/>
              <w:jc w:val="left"/>
              <w:rPr>
                <w:rFonts w:ascii="宋体" w:hAnsi="宋体"/>
                <w:color w:val="auto"/>
                <w:kern w:val="0"/>
                <w:szCs w:val="21"/>
                <w:highlight w:val="none"/>
              </w:rPr>
            </w:pPr>
          </w:p>
        </w:tc>
        <w:tc>
          <w:tcPr>
            <w:tcW w:w="776" w:type="dxa"/>
          </w:tcPr>
          <w:p w14:paraId="6AB22BE7">
            <w:pPr>
              <w:autoSpaceDE w:val="0"/>
              <w:autoSpaceDN w:val="0"/>
              <w:adjustRightInd w:val="0"/>
              <w:snapToGrid w:val="0"/>
              <w:jc w:val="left"/>
              <w:rPr>
                <w:rFonts w:ascii="宋体" w:hAnsi="宋体"/>
                <w:color w:val="auto"/>
                <w:kern w:val="0"/>
                <w:szCs w:val="21"/>
                <w:highlight w:val="none"/>
              </w:rPr>
            </w:pPr>
          </w:p>
        </w:tc>
        <w:tc>
          <w:tcPr>
            <w:tcW w:w="1167" w:type="dxa"/>
          </w:tcPr>
          <w:p w14:paraId="319D2FBF">
            <w:pPr>
              <w:autoSpaceDE w:val="0"/>
              <w:autoSpaceDN w:val="0"/>
              <w:adjustRightInd w:val="0"/>
              <w:snapToGrid w:val="0"/>
              <w:jc w:val="left"/>
              <w:rPr>
                <w:rFonts w:ascii="宋体" w:hAnsi="宋体"/>
                <w:color w:val="auto"/>
                <w:kern w:val="0"/>
                <w:szCs w:val="21"/>
                <w:highlight w:val="none"/>
              </w:rPr>
            </w:pPr>
          </w:p>
        </w:tc>
        <w:tc>
          <w:tcPr>
            <w:tcW w:w="776" w:type="dxa"/>
          </w:tcPr>
          <w:p w14:paraId="2A363174">
            <w:pPr>
              <w:autoSpaceDE w:val="0"/>
              <w:autoSpaceDN w:val="0"/>
              <w:adjustRightInd w:val="0"/>
              <w:snapToGrid w:val="0"/>
              <w:jc w:val="left"/>
              <w:rPr>
                <w:rFonts w:ascii="宋体" w:hAnsi="宋体"/>
                <w:color w:val="auto"/>
                <w:kern w:val="0"/>
                <w:szCs w:val="21"/>
                <w:highlight w:val="none"/>
              </w:rPr>
            </w:pPr>
          </w:p>
        </w:tc>
        <w:tc>
          <w:tcPr>
            <w:tcW w:w="778" w:type="dxa"/>
          </w:tcPr>
          <w:p w14:paraId="5B5B86DA">
            <w:pPr>
              <w:autoSpaceDE w:val="0"/>
              <w:autoSpaceDN w:val="0"/>
              <w:adjustRightInd w:val="0"/>
              <w:snapToGrid w:val="0"/>
              <w:jc w:val="left"/>
              <w:rPr>
                <w:rFonts w:ascii="宋体" w:hAnsi="宋体"/>
                <w:color w:val="auto"/>
                <w:kern w:val="0"/>
                <w:szCs w:val="21"/>
                <w:highlight w:val="none"/>
              </w:rPr>
            </w:pPr>
          </w:p>
        </w:tc>
        <w:tc>
          <w:tcPr>
            <w:tcW w:w="776" w:type="dxa"/>
          </w:tcPr>
          <w:p w14:paraId="68C4AB39">
            <w:pPr>
              <w:autoSpaceDE w:val="0"/>
              <w:autoSpaceDN w:val="0"/>
              <w:adjustRightInd w:val="0"/>
              <w:snapToGrid w:val="0"/>
              <w:jc w:val="left"/>
              <w:rPr>
                <w:rFonts w:ascii="宋体" w:hAnsi="宋体"/>
                <w:color w:val="auto"/>
                <w:kern w:val="0"/>
                <w:szCs w:val="21"/>
                <w:highlight w:val="none"/>
              </w:rPr>
            </w:pPr>
          </w:p>
        </w:tc>
        <w:tc>
          <w:tcPr>
            <w:tcW w:w="2723" w:type="dxa"/>
          </w:tcPr>
          <w:p w14:paraId="0FAE1774">
            <w:pPr>
              <w:autoSpaceDE w:val="0"/>
              <w:autoSpaceDN w:val="0"/>
              <w:adjustRightInd w:val="0"/>
              <w:snapToGrid w:val="0"/>
              <w:jc w:val="left"/>
              <w:rPr>
                <w:rFonts w:ascii="宋体" w:hAnsi="宋体"/>
                <w:color w:val="auto"/>
                <w:kern w:val="0"/>
                <w:szCs w:val="21"/>
                <w:highlight w:val="none"/>
              </w:rPr>
            </w:pPr>
          </w:p>
        </w:tc>
        <w:tc>
          <w:tcPr>
            <w:tcW w:w="896" w:type="dxa"/>
          </w:tcPr>
          <w:p w14:paraId="70595659">
            <w:pPr>
              <w:autoSpaceDE w:val="0"/>
              <w:autoSpaceDN w:val="0"/>
              <w:adjustRightInd w:val="0"/>
              <w:snapToGrid w:val="0"/>
              <w:jc w:val="left"/>
              <w:rPr>
                <w:rFonts w:ascii="宋体" w:hAnsi="宋体"/>
                <w:color w:val="auto"/>
                <w:kern w:val="0"/>
                <w:szCs w:val="21"/>
                <w:highlight w:val="none"/>
              </w:rPr>
            </w:pPr>
          </w:p>
        </w:tc>
      </w:tr>
      <w:tr w14:paraId="7E9EBC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13A2F2">
            <w:pPr>
              <w:autoSpaceDE w:val="0"/>
              <w:autoSpaceDN w:val="0"/>
              <w:adjustRightInd w:val="0"/>
              <w:snapToGrid w:val="0"/>
              <w:jc w:val="left"/>
              <w:rPr>
                <w:rFonts w:ascii="宋体" w:hAnsi="宋体"/>
                <w:color w:val="auto"/>
                <w:kern w:val="0"/>
                <w:szCs w:val="21"/>
                <w:highlight w:val="none"/>
              </w:rPr>
            </w:pPr>
          </w:p>
        </w:tc>
        <w:tc>
          <w:tcPr>
            <w:tcW w:w="734" w:type="dxa"/>
          </w:tcPr>
          <w:p w14:paraId="784BB0FA">
            <w:pPr>
              <w:autoSpaceDE w:val="0"/>
              <w:autoSpaceDN w:val="0"/>
              <w:adjustRightInd w:val="0"/>
              <w:snapToGrid w:val="0"/>
              <w:jc w:val="left"/>
              <w:rPr>
                <w:rFonts w:ascii="宋体" w:hAnsi="宋体"/>
                <w:color w:val="auto"/>
                <w:kern w:val="0"/>
                <w:szCs w:val="21"/>
                <w:highlight w:val="none"/>
              </w:rPr>
            </w:pPr>
          </w:p>
        </w:tc>
        <w:tc>
          <w:tcPr>
            <w:tcW w:w="776" w:type="dxa"/>
          </w:tcPr>
          <w:p w14:paraId="6A0A4F4B">
            <w:pPr>
              <w:autoSpaceDE w:val="0"/>
              <w:autoSpaceDN w:val="0"/>
              <w:adjustRightInd w:val="0"/>
              <w:snapToGrid w:val="0"/>
              <w:jc w:val="left"/>
              <w:rPr>
                <w:rFonts w:ascii="宋体" w:hAnsi="宋体"/>
                <w:color w:val="auto"/>
                <w:kern w:val="0"/>
                <w:szCs w:val="21"/>
                <w:highlight w:val="none"/>
              </w:rPr>
            </w:pPr>
          </w:p>
        </w:tc>
        <w:tc>
          <w:tcPr>
            <w:tcW w:w="1167" w:type="dxa"/>
          </w:tcPr>
          <w:p w14:paraId="64292EB9">
            <w:pPr>
              <w:autoSpaceDE w:val="0"/>
              <w:autoSpaceDN w:val="0"/>
              <w:adjustRightInd w:val="0"/>
              <w:snapToGrid w:val="0"/>
              <w:jc w:val="left"/>
              <w:rPr>
                <w:rFonts w:ascii="宋体" w:hAnsi="宋体"/>
                <w:color w:val="auto"/>
                <w:kern w:val="0"/>
                <w:szCs w:val="21"/>
                <w:highlight w:val="none"/>
              </w:rPr>
            </w:pPr>
          </w:p>
        </w:tc>
        <w:tc>
          <w:tcPr>
            <w:tcW w:w="776" w:type="dxa"/>
          </w:tcPr>
          <w:p w14:paraId="67BA2DA8">
            <w:pPr>
              <w:autoSpaceDE w:val="0"/>
              <w:autoSpaceDN w:val="0"/>
              <w:adjustRightInd w:val="0"/>
              <w:snapToGrid w:val="0"/>
              <w:jc w:val="left"/>
              <w:rPr>
                <w:rFonts w:ascii="宋体" w:hAnsi="宋体"/>
                <w:color w:val="auto"/>
                <w:kern w:val="0"/>
                <w:szCs w:val="21"/>
                <w:highlight w:val="none"/>
              </w:rPr>
            </w:pPr>
          </w:p>
        </w:tc>
        <w:tc>
          <w:tcPr>
            <w:tcW w:w="778" w:type="dxa"/>
          </w:tcPr>
          <w:p w14:paraId="752E7D78">
            <w:pPr>
              <w:autoSpaceDE w:val="0"/>
              <w:autoSpaceDN w:val="0"/>
              <w:adjustRightInd w:val="0"/>
              <w:snapToGrid w:val="0"/>
              <w:jc w:val="left"/>
              <w:rPr>
                <w:rFonts w:ascii="宋体" w:hAnsi="宋体"/>
                <w:color w:val="auto"/>
                <w:kern w:val="0"/>
                <w:szCs w:val="21"/>
                <w:highlight w:val="none"/>
              </w:rPr>
            </w:pPr>
          </w:p>
        </w:tc>
        <w:tc>
          <w:tcPr>
            <w:tcW w:w="776" w:type="dxa"/>
          </w:tcPr>
          <w:p w14:paraId="763C9E33">
            <w:pPr>
              <w:autoSpaceDE w:val="0"/>
              <w:autoSpaceDN w:val="0"/>
              <w:adjustRightInd w:val="0"/>
              <w:snapToGrid w:val="0"/>
              <w:jc w:val="left"/>
              <w:rPr>
                <w:rFonts w:ascii="宋体" w:hAnsi="宋体"/>
                <w:color w:val="auto"/>
                <w:kern w:val="0"/>
                <w:szCs w:val="21"/>
                <w:highlight w:val="none"/>
              </w:rPr>
            </w:pPr>
          </w:p>
        </w:tc>
        <w:tc>
          <w:tcPr>
            <w:tcW w:w="2723" w:type="dxa"/>
          </w:tcPr>
          <w:p w14:paraId="37B517F5">
            <w:pPr>
              <w:autoSpaceDE w:val="0"/>
              <w:autoSpaceDN w:val="0"/>
              <w:adjustRightInd w:val="0"/>
              <w:snapToGrid w:val="0"/>
              <w:jc w:val="left"/>
              <w:rPr>
                <w:rFonts w:ascii="宋体" w:hAnsi="宋体"/>
                <w:color w:val="auto"/>
                <w:kern w:val="0"/>
                <w:szCs w:val="21"/>
                <w:highlight w:val="none"/>
              </w:rPr>
            </w:pPr>
          </w:p>
        </w:tc>
        <w:tc>
          <w:tcPr>
            <w:tcW w:w="896" w:type="dxa"/>
          </w:tcPr>
          <w:p w14:paraId="792A9BF4">
            <w:pPr>
              <w:autoSpaceDE w:val="0"/>
              <w:autoSpaceDN w:val="0"/>
              <w:adjustRightInd w:val="0"/>
              <w:snapToGrid w:val="0"/>
              <w:jc w:val="left"/>
              <w:rPr>
                <w:rFonts w:ascii="宋体" w:hAnsi="宋体"/>
                <w:color w:val="auto"/>
                <w:kern w:val="0"/>
                <w:szCs w:val="21"/>
                <w:highlight w:val="none"/>
              </w:rPr>
            </w:pPr>
          </w:p>
        </w:tc>
      </w:tr>
      <w:tr w14:paraId="4FAD44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552357E">
            <w:pPr>
              <w:autoSpaceDE w:val="0"/>
              <w:autoSpaceDN w:val="0"/>
              <w:adjustRightInd w:val="0"/>
              <w:snapToGrid w:val="0"/>
              <w:jc w:val="left"/>
              <w:rPr>
                <w:rFonts w:ascii="宋体" w:hAnsi="宋体"/>
                <w:color w:val="auto"/>
                <w:kern w:val="0"/>
                <w:szCs w:val="21"/>
                <w:highlight w:val="none"/>
              </w:rPr>
            </w:pPr>
          </w:p>
        </w:tc>
        <w:tc>
          <w:tcPr>
            <w:tcW w:w="734" w:type="dxa"/>
          </w:tcPr>
          <w:p w14:paraId="5CD217B1">
            <w:pPr>
              <w:autoSpaceDE w:val="0"/>
              <w:autoSpaceDN w:val="0"/>
              <w:adjustRightInd w:val="0"/>
              <w:snapToGrid w:val="0"/>
              <w:jc w:val="left"/>
              <w:rPr>
                <w:rFonts w:ascii="宋体" w:hAnsi="宋体"/>
                <w:color w:val="auto"/>
                <w:kern w:val="0"/>
                <w:szCs w:val="21"/>
                <w:highlight w:val="none"/>
              </w:rPr>
            </w:pPr>
          </w:p>
        </w:tc>
        <w:tc>
          <w:tcPr>
            <w:tcW w:w="776" w:type="dxa"/>
          </w:tcPr>
          <w:p w14:paraId="2966E8BF">
            <w:pPr>
              <w:autoSpaceDE w:val="0"/>
              <w:autoSpaceDN w:val="0"/>
              <w:adjustRightInd w:val="0"/>
              <w:snapToGrid w:val="0"/>
              <w:jc w:val="left"/>
              <w:rPr>
                <w:rFonts w:ascii="宋体" w:hAnsi="宋体"/>
                <w:color w:val="auto"/>
                <w:kern w:val="0"/>
                <w:szCs w:val="21"/>
                <w:highlight w:val="none"/>
              </w:rPr>
            </w:pPr>
          </w:p>
        </w:tc>
        <w:tc>
          <w:tcPr>
            <w:tcW w:w="1167" w:type="dxa"/>
          </w:tcPr>
          <w:p w14:paraId="2315912B">
            <w:pPr>
              <w:autoSpaceDE w:val="0"/>
              <w:autoSpaceDN w:val="0"/>
              <w:adjustRightInd w:val="0"/>
              <w:snapToGrid w:val="0"/>
              <w:jc w:val="left"/>
              <w:rPr>
                <w:rFonts w:ascii="宋体" w:hAnsi="宋体"/>
                <w:color w:val="auto"/>
                <w:kern w:val="0"/>
                <w:szCs w:val="21"/>
                <w:highlight w:val="none"/>
              </w:rPr>
            </w:pPr>
          </w:p>
        </w:tc>
        <w:tc>
          <w:tcPr>
            <w:tcW w:w="776" w:type="dxa"/>
          </w:tcPr>
          <w:p w14:paraId="4E930F62">
            <w:pPr>
              <w:autoSpaceDE w:val="0"/>
              <w:autoSpaceDN w:val="0"/>
              <w:adjustRightInd w:val="0"/>
              <w:snapToGrid w:val="0"/>
              <w:jc w:val="left"/>
              <w:rPr>
                <w:rFonts w:ascii="宋体" w:hAnsi="宋体"/>
                <w:color w:val="auto"/>
                <w:kern w:val="0"/>
                <w:szCs w:val="21"/>
                <w:highlight w:val="none"/>
              </w:rPr>
            </w:pPr>
          </w:p>
        </w:tc>
        <w:tc>
          <w:tcPr>
            <w:tcW w:w="778" w:type="dxa"/>
          </w:tcPr>
          <w:p w14:paraId="1A37F28B">
            <w:pPr>
              <w:autoSpaceDE w:val="0"/>
              <w:autoSpaceDN w:val="0"/>
              <w:adjustRightInd w:val="0"/>
              <w:snapToGrid w:val="0"/>
              <w:jc w:val="left"/>
              <w:rPr>
                <w:rFonts w:ascii="宋体" w:hAnsi="宋体"/>
                <w:color w:val="auto"/>
                <w:kern w:val="0"/>
                <w:szCs w:val="21"/>
                <w:highlight w:val="none"/>
              </w:rPr>
            </w:pPr>
          </w:p>
        </w:tc>
        <w:tc>
          <w:tcPr>
            <w:tcW w:w="776" w:type="dxa"/>
          </w:tcPr>
          <w:p w14:paraId="7B907F46">
            <w:pPr>
              <w:autoSpaceDE w:val="0"/>
              <w:autoSpaceDN w:val="0"/>
              <w:adjustRightInd w:val="0"/>
              <w:snapToGrid w:val="0"/>
              <w:jc w:val="left"/>
              <w:rPr>
                <w:rFonts w:ascii="宋体" w:hAnsi="宋体"/>
                <w:color w:val="auto"/>
                <w:kern w:val="0"/>
                <w:szCs w:val="21"/>
                <w:highlight w:val="none"/>
              </w:rPr>
            </w:pPr>
          </w:p>
        </w:tc>
        <w:tc>
          <w:tcPr>
            <w:tcW w:w="2723" w:type="dxa"/>
          </w:tcPr>
          <w:p w14:paraId="494227CB">
            <w:pPr>
              <w:autoSpaceDE w:val="0"/>
              <w:autoSpaceDN w:val="0"/>
              <w:adjustRightInd w:val="0"/>
              <w:snapToGrid w:val="0"/>
              <w:jc w:val="left"/>
              <w:rPr>
                <w:rFonts w:ascii="宋体" w:hAnsi="宋体"/>
                <w:color w:val="auto"/>
                <w:kern w:val="0"/>
                <w:szCs w:val="21"/>
                <w:highlight w:val="none"/>
              </w:rPr>
            </w:pPr>
          </w:p>
        </w:tc>
        <w:tc>
          <w:tcPr>
            <w:tcW w:w="896" w:type="dxa"/>
          </w:tcPr>
          <w:p w14:paraId="6C3FED89">
            <w:pPr>
              <w:autoSpaceDE w:val="0"/>
              <w:autoSpaceDN w:val="0"/>
              <w:adjustRightInd w:val="0"/>
              <w:snapToGrid w:val="0"/>
              <w:jc w:val="left"/>
              <w:rPr>
                <w:rFonts w:ascii="宋体" w:hAnsi="宋体"/>
                <w:color w:val="auto"/>
                <w:kern w:val="0"/>
                <w:szCs w:val="21"/>
                <w:highlight w:val="none"/>
              </w:rPr>
            </w:pPr>
          </w:p>
        </w:tc>
      </w:tr>
      <w:tr w14:paraId="32352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F19F3E">
            <w:pPr>
              <w:autoSpaceDE w:val="0"/>
              <w:autoSpaceDN w:val="0"/>
              <w:adjustRightInd w:val="0"/>
              <w:snapToGrid w:val="0"/>
              <w:jc w:val="left"/>
              <w:rPr>
                <w:rFonts w:ascii="宋体" w:hAnsi="宋体"/>
                <w:color w:val="auto"/>
                <w:kern w:val="0"/>
                <w:szCs w:val="21"/>
                <w:highlight w:val="none"/>
              </w:rPr>
            </w:pPr>
          </w:p>
        </w:tc>
        <w:tc>
          <w:tcPr>
            <w:tcW w:w="734" w:type="dxa"/>
          </w:tcPr>
          <w:p w14:paraId="1E7E43D0">
            <w:pPr>
              <w:autoSpaceDE w:val="0"/>
              <w:autoSpaceDN w:val="0"/>
              <w:adjustRightInd w:val="0"/>
              <w:snapToGrid w:val="0"/>
              <w:jc w:val="left"/>
              <w:rPr>
                <w:rFonts w:ascii="宋体" w:hAnsi="宋体"/>
                <w:color w:val="auto"/>
                <w:kern w:val="0"/>
                <w:szCs w:val="21"/>
                <w:highlight w:val="none"/>
              </w:rPr>
            </w:pPr>
          </w:p>
        </w:tc>
        <w:tc>
          <w:tcPr>
            <w:tcW w:w="776" w:type="dxa"/>
          </w:tcPr>
          <w:p w14:paraId="742867CF">
            <w:pPr>
              <w:autoSpaceDE w:val="0"/>
              <w:autoSpaceDN w:val="0"/>
              <w:adjustRightInd w:val="0"/>
              <w:snapToGrid w:val="0"/>
              <w:jc w:val="left"/>
              <w:rPr>
                <w:rFonts w:ascii="宋体" w:hAnsi="宋体"/>
                <w:color w:val="auto"/>
                <w:kern w:val="0"/>
                <w:szCs w:val="21"/>
                <w:highlight w:val="none"/>
              </w:rPr>
            </w:pPr>
          </w:p>
        </w:tc>
        <w:tc>
          <w:tcPr>
            <w:tcW w:w="1167" w:type="dxa"/>
          </w:tcPr>
          <w:p w14:paraId="4D0D952E">
            <w:pPr>
              <w:autoSpaceDE w:val="0"/>
              <w:autoSpaceDN w:val="0"/>
              <w:adjustRightInd w:val="0"/>
              <w:snapToGrid w:val="0"/>
              <w:jc w:val="left"/>
              <w:rPr>
                <w:rFonts w:ascii="宋体" w:hAnsi="宋体"/>
                <w:color w:val="auto"/>
                <w:kern w:val="0"/>
                <w:szCs w:val="21"/>
                <w:highlight w:val="none"/>
              </w:rPr>
            </w:pPr>
          </w:p>
        </w:tc>
        <w:tc>
          <w:tcPr>
            <w:tcW w:w="776" w:type="dxa"/>
          </w:tcPr>
          <w:p w14:paraId="788EF07E">
            <w:pPr>
              <w:autoSpaceDE w:val="0"/>
              <w:autoSpaceDN w:val="0"/>
              <w:adjustRightInd w:val="0"/>
              <w:snapToGrid w:val="0"/>
              <w:jc w:val="left"/>
              <w:rPr>
                <w:rFonts w:ascii="宋体" w:hAnsi="宋体"/>
                <w:color w:val="auto"/>
                <w:kern w:val="0"/>
                <w:szCs w:val="21"/>
                <w:highlight w:val="none"/>
              </w:rPr>
            </w:pPr>
          </w:p>
        </w:tc>
        <w:tc>
          <w:tcPr>
            <w:tcW w:w="778" w:type="dxa"/>
          </w:tcPr>
          <w:p w14:paraId="115688BB">
            <w:pPr>
              <w:autoSpaceDE w:val="0"/>
              <w:autoSpaceDN w:val="0"/>
              <w:adjustRightInd w:val="0"/>
              <w:snapToGrid w:val="0"/>
              <w:jc w:val="left"/>
              <w:rPr>
                <w:rFonts w:ascii="宋体" w:hAnsi="宋体"/>
                <w:color w:val="auto"/>
                <w:kern w:val="0"/>
                <w:szCs w:val="21"/>
                <w:highlight w:val="none"/>
              </w:rPr>
            </w:pPr>
          </w:p>
        </w:tc>
        <w:tc>
          <w:tcPr>
            <w:tcW w:w="776" w:type="dxa"/>
          </w:tcPr>
          <w:p w14:paraId="39447B8F">
            <w:pPr>
              <w:autoSpaceDE w:val="0"/>
              <w:autoSpaceDN w:val="0"/>
              <w:adjustRightInd w:val="0"/>
              <w:snapToGrid w:val="0"/>
              <w:jc w:val="left"/>
              <w:rPr>
                <w:rFonts w:ascii="宋体" w:hAnsi="宋体"/>
                <w:color w:val="auto"/>
                <w:kern w:val="0"/>
                <w:szCs w:val="21"/>
                <w:highlight w:val="none"/>
              </w:rPr>
            </w:pPr>
          </w:p>
        </w:tc>
        <w:tc>
          <w:tcPr>
            <w:tcW w:w="2723" w:type="dxa"/>
          </w:tcPr>
          <w:p w14:paraId="6A4521F8">
            <w:pPr>
              <w:autoSpaceDE w:val="0"/>
              <w:autoSpaceDN w:val="0"/>
              <w:adjustRightInd w:val="0"/>
              <w:snapToGrid w:val="0"/>
              <w:jc w:val="left"/>
              <w:rPr>
                <w:rFonts w:ascii="宋体" w:hAnsi="宋体"/>
                <w:color w:val="auto"/>
                <w:kern w:val="0"/>
                <w:szCs w:val="21"/>
                <w:highlight w:val="none"/>
              </w:rPr>
            </w:pPr>
          </w:p>
        </w:tc>
        <w:tc>
          <w:tcPr>
            <w:tcW w:w="896" w:type="dxa"/>
          </w:tcPr>
          <w:p w14:paraId="35028EA2">
            <w:pPr>
              <w:autoSpaceDE w:val="0"/>
              <w:autoSpaceDN w:val="0"/>
              <w:adjustRightInd w:val="0"/>
              <w:snapToGrid w:val="0"/>
              <w:jc w:val="left"/>
              <w:rPr>
                <w:rFonts w:ascii="宋体" w:hAnsi="宋体"/>
                <w:color w:val="auto"/>
                <w:kern w:val="0"/>
                <w:szCs w:val="21"/>
                <w:highlight w:val="none"/>
              </w:rPr>
            </w:pPr>
          </w:p>
        </w:tc>
      </w:tr>
    </w:tbl>
    <w:p w14:paraId="44190ADD">
      <w:pPr>
        <w:spacing w:line="20" w:lineRule="exact"/>
        <w:jc w:val="center"/>
        <w:rPr>
          <w:rFonts w:ascii="宋体" w:hAnsi="宋体"/>
          <w:color w:val="auto"/>
          <w:szCs w:val="21"/>
          <w:highlight w:val="none"/>
        </w:rPr>
      </w:pPr>
    </w:p>
    <w:p w14:paraId="2CAF1754">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826"/>
      <w:bookmarkEnd w:id="827"/>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84CAE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3AF0B7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55E187D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40FEF0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3540B70C">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0470F3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14E93208">
            <w:pPr>
              <w:autoSpaceDE w:val="0"/>
              <w:autoSpaceDN w:val="0"/>
              <w:adjustRightInd w:val="0"/>
              <w:snapToGrid w:val="0"/>
              <w:jc w:val="center"/>
              <w:rPr>
                <w:rFonts w:ascii="宋体" w:hAnsi="宋体"/>
                <w:color w:val="auto"/>
                <w:kern w:val="0"/>
                <w:szCs w:val="21"/>
                <w:highlight w:val="none"/>
              </w:rPr>
            </w:pPr>
          </w:p>
        </w:tc>
      </w:tr>
      <w:tr w14:paraId="23597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18940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09BB557E">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56912E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1F921D1">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35B105E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1DBF6674">
            <w:pPr>
              <w:autoSpaceDE w:val="0"/>
              <w:autoSpaceDN w:val="0"/>
              <w:adjustRightInd w:val="0"/>
              <w:snapToGrid w:val="0"/>
              <w:jc w:val="center"/>
              <w:rPr>
                <w:rFonts w:ascii="宋体" w:hAnsi="宋体"/>
                <w:color w:val="auto"/>
                <w:kern w:val="0"/>
                <w:szCs w:val="21"/>
                <w:highlight w:val="none"/>
              </w:rPr>
            </w:pPr>
          </w:p>
        </w:tc>
      </w:tr>
      <w:tr w14:paraId="46FEF8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5A788B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2636222A">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3AE3FE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0647A45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660F7F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A466CB6">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596F84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60A5845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5874C32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3BD192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989CBD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0458E9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7A8276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9A3F753">
            <w:pPr>
              <w:autoSpaceDE w:val="0"/>
              <w:autoSpaceDN w:val="0"/>
              <w:adjustRightInd w:val="0"/>
              <w:snapToGrid w:val="0"/>
              <w:jc w:val="center"/>
              <w:rPr>
                <w:rFonts w:ascii="宋体" w:hAnsi="宋体"/>
                <w:color w:val="auto"/>
                <w:kern w:val="0"/>
                <w:szCs w:val="21"/>
                <w:highlight w:val="none"/>
              </w:rPr>
            </w:pPr>
          </w:p>
        </w:tc>
      </w:tr>
      <w:tr w14:paraId="6265B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CB5A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DF098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3940F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E99BF9C">
            <w:pPr>
              <w:autoSpaceDE w:val="0"/>
              <w:autoSpaceDN w:val="0"/>
              <w:adjustRightInd w:val="0"/>
              <w:snapToGrid w:val="0"/>
              <w:jc w:val="center"/>
              <w:rPr>
                <w:rFonts w:ascii="宋体" w:hAnsi="宋体"/>
                <w:color w:val="auto"/>
                <w:kern w:val="0"/>
                <w:szCs w:val="21"/>
                <w:highlight w:val="none"/>
              </w:rPr>
            </w:pPr>
          </w:p>
        </w:tc>
      </w:tr>
      <w:tr w14:paraId="31FE9C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0F23E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1CD10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2FCCB0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9923E6C">
            <w:pPr>
              <w:autoSpaceDE w:val="0"/>
              <w:autoSpaceDN w:val="0"/>
              <w:adjustRightInd w:val="0"/>
              <w:snapToGrid w:val="0"/>
              <w:jc w:val="center"/>
              <w:rPr>
                <w:rFonts w:ascii="宋体" w:hAnsi="宋体"/>
                <w:color w:val="auto"/>
                <w:kern w:val="0"/>
                <w:szCs w:val="21"/>
                <w:highlight w:val="none"/>
              </w:rPr>
            </w:pPr>
          </w:p>
        </w:tc>
      </w:tr>
      <w:tr w14:paraId="5C115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D9E87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DDF99A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24DC87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230DF01">
            <w:pPr>
              <w:autoSpaceDE w:val="0"/>
              <w:autoSpaceDN w:val="0"/>
              <w:adjustRightInd w:val="0"/>
              <w:snapToGrid w:val="0"/>
              <w:jc w:val="center"/>
              <w:rPr>
                <w:rFonts w:ascii="宋体" w:hAnsi="宋体"/>
                <w:color w:val="auto"/>
                <w:kern w:val="0"/>
                <w:szCs w:val="21"/>
                <w:highlight w:val="none"/>
              </w:rPr>
            </w:pPr>
          </w:p>
        </w:tc>
      </w:tr>
      <w:tr w14:paraId="3DDC86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93F02B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AA0BEA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6960CA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63F87D6">
            <w:pPr>
              <w:autoSpaceDE w:val="0"/>
              <w:autoSpaceDN w:val="0"/>
              <w:adjustRightInd w:val="0"/>
              <w:snapToGrid w:val="0"/>
              <w:jc w:val="center"/>
              <w:rPr>
                <w:rFonts w:ascii="宋体" w:hAnsi="宋体"/>
                <w:color w:val="auto"/>
                <w:kern w:val="0"/>
                <w:szCs w:val="21"/>
                <w:highlight w:val="none"/>
              </w:rPr>
            </w:pPr>
          </w:p>
        </w:tc>
      </w:tr>
      <w:tr w14:paraId="6ECA8A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B3AF9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35027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07A263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020BDB5">
            <w:pPr>
              <w:autoSpaceDE w:val="0"/>
              <w:autoSpaceDN w:val="0"/>
              <w:adjustRightInd w:val="0"/>
              <w:snapToGrid w:val="0"/>
              <w:jc w:val="center"/>
              <w:rPr>
                <w:rFonts w:ascii="宋体" w:hAnsi="宋体"/>
                <w:color w:val="auto"/>
                <w:kern w:val="0"/>
                <w:szCs w:val="21"/>
                <w:highlight w:val="none"/>
              </w:rPr>
            </w:pPr>
          </w:p>
        </w:tc>
      </w:tr>
      <w:tr w14:paraId="08D24C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2BE82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0E5A55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3352C0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CDCE673">
            <w:pPr>
              <w:autoSpaceDE w:val="0"/>
              <w:autoSpaceDN w:val="0"/>
              <w:adjustRightInd w:val="0"/>
              <w:snapToGrid w:val="0"/>
              <w:jc w:val="center"/>
              <w:rPr>
                <w:rFonts w:ascii="宋体" w:hAnsi="宋体"/>
                <w:color w:val="auto"/>
                <w:kern w:val="0"/>
                <w:szCs w:val="21"/>
                <w:highlight w:val="none"/>
              </w:rPr>
            </w:pPr>
          </w:p>
        </w:tc>
      </w:tr>
      <w:tr w14:paraId="349E5F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8869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187A0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8E6CB4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A2389">
            <w:pPr>
              <w:autoSpaceDE w:val="0"/>
              <w:autoSpaceDN w:val="0"/>
              <w:adjustRightInd w:val="0"/>
              <w:snapToGrid w:val="0"/>
              <w:jc w:val="center"/>
              <w:rPr>
                <w:rFonts w:ascii="宋体" w:hAnsi="宋体"/>
                <w:color w:val="auto"/>
                <w:kern w:val="0"/>
                <w:szCs w:val="21"/>
                <w:highlight w:val="none"/>
              </w:rPr>
            </w:pPr>
          </w:p>
        </w:tc>
      </w:tr>
      <w:tr w14:paraId="3F5412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B8F255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F1714F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662266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745F58E">
            <w:pPr>
              <w:autoSpaceDE w:val="0"/>
              <w:autoSpaceDN w:val="0"/>
              <w:adjustRightInd w:val="0"/>
              <w:snapToGrid w:val="0"/>
              <w:jc w:val="center"/>
              <w:rPr>
                <w:rFonts w:ascii="宋体" w:hAnsi="宋体"/>
                <w:color w:val="auto"/>
                <w:kern w:val="0"/>
                <w:szCs w:val="21"/>
                <w:highlight w:val="none"/>
              </w:rPr>
            </w:pPr>
          </w:p>
        </w:tc>
      </w:tr>
      <w:tr w14:paraId="324EFF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F5CE0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279EE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CC2B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BAB950E">
            <w:pPr>
              <w:autoSpaceDE w:val="0"/>
              <w:autoSpaceDN w:val="0"/>
              <w:adjustRightInd w:val="0"/>
              <w:snapToGrid w:val="0"/>
              <w:jc w:val="center"/>
              <w:rPr>
                <w:rFonts w:ascii="宋体" w:hAnsi="宋体"/>
                <w:color w:val="auto"/>
                <w:kern w:val="0"/>
                <w:szCs w:val="21"/>
                <w:highlight w:val="none"/>
              </w:rPr>
            </w:pPr>
          </w:p>
        </w:tc>
      </w:tr>
      <w:tr w14:paraId="41E6E8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62E95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EFDDC0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45F2C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4039D">
            <w:pPr>
              <w:autoSpaceDE w:val="0"/>
              <w:autoSpaceDN w:val="0"/>
              <w:adjustRightInd w:val="0"/>
              <w:snapToGrid w:val="0"/>
              <w:jc w:val="center"/>
              <w:rPr>
                <w:rFonts w:ascii="宋体" w:hAnsi="宋体"/>
                <w:color w:val="auto"/>
                <w:kern w:val="0"/>
                <w:szCs w:val="21"/>
                <w:highlight w:val="none"/>
              </w:rPr>
            </w:pPr>
          </w:p>
        </w:tc>
      </w:tr>
      <w:tr w14:paraId="342C8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F5BCF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D28FA3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41C0D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E1A308">
            <w:pPr>
              <w:autoSpaceDE w:val="0"/>
              <w:autoSpaceDN w:val="0"/>
              <w:adjustRightInd w:val="0"/>
              <w:snapToGrid w:val="0"/>
              <w:jc w:val="center"/>
              <w:rPr>
                <w:rFonts w:ascii="宋体" w:hAnsi="宋体"/>
                <w:color w:val="auto"/>
                <w:kern w:val="0"/>
                <w:szCs w:val="21"/>
                <w:highlight w:val="none"/>
              </w:rPr>
            </w:pPr>
          </w:p>
        </w:tc>
      </w:tr>
      <w:tr w14:paraId="640284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EC9C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62AC9F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09D560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237287">
            <w:pPr>
              <w:autoSpaceDE w:val="0"/>
              <w:autoSpaceDN w:val="0"/>
              <w:adjustRightInd w:val="0"/>
              <w:snapToGrid w:val="0"/>
              <w:jc w:val="center"/>
              <w:rPr>
                <w:rFonts w:ascii="宋体" w:hAnsi="宋体"/>
                <w:color w:val="auto"/>
                <w:kern w:val="0"/>
                <w:szCs w:val="21"/>
                <w:highlight w:val="none"/>
              </w:rPr>
            </w:pPr>
          </w:p>
        </w:tc>
      </w:tr>
    </w:tbl>
    <w:p w14:paraId="145D99D2">
      <w:pPr>
        <w:spacing w:line="360" w:lineRule="auto"/>
        <w:rPr>
          <w:rFonts w:ascii="宋体" w:hAnsi="宋体"/>
          <w:color w:val="auto"/>
          <w:highlight w:val="none"/>
        </w:rPr>
      </w:pPr>
      <w:bookmarkStart w:id="831" w:name="_Toc224103515"/>
    </w:p>
    <w:bookmarkEnd w:id="831"/>
    <w:p w14:paraId="2C392B0A">
      <w:pPr>
        <w:pStyle w:val="5"/>
        <w:spacing w:before="0" w:after="0" w:line="360" w:lineRule="auto"/>
        <w:jc w:val="center"/>
        <w:rPr>
          <w:rFonts w:ascii="宋体" w:hAnsi="宋体"/>
          <w:b w:val="0"/>
          <w:color w:val="auto"/>
          <w:highlight w:val="none"/>
        </w:rPr>
      </w:pPr>
      <w:bookmarkStart w:id="832" w:name="_Toc430530552"/>
      <w:bookmarkStart w:id="833" w:name="_Toc287620839"/>
      <w:bookmarkStart w:id="834" w:name="_Toc287607893"/>
      <w:bookmarkStart w:id="835" w:name="_Toc224103520"/>
      <w:bookmarkStart w:id="836" w:name="_Toc277082663"/>
      <w:bookmarkStart w:id="837" w:name="_Toc30130"/>
      <w:bookmarkStart w:id="838" w:name="_Toc509218866"/>
      <w:bookmarkStart w:id="839" w:name="_Toc534185843"/>
      <w:r>
        <w:rPr>
          <w:rFonts w:ascii="宋体" w:hAnsi="宋体"/>
          <w:b w:val="0"/>
          <w:color w:val="auto"/>
          <w:highlight w:val="none"/>
        </w:rPr>
        <w:t>（</w:t>
      </w:r>
      <w:r>
        <w:rPr>
          <w:rFonts w:hint="eastAsia" w:ascii="宋体" w:hAnsi="宋体"/>
          <w:b w:val="0"/>
          <w:color w:val="auto"/>
          <w:highlight w:val="none"/>
          <w:lang w:eastAsia="zh-CN"/>
        </w:rPr>
        <w:t>四</w:t>
      </w:r>
      <w:r>
        <w:rPr>
          <w:rFonts w:ascii="宋体" w:hAnsi="宋体"/>
          <w:b w:val="0"/>
          <w:color w:val="auto"/>
          <w:highlight w:val="none"/>
        </w:rPr>
        <w:t>）</w:t>
      </w:r>
      <w:bookmarkEnd w:id="832"/>
      <w:bookmarkEnd w:id="833"/>
      <w:bookmarkEnd w:id="834"/>
      <w:bookmarkEnd w:id="835"/>
      <w:bookmarkEnd w:id="836"/>
      <w:r>
        <w:rPr>
          <w:rFonts w:hint="eastAsia" w:ascii="宋体" w:hAnsi="宋体"/>
          <w:b w:val="0"/>
          <w:color w:val="auto"/>
          <w:highlight w:val="none"/>
        </w:rPr>
        <w:t>承诺</w:t>
      </w:r>
      <w:bookmarkEnd w:id="837"/>
    </w:p>
    <w:p w14:paraId="423D41F8">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38A77C1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78DB38E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7E5A0EEE">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B3B68D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36E051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2DA260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E129AF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705A2AE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16050C2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3F51860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2E2E017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1D430E8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color w:val="auto"/>
          <w:szCs w:val="21"/>
          <w:highlight w:val="none"/>
          <w:lang w:eastAsia="zh-CN"/>
        </w:rPr>
        <w:t>比选文件</w:t>
      </w:r>
      <w:r>
        <w:rPr>
          <w:rFonts w:hint="eastAsia" w:ascii="宋体" w:hAnsi="宋体"/>
          <w:color w:val="auto"/>
          <w:szCs w:val="21"/>
          <w:highlight w:val="none"/>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48E792B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7458135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75F5D87E">
      <w:pPr>
        <w:numPr>
          <w:ilvl w:val="0"/>
          <w:numId w:val="1"/>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0BA37EF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40BC56A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、我公司不存在第二章 投标人须知第 1.4.3 项规定的任何一种情形。</w:t>
      </w:r>
    </w:p>
    <w:p w14:paraId="2E93BE3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、我公司的投标文件符合第二章 投标人须知第 1.3.1 项的规定。</w:t>
      </w:r>
    </w:p>
    <w:p w14:paraId="6F1C7F6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44D7CA18">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、我公司的投标文件符合第七章 技术标准和要求（如有）。</w:t>
      </w:r>
    </w:p>
    <w:p w14:paraId="7C0F4452">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838"/>
    <w:bookmarkEnd w:id="839"/>
    <w:p w14:paraId="5E751CB8">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930EC5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6C7C23D">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0D19F68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51AB6B52">
      <w:pPr>
        <w:rPr>
          <w:color w:val="auto"/>
          <w:highlight w:val="none"/>
        </w:rPr>
      </w:pPr>
      <w:r>
        <w:rPr>
          <w:color w:val="auto"/>
          <w:highlight w:val="none"/>
        </w:rPr>
        <w:br w:type="page"/>
      </w:r>
    </w:p>
    <w:p w14:paraId="4F9D8F78">
      <w:pPr>
        <w:pStyle w:val="5"/>
        <w:spacing w:before="0" w:line="360" w:lineRule="auto"/>
        <w:jc w:val="center"/>
        <w:rPr>
          <w:rFonts w:ascii="宋体" w:hAnsi="宋体"/>
          <w:b w:val="0"/>
          <w:color w:val="auto"/>
          <w:highlight w:val="none"/>
        </w:rPr>
      </w:pPr>
      <w:bookmarkStart w:id="840" w:name="_Toc16722"/>
      <w:r>
        <w:rPr>
          <w:rFonts w:hint="eastAsia" w:ascii="宋体" w:hAnsi="宋体"/>
          <w:b w:val="0"/>
          <w:color w:val="auto"/>
          <w:highlight w:val="none"/>
        </w:rPr>
        <w:t>（</w:t>
      </w:r>
      <w:r>
        <w:rPr>
          <w:rFonts w:hint="eastAsia" w:ascii="宋体" w:hAnsi="宋体"/>
          <w:b w:val="0"/>
          <w:color w:val="auto"/>
          <w:highlight w:val="none"/>
          <w:lang w:eastAsia="zh-CN"/>
        </w:rPr>
        <w:t>五</w:t>
      </w:r>
      <w:r>
        <w:rPr>
          <w:rFonts w:hint="eastAsia" w:ascii="宋体" w:hAnsi="宋体"/>
          <w:b w:val="0"/>
          <w:color w:val="auto"/>
          <w:highlight w:val="none"/>
        </w:rPr>
        <w:t>）其他资料</w:t>
      </w:r>
      <w:bookmarkEnd w:id="598"/>
      <w:bookmarkEnd w:id="599"/>
      <w:bookmarkEnd w:id="600"/>
      <w:bookmarkEnd w:id="840"/>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MingLiUfalt">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E09C">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77EC105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0D3B">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3B7B">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2351E69F">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B358DF">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3F4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71D00"/>
    <w:multiLevelType w:val="singleLevel"/>
    <w:tmpl w:val="5F471D0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MzQ1NTJmMDEzZGU3NWJkM2Q5ZDk1NjQ5YzI2Mzg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BB8"/>
    <w:rsid w:val="00300F8D"/>
    <w:rsid w:val="00301A0A"/>
    <w:rsid w:val="003030A6"/>
    <w:rsid w:val="003059F4"/>
    <w:rsid w:val="0030689E"/>
    <w:rsid w:val="003068D7"/>
    <w:rsid w:val="00306CC7"/>
    <w:rsid w:val="00306D70"/>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3F4D"/>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76634"/>
    <w:rsid w:val="013F4369"/>
    <w:rsid w:val="01536538"/>
    <w:rsid w:val="018E166C"/>
    <w:rsid w:val="01B02EAD"/>
    <w:rsid w:val="02197498"/>
    <w:rsid w:val="022D4776"/>
    <w:rsid w:val="02923124"/>
    <w:rsid w:val="02977E36"/>
    <w:rsid w:val="029B6737"/>
    <w:rsid w:val="029E16D8"/>
    <w:rsid w:val="02D3433D"/>
    <w:rsid w:val="02E7478A"/>
    <w:rsid w:val="03000A08"/>
    <w:rsid w:val="031D357C"/>
    <w:rsid w:val="03226579"/>
    <w:rsid w:val="03454DED"/>
    <w:rsid w:val="03574019"/>
    <w:rsid w:val="03885E3A"/>
    <w:rsid w:val="03B540BC"/>
    <w:rsid w:val="03C545D6"/>
    <w:rsid w:val="0438160E"/>
    <w:rsid w:val="04472087"/>
    <w:rsid w:val="04541105"/>
    <w:rsid w:val="046928C3"/>
    <w:rsid w:val="046A589F"/>
    <w:rsid w:val="046D5737"/>
    <w:rsid w:val="04FF37B4"/>
    <w:rsid w:val="051829A6"/>
    <w:rsid w:val="054934A8"/>
    <w:rsid w:val="057730B9"/>
    <w:rsid w:val="05AB059E"/>
    <w:rsid w:val="05DC71B6"/>
    <w:rsid w:val="06005601"/>
    <w:rsid w:val="065E4A58"/>
    <w:rsid w:val="06665122"/>
    <w:rsid w:val="06776E83"/>
    <w:rsid w:val="067B5829"/>
    <w:rsid w:val="068C36FE"/>
    <w:rsid w:val="06C43DE0"/>
    <w:rsid w:val="06C64491"/>
    <w:rsid w:val="071E3DC1"/>
    <w:rsid w:val="074A1FE5"/>
    <w:rsid w:val="07512DF9"/>
    <w:rsid w:val="07577FFE"/>
    <w:rsid w:val="076A7107"/>
    <w:rsid w:val="07707311"/>
    <w:rsid w:val="077305E3"/>
    <w:rsid w:val="079C4767"/>
    <w:rsid w:val="07A47412"/>
    <w:rsid w:val="07A74E36"/>
    <w:rsid w:val="07BD1211"/>
    <w:rsid w:val="080A52B6"/>
    <w:rsid w:val="08507828"/>
    <w:rsid w:val="08855EA9"/>
    <w:rsid w:val="08A4313C"/>
    <w:rsid w:val="08C327C4"/>
    <w:rsid w:val="08CC7876"/>
    <w:rsid w:val="08E20A1C"/>
    <w:rsid w:val="099A177A"/>
    <w:rsid w:val="09A71123"/>
    <w:rsid w:val="09A727B4"/>
    <w:rsid w:val="0A1F5137"/>
    <w:rsid w:val="0A535C69"/>
    <w:rsid w:val="0A623C83"/>
    <w:rsid w:val="0A93506B"/>
    <w:rsid w:val="0ACE0286"/>
    <w:rsid w:val="0B076D7D"/>
    <w:rsid w:val="0B1B7594"/>
    <w:rsid w:val="0B9351EB"/>
    <w:rsid w:val="0B9E3040"/>
    <w:rsid w:val="0B9E48FD"/>
    <w:rsid w:val="0BA33F53"/>
    <w:rsid w:val="0BB622A7"/>
    <w:rsid w:val="0C3E42BE"/>
    <w:rsid w:val="0C4905FF"/>
    <w:rsid w:val="0C7301CA"/>
    <w:rsid w:val="0CB1696F"/>
    <w:rsid w:val="0D4806BF"/>
    <w:rsid w:val="0E024D74"/>
    <w:rsid w:val="0E0B0A7A"/>
    <w:rsid w:val="0E484301"/>
    <w:rsid w:val="0E5F1249"/>
    <w:rsid w:val="0E693D2B"/>
    <w:rsid w:val="0E855450"/>
    <w:rsid w:val="0EB72584"/>
    <w:rsid w:val="0EF82D0F"/>
    <w:rsid w:val="0FC3094C"/>
    <w:rsid w:val="102B5AE8"/>
    <w:rsid w:val="105C3E76"/>
    <w:rsid w:val="10611A0A"/>
    <w:rsid w:val="108B186A"/>
    <w:rsid w:val="10A018FD"/>
    <w:rsid w:val="10AC5059"/>
    <w:rsid w:val="10B246CE"/>
    <w:rsid w:val="10B74B27"/>
    <w:rsid w:val="10EE7255"/>
    <w:rsid w:val="10F159F3"/>
    <w:rsid w:val="112278CE"/>
    <w:rsid w:val="11BB2435"/>
    <w:rsid w:val="11DA2882"/>
    <w:rsid w:val="12766C8D"/>
    <w:rsid w:val="127A292F"/>
    <w:rsid w:val="1282121E"/>
    <w:rsid w:val="12B3780B"/>
    <w:rsid w:val="13012641"/>
    <w:rsid w:val="13105389"/>
    <w:rsid w:val="131B6875"/>
    <w:rsid w:val="132C55F9"/>
    <w:rsid w:val="13337CD2"/>
    <w:rsid w:val="13703B82"/>
    <w:rsid w:val="137D3871"/>
    <w:rsid w:val="13FD7A4B"/>
    <w:rsid w:val="141B1890"/>
    <w:rsid w:val="144C513E"/>
    <w:rsid w:val="14614A30"/>
    <w:rsid w:val="14C10CB3"/>
    <w:rsid w:val="14DC6FEA"/>
    <w:rsid w:val="152F2422"/>
    <w:rsid w:val="15D702DB"/>
    <w:rsid w:val="15F36B10"/>
    <w:rsid w:val="15F67B8F"/>
    <w:rsid w:val="15F873A5"/>
    <w:rsid w:val="16366F23"/>
    <w:rsid w:val="16486A32"/>
    <w:rsid w:val="16690670"/>
    <w:rsid w:val="168459D5"/>
    <w:rsid w:val="16CD33F4"/>
    <w:rsid w:val="16E1457B"/>
    <w:rsid w:val="16F26FDC"/>
    <w:rsid w:val="16FC038D"/>
    <w:rsid w:val="173B7FC9"/>
    <w:rsid w:val="17610ABD"/>
    <w:rsid w:val="17721137"/>
    <w:rsid w:val="177D4542"/>
    <w:rsid w:val="177F45B0"/>
    <w:rsid w:val="17E75995"/>
    <w:rsid w:val="183668EE"/>
    <w:rsid w:val="1849373C"/>
    <w:rsid w:val="185E3411"/>
    <w:rsid w:val="18633943"/>
    <w:rsid w:val="18973825"/>
    <w:rsid w:val="18B86094"/>
    <w:rsid w:val="19450E59"/>
    <w:rsid w:val="19813FB0"/>
    <w:rsid w:val="19C778A5"/>
    <w:rsid w:val="19D00461"/>
    <w:rsid w:val="19F14713"/>
    <w:rsid w:val="1A233853"/>
    <w:rsid w:val="1A3D4C07"/>
    <w:rsid w:val="1A6C7B89"/>
    <w:rsid w:val="1AE42BDE"/>
    <w:rsid w:val="1B330726"/>
    <w:rsid w:val="1B4E6695"/>
    <w:rsid w:val="1B5A4D98"/>
    <w:rsid w:val="1B610368"/>
    <w:rsid w:val="1B6C51E3"/>
    <w:rsid w:val="1B9374A3"/>
    <w:rsid w:val="1BA96B88"/>
    <w:rsid w:val="1C6A496F"/>
    <w:rsid w:val="1D6A734C"/>
    <w:rsid w:val="1DD063A3"/>
    <w:rsid w:val="1DED6684"/>
    <w:rsid w:val="1E157818"/>
    <w:rsid w:val="1F125176"/>
    <w:rsid w:val="1F374DC3"/>
    <w:rsid w:val="1FFE6BEE"/>
    <w:rsid w:val="1FFF2213"/>
    <w:rsid w:val="20387CC7"/>
    <w:rsid w:val="20504D76"/>
    <w:rsid w:val="20825C93"/>
    <w:rsid w:val="20BA340F"/>
    <w:rsid w:val="20D32B8C"/>
    <w:rsid w:val="210E4F38"/>
    <w:rsid w:val="2161326A"/>
    <w:rsid w:val="216F7993"/>
    <w:rsid w:val="217F6E19"/>
    <w:rsid w:val="21825E03"/>
    <w:rsid w:val="21BB220E"/>
    <w:rsid w:val="22023065"/>
    <w:rsid w:val="221D5633"/>
    <w:rsid w:val="22385341"/>
    <w:rsid w:val="226C3D0D"/>
    <w:rsid w:val="22744381"/>
    <w:rsid w:val="232C56DA"/>
    <w:rsid w:val="236A023F"/>
    <w:rsid w:val="2376637F"/>
    <w:rsid w:val="23C30DB2"/>
    <w:rsid w:val="241A569F"/>
    <w:rsid w:val="2420680B"/>
    <w:rsid w:val="24684FB6"/>
    <w:rsid w:val="24D0409C"/>
    <w:rsid w:val="24EB1922"/>
    <w:rsid w:val="251B35D9"/>
    <w:rsid w:val="252427C9"/>
    <w:rsid w:val="252517D7"/>
    <w:rsid w:val="25446C5E"/>
    <w:rsid w:val="25482BC9"/>
    <w:rsid w:val="25592FB3"/>
    <w:rsid w:val="258C521D"/>
    <w:rsid w:val="25B06BCF"/>
    <w:rsid w:val="25CE1D34"/>
    <w:rsid w:val="25E749C3"/>
    <w:rsid w:val="266D15E5"/>
    <w:rsid w:val="26C171CB"/>
    <w:rsid w:val="26FB6A89"/>
    <w:rsid w:val="27235EBA"/>
    <w:rsid w:val="27466D84"/>
    <w:rsid w:val="2761756F"/>
    <w:rsid w:val="2785369B"/>
    <w:rsid w:val="27960BB1"/>
    <w:rsid w:val="27DE22BF"/>
    <w:rsid w:val="2805374C"/>
    <w:rsid w:val="28054429"/>
    <w:rsid w:val="283B1374"/>
    <w:rsid w:val="285A1251"/>
    <w:rsid w:val="285F0DD3"/>
    <w:rsid w:val="28616274"/>
    <w:rsid w:val="286E52FC"/>
    <w:rsid w:val="287D3E84"/>
    <w:rsid w:val="28CB5762"/>
    <w:rsid w:val="2919027C"/>
    <w:rsid w:val="291F36A4"/>
    <w:rsid w:val="29565C76"/>
    <w:rsid w:val="29606D8E"/>
    <w:rsid w:val="296A7617"/>
    <w:rsid w:val="29710966"/>
    <w:rsid w:val="298C0B08"/>
    <w:rsid w:val="29F400BC"/>
    <w:rsid w:val="29FF45A0"/>
    <w:rsid w:val="2A135BAE"/>
    <w:rsid w:val="2A1E50CD"/>
    <w:rsid w:val="2A3A4796"/>
    <w:rsid w:val="2A3C6CBE"/>
    <w:rsid w:val="2A4D0970"/>
    <w:rsid w:val="2A51426B"/>
    <w:rsid w:val="2A887352"/>
    <w:rsid w:val="2AAE29EC"/>
    <w:rsid w:val="2ABB7DF2"/>
    <w:rsid w:val="2ADC4E06"/>
    <w:rsid w:val="2ADE448E"/>
    <w:rsid w:val="2B4106D8"/>
    <w:rsid w:val="2B6E158B"/>
    <w:rsid w:val="2BBB54B3"/>
    <w:rsid w:val="2BCC4943"/>
    <w:rsid w:val="2BD335BF"/>
    <w:rsid w:val="2BD902EC"/>
    <w:rsid w:val="2C042AFF"/>
    <w:rsid w:val="2C0E6F3E"/>
    <w:rsid w:val="2C340A51"/>
    <w:rsid w:val="2C3E45FE"/>
    <w:rsid w:val="2CC26B9B"/>
    <w:rsid w:val="2CD21732"/>
    <w:rsid w:val="2CDF639B"/>
    <w:rsid w:val="2D4143A7"/>
    <w:rsid w:val="2D41718A"/>
    <w:rsid w:val="2DA91509"/>
    <w:rsid w:val="2E135BB8"/>
    <w:rsid w:val="2E386092"/>
    <w:rsid w:val="2E3911FF"/>
    <w:rsid w:val="2E5161D8"/>
    <w:rsid w:val="2EE737A0"/>
    <w:rsid w:val="2EF21CAB"/>
    <w:rsid w:val="2F3841ED"/>
    <w:rsid w:val="2F3F780F"/>
    <w:rsid w:val="2F6F7D2B"/>
    <w:rsid w:val="2FBE110A"/>
    <w:rsid w:val="30065A5D"/>
    <w:rsid w:val="30505CF5"/>
    <w:rsid w:val="306C4840"/>
    <w:rsid w:val="30AE20BC"/>
    <w:rsid w:val="30B1408E"/>
    <w:rsid w:val="30C4779A"/>
    <w:rsid w:val="30CE71F9"/>
    <w:rsid w:val="30EF67E5"/>
    <w:rsid w:val="310311E3"/>
    <w:rsid w:val="310E785B"/>
    <w:rsid w:val="315E2912"/>
    <w:rsid w:val="31D408D5"/>
    <w:rsid w:val="31F4722E"/>
    <w:rsid w:val="323A2F9B"/>
    <w:rsid w:val="32887790"/>
    <w:rsid w:val="328D7DE2"/>
    <w:rsid w:val="329B6479"/>
    <w:rsid w:val="32BA571C"/>
    <w:rsid w:val="32EE6C13"/>
    <w:rsid w:val="33066B2A"/>
    <w:rsid w:val="33204F3D"/>
    <w:rsid w:val="33A73676"/>
    <w:rsid w:val="33D10AFB"/>
    <w:rsid w:val="33E96F45"/>
    <w:rsid w:val="33F04E1E"/>
    <w:rsid w:val="34115391"/>
    <w:rsid w:val="344D3544"/>
    <w:rsid w:val="34535CDA"/>
    <w:rsid w:val="351617D7"/>
    <w:rsid w:val="351B64B5"/>
    <w:rsid w:val="351C7EED"/>
    <w:rsid w:val="35AE5FE3"/>
    <w:rsid w:val="35B448A7"/>
    <w:rsid w:val="35C00993"/>
    <w:rsid w:val="35DA7934"/>
    <w:rsid w:val="35DB1C68"/>
    <w:rsid w:val="36F4767F"/>
    <w:rsid w:val="36F91964"/>
    <w:rsid w:val="374E17CB"/>
    <w:rsid w:val="378418A7"/>
    <w:rsid w:val="378E0F6A"/>
    <w:rsid w:val="379F21F8"/>
    <w:rsid w:val="37BD4202"/>
    <w:rsid w:val="37D81322"/>
    <w:rsid w:val="383C102E"/>
    <w:rsid w:val="38422798"/>
    <w:rsid w:val="386709AA"/>
    <w:rsid w:val="387D642F"/>
    <w:rsid w:val="38C65902"/>
    <w:rsid w:val="38F178D5"/>
    <w:rsid w:val="38F211A8"/>
    <w:rsid w:val="3919772A"/>
    <w:rsid w:val="39301B00"/>
    <w:rsid w:val="393A55BD"/>
    <w:rsid w:val="395F1099"/>
    <w:rsid w:val="397A040E"/>
    <w:rsid w:val="39BC12DD"/>
    <w:rsid w:val="3A310809"/>
    <w:rsid w:val="3A357AAD"/>
    <w:rsid w:val="3A45279A"/>
    <w:rsid w:val="3A457C17"/>
    <w:rsid w:val="3A6C03DB"/>
    <w:rsid w:val="3A6E7A8D"/>
    <w:rsid w:val="3A755150"/>
    <w:rsid w:val="3A7645E5"/>
    <w:rsid w:val="3A9318CD"/>
    <w:rsid w:val="3AAF722D"/>
    <w:rsid w:val="3AC52161"/>
    <w:rsid w:val="3AC705C2"/>
    <w:rsid w:val="3B0D0B61"/>
    <w:rsid w:val="3B3339E2"/>
    <w:rsid w:val="3B4130B9"/>
    <w:rsid w:val="3B666444"/>
    <w:rsid w:val="3BBF0327"/>
    <w:rsid w:val="3BE02AA4"/>
    <w:rsid w:val="3BF869C9"/>
    <w:rsid w:val="3C0E4892"/>
    <w:rsid w:val="3C1525AA"/>
    <w:rsid w:val="3C327705"/>
    <w:rsid w:val="3CA502EA"/>
    <w:rsid w:val="3CE50817"/>
    <w:rsid w:val="3CE5636E"/>
    <w:rsid w:val="3CE745E5"/>
    <w:rsid w:val="3D051CAA"/>
    <w:rsid w:val="3D280CCE"/>
    <w:rsid w:val="3D4027C3"/>
    <w:rsid w:val="3D6C2304"/>
    <w:rsid w:val="3DAB2720"/>
    <w:rsid w:val="3DB46376"/>
    <w:rsid w:val="3DBA137E"/>
    <w:rsid w:val="3E287CA5"/>
    <w:rsid w:val="3E3A5788"/>
    <w:rsid w:val="3E971150"/>
    <w:rsid w:val="3EA90890"/>
    <w:rsid w:val="3ED16F9F"/>
    <w:rsid w:val="3ED95EA9"/>
    <w:rsid w:val="3EFE309E"/>
    <w:rsid w:val="3F512870"/>
    <w:rsid w:val="3F537959"/>
    <w:rsid w:val="3F6236D0"/>
    <w:rsid w:val="3F7A1CE3"/>
    <w:rsid w:val="3F94702A"/>
    <w:rsid w:val="3F9E79D3"/>
    <w:rsid w:val="3FE06D3B"/>
    <w:rsid w:val="3FE2521F"/>
    <w:rsid w:val="40325C23"/>
    <w:rsid w:val="406C1549"/>
    <w:rsid w:val="40D309FB"/>
    <w:rsid w:val="41043DCC"/>
    <w:rsid w:val="418548D4"/>
    <w:rsid w:val="4195506F"/>
    <w:rsid w:val="41D71CA1"/>
    <w:rsid w:val="42027EEF"/>
    <w:rsid w:val="4233454F"/>
    <w:rsid w:val="42343097"/>
    <w:rsid w:val="42A77BCB"/>
    <w:rsid w:val="42FB6DBC"/>
    <w:rsid w:val="4320610A"/>
    <w:rsid w:val="43527DA5"/>
    <w:rsid w:val="43D50508"/>
    <w:rsid w:val="43E74852"/>
    <w:rsid w:val="441113B5"/>
    <w:rsid w:val="444961F3"/>
    <w:rsid w:val="44793B21"/>
    <w:rsid w:val="44F51BC3"/>
    <w:rsid w:val="44FC6D71"/>
    <w:rsid w:val="45093CD4"/>
    <w:rsid w:val="452E75AA"/>
    <w:rsid w:val="45473CA4"/>
    <w:rsid w:val="454D7023"/>
    <w:rsid w:val="455B0488"/>
    <w:rsid w:val="458647B0"/>
    <w:rsid w:val="458957CB"/>
    <w:rsid w:val="45F32B73"/>
    <w:rsid w:val="466B4766"/>
    <w:rsid w:val="468039CF"/>
    <w:rsid w:val="468054CC"/>
    <w:rsid w:val="469F3291"/>
    <w:rsid w:val="46F07AD6"/>
    <w:rsid w:val="47460F43"/>
    <w:rsid w:val="47E130B4"/>
    <w:rsid w:val="48826C2D"/>
    <w:rsid w:val="489573EB"/>
    <w:rsid w:val="48A06FF6"/>
    <w:rsid w:val="48EB7FCA"/>
    <w:rsid w:val="48FD1AAC"/>
    <w:rsid w:val="49214880"/>
    <w:rsid w:val="49462819"/>
    <w:rsid w:val="494B70D5"/>
    <w:rsid w:val="497E2FBA"/>
    <w:rsid w:val="49B26D3A"/>
    <w:rsid w:val="49CF100D"/>
    <w:rsid w:val="49D325C2"/>
    <w:rsid w:val="4A2C4985"/>
    <w:rsid w:val="4A520AB3"/>
    <w:rsid w:val="4A696427"/>
    <w:rsid w:val="4A8D2CF1"/>
    <w:rsid w:val="4AF83480"/>
    <w:rsid w:val="4B096356"/>
    <w:rsid w:val="4B1A4535"/>
    <w:rsid w:val="4B6D570B"/>
    <w:rsid w:val="4B762869"/>
    <w:rsid w:val="4B85051F"/>
    <w:rsid w:val="4C806421"/>
    <w:rsid w:val="4CA0475B"/>
    <w:rsid w:val="4CDF4A30"/>
    <w:rsid w:val="4D0E1A0D"/>
    <w:rsid w:val="4D2275DA"/>
    <w:rsid w:val="4D450A84"/>
    <w:rsid w:val="4D5B7255"/>
    <w:rsid w:val="4DE463DE"/>
    <w:rsid w:val="4DF57EEC"/>
    <w:rsid w:val="4DFB11F6"/>
    <w:rsid w:val="4DFF76D6"/>
    <w:rsid w:val="4E220EE9"/>
    <w:rsid w:val="4E274480"/>
    <w:rsid w:val="4E3009A0"/>
    <w:rsid w:val="4E503B4D"/>
    <w:rsid w:val="4E774DAA"/>
    <w:rsid w:val="4EBE76C9"/>
    <w:rsid w:val="4EF13B48"/>
    <w:rsid w:val="4EF703E0"/>
    <w:rsid w:val="4F343028"/>
    <w:rsid w:val="4FAC03B8"/>
    <w:rsid w:val="4FB76013"/>
    <w:rsid w:val="502065F2"/>
    <w:rsid w:val="504127DF"/>
    <w:rsid w:val="50577908"/>
    <w:rsid w:val="50776BB0"/>
    <w:rsid w:val="50EB36A6"/>
    <w:rsid w:val="513A53AC"/>
    <w:rsid w:val="5198191D"/>
    <w:rsid w:val="51C5369D"/>
    <w:rsid w:val="521A6BBB"/>
    <w:rsid w:val="527D5E79"/>
    <w:rsid w:val="52845B17"/>
    <w:rsid w:val="529B5ED7"/>
    <w:rsid w:val="529E7462"/>
    <w:rsid w:val="52FD030C"/>
    <w:rsid w:val="533E5655"/>
    <w:rsid w:val="5371731E"/>
    <w:rsid w:val="537431D7"/>
    <w:rsid w:val="538928D5"/>
    <w:rsid w:val="53DC22CC"/>
    <w:rsid w:val="53F54B1F"/>
    <w:rsid w:val="544B74D7"/>
    <w:rsid w:val="54547704"/>
    <w:rsid w:val="546B6E19"/>
    <w:rsid w:val="548254F0"/>
    <w:rsid w:val="5485514F"/>
    <w:rsid w:val="548D558B"/>
    <w:rsid w:val="549A6C2B"/>
    <w:rsid w:val="54F2189F"/>
    <w:rsid w:val="55082A65"/>
    <w:rsid w:val="55363AB8"/>
    <w:rsid w:val="556B595C"/>
    <w:rsid w:val="557D26BD"/>
    <w:rsid w:val="55BB0299"/>
    <w:rsid w:val="55C53EA6"/>
    <w:rsid w:val="55F85CCB"/>
    <w:rsid w:val="565B7FD3"/>
    <w:rsid w:val="56DC57FE"/>
    <w:rsid w:val="56E8263F"/>
    <w:rsid w:val="57001653"/>
    <w:rsid w:val="574309DD"/>
    <w:rsid w:val="579E4146"/>
    <w:rsid w:val="57D4668D"/>
    <w:rsid w:val="57DF29E8"/>
    <w:rsid w:val="58426C15"/>
    <w:rsid w:val="58A509C8"/>
    <w:rsid w:val="59016536"/>
    <w:rsid w:val="590C29FE"/>
    <w:rsid w:val="590F51D9"/>
    <w:rsid w:val="59701D6E"/>
    <w:rsid w:val="59890551"/>
    <w:rsid w:val="598A53A3"/>
    <w:rsid w:val="59A537CB"/>
    <w:rsid w:val="59AE18CE"/>
    <w:rsid w:val="59F26FCA"/>
    <w:rsid w:val="5A01005C"/>
    <w:rsid w:val="5A0D04FE"/>
    <w:rsid w:val="5A2B7E5E"/>
    <w:rsid w:val="5A4D6600"/>
    <w:rsid w:val="5A76233F"/>
    <w:rsid w:val="5A844281"/>
    <w:rsid w:val="5AA07F40"/>
    <w:rsid w:val="5AF67BBD"/>
    <w:rsid w:val="5B071AB3"/>
    <w:rsid w:val="5B354C94"/>
    <w:rsid w:val="5B4568B3"/>
    <w:rsid w:val="5B597A4B"/>
    <w:rsid w:val="5B650D9F"/>
    <w:rsid w:val="5B7C4A30"/>
    <w:rsid w:val="5B9404C9"/>
    <w:rsid w:val="5BBB5A45"/>
    <w:rsid w:val="5BDE0537"/>
    <w:rsid w:val="5BF47881"/>
    <w:rsid w:val="5C367B48"/>
    <w:rsid w:val="5C3B6751"/>
    <w:rsid w:val="5C3C3BB3"/>
    <w:rsid w:val="5C994C58"/>
    <w:rsid w:val="5CA006F4"/>
    <w:rsid w:val="5CE95B0C"/>
    <w:rsid w:val="5D2B4E2A"/>
    <w:rsid w:val="5D3A1415"/>
    <w:rsid w:val="5D4D387D"/>
    <w:rsid w:val="5D6851F5"/>
    <w:rsid w:val="5E531B97"/>
    <w:rsid w:val="5EE61D69"/>
    <w:rsid w:val="5F144DEA"/>
    <w:rsid w:val="5F7E3018"/>
    <w:rsid w:val="5FE05068"/>
    <w:rsid w:val="60015D35"/>
    <w:rsid w:val="606C2E49"/>
    <w:rsid w:val="60A623D0"/>
    <w:rsid w:val="60D2227B"/>
    <w:rsid w:val="60D87B58"/>
    <w:rsid w:val="60F1388E"/>
    <w:rsid w:val="61132F80"/>
    <w:rsid w:val="61414EC5"/>
    <w:rsid w:val="6153769A"/>
    <w:rsid w:val="617F3339"/>
    <w:rsid w:val="61941252"/>
    <w:rsid w:val="61A77079"/>
    <w:rsid w:val="61B35F3E"/>
    <w:rsid w:val="61CC3EFC"/>
    <w:rsid w:val="61E44C31"/>
    <w:rsid w:val="62D6732E"/>
    <w:rsid w:val="62FC6E08"/>
    <w:rsid w:val="63062799"/>
    <w:rsid w:val="634816F2"/>
    <w:rsid w:val="63550013"/>
    <w:rsid w:val="638279B4"/>
    <w:rsid w:val="63911317"/>
    <w:rsid w:val="639C64A0"/>
    <w:rsid w:val="639D27DB"/>
    <w:rsid w:val="63C86B19"/>
    <w:rsid w:val="63E018D1"/>
    <w:rsid w:val="64017803"/>
    <w:rsid w:val="64817D3D"/>
    <w:rsid w:val="648B3FB8"/>
    <w:rsid w:val="64B1537D"/>
    <w:rsid w:val="650F7961"/>
    <w:rsid w:val="65454382"/>
    <w:rsid w:val="655602FA"/>
    <w:rsid w:val="655D7FBE"/>
    <w:rsid w:val="65643470"/>
    <w:rsid w:val="657038D9"/>
    <w:rsid w:val="657047E3"/>
    <w:rsid w:val="65FF1E91"/>
    <w:rsid w:val="6621558E"/>
    <w:rsid w:val="663A7B06"/>
    <w:rsid w:val="666E19D3"/>
    <w:rsid w:val="66AE5C45"/>
    <w:rsid w:val="67330E07"/>
    <w:rsid w:val="673D0A8B"/>
    <w:rsid w:val="67675C75"/>
    <w:rsid w:val="676C6D40"/>
    <w:rsid w:val="676F770B"/>
    <w:rsid w:val="67B37570"/>
    <w:rsid w:val="67B425D8"/>
    <w:rsid w:val="67B43BAE"/>
    <w:rsid w:val="67CB1F96"/>
    <w:rsid w:val="684F3C7A"/>
    <w:rsid w:val="6854579B"/>
    <w:rsid w:val="685C7BDC"/>
    <w:rsid w:val="68675C25"/>
    <w:rsid w:val="6878075F"/>
    <w:rsid w:val="689513D5"/>
    <w:rsid w:val="68BB4E93"/>
    <w:rsid w:val="698508F1"/>
    <w:rsid w:val="6A5275F9"/>
    <w:rsid w:val="6A633B5B"/>
    <w:rsid w:val="6AA410A4"/>
    <w:rsid w:val="6ABD617F"/>
    <w:rsid w:val="6AC25622"/>
    <w:rsid w:val="6AEC3960"/>
    <w:rsid w:val="6B261B6A"/>
    <w:rsid w:val="6B334618"/>
    <w:rsid w:val="6B57195A"/>
    <w:rsid w:val="6B6607F6"/>
    <w:rsid w:val="6B8320C0"/>
    <w:rsid w:val="6B972B01"/>
    <w:rsid w:val="6B99234A"/>
    <w:rsid w:val="6BAB2CF1"/>
    <w:rsid w:val="6BB95EE5"/>
    <w:rsid w:val="6BCE4EB6"/>
    <w:rsid w:val="6BD154CC"/>
    <w:rsid w:val="6C0B6409"/>
    <w:rsid w:val="6C1B1BAF"/>
    <w:rsid w:val="6C5D6CCE"/>
    <w:rsid w:val="6C6E6699"/>
    <w:rsid w:val="6CC92D08"/>
    <w:rsid w:val="6D04605E"/>
    <w:rsid w:val="6D2B65E5"/>
    <w:rsid w:val="6D9D294C"/>
    <w:rsid w:val="6DAF2C53"/>
    <w:rsid w:val="6E071562"/>
    <w:rsid w:val="6E1E6B73"/>
    <w:rsid w:val="6E2A1287"/>
    <w:rsid w:val="6E3929AE"/>
    <w:rsid w:val="6E6508B3"/>
    <w:rsid w:val="6E8E1211"/>
    <w:rsid w:val="6EC922AC"/>
    <w:rsid w:val="6EDE7D98"/>
    <w:rsid w:val="6EE50815"/>
    <w:rsid w:val="6EFF64A4"/>
    <w:rsid w:val="6F083740"/>
    <w:rsid w:val="6F0F06CF"/>
    <w:rsid w:val="6F286FD3"/>
    <w:rsid w:val="6F3C1174"/>
    <w:rsid w:val="6F407C72"/>
    <w:rsid w:val="6F562B80"/>
    <w:rsid w:val="6FB9145D"/>
    <w:rsid w:val="6FEF1B60"/>
    <w:rsid w:val="709F6941"/>
    <w:rsid w:val="70C0289D"/>
    <w:rsid w:val="70C31D6B"/>
    <w:rsid w:val="70DE72DA"/>
    <w:rsid w:val="70F74CDB"/>
    <w:rsid w:val="7102236F"/>
    <w:rsid w:val="71904B0C"/>
    <w:rsid w:val="71A96989"/>
    <w:rsid w:val="71B36BC8"/>
    <w:rsid w:val="71BF212E"/>
    <w:rsid w:val="71C73801"/>
    <w:rsid w:val="71CE671B"/>
    <w:rsid w:val="71D36D7A"/>
    <w:rsid w:val="72100761"/>
    <w:rsid w:val="7228490E"/>
    <w:rsid w:val="72324A62"/>
    <w:rsid w:val="7233601F"/>
    <w:rsid w:val="7256698F"/>
    <w:rsid w:val="72AD0267"/>
    <w:rsid w:val="73010D7B"/>
    <w:rsid w:val="7397045C"/>
    <w:rsid w:val="73A27146"/>
    <w:rsid w:val="73AC0938"/>
    <w:rsid w:val="73D9657F"/>
    <w:rsid w:val="74024791"/>
    <w:rsid w:val="740A314B"/>
    <w:rsid w:val="74533F62"/>
    <w:rsid w:val="74891E24"/>
    <w:rsid w:val="74BE00F6"/>
    <w:rsid w:val="74D527BF"/>
    <w:rsid w:val="75056307"/>
    <w:rsid w:val="75434A0D"/>
    <w:rsid w:val="758F00AE"/>
    <w:rsid w:val="76507BE4"/>
    <w:rsid w:val="76C667BC"/>
    <w:rsid w:val="76CC2DBF"/>
    <w:rsid w:val="76FA11CE"/>
    <w:rsid w:val="77306C9E"/>
    <w:rsid w:val="773A54BC"/>
    <w:rsid w:val="776F0CF3"/>
    <w:rsid w:val="77CE6886"/>
    <w:rsid w:val="78206E80"/>
    <w:rsid w:val="788555E3"/>
    <w:rsid w:val="78CD3662"/>
    <w:rsid w:val="78DB67FF"/>
    <w:rsid w:val="790B6785"/>
    <w:rsid w:val="7937127B"/>
    <w:rsid w:val="796E49AC"/>
    <w:rsid w:val="79FE79DA"/>
    <w:rsid w:val="7A08419A"/>
    <w:rsid w:val="7A156350"/>
    <w:rsid w:val="7A29136C"/>
    <w:rsid w:val="7A2C61E7"/>
    <w:rsid w:val="7A735C17"/>
    <w:rsid w:val="7A887546"/>
    <w:rsid w:val="7A902F4D"/>
    <w:rsid w:val="7AA71D7C"/>
    <w:rsid w:val="7AAD5FEE"/>
    <w:rsid w:val="7B147076"/>
    <w:rsid w:val="7B4638D7"/>
    <w:rsid w:val="7B465E48"/>
    <w:rsid w:val="7B65768B"/>
    <w:rsid w:val="7B964679"/>
    <w:rsid w:val="7BDE45F7"/>
    <w:rsid w:val="7BE205C8"/>
    <w:rsid w:val="7C195B55"/>
    <w:rsid w:val="7C3D7C78"/>
    <w:rsid w:val="7C466CEA"/>
    <w:rsid w:val="7CB51983"/>
    <w:rsid w:val="7CF312BE"/>
    <w:rsid w:val="7CFA0E6B"/>
    <w:rsid w:val="7D442303"/>
    <w:rsid w:val="7D9120E2"/>
    <w:rsid w:val="7DF9570E"/>
    <w:rsid w:val="7E014595"/>
    <w:rsid w:val="7E0C73F1"/>
    <w:rsid w:val="7E295D6A"/>
    <w:rsid w:val="7E5333C7"/>
    <w:rsid w:val="7E695E0F"/>
    <w:rsid w:val="7E7236B4"/>
    <w:rsid w:val="7E910D86"/>
    <w:rsid w:val="7F6E31A6"/>
    <w:rsid w:val="7FC317DF"/>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3"/>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2"/>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78"/>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1"/>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4"/>
    <w:autoRedefine/>
    <w:qFormat/>
    <w:uiPriority w:val="0"/>
    <w:pPr>
      <w:keepNext/>
      <w:keepLines/>
      <w:ind w:firstLine="200" w:firstLineChars="200"/>
      <w:outlineLvl w:val="5"/>
    </w:pPr>
    <w:rPr>
      <w:rFonts w:hAnsi="Arial"/>
    </w:rPr>
  </w:style>
  <w:style w:type="paragraph" w:styleId="10">
    <w:name w:val="heading 7"/>
    <w:basedOn w:val="1"/>
    <w:next w:val="1"/>
    <w:link w:val="271"/>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6"/>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7"/>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autoRedefine/>
    <w:unhideWhenUsed/>
    <w:qFormat/>
    <w:uiPriority w:val="1"/>
  </w:style>
  <w:style w:type="table" w:default="1" w:styleId="45">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213"/>
    <w:autoRedefine/>
    <w:qFormat/>
    <w:uiPriority w:val="0"/>
    <w:pPr>
      <w:spacing w:after="120"/>
    </w:p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3"/>
    <w:autoRedefine/>
    <w:qFormat/>
    <w:uiPriority w:val="0"/>
    <w:pPr>
      <w:shd w:val="clear" w:color="auto" w:fill="000080"/>
    </w:pPr>
  </w:style>
  <w:style w:type="paragraph" w:styleId="16">
    <w:name w:val="annotation text"/>
    <w:basedOn w:val="1"/>
    <w:link w:val="288"/>
    <w:autoRedefine/>
    <w:qFormat/>
    <w:uiPriority w:val="99"/>
    <w:pPr>
      <w:jc w:val="left"/>
    </w:pPr>
  </w:style>
  <w:style w:type="paragraph" w:styleId="17">
    <w:name w:val="Body Text 3"/>
    <w:basedOn w:val="1"/>
    <w:link w:val="307"/>
    <w:autoRedefine/>
    <w:qFormat/>
    <w:uiPriority w:val="0"/>
    <w:pPr>
      <w:spacing w:after="120"/>
    </w:pPr>
    <w:rPr>
      <w:sz w:val="16"/>
      <w:szCs w:val="16"/>
    </w:rPr>
  </w:style>
  <w:style w:type="paragraph" w:styleId="18">
    <w:name w:val="Body Text Indent"/>
    <w:basedOn w:val="1"/>
    <w:link w:val="268"/>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6"/>
    <w:autoRedefine/>
    <w:qFormat/>
    <w:uiPriority w:val="0"/>
    <w:pPr>
      <w:ind w:left="100" w:leftChars="2500"/>
    </w:pPr>
  </w:style>
  <w:style w:type="paragraph" w:styleId="26">
    <w:name w:val="Body Text Indent 2"/>
    <w:basedOn w:val="1"/>
    <w:link w:val="270"/>
    <w:autoRedefine/>
    <w:qFormat/>
    <w:uiPriority w:val="0"/>
    <w:pPr>
      <w:widowControl/>
      <w:spacing w:line="480" w:lineRule="auto"/>
      <w:ind w:firstLine="560"/>
      <w:jc w:val="left"/>
    </w:pPr>
    <w:rPr>
      <w:kern w:val="0"/>
      <w:sz w:val="28"/>
    </w:rPr>
  </w:style>
  <w:style w:type="paragraph" w:styleId="27">
    <w:name w:val="endnote text"/>
    <w:basedOn w:val="1"/>
    <w:link w:val="180"/>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7"/>
    <w:autoRedefine/>
    <w:qFormat/>
    <w:uiPriority w:val="0"/>
    <w:rPr>
      <w:sz w:val="18"/>
      <w:szCs w:val="18"/>
    </w:rPr>
  </w:style>
  <w:style w:type="paragraph" w:styleId="29">
    <w:name w:val="footer"/>
    <w:basedOn w:val="1"/>
    <w:link w:val="195"/>
    <w:autoRedefine/>
    <w:qFormat/>
    <w:uiPriority w:val="0"/>
    <w:pPr>
      <w:tabs>
        <w:tab w:val="center" w:pos="4153"/>
        <w:tab w:val="right" w:pos="8306"/>
      </w:tabs>
      <w:snapToGrid w:val="0"/>
      <w:jc w:val="left"/>
    </w:pPr>
    <w:rPr>
      <w:sz w:val="18"/>
      <w:szCs w:val="18"/>
    </w:rPr>
  </w:style>
  <w:style w:type="paragraph" w:styleId="30">
    <w:name w:val="header"/>
    <w:basedOn w:val="1"/>
    <w:link w:val="235"/>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autoRedefine/>
    <w:qFormat/>
    <w:uiPriority w:val="0"/>
    <w:pPr>
      <w:widowControl/>
      <w:jc w:val="center"/>
    </w:pPr>
    <w:rPr>
      <w:kern w:val="0"/>
      <w:sz w:val="20"/>
      <w:u w:val="single"/>
      <w:lang w:eastAsia="en-US"/>
    </w:rPr>
  </w:style>
  <w:style w:type="paragraph" w:styleId="34">
    <w:name w:val="footnote text"/>
    <w:basedOn w:val="1"/>
    <w:link w:val="215"/>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7"/>
    <w:autoRedefine/>
    <w:qFormat/>
    <w:uiPriority w:val="0"/>
    <w:pPr>
      <w:spacing w:line="360" w:lineRule="auto"/>
      <w:ind w:firstLine="280" w:firstLineChars="100"/>
    </w:pPr>
    <w:rPr>
      <w:rFonts w:ascii="宋体" w:hAnsi="宋体"/>
      <w:sz w:val="28"/>
      <w:szCs w:val="28"/>
    </w:rPr>
  </w:style>
  <w:style w:type="paragraph" w:styleId="37">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3"/>
    <w:autoRedefine/>
    <w:qFormat/>
    <w:uiPriority w:val="0"/>
    <w:rPr>
      <w:i/>
      <w:iCs/>
      <w:sz w:val="26"/>
    </w:rPr>
  </w:style>
  <w:style w:type="paragraph" w:styleId="40">
    <w:name w:val="HTML Preformatted"/>
    <w:basedOn w:val="1"/>
    <w:link w:val="168"/>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0"/>
    <w:autoRedefine/>
    <w:qFormat/>
    <w:uiPriority w:val="0"/>
    <w:pPr>
      <w:widowControl/>
      <w:jc w:val="center"/>
    </w:pPr>
    <w:rPr>
      <w:kern w:val="0"/>
      <w:sz w:val="20"/>
      <w:u w:val="single"/>
      <w:lang w:eastAsia="en-US"/>
    </w:rPr>
  </w:style>
  <w:style w:type="paragraph" w:styleId="44">
    <w:name w:val="annotation subject"/>
    <w:basedOn w:val="16"/>
    <w:next w:val="16"/>
    <w:link w:val="262"/>
    <w:autoRedefine/>
    <w:qFormat/>
    <w:uiPriority w:val="0"/>
    <w:rPr>
      <w:b/>
      <w:bCs/>
    </w:rPr>
  </w:style>
  <w:style w:type="table" w:styleId="46">
    <w:name w:val="Table Grid"/>
    <w:basedOn w:val="4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autoRedefine/>
    <w:qFormat/>
    <w:uiPriority w:val="0"/>
    <w:rPr>
      <w:b/>
      <w:bCs/>
    </w:rPr>
  </w:style>
  <w:style w:type="character" w:styleId="49">
    <w:name w:val="endnote reference"/>
    <w:autoRedefine/>
    <w:qFormat/>
    <w:uiPriority w:val="0"/>
    <w:rPr>
      <w:vertAlign w:val="superscript"/>
    </w:rPr>
  </w:style>
  <w:style w:type="character" w:styleId="50">
    <w:name w:val="page number"/>
    <w:basedOn w:val="47"/>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i/>
      <w:iCs/>
    </w:rPr>
  </w:style>
  <w:style w:type="character" w:styleId="53">
    <w:name w:val="Hyperlink"/>
    <w:autoRedefine/>
    <w:qFormat/>
    <w:uiPriority w:val="99"/>
    <w:rPr>
      <w:color w:val="0000FF"/>
      <w:u w:val="single"/>
    </w:rPr>
  </w:style>
  <w:style w:type="character" w:styleId="54">
    <w:name w:val="annotation reference"/>
    <w:autoRedefine/>
    <w:qFormat/>
    <w:uiPriority w:val="0"/>
    <w:rPr>
      <w:sz w:val="21"/>
      <w:szCs w:val="21"/>
    </w:rPr>
  </w:style>
  <w:style w:type="character" w:styleId="55">
    <w:name w:val="footnote reference"/>
    <w:autoRedefine/>
    <w:qFormat/>
    <w:uiPriority w:val="0"/>
    <w:rPr>
      <w:vertAlign w:val="superscript"/>
    </w:rPr>
  </w:style>
  <w:style w:type="paragraph" w:customStyle="1" w:styleId="56">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7">
    <w:name w:val="_Style 101"/>
    <w:basedOn w:val="1"/>
    <w:autoRedefine/>
    <w:qFormat/>
    <w:uiPriority w:val="99"/>
    <w:pPr>
      <w:ind w:firstLine="420" w:firstLineChars="200"/>
    </w:pPr>
    <w:rPr>
      <w:sz w:val="28"/>
      <w:szCs w:val="28"/>
    </w:rPr>
  </w:style>
  <w:style w:type="paragraph" w:customStyle="1" w:styleId="58">
    <w:name w:val="表格标题"/>
    <w:basedOn w:val="59"/>
    <w:autoRedefine/>
    <w:qFormat/>
    <w:uiPriority w:val="0"/>
  </w:style>
  <w:style w:type="paragraph" w:customStyle="1" w:styleId="59">
    <w:name w:val="表格内容"/>
    <w:basedOn w:val="1"/>
    <w:autoRedefine/>
    <w:qFormat/>
    <w:uiPriority w:val="0"/>
    <w:pPr>
      <w:suppressLineNumbers/>
      <w:suppressAutoHyphens/>
    </w:pPr>
  </w:style>
  <w:style w:type="paragraph" w:customStyle="1" w:styleId="60">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2">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3">
    <w:name w:val="标准样式1"/>
    <w:basedOn w:val="1"/>
    <w:autoRedefine/>
    <w:qFormat/>
    <w:uiPriority w:val="0"/>
    <w:pPr>
      <w:spacing w:line="600" w:lineRule="exact"/>
      <w:ind w:firstLine="567"/>
    </w:pPr>
    <w:rPr>
      <w:rFonts w:ascii="Calibri" w:hAnsi="Calibri"/>
      <w:sz w:val="28"/>
    </w:rPr>
  </w:style>
  <w:style w:type="paragraph" w:customStyle="1" w:styleId="64">
    <w:name w:val="列出段落11"/>
    <w:basedOn w:val="1"/>
    <w:autoRedefine/>
    <w:qFormat/>
    <w:uiPriority w:val="0"/>
    <w:pPr>
      <w:ind w:firstLine="420" w:firstLineChars="200"/>
    </w:pPr>
    <w:rPr>
      <w:sz w:val="28"/>
      <w:szCs w:val="28"/>
    </w:rPr>
  </w:style>
  <w:style w:type="paragraph" w:customStyle="1" w:styleId="65">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6">
    <w:name w:val="WW-表格标题"/>
    <w:basedOn w:val="67"/>
    <w:autoRedefine/>
    <w:qFormat/>
    <w:uiPriority w:val="0"/>
  </w:style>
  <w:style w:type="paragraph" w:customStyle="1" w:styleId="67">
    <w:name w:val="WW-表格内容"/>
    <w:basedOn w:val="1"/>
    <w:autoRedefine/>
    <w:qFormat/>
    <w:uiPriority w:val="0"/>
    <w:pPr>
      <w:suppressLineNumbers/>
      <w:suppressAutoHyphens/>
    </w:pPr>
  </w:style>
  <w:style w:type="paragraph" w:customStyle="1" w:styleId="68">
    <w:name w:val="引用2"/>
    <w:basedOn w:val="1"/>
    <w:next w:val="1"/>
    <w:link w:val="299"/>
    <w:autoRedefine/>
    <w:qFormat/>
    <w:uiPriority w:val="0"/>
    <w:rPr>
      <w:i/>
      <w:iCs/>
      <w:color w:val="000000"/>
    </w:rPr>
  </w:style>
  <w:style w:type="paragraph" w:customStyle="1" w:styleId="69">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1">
    <w:name w:val="Char Char Char Char"/>
    <w:basedOn w:val="15"/>
    <w:autoRedefine/>
    <w:qFormat/>
    <w:uiPriority w:val="0"/>
    <w:pPr>
      <w:spacing w:line="360" w:lineRule="auto"/>
      <w:ind w:firstLine="200" w:firstLineChars="200"/>
    </w:pPr>
    <w:rPr>
      <w:rFonts w:ascii="Tahoma" w:hAnsi="Tahoma"/>
      <w:sz w:val="24"/>
    </w:rPr>
  </w:style>
  <w:style w:type="paragraph" w:customStyle="1" w:styleId="72">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4">
    <w:name w:val="p16"/>
    <w:basedOn w:val="1"/>
    <w:autoRedefine/>
    <w:qFormat/>
    <w:uiPriority w:val="0"/>
    <w:pPr>
      <w:widowControl/>
    </w:pPr>
    <w:rPr>
      <w:rFonts w:ascii="Calibri" w:hAnsi="Calibri" w:cs="宋体"/>
      <w:kern w:val="0"/>
      <w:szCs w:val="21"/>
    </w:rPr>
  </w:style>
  <w:style w:type="paragraph" w:customStyle="1" w:styleId="75">
    <w:name w:val="列出段落1"/>
    <w:basedOn w:val="1"/>
    <w:autoRedefine/>
    <w:qFormat/>
    <w:uiPriority w:val="0"/>
    <w:pPr>
      <w:ind w:firstLine="420" w:firstLineChars="200"/>
    </w:pPr>
    <w:rPr>
      <w:sz w:val="28"/>
      <w:szCs w:val="28"/>
    </w:rPr>
  </w:style>
  <w:style w:type="paragraph" w:customStyle="1" w:styleId="76">
    <w:name w:val="样式1"/>
    <w:basedOn w:val="1"/>
    <w:next w:val="6"/>
    <w:autoRedefine/>
    <w:qFormat/>
    <w:uiPriority w:val="0"/>
    <w:pPr>
      <w:spacing w:line="360" w:lineRule="auto"/>
      <w:ind w:firstLine="420" w:firstLineChars="200"/>
    </w:pPr>
    <w:rPr>
      <w:rFonts w:ascii="宋体" w:hAnsi="宋体"/>
      <w:szCs w:val="21"/>
    </w:rPr>
  </w:style>
  <w:style w:type="paragraph" w:customStyle="1" w:styleId="77">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78">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79">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0">
    <w:name w:val="引用1"/>
    <w:basedOn w:val="1"/>
    <w:next w:val="1"/>
    <w:link w:val="149"/>
    <w:autoRedefine/>
    <w:qFormat/>
    <w:uiPriority w:val="29"/>
    <w:rPr>
      <w:i/>
      <w:iCs/>
      <w:color w:val="000000"/>
      <w:szCs w:val="20"/>
    </w:rPr>
  </w:style>
  <w:style w:type="paragraph" w:customStyle="1" w:styleId="81">
    <w:name w:val="表格文字"/>
    <w:basedOn w:val="1"/>
    <w:autoRedefine/>
    <w:qFormat/>
    <w:uiPriority w:val="0"/>
    <w:pPr>
      <w:adjustRightInd w:val="0"/>
      <w:spacing w:line="420" w:lineRule="atLeast"/>
      <w:jc w:val="left"/>
      <w:textAlignment w:val="baseline"/>
    </w:pPr>
    <w:rPr>
      <w:kern w:val="0"/>
      <w:szCs w:val="20"/>
    </w:rPr>
  </w:style>
  <w:style w:type="paragraph" w:customStyle="1" w:styleId="82">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正  文"/>
    <w:basedOn w:val="1"/>
    <w:autoRedefine/>
    <w:qFormat/>
    <w:uiPriority w:val="0"/>
    <w:pPr>
      <w:spacing w:line="360" w:lineRule="auto"/>
      <w:ind w:firstLine="200" w:firstLineChars="200"/>
    </w:pPr>
    <w:rPr>
      <w:rFonts w:ascii="宋体" w:hAnsi="Calibri"/>
      <w:sz w:val="24"/>
    </w:rPr>
  </w:style>
  <w:style w:type="paragraph" w:customStyle="1" w:styleId="86">
    <w:name w:val="标题4"/>
    <w:basedOn w:val="4"/>
    <w:next w:val="20"/>
    <w:link w:val="242"/>
    <w:autoRedefine/>
    <w:qFormat/>
    <w:uiPriority w:val="0"/>
    <w:pPr>
      <w:spacing w:line="413" w:lineRule="auto"/>
    </w:pPr>
    <w:rPr>
      <w:rFonts w:ascii="Arial" w:hAnsi="Arial"/>
      <w:kern w:val="0"/>
      <w:sz w:val="24"/>
    </w:rPr>
  </w:style>
  <w:style w:type="paragraph" w:customStyle="1" w:styleId="87">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1">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2">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4">
    <w:name w:val="1 Char"/>
    <w:basedOn w:val="1"/>
    <w:autoRedefine/>
    <w:qFormat/>
    <w:uiPriority w:val="0"/>
    <w:pPr>
      <w:widowControl/>
      <w:spacing w:after="160" w:line="240" w:lineRule="exact"/>
      <w:jc w:val="left"/>
    </w:pPr>
    <w:rPr>
      <w:rFonts w:ascii="Calibri" w:hAnsi="Calibri"/>
      <w:szCs w:val="20"/>
    </w:rPr>
  </w:style>
  <w:style w:type="paragraph" w:customStyle="1" w:styleId="95">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6">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7">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8">
    <w:name w:val="p15"/>
    <w:basedOn w:val="1"/>
    <w:autoRedefine/>
    <w:qFormat/>
    <w:uiPriority w:val="0"/>
    <w:pPr>
      <w:widowControl/>
      <w:spacing w:after="120"/>
    </w:pPr>
    <w:rPr>
      <w:kern w:val="0"/>
      <w:szCs w:val="21"/>
    </w:rPr>
  </w:style>
  <w:style w:type="paragraph" w:customStyle="1" w:styleId="9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1">
    <w:name w:val="_Style 124"/>
    <w:basedOn w:val="1"/>
    <w:next w:val="1"/>
    <w:link w:val="196"/>
    <w:autoRedefine/>
    <w:qFormat/>
    <w:uiPriority w:val="0"/>
    <w:rPr>
      <w:i/>
      <w:iCs/>
      <w:color w:val="000000"/>
      <w:szCs w:val="22"/>
    </w:rPr>
  </w:style>
  <w:style w:type="paragraph" w:customStyle="1" w:styleId="10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6">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7">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09">
    <w:name w:val="表格"/>
    <w:basedOn w:val="1"/>
    <w:autoRedefine/>
    <w:qFormat/>
    <w:uiPriority w:val="0"/>
    <w:pPr>
      <w:jc w:val="center"/>
      <w:textAlignment w:val="center"/>
    </w:pPr>
    <w:rPr>
      <w:rFonts w:ascii="华文细黑" w:hAnsi="华文细黑"/>
      <w:kern w:val="0"/>
      <w:szCs w:val="20"/>
    </w:rPr>
  </w:style>
  <w:style w:type="paragraph" w:customStyle="1" w:styleId="110">
    <w:name w:val="明显引用1"/>
    <w:basedOn w:val="1"/>
    <w:next w:val="1"/>
    <w:link w:val="297"/>
    <w:autoRedefine/>
    <w:qFormat/>
    <w:uiPriority w:val="30"/>
    <w:pPr>
      <w:pBdr>
        <w:bottom w:val="single" w:color="4F81BD" w:sz="4" w:space="4"/>
      </w:pBdr>
      <w:spacing w:before="200" w:after="280"/>
      <w:ind w:left="936" w:right="936"/>
    </w:pPr>
    <w:rPr>
      <w:b/>
      <w:bCs/>
      <w:i/>
      <w:iCs/>
      <w:color w:val="4F81BD"/>
      <w:szCs w:val="20"/>
    </w:rPr>
  </w:style>
  <w:style w:type="paragraph" w:customStyle="1" w:styleId="111">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2">
    <w:name w:val="TOC 标题2"/>
    <w:basedOn w:val="3"/>
    <w:next w:val="1"/>
    <w:autoRedefine/>
    <w:unhideWhenUsed/>
    <w:qFormat/>
    <w:uiPriority w:val="0"/>
    <w:pPr>
      <w:outlineLvl w:val="9"/>
    </w:pPr>
    <w:rPr>
      <w:rFonts w:ascii="Calibri" w:hAnsi="Calibri"/>
    </w:rPr>
  </w:style>
  <w:style w:type="paragraph" w:customStyle="1" w:styleId="113">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4">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5">
    <w:name w:val="标题5"/>
    <w:basedOn w:val="5"/>
    <w:link w:val="164"/>
    <w:autoRedefine/>
    <w:qFormat/>
    <w:uiPriority w:val="0"/>
    <w:pPr>
      <w:spacing w:line="413" w:lineRule="auto"/>
    </w:pPr>
    <w:rPr>
      <w:rFonts w:ascii="Arial" w:hAnsi="Arial"/>
      <w:kern w:val="0"/>
      <w:sz w:val="24"/>
    </w:rPr>
  </w:style>
  <w:style w:type="paragraph" w:customStyle="1" w:styleId="116">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7">
    <w:name w:val="_Style 64"/>
    <w:basedOn w:val="1"/>
    <w:next w:val="1"/>
    <w:link w:val="296"/>
    <w:autoRedefine/>
    <w:qFormat/>
    <w:uiPriority w:val="0"/>
    <w:pPr>
      <w:pBdr>
        <w:bottom w:val="single" w:color="4F81BD" w:sz="4" w:space="4"/>
      </w:pBdr>
      <w:spacing w:before="200" w:after="280"/>
      <w:ind w:left="936" w:right="936"/>
    </w:pPr>
    <w:rPr>
      <w:b/>
      <w:bCs/>
      <w:i/>
      <w:iCs/>
      <w:color w:val="4F81BD"/>
      <w:szCs w:val="22"/>
    </w:rPr>
  </w:style>
  <w:style w:type="paragraph" w:customStyle="1" w:styleId="118">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Char2"/>
    <w:basedOn w:val="1"/>
    <w:autoRedefine/>
    <w:qFormat/>
    <w:uiPriority w:val="0"/>
    <w:rPr>
      <w:rFonts w:ascii="Calibri" w:hAnsi="Calibri"/>
    </w:rPr>
  </w:style>
  <w:style w:type="paragraph" w:customStyle="1" w:styleId="120">
    <w:name w:val="_Style 87"/>
    <w:basedOn w:val="1"/>
    <w:autoRedefine/>
    <w:qFormat/>
    <w:uiPriority w:val="99"/>
    <w:pPr>
      <w:ind w:firstLine="420" w:firstLineChars="200"/>
    </w:pPr>
    <w:rPr>
      <w:rFonts w:ascii="Calibri" w:hAnsi="Calibri"/>
      <w:sz w:val="28"/>
      <w:szCs w:val="28"/>
    </w:rPr>
  </w:style>
  <w:style w:type="paragraph" w:customStyle="1" w:styleId="121">
    <w:name w:val="自定样式1"/>
    <w:basedOn w:val="1"/>
    <w:autoRedefine/>
    <w:qFormat/>
    <w:uiPriority w:val="0"/>
    <w:pPr>
      <w:suppressAutoHyphens/>
      <w:jc w:val="center"/>
    </w:pPr>
    <w:rPr>
      <w:rFonts w:ascii="宋体" w:hAnsi="宋体"/>
      <w:color w:val="000000"/>
      <w:sz w:val="18"/>
    </w:rPr>
  </w:style>
  <w:style w:type="paragraph" w:customStyle="1" w:styleId="122">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Char"/>
    <w:basedOn w:val="1"/>
    <w:autoRedefine/>
    <w:qFormat/>
    <w:uiPriority w:val="0"/>
  </w:style>
  <w:style w:type="paragraph" w:customStyle="1" w:styleId="124">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列表段落1"/>
    <w:basedOn w:val="1"/>
    <w:autoRedefine/>
    <w:qFormat/>
    <w:uiPriority w:val="34"/>
    <w:pPr>
      <w:ind w:firstLine="420" w:firstLineChars="200"/>
    </w:pPr>
    <w:rPr>
      <w:rFonts w:ascii="Calibri" w:hAnsi="Calibri"/>
    </w:rPr>
  </w:style>
  <w:style w:type="paragraph" w:customStyle="1" w:styleId="126">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表体"/>
    <w:basedOn w:val="1"/>
    <w:next w:val="1"/>
    <w:autoRedefine/>
    <w:qFormat/>
    <w:uiPriority w:val="0"/>
    <w:pPr>
      <w:spacing w:line="0" w:lineRule="atLeast"/>
    </w:pPr>
    <w:rPr>
      <w:rFonts w:ascii="Calibri" w:hAnsi="Calibri"/>
      <w:b/>
      <w:snapToGrid w:val="0"/>
      <w:szCs w:val="20"/>
    </w:rPr>
  </w:style>
  <w:style w:type="paragraph" w:customStyle="1" w:styleId="128">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29">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0">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1">
    <w:name w:val="Char11"/>
    <w:basedOn w:val="1"/>
    <w:autoRedefine/>
    <w:qFormat/>
    <w:uiPriority w:val="0"/>
  </w:style>
  <w:style w:type="paragraph" w:customStyle="1" w:styleId="132">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3">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4">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5">
    <w:name w:val="Char1"/>
    <w:basedOn w:val="1"/>
    <w:autoRedefine/>
    <w:qFormat/>
    <w:uiPriority w:val="0"/>
  </w:style>
  <w:style w:type="paragraph" w:customStyle="1" w:styleId="136">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7">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1">
    <w:name w:val="正文文本 Char2"/>
    <w:autoRedefine/>
    <w:qFormat/>
    <w:uiPriority w:val="99"/>
    <w:rPr>
      <w:kern w:val="2"/>
      <w:sz w:val="21"/>
      <w:szCs w:val="24"/>
    </w:rPr>
  </w:style>
  <w:style w:type="character" w:customStyle="1" w:styleId="142">
    <w:name w:val="尾注文本 Char1"/>
    <w:autoRedefine/>
    <w:qFormat/>
    <w:uiPriority w:val="0"/>
    <w:rPr>
      <w:rFonts w:ascii="Arial" w:hAnsi="Arial" w:cs="Arial"/>
      <w:szCs w:val="24"/>
      <w:lang w:eastAsia="en-US"/>
    </w:rPr>
  </w:style>
  <w:style w:type="character" w:customStyle="1" w:styleId="143">
    <w:name w:val="脚注文本 Char"/>
    <w:qFormat/>
    <w:uiPriority w:val="0"/>
    <w:rPr>
      <w:rFonts w:ascii="Arial" w:hAnsi="Arial" w:eastAsia="宋体" w:cs="Arial"/>
      <w:sz w:val="18"/>
      <w:szCs w:val="18"/>
      <w:lang w:eastAsia="en-US"/>
    </w:rPr>
  </w:style>
  <w:style w:type="character" w:customStyle="1" w:styleId="144">
    <w:name w:val="Char Char17"/>
    <w:autoRedefine/>
    <w:qFormat/>
    <w:uiPriority w:val="0"/>
    <w:rPr>
      <w:kern w:val="2"/>
      <w:sz w:val="26"/>
      <w:szCs w:val="24"/>
    </w:rPr>
  </w:style>
  <w:style w:type="character" w:customStyle="1" w:styleId="145">
    <w:name w:val="副标题 Char1"/>
    <w:autoRedefine/>
    <w:qFormat/>
    <w:uiPriority w:val="0"/>
    <w:rPr>
      <w:szCs w:val="24"/>
      <w:u w:val="single"/>
      <w:lang w:eastAsia="en-US"/>
    </w:rPr>
  </w:style>
  <w:style w:type="character" w:customStyle="1" w:styleId="146">
    <w:name w:val="标题 Char1"/>
    <w:qFormat/>
    <w:uiPriority w:val="10"/>
    <w:rPr>
      <w:szCs w:val="24"/>
      <w:u w:val="single"/>
      <w:lang w:eastAsia="en-US"/>
    </w:rPr>
  </w:style>
  <w:style w:type="character" w:customStyle="1" w:styleId="147">
    <w:name w:val="Char Char24"/>
    <w:autoRedefine/>
    <w:qFormat/>
    <w:uiPriority w:val="0"/>
    <w:rPr>
      <w:b/>
      <w:bCs/>
      <w:kern w:val="44"/>
      <w:sz w:val="44"/>
      <w:szCs w:val="44"/>
    </w:rPr>
  </w:style>
  <w:style w:type="character" w:customStyle="1" w:styleId="148">
    <w:name w:val="批注主题 Char"/>
    <w:autoRedefine/>
    <w:qFormat/>
    <w:uiPriority w:val="0"/>
    <w:rPr>
      <w:rFonts w:ascii="宋体" w:hAnsi="宋体" w:eastAsia="宋体"/>
      <w:kern w:val="2"/>
      <w:sz w:val="24"/>
      <w:szCs w:val="28"/>
      <w:lang w:val="en-US" w:eastAsia="zh-CN" w:bidi="ar-SA"/>
    </w:rPr>
  </w:style>
  <w:style w:type="character" w:customStyle="1" w:styleId="149">
    <w:name w:val="引用 Char1"/>
    <w:link w:val="80"/>
    <w:qFormat/>
    <w:uiPriority w:val="29"/>
    <w:rPr>
      <w:i/>
      <w:iCs/>
      <w:color w:val="000000"/>
      <w:kern w:val="2"/>
      <w:sz w:val="21"/>
    </w:rPr>
  </w:style>
  <w:style w:type="character" w:customStyle="1" w:styleId="150">
    <w:name w:val="Char Char23"/>
    <w:autoRedefine/>
    <w:qFormat/>
    <w:uiPriority w:val="0"/>
    <w:rPr>
      <w:rFonts w:ascii="Cambria" w:hAnsi="Cambria" w:eastAsia="宋体" w:cs="Times New Roman"/>
      <w:b/>
      <w:bCs/>
      <w:kern w:val="2"/>
      <w:sz w:val="32"/>
      <w:szCs w:val="32"/>
    </w:rPr>
  </w:style>
  <w:style w:type="character" w:customStyle="1" w:styleId="151">
    <w:name w:val="ITTHEADER2 Char"/>
    <w:qFormat/>
    <w:uiPriority w:val="0"/>
    <w:rPr>
      <w:rFonts w:ascii="仿宋_GB2312" w:eastAsia="仿宋_GB2312" w:cs="MingLiU"/>
      <w:b/>
      <w:spacing w:val="1"/>
      <w:w w:val="99"/>
      <w:sz w:val="28"/>
      <w:szCs w:val="32"/>
      <w:lang w:val="en-US" w:eastAsia="zh-CN" w:bidi="ar-SA"/>
    </w:rPr>
  </w:style>
  <w:style w:type="character" w:customStyle="1" w:styleId="152">
    <w:name w:val="标题 9 Char1"/>
    <w:qFormat/>
    <w:uiPriority w:val="0"/>
    <w:rPr>
      <w:rFonts w:ascii="Times New Roman" w:hAnsi="Times New Roman" w:eastAsia="仿宋_GB2312" w:cs="Times New Roman"/>
      <w:sz w:val="30"/>
      <w:szCs w:val="20"/>
    </w:rPr>
  </w:style>
  <w:style w:type="character" w:customStyle="1" w:styleId="153">
    <w:name w:val="正文文本 Char1"/>
    <w:qFormat/>
    <w:uiPriority w:val="0"/>
    <w:rPr>
      <w:kern w:val="2"/>
      <w:sz w:val="21"/>
      <w:szCs w:val="22"/>
    </w:rPr>
  </w:style>
  <w:style w:type="character" w:customStyle="1" w:styleId="154">
    <w:name w:val="引用 Char2"/>
    <w:qFormat/>
    <w:uiPriority w:val="99"/>
    <w:rPr>
      <w:i/>
      <w:iCs/>
      <w:color w:val="000000"/>
      <w:kern w:val="2"/>
      <w:sz w:val="21"/>
      <w:szCs w:val="24"/>
    </w:rPr>
  </w:style>
  <w:style w:type="character" w:customStyle="1" w:styleId="155">
    <w:name w:val="正文文本 Char3"/>
    <w:autoRedefine/>
    <w:semiHidden/>
    <w:qFormat/>
    <w:uiPriority w:val="99"/>
    <w:rPr>
      <w:rFonts w:ascii="Calibri" w:hAnsi="Calibri" w:eastAsia="宋体" w:cs="Times New Roman"/>
      <w:szCs w:val="24"/>
    </w:rPr>
  </w:style>
  <w:style w:type="character" w:customStyle="1" w:styleId="156">
    <w:name w:val="日期 字符"/>
    <w:link w:val="25"/>
    <w:autoRedefine/>
    <w:qFormat/>
    <w:uiPriority w:val="0"/>
    <w:rPr>
      <w:rFonts w:eastAsia="宋体"/>
      <w:kern w:val="2"/>
      <w:sz w:val="21"/>
      <w:szCs w:val="24"/>
      <w:lang w:val="en-US" w:eastAsia="zh-CN" w:bidi="ar-SA"/>
    </w:rPr>
  </w:style>
  <w:style w:type="character" w:customStyle="1" w:styleId="157">
    <w:name w:val="标题 2 Char"/>
    <w:autoRedefine/>
    <w:qFormat/>
    <w:uiPriority w:val="0"/>
    <w:rPr>
      <w:rFonts w:ascii="仿宋_GB2312" w:hAnsi="Calibri" w:eastAsia="仿宋_GB2312" w:cs="Times New Roman"/>
      <w:b/>
      <w:spacing w:val="1"/>
      <w:w w:val="99"/>
      <w:kern w:val="0"/>
      <w:sz w:val="28"/>
      <w:szCs w:val="32"/>
    </w:rPr>
  </w:style>
  <w:style w:type="character" w:customStyle="1" w:styleId="158">
    <w:name w:val="标题 7 Char"/>
    <w:autoRedefine/>
    <w:qFormat/>
    <w:uiPriority w:val="0"/>
    <w:rPr>
      <w:rFonts w:ascii="Calibri" w:hAnsi="Calibri" w:eastAsia="宋体" w:cs="Times New Roman"/>
      <w:b/>
      <w:bCs/>
      <w:sz w:val="24"/>
      <w:szCs w:val="24"/>
    </w:rPr>
  </w:style>
  <w:style w:type="character" w:customStyle="1" w:styleId="159">
    <w:name w:val="批注框文本 Char1"/>
    <w:autoRedefine/>
    <w:qFormat/>
    <w:uiPriority w:val="0"/>
    <w:rPr>
      <w:kern w:val="2"/>
      <w:sz w:val="18"/>
      <w:szCs w:val="18"/>
    </w:rPr>
  </w:style>
  <w:style w:type="character" w:customStyle="1" w:styleId="160">
    <w:name w:val="日期 Char1"/>
    <w:qFormat/>
    <w:uiPriority w:val="0"/>
    <w:rPr>
      <w:kern w:val="2"/>
      <w:sz w:val="21"/>
      <w:szCs w:val="22"/>
    </w:rPr>
  </w:style>
  <w:style w:type="character" w:customStyle="1" w:styleId="161">
    <w:name w:val="_Style 171"/>
    <w:autoRedefine/>
    <w:qFormat/>
    <w:uiPriority w:val="0"/>
    <w:rPr>
      <w:b/>
      <w:bCs/>
      <w:i/>
      <w:iCs/>
      <w:color w:val="4F81BD"/>
    </w:rPr>
  </w:style>
  <w:style w:type="character" w:customStyle="1" w:styleId="162">
    <w:name w:val="Char Char22"/>
    <w:autoRedefine/>
    <w:qFormat/>
    <w:uiPriority w:val="0"/>
    <w:rPr>
      <w:b/>
      <w:bCs/>
      <w:kern w:val="2"/>
      <w:sz w:val="32"/>
      <w:szCs w:val="32"/>
    </w:rPr>
  </w:style>
  <w:style w:type="character" w:customStyle="1" w:styleId="163">
    <w:name w:val="标题 6 Char1"/>
    <w:qFormat/>
    <w:uiPriority w:val="0"/>
    <w:rPr>
      <w:rFonts w:ascii="Times New Roman" w:hAnsi="Arial" w:eastAsia="仿宋_GB2312" w:cs="Times New Roman"/>
      <w:sz w:val="30"/>
      <w:szCs w:val="20"/>
    </w:rPr>
  </w:style>
  <w:style w:type="character" w:customStyle="1" w:styleId="164">
    <w:name w:val="标题5 Char Char"/>
    <w:link w:val="115"/>
    <w:autoRedefine/>
    <w:qFormat/>
    <w:uiPriority w:val="0"/>
    <w:rPr>
      <w:rFonts w:ascii="Arial" w:hAnsi="Arial"/>
      <w:b/>
      <w:bCs/>
      <w:sz w:val="24"/>
      <w:szCs w:val="32"/>
      <w:lang w:bidi="ar-SA"/>
    </w:rPr>
  </w:style>
  <w:style w:type="character" w:customStyle="1" w:styleId="165">
    <w:name w:val="正文文本缩进 Char1"/>
    <w:qFormat/>
    <w:uiPriority w:val="0"/>
    <w:rPr>
      <w:kern w:val="2"/>
      <w:sz w:val="21"/>
      <w:szCs w:val="24"/>
    </w:rPr>
  </w:style>
  <w:style w:type="character" w:customStyle="1" w:styleId="166">
    <w:name w:val="标题 4 Char1"/>
    <w:autoRedefine/>
    <w:qFormat/>
    <w:uiPriority w:val="0"/>
    <w:rPr>
      <w:rFonts w:ascii="宋体" w:hAnsi="宋体" w:eastAsia="宋体" w:cs="宋体"/>
      <w:b/>
      <w:bCs/>
      <w:sz w:val="24"/>
      <w:szCs w:val="24"/>
    </w:rPr>
  </w:style>
  <w:style w:type="character" w:customStyle="1" w:styleId="167">
    <w:name w:val="尾注文本 Char"/>
    <w:autoRedefine/>
    <w:qFormat/>
    <w:uiPriority w:val="0"/>
    <w:rPr>
      <w:kern w:val="2"/>
      <w:sz w:val="21"/>
      <w:szCs w:val="24"/>
    </w:rPr>
  </w:style>
  <w:style w:type="character" w:customStyle="1" w:styleId="168">
    <w:name w:val="HTML 预设格式 字符"/>
    <w:link w:val="40"/>
    <w:autoRedefine/>
    <w:qFormat/>
    <w:uiPriority w:val="0"/>
    <w:rPr>
      <w:rFonts w:ascii="宋体" w:hAnsi="宋体" w:eastAsia="宋体" w:cs="宋体"/>
      <w:color w:val="000000"/>
      <w:sz w:val="24"/>
      <w:szCs w:val="24"/>
      <w:lang w:val="en-US" w:eastAsia="zh-CN" w:bidi="ar-SA"/>
    </w:rPr>
  </w:style>
  <w:style w:type="character" w:customStyle="1" w:styleId="169">
    <w:name w:val="尾注文本 Char2"/>
    <w:autoRedefine/>
    <w:semiHidden/>
    <w:qFormat/>
    <w:uiPriority w:val="99"/>
    <w:rPr>
      <w:rFonts w:ascii="Calibri" w:hAnsi="Calibri" w:eastAsia="宋体" w:cs="Times New Roman"/>
      <w:szCs w:val="24"/>
    </w:rPr>
  </w:style>
  <w:style w:type="character" w:customStyle="1" w:styleId="170">
    <w:name w:val="明显强调1"/>
    <w:autoRedefine/>
    <w:qFormat/>
    <w:uiPriority w:val="0"/>
    <w:rPr>
      <w:b/>
      <w:bCs/>
      <w:i/>
      <w:iCs/>
      <w:color w:val="4F81BD"/>
    </w:rPr>
  </w:style>
  <w:style w:type="character" w:customStyle="1" w:styleId="171">
    <w:name w:val="正文文本 Char"/>
    <w:qFormat/>
    <w:uiPriority w:val="0"/>
    <w:rPr>
      <w:sz w:val="26"/>
      <w:szCs w:val="24"/>
    </w:rPr>
  </w:style>
  <w:style w:type="character" w:customStyle="1" w:styleId="172">
    <w:name w:val="脚注文本 Char2"/>
    <w:autoRedefine/>
    <w:semiHidden/>
    <w:qFormat/>
    <w:uiPriority w:val="99"/>
    <w:rPr>
      <w:rFonts w:ascii="Calibri" w:hAnsi="Calibri" w:eastAsia="宋体" w:cs="Times New Roman"/>
      <w:sz w:val="18"/>
      <w:szCs w:val="18"/>
    </w:rPr>
  </w:style>
  <w:style w:type="character" w:customStyle="1" w:styleId="173">
    <w:name w:val="正文文本 2 Char1"/>
    <w:autoRedefine/>
    <w:semiHidden/>
    <w:qFormat/>
    <w:uiPriority w:val="99"/>
    <w:rPr>
      <w:rFonts w:ascii="Calibri" w:hAnsi="Calibri" w:eastAsia="宋体" w:cs="Times New Roman"/>
      <w:szCs w:val="24"/>
    </w:rPr>
  </w:style>
  <w:style w:type="character" w:customStyle="1" w:styleId="174">
    <w:name w:val="_Style 248"/>
    <w:autoRedefine/>
    <w:qFormat/>
    <w:uiPriority w:val="0"/>
    <w:rPr>
      <w:b/>
      <w:bCs/>
      <w:smallCaps/>
      <w:spacing w:val="5"/>
    </w:rPr>
  </w:style>
  <w:style w:type="character" w:customStyle="1" w:styleId="175">
    <w:name w:val="明显引用 Char3"/>
    <w:autoRedefine/>
    <w:qFormat/>
    <w:uiPriority w:val="30"/>
    <w:rPr>
      <w:rFonts w:ascii="Calibri" w:hAnsi="Calibri" w:eastAsia="宋体" w:cs="Times New Roman"/>
      <w:b/>
      <w:bCs/>
      <w:i/>
      <w:iCs/>
      <w:color w:val="4F81BD"/>
      <w:szCs w:val="24"/>
    </w:rPr>
  </w:style>
  <w:style w:type="character" w:customStyle="1" w:styleId="176">
    <w:name w:val="_Style 254"/>
    <w:autoRedefine/>
    <w:qFormat/>
    <w:uiPriority w:val="0"/>
    <w:rPr>
      <w:b/>
      <w:bCs/>
      <w:smallCaps/>
      <w:color w:val="C0504D"/>
      <w:spacing w:val="5"/>
      <w:u w:val="single"/>
    </w:rPr>
  </w:style>
  <w:style w:type="character" w:customStyle="1" w:styleId="177">
    <w:name w:val="正文文本缩进 Char2"/>
    <w:autoRedefine/>
    <w:semiHidden/>
    <w:qFormat/>
    <w:uiPriority w:val="99"/>
    <w:rPr>
      <w:rFonts w:ascii="Calibri" w:hAnsi="Calibri" w:eastAsia="宋体" w:cs="Times New Roman"/>
      <w:szCs w:val="24"/>
    </w:rPr>
  </w:style>
  <w:style w:type="character" w:customStyle="1" w:styleId="178">
    <w:name w:val="标题 4 字符"/>
    <w:link w:val="6"/>
    <w:autoRedefine/>
    <w:qFormat/>
    <w:uiPriority w:val="0"/>
    <w:rPr>
      <w:rFonts w:ascii="宋体" w:hAnsi="宋体" w:eastAsia="宋体" w:cs="宋体"/>
      <w:b/>
      <w:bCs/>
      <w:sz w:val="24"/>
      <w:szCs w:val="24"/>
      <w:lang w:val="en-US" w:eastAsia="zh-CN" w:bidi="ar-SA"/>
    </w:rPr>
  </w:style>
  <w:style w:type="character" w:customStyle="1" w:styleId="179">
    <w:name w:val="正文文本缩进 3 Char"/>
    <w:autoRedefine/>
    <w:qFormat/>
    <w:uiPriority w:val="0"/>
    <w:rPr>
      <w:kern w:val="2"/>
      <w:sz w:val="16"/>
      <w:szCs w:val="16"/>
    </w:rPr>
  </w:style>
  <w:style w:type="character" w:customStyle="1" w:styleId="180">
    <w:name w:val="尾注文本 字符"/>
    <w:link w:val="27"/>
    <w:autoRedefine/>
    <w:qFormat/>
    <w:uiPriority w:val="0"/>
    <w:rPr>
      <w:rFonts w:ascii="Arial" w:hAnsi="Arial" w:eastAsia="宋体" w:cs="Arial"/>
      <w:szCs w:val="24"/>
      <w:lang w:val="en-US" w:eastAsia="en-US" w:bidi="ar-SA"/>
    </w:rPr>
  </w:style>
  <w:style w:type="character" w:customStyle="1" w:styleId="181">
    <w:name w:val="引用 Char3"/>
    <w:autoRedefine/>
    <w:qFormat/>
    <w:uiPriority w:val="29"/>
    <w:rPr>
      <w:rFonts w:ascii="Calibri" w:hAnsi="Calibri" w:eastAsia="宋体" w:cs="Times New Roman"/>
      <w:i/>
      <w:iCs/>
      <w:color w:val="000000"/>
      <w:szCs w:val="24"/>
    </w:rPr>
  </w:style>
  <w:style w:type="character" w:customStyle="1" w:styleId="182">
    <w:name w:val="Char Char32"/>
    <w:autoRedefine/>
    <w:qFormat/>
    <w:uiPriority w:val="0"/>
    <w:rPr>
      <w:rFonts w:ascii="仿宋_GB2312" w:eastAsia="仿宋_GB2312" w:cs="MingLiU"/>
      <w:b/>
      <w:spacing w:val="1"/>
      <w:w w:val="99"/>
      <w:sz w:val="28"/>
      <w:szCs w:val="32"/>
    </w:rPr>
  </w:style>
  <w:style w:type="character" w:customStyle="1" w:styleId="183">
    <w:name w:val="日期 Char"/>
    <w:autoRedefine/>
    <w:qFormat/>
    <w:uiPriority w:val="0"/>
    <w:rPr>
      <w:rFonts w:eastAsia="宋体"/>
      <w:szCs w:val="24"/>
    </w:rPr>
  </w:style>
  <w:style w:type="character" w:customStyle="1" w:styleId="184">
    <w:name w:val="页脚 Char"/>
    <w:autoRedefine/>
    <w:qFormat/>
    <w:uiPriority w:val="0"/>
    <w:rPr>
      <w:sz w:val="18"/>
      <w:szCs w:val="18"/>
    </w:rPr>
  </w:style>
  <w:style w:type="character" w:customStyle="1" w:styleId="185">
    <w:name w:val="style121"/>
    <w:autoRedefine/>
    <w:qFormat/>
    <w:uiPriority w:val="0"/>
    <w:rPr>
      <w:rFonts w:hint="eastAsia" w:ascii="宋体" w:hAnsi="宋体" w:eastAsia="宋体"/>
      <w:sz w:val="18"/>
      <w:szCs w:val="18"/>
    </w:rPr>
  </w:style>
  <w:style w:type="character" w:customStyle="1" w:styleId="186">
    <w:name w:val="ss16"/>
    <w:autoRedefine/>
    <w:qFormat/>
    <w:uiPriority w:val="0"/>
    <w:rPr>
      <w:rFonts w:hint="eastAsia" w:ascii="宋体" w:hAnsi="宋体" w:eastAsia="宋体"/>
      <w:color w:val="000000"/>
      <w:sz w:val="9"/>
      <w:szCs w:val="9"/>
    </w:rPr>
  </w:style>
  <w:style w:type="character" w:customStyle="1" w:styleId="187">
    <w:name w:val="textcontents"/>
    <w:autoRedefine/>
    <w:qFormat/>
    <w:uiPriority w:val="0"/>
    <w:rPr>
      <w:rFonts w:cs="Times New Roman"/>
    </w:rPr>
  </w:style>
  <w:style w:type="character" w:customStyle="1" w:styleId="188">
    <w:name w:val="14t1"/>
    <w:autoRedefine/>
    <w:qFormat/>
    <w:uiPriority w:val="0"/>
    <w:rPr>
      <w:rFonts w:hint="eastAsia" w:ascii="宋体" w:hAnsi="宋体" w:eastAsia="宋体"/>
      <w:sz w:val="11"/>
      <w:szCs w:val="11"/>
    </w:rPr>
  </w:style>
  <w:style w:type="character" w:customStyle="1" w:styleId="189">
    <w:name w:val="不明显参考1"/>
    <w:autoRedefine/>
    <w:qFormat/>
    <w:uiPriority w:val="0"/>
    <w:rPr>
      <w:smallCaps/>
      <w:color w:val="C0504D"/>
      <w:u w:val="single"/>
    </w:rPr>
  </w:style>
  <w:style w:type="character" w:customStyle="1" w:styleId="190">
    <w:name w:val="unnamed1"/>
    <w:basedOn w:val="47"/>
    <w:autoRedefine/>
    <w:qFormat/>
    <w:uiPriority w:val="0"/>
  </w:style>
  <w:style w:type="character" w:customStyle="1" w:styleId="191">
    <w:name w:val="批注主题 Char3"/>
    <w:autoRedefine/>
    <w:semiHidden/>
    <w:qFormat/>
    <w:uiPriority w:val="99"/>
    <w:rPr>
      <w:rFonts w:ascii="Calibri" w:hAnsi="Calibri" w:eastAsia="宋体" w:cs="Times New Roman"/>
      <w:b/>
      <w:bCs/>
      <w:szCs w:val="24"/>
    </w:rPr>
  </w:style>
  <w:style w:type="character" w:customStyle="1" w:styleId="192">
    <w:name w:val="标题 3 字符"/>
    <w:link w:val="5"/>
    <w:autoRedefine/>
    <w:qFormat/>
    <w:uiPriority w:val="0"/>
    <w:rPr>
      <w:rFonts w:eastAsia="宋体"/>
      <w:b/>
      <w:bCs/>
      <w:kern w:val="2"/>
      <w:sz w:val="32"/>
      <w:szCs w:val="32"/>
      <w:lang w:val="en-US" w:eastAsia="zh-CN" w:bidi="ar-SA"/>
    </w:rPr>
  </w:style>
  <w:style w:type="character" w:customStyle="1" w:styleId="193">
    <w:name w:val="标题 2 字符"/>
    <w:link w:val="4"/>
    <w:autoRedefine/>
    <w:qFormat/>
    <w:uiPriority w:val="0"/>
    <w:rPr>
      <w:rFonts w:ascii="Cambria" w:hAnsi="Cambria" w:eastAsia="宋体"/>
      <w:b/>
      <w:bCs/>
      <w:kern w:val="2"/>
      <w:sz w:val="32"/>
      <w:szCs w:val="32"/>
      <w:lang w:val="en-US" w:eastAsia="zh-CN" w:bidi="ar-SA"/>
    </w:rPr>
  </w:style>
  <w:style w:type="character" w:customStyle="1" w:styleId="194">
    <w:name w:val="标题 6 字符"/>
    <w:link w:val="8"/>
    <w:autoRedefine/>
    <w:qFormat/>
    <w:uiPriority w:val="0"/>
    <w:rPr>
      <w:rFonts w:hAnsi="Arial" w:eastAsia="仿宋_GB2312"/>
      <w:sz w:val="30"/>
      <w:lang w:val="en-US" w:eastAsia="zh-CN" w:bidi="ar-SA"/>
    </w:rPr>
  </w:style>
  <w:style w:type="character" w:customStyle="1" w:styleId="195">
    <w:name w:val="页脚 字符"/>
    <w:link w:val="29"/>
    <w:autoRedefine/>
    <w:qFormat/>
    <w:uiPriority w:val="0"/>
    <w:rPr>
      <w:rFonts w:eastAsia="宋体"/>
      <w:kern w:val="2"/>
      <w:sz w:val="18"/>
      <w:szCs w:val="18"/>
      <w:lang w:val="en-US" w:eastAsia="zh-CN" w:bidi="ar-SA"/>
    </w:rPr>
  </w:style>
  <w:style w:type="character" w:customStyle="1" w:styleId="196">
    <w:name w:val="引用 Char4"/>
    <w:link w:val="101"/>
    <w:autoRedefine/>
    <w:qFormat/>
    <w:uiPriority w:val="0"/>
    <w:rPr>
      <w:i/>
      <w:iCs/>
      <w:color w:val="000000"/>
      <w:kern w:val="2"/>
      <w:sz w:val="21"/>
      <w:szCs w:val="22"/>
      <w:lang w:bidi="ar-SA"/>
    </w:rPr>
  </w:style>
  <w:style w:type="character" w:customStyle="1" w:styleId="197">
    <w:name w:val="标题 9 字符"/>
    <w:link w:val="12"/>
    <w:autoRedefine/>
    <w:qFormat/>
    <w:uiPriority w:val="0"/>
    <w:rPr>
      <w:rFonts w:eastAsia="仿宋_GB2312"/>
      <w:sz w:val="30"/>
      <w:lang w:val="en-US" w:eastAsia="zh-CN" w:bidi="ar-SA"/>
    </w:rPr>
  </w:style>
  <w:style w:type="character" w:customStyle="1" w:styleId="198">
    <w:name w:val="标题 3 Char"/>
    <w:autoRedefine/>
    <w:qFormat/>
    <w:uiPriority w:val="0"/>
    <w:rPr>
      <w:rFonts w:ascii="仿宋_GB2312" w:hAnsi="Calibri" w:eastAsia="仿宋_GB2312" w:cs="Times New Roman"/>
      <w:b/>
      <w:kern w:val="0"/>
      <w:sz w:val="24"/>
      <w:szCs w:val="28"/>
    </w:rPr>
  </w:style>
  <w:style w:type="character" w:customStyle="1" w:styleId="199">
    <w:name w:val="批注文字 Char2"/>
    <w:autoRedefine/>
    <w:qFormat/>
    <w:uiPriority w:val="0"/>
    <w:rPr>
      <w:rFonts w:ascii="Calibri" w:hAnsi="Calibri" w:eastAsia="宋体" w:cs="Times New Roman"/>
      <w:szCs w:val="24"/>
    </w:rPr>
  </w:style>
  <w:style w:type="character" w:customStyle="1" w:styleId="200">
    <w:name w:val="normaltext1"/>
    <w:autoRedefine/>
    <w:qFormat/>
    <w:uiPriority w:val="0"/>
    <w:rPr>
      <w:rFonts w:hint="default" w:ascii="ˎ̥" w:hAnsi="ˎ̥"/>
      <w:sz w:val="9"/>
      <w:szCs w:val="9"/>
    </w:rPr>
  </w:style>
  <w:style w:type="character" w:customStyle="1" w:styleId="201">
    <w:name w:val="ca-141"/>
    <w:autoRedefine/>
    <w:qFormat/>
    <w:uiPriority w:val="0"/>
    <w:rPr>
      <w:rFonts w:hint="eastAsia" w:ascii="仿宋_GB2312" w:eastAsia="仿宋_GB2312"/>
      <w:sz w:val="21"/>
      <w:szCs w:val="21"/>
    </w:rPr>
  </w:style>
  <w:style w:type="character" w:customStyle="1" w:styleId="202">
    <w:name w:val="main_tdbg_7601"/>
    <w:autoRedefine/>
    <w:qFormat/>
    <w:uiPriority w:val="0"/>
    <w:rPr>
      <w:sz w:val="14"/>
      <w:szCs w:val="14"/>
    </w:rPr>
  </w:style>
  <w:style w:type="character" w:customStyle="1" w:styleId="203">
    <w:name w:val="文档结构图 字符"/>
    <w:link w:val="15"/>
    <w:autoRedefine/>
    <w:qFormat/>
    <w:uiPriority w:val="0"/>
    <w:rPr>
      <w:rFonts w:eastAsia="宋体"/>
      <w:kern w:val="2"/>
      <w:sz w:val="21"/>
      <w:szCs w:val="24"/>
      <w:lang w:val="en-US" w:eastAsia="zh-CN" w:bidi="ar-SA"/>
    </w:rPr>
  </w:style>
  <w:style w:type="character" w:customStyle="1" w:styleId="204">
    <w:name w:val="批注框文本 Char3"/>
    <w:autoRedefine/>
    <w:semiHidden/>
    <w:qFormat/>
    <w:uiPriority w:val="99"/>
    <w:rPr>
      <w:rFonts w:ascii="Calibri" w:hAnsi="Calibri" w:eastAsia="宋体" w:cs="Times New Roman"/>
      <w:sz w:val="18"/>
      <w:szCs w:val="18"/>
    </w:rPr>
  </w:style>
  <w:style w:type="character" w:customStyle="1" w:styleId="205">
    <w:name w:val="Char Char9"/>
    <w:autoRedefine/>
    <w:qFormat/>
    <w:locked/>
    <w:uiPriority w:val="0"/>
    <w:rPr>
      <w:rFonts w:ascii="仿宋_GB2312" w:eastAsia="仿宋_GB2312" w:cs="MingLiU"/>
      <w:b/>
      <w:sz w:val="24"/>
      <w:szCs w:val="28"/>
      <w:lang w:val="en-US" w:eastAsia="zh-CN" w:bidi="ar-SA"/>
    </w:rPr>
  </w:style>
  <w:style w:type="character" w:customStyle="1" w:styleId="206">
    <w:name w:val="title11"/>
    <w:autoRedefine/>
    <w:qFormat/>
    <w:uiPriority w:val="0"/>
    <w:rPr>
      <w:b/>
      <w:bCs/>
      <w:color w:val="FFFFFF"/>
      <w:sz w:val="11"/>
      <w:szCs w:val="11"/>
    </w:rPr>
  </w:style>
  <w:style w:type="character" w:customStyle="1" w:styleId="207">
    <w:name w:val="批注框文本 字符"/>
    <w:link w:val="28"/>
    <w:autoRedefine/>
    <w:qFormat/>
    <w:uiPriority w:val="0"/>
    <w:rPr>
      <w:rFonts w:eastAsia="宋体"/>
      <w:kern w:val="2"/>
      <w:sz w:val="18"/>
      <w:szCs w:val="18"/>
      <w:lang w:val="en-US" w:eastAsia="zh-CN" w:bidi="ar-SA"/>
    </w:rPr>
  </w:style>
  <w:style w:type="character" w:customStyle="1" w:styleId="208">
    <w:name w:val="标题 8 Char1"/>
    <w:autoRedefine/>
    <w:qFormat/>
    <w:uiPriority w:val="0"/>
    <w:rPr>
      <w:rFonts w:ascii="Times New Roman" w:hAnsi="Arial" w:eastAsia="仿宋_GB2312" w:cs="Times New Roman"/>
      <w:sz w:val="30"/>
      <w:szCs w:val="20"/>
    </w:rPr>
  </w:style>
  <w:style w:type="character" w:customStyle="1" w:styleId="209">
    <w:name w:val="标题 Char2"/>
    <w:autoRedefine/>
    <w:qFormat/>
    <w:uiPriority w:val="10"/>
    <w:rPr>
      <w:rFonts w:ascii="Cambria" w:hAnsi="Cambria" w:eastAsia="宋体" w:cs="Times New Roman"/>
      <w:b/>
      <w:bCs/>
      <w:sz w:val="32"/>
      <w:szCs w:val="32"/>
    </w:rPr>
  </w:style>
  <w:style w:type="character" w:customStyle="1" w:styleId="210">
    <w:name w:val="标题 字符"/>
    <w:link w:val="43"/>
    <w:autoRedefine/>
    <w:qFormat/>
    <w:uiPriority w:val="0"/>
    <w:rPr>
      <w:rFonts w:eastAsia="宋体"/>
      <w:szCs w:val="24"/>
      <w:u w:val="single"/>
      <w:lang w:val="en-US" w:eastAsia="en-US" w:bidi="ar-SA"/>
    </w:rPr>
  </w:style>
  <w:style w:type="character" w:customStyle="1" w:styleId="211">
    <w:name w:val="批注主题 Char1"/>
    <w:autoRedefine/>
    <w:qFormat/>
    <w:uiPriority w:val="0"/>
    <w:rPr>
      <w:b/>
      <w:bCs/>
      <w:kern w:val="2"/>
      <w:sz w:val="21"/>
      <w:szCs w:val="22"/>
    </w:rPr>
  </w:style>
  <w:style w:type="character" w:customStyle="1" w:styleId="212">
    <w:name w:val="副标题 Char"/>
    <w:autoRedefine/>
    <w:qFormat/>
    <w:uiPriority w:val="0"/>
    <w:rPr>
      <w:rFonts w:ascii="Cambria" w:hAnsi="Cambria" w:eastAsia="宋体" w:cs="Times New Roman"/>
      <w:b/>
      <w:bCs/>
      <w:kern w:val="28"/>
      <w:sz w:val="32"/>
      <w:szCs w:val="32"/>
    </w:rPr>
  </w:style>
  <w:style w:type="character" w:customStyle="1" w:styleId="213">
    <w:name w:val="正文文本 字符"/>
    <w:link w:val="2"/>
    <w:autoRedefine/>
    <w:qFormat/>
    <w:uiPriority w:val="0"/>
    <w:rPr>
      <w:rFonts w:eastAsia="宋体"/>
      <w:kern w:val="2"/>
      <w:sz w:val="21"/>
      <w:szCs w:val="24"/>
      <w:lang w:val="en-US" w:eastAsia="zh-CN" w:bidi="ar-SA"/>
    </w:rPr>
  </w:style>
  <w:style w:type="character" w:customStyle="1" w:styleId="214">
    <w:name w:val="纯文本 Char1"/>
    <w:autoRedefine/>
    <w:qFormat/>
    <w:uiPriority w:val="0"/>
    <w:rPr>
      <w:rFonts w:ascii="宋体" w:hAnsi="Courier New" w:cs="Courier New"/>
      <w:kern w:val="2"/>
      <w:sz w:val="21"/>
      <w:szCs w:val="21"/>
    </w:rPr>
  </w:style>
  <w:style w:type="character" w:customStyle="1" w:styleId="215">
    <w:name w:val="脚注文本 字符"/>
    <w:link w:val="34"/>
    <w:autoRedefine/>
    <w:qFormat/>
    <w:uiPriority w:val="0"/>
    <w:rPr>
      <w:rFonts w:ascii="Arial" w:hAnsi="Arial" w:eastAsia="宋体" w:cs="Arial"/>
      <w:sz w:val="18"/>
      <w:szCs w:val="18"/>
      <w:lang w:val="en-US" w:eastAsia="en-US" w:bidi="ar-SA"/>
    </w:rPr>
  </w:style>
  <w:style w:type="character" w:customStyle="1" w:styleId="216">
    <w:name w:val="标题 2 Char1"/>
    <w:autoRedefine/>
    <w:qFormat/>
    <w:uiPriority w:val="0"/>
    <w:rPr>
      <w:rFonts w:ascii="Cambria" w:hAnsi="Cambria" w:eastAsia="宋体" w:cs="Times New Roman"/>
      <w:b/>
      <w:bCs/>
      <w:kern w:val="2"/>
      <w:sz w:val="32"/>
      <w:szCs w:val="32"/>
    </w:rPr>
  </w:style>
  <w:style w:type="character" w:customStyle="1" w:styleId="217">
    <w:name w:val="脚注文本 Char1"/>
    <w:autoRedefine/>
    <w:qFormat/>
    <w:uiPriority w:val="0"/>
    <w:rPr>
      <w:rFonts w:ascii="Arial" w:hAnsi="Arial" w:cs="Arial"/>
      <w:sz w:val="18"/>
      <w:szCs w:val="18"/>
      <w:lang w:eastAsia="en-US"/>
    </w:rPr>
  </w:style>
  <w:style w:type="character" w:customStyle="1" w:styleId="218">
    <w:name w:val="HTML 预设格式 Char2"/>
    <w:autoRedefine/>
    <w:semiHidden/>
    <w:qFormat/>
    <w:uiPriority w:val="99"/>
    <w:rPr>
      <w:rFonts w:ascii="Courier New" w:hAnsi="Courier New" w:eastAsia="宋体" w:cs="Courier New"/>
      <w:sz w:val="20"/>
      <w:szCs w:val="20"/>
    </w:rPr>
  </w:style>
  <w:style w:type="character" w:customStyle="1" w:styleId="219">
    <w:name w:val="标题 8 Char"/>
    <w:autoRedefine/>
    <w:qFormat/>
    <w:uiPriority w:val="0"/>
    <w:rPr>
      <w:rFonts w:ascii="Arial" w:hAnsi="Arial" w:eastAsia="黑体" w:cs="Times New Roman"/>
      <w:sz w:val="24"/>
      <w:szCs w:val="24"/>
    </w:rPr>
  </w:style>
  <w:style w:type="character" w:customStyle="1" w:styleId="220">
    <w:name w:val="s3"/>
    <w:autoRedefine/>
    <w:qFormat/>
    <w:uiPriority w:val="0"/>
  </w:style>
  <w:style w:type="character" w:customStyle="1" w:styleId="221">
    <w:name w:val="标题 4 Char"/>
    <w:autoRedefine/>
    <w:qFormat/>
    <w:uiPriority w:val="0"/>
    <w:rPr>
      <w:rFonts w:ascii="仿宋_GB2312" w:hAnsi="Calibri" w:eastAsia="仿宋_GB2312" w:cs="Times New Roman"/>
      <w:b/>
      <w:kern w:val="0"/>
      <w:sz w:val="24"/>
      <w:szCs w:val="28"/>
    </w:rPr>
  </w:style>
  <w:style w:type="character" w:customStyle="1" w:styleId="222">
    <w:name w:val="正文文本缩进 2 Char"/>
    <w:autoRedefine/>
    <w:qFormat/>
    <w:uiPriority w:val="0"/>
    <w:rPr>
      <w:kern w:val="2"/>
      <w:sz w:val="21"/>
      <w:szCs w:val="24"/>
    </w:rPr>
  </w:style>
  <w:style w:type="character" w:customStyle="1" w:styleId="223">
    <w:name w:val="style21"/>
    <w:autoRedefine/>
    <w:qFormat/>
    <w:uiPriority w:val="0"/>
    <w:rPr>
      <w:b/>
      <w:bCs/>
      <w:sz w:val="28"/>
      <w:szCs w:val="28"/>
    </w:rPr>
  </w:style>
  <w:style w:type="character" w:customStyle="1" w:styleId="224">
    <w:name w:val="正文文本缩进 2 Char2"/>
    <w:autoRedefine/>
    <w:semiHidden/>
    <w:qFormat/>
    <w:uiPriority w:val="99"/>
    <w:rPr>
      <w:rFonts w:ascii="Calibri" w:hAnsi="Calibri" w:eastAsia="宋体" w:cs="Times New Roman"/>
      <w:szCs w:val="24"/>
    </w:rPr>
  </w:style>
  <w:style w:type="character" w:customStyle="1" w:styleId="225">
    <w:name w:val="ht1"/>
    <w:autoRedefine/>
    <w:qFormat/>
    <w:uiPriority w:val="0"/>
    <w:rPr>
      <w:rFonts w:ascii="黑体" w:eastAsia="黑体"/>
      <w:b/>
      <w:bCs/>
    </w:rPr>
  </w:style>
  <w:style w:type="character" w:customStyle="1" w:styleId="226">
    <w:name w:val="文档结构图 Char3"/>
    <w:autoRedefine/>
    <w:semiHidden/>
    <w:qFormat/>
    <w:uiPriority w:val="99"/>
    <w:rPr>
      <w:rFonts w:ascii="宋体" w:hAnsi="Calibri" w:eastAsia="宋体" w:cs="Times New Roman"/>
      <w:sz w:val="18"/>
      <w:szCs w:val="18"/>
    </w:rPr>
  </w:style>
  <w:style w:type="character" w:customStyle="1" w:styleId="227">
    <w:name w:val="书籍标题1"/>
    <w:autoRedefine/>
    <w:qFormat/>
    <w:uiPriority w:val="0"/>
    <w:rPr>
      <w:b/>
      <w:bCs/>
      <w:smallCaps/>
      <w:spacing w:val="5"/>
    </w:rPr>
  </w:style>
  <w:style w:type="character" w:customStyle="1" w:styleId="228">
    <w:name w:val="标题 7 Char1"/>
    <w:autoRedefine/>
    <w:qFormat/>
    <w:uiPriority w:val="0"/>
    <w:rPr>
      <w:rFonts w:ascii="Times New Roman" w:hAnsi="Times New Roman" w:eastAsia="仿宋_GB2312" w:cs="Times New Roman"/>
      <w:sz w:val="30"/>
      <w:szCs w:val="20"/>
    </w:rPr>
  </w:style>
  <w:style w:type="character" w:customStyle="1" w:styleId="229">
    <w:name w:val="明显引用 Char2"/>
    <w:autoRedefine/>
    <w:qFormat/>
    <w:uiPriority w:val="99"/>
    <w:rPr>
      <w:b/>
      <w:bCs/>
      <w:i/>
      <w:iCs/>
      <w:color w:val="4F81BD"/>
      <w:kern w:val="2"/>
      <w:sz w:val="21"/>
      <w:szCs w:val="24"/>
    </w:rPr>
  </w:style>
  <w:style w:type="character" w:customStyle="1" w:styleId="230">
    <w:name w:val="不明显强调1"/>
    <w:autoRedefine/>
    <w:qFormat/>
    <w:uiPriority w:val="0"/>
    <w:rPr>
      <w:i/>
      <w:iCs/>
      <w:color w:val="808080"/>
    </w:rPr>
  </w:style>
  <w:style w:type="character" w:customStyle="1" w:styleId="231">
    <w:name w:val="普通文字 Char Char2"/>
    <w:autoRedefine/>
    <w:qFormat/>
    <w:uiPriority w:val="0"/>
    <w:rPr>
      <w:rFonts w:ascii="宋体" w:hAnsi="Courier New"/>
      <w:kern w:val="2"/>
      <w:sz w:val="28"/>
      <w:szCs w:val="28"/>
    </w:rPr>
  </w:style>
  <w:style w:type="character" w:customStyle="1" w:styleId="232">
    <w:name w:val="标题 6 Char"/>
    <w:autoRedefine/>
    <w:qFormat/>
    <w:uiPriority w:val="0"/>
    <w:rPr>
      <w:rFonts w:ascii="Arial" w:hAnsi="Arial" w:eastAsia="黑体" w:cs="Times New Roman"/>
      <w:b/>
      <w:bCs/>
      <w:sz w:val="24"/>
      <w:szCs w:val="24"/>
    </w:rPr>
  </w:style>
  <w:style w:type="character" w:customStyle="1" w:styleId="233">
    <w:name w:val="l1"/>
    <w:basedOn w:val="47"/>
    <w:autoRedefine/>
    <w:qFormat/>
    <w:uiPriority w:val="0"/>
  </w:style>
  <w:style w:type="character" w:customStyle="1" w:styleId="234">
    <w:name w:val="未处理的提及1"/>
    <w:autoRedefine/>
    <w:unhideWhenUsed/>
    <w:qFormat/>
    <w:uiPriority w:val="99"/>
    <w:rPr>
      <w:color w:val="808080"/>
      <w:shd w:val="clear" w:color="auto" w:fill="E6E6E6"/>
    </w:rPr>
  </w:style>
  <w:style w:type="character" w:customStyle="1" w:styleId="235">
    <w:name w:val="页眉 字符"/>
    <w:link w:val="30"/>
    <w:autoRedefine/>
    <w:qFormat/>
    <w:uiPriority w:val="0"/>
    <w:rPr>
      <w:rFonts w:eastAsia="宋体"/>
      <w:kern w:val="2"/>
      <w:sz w:val="18"/>
      <w:szCs w:val="18"/>
      <w:lang w:val="en-US" w:eastAsia="zh-CN" w:bidi="ar-SA"/>
    </w:rPr>
  </w:style>
  <w:style w:type="character" w:customStyle="1" w:styleId="236">
    <w:name w:val="Char Char35"/>
    <w:autoRedefine/>
    <w:qFormat/>
    <w:uiPriority w:val="0"/>
    <w:rPr>
      <w:rFonts w:ascii="仿宋_GB2312" w:eastAsia="仿宋_GB2312" w:cs="MingLiU"/>
      <w:b/>
      <w:sz w:val="24"/>
      <w:szCs w:val="28"/>
    </w:rPr>
  </w:style>
  <w:style w:type="character" w:customStyle="1" w:styleId="237">
    <w:name w:val="Char Char11"/>
    <w:autoRedefine/>
    <w:qFormat/>
    <w:locked/>
    <w:uiPriority w:val="0"/>
    <w:rPr>
      <w:rFonts w:eastAsia="黑体"/>
      <w:kern w:val="2"/>
      <w:sz w:val="44"/>
      <w:szCs w:val="44"/>
      <w:lang w:val="en-US" w:eastAsia="zh-CN" w:bidi="ar-SA"/>
    </w:rPr>
  </w:style>
  <w:style w:type="character" w:customStyle="1" w:styleId="238">
    <w:name w:val="style31"/>
    <w:autoRedefine/>
    <w:qFormat/>
    <w:uiPriority w:val="0"/>
    <w:rPr>
      <w:sz w:val="10"/>
      <w:szCs w:val="10"/>
    </w:rPr>
  </w:style>
  <w:style w:type="character" w:customStyle="1" w:styleId="239">
    <w:name w:val="0d1471"/>
    <w:autoRedefine/>
    <w:qFormat/>
    <w:uiPriority w:val="0"/>
    <w:rPr>
      <w:color w:val="000000"/>
      <w:sz w:val="11"/>
      <w:szCs w:val="11"/>
      <w:u w:val="none"/>
    </w:rPr>
  </w:style>
  <w:style w:type="character" w:customStyle="1" w:styleId="240">
    <w:name w:val="标题 9 Char"/>
    <w:autoRedefine/>
    <w:qFormat/>
    <w:uiPriority w:val="0"/>
    <w:rPr>
      <w:rFonts w:ascii="Arial" w:hAnsi="Arial" w:eastAsia="黑体" w:cs="Times New Roman"/>
      <w:szCs w:val="21"/>
    </w:rPr>
  </w:style>
  <w:style w:type="character" w:customStyle="1" w:styleId="241">
    <w:name w:val="标题 3 Char1"/>
    <w:autoRedefine/>
    <w:qFormat/>
    <w:uiPriority w:val="0"/>
    <w:rPr>
      <w:rFonts w:ascii="Times New Roman" w:hAnsi="Times New Roman" w:eastAsia="宋体" w:cs="Times New Roman"/>
      <w:b/>
      <w:bCs/>
      <w:kern w:val="2"/>
      <w:sz w:val="32"/>
      <w:szCs w:val="32"/>
    </w:rPr>
  </w:style>
  <w:style w:type="character" w:customStyle="1" w:styleId="242">
    <w:name w:val="标题4 Char Char"/>
    <w:link w:val="86"/>
    <w:autoRedefine/>
    <w:qFormat/>
    <w:uiPriority w:val="0"/>
    <w:rPr>
      <w:rFonts w:ascii="Arial" w:hAnsi="Arial"/>
      <w:b/>
      <w:bCs/>
      <w:sz w:val="24"/>
      <w:szCs w:val="32"/>
      <w:lang w:bidi="ar-SA"/>
    </w:rPr>
  </w:style>
  <w:style w:type="character" w:customStyle="1" w:styleId="243">
    <w:name w:val="标题 5 Char1"/>
    <w:autoRedefine/>
    <w:qFormat/>
    <w:uiPriority w:val="0"/>
    <w:rPr>
      <w:rFonts w:ascii="宋体" w:hAnsi="宋体" w:eastAsia="宋体" w:cs="宋体"/>
      <w:b/>
      <w:bCs/>
      <w:sz w:val="20"/>
      <w:szCs w:val="20"/>
    </w:rPr>
  </w:style>
  <w:style w:type="character" w:customStyle="1" w:styleId="244">
    <w:name w:val="正文文本缩进 3 Char1"/>
    <w:qFormat/>
    <w:uiPriority w:val="0"/>
    <w:rPr>
      <w:rFonts w:ascii="宋体" w:hAnsi="宋体"/>
      <w:kern w:val="2"/>
      <w:sz w:val="28"/>
      <w:szCs w:val="28"/>
    </w:rPr>
  </w:style>
  <w:style w:type="character" w:customStyle="1" w:styleId="245">
    <w:name w:val="Char Char33"/>
    <w:autoRedefine/>
    <w:qFormat/>
    <w:uiPriority w:val="0"/>
    <w:rPr>
      <w:rFonts w:ascii="仿宋_GB2312" w:eastAsia="仿宋_GB2312" w:cs="MingLiU"/>
      <w:b/>
      <w:sz w:val="24"/>
      <w:szCs w:val="28"/>
    </w:rPr>
  </w:style>
  <w:style w:type="character" w:customStyle="1" w:styleId="246">
    <w:name w:val="批注文字 Char1"/>
    <w:autoRedefine/>
    <w:qFormat/>
    <w:uiPriority w:val="99"/>
    <w:rPr>
      <w:rFonts w:ascii="Times New Roman" w:hAnsi="Times New Roman" w:eastAsia="宋体" w:cs="Times New Roman"/>
      <w:szCs w:val="24"/>
    </w:rPr>
  </w:style>
  <w:style w:type="character" w:customStyle="1" w:styleId="247">
    <w:name w:val="正文文本 3 Char1"/>
    <w:qFormat/>
    <w:uiPriority w:val="0"/>
    <w:rPr>
      <w:kern w:val="2"/>
      <w:sz w:val="16"/>
      <w:szCs w:val="16"/>
    </w:rPr>
  </w:style>
  <w:style w:type="character" w:customStyle="1" w:styleId="248">
    <w:name w:val="页眉 Char"/>
    <w:autoRedefine/>
    <w:qFormat/>
    <w:uiPriority w:val="0"/>
    <w:rPr>
      <w:sz w:val="18"/>
      <w:szCs w:val="18"/>
    </w:rPr>
  </w:style>
  <w:style w:type="character" w:customStyle="1" w:styleId="249">
    <w:name w:val="明显引用 Char"/>
    <w:qFormat/>
    <w:uiPriority w:val="0"/>
    <w:rPr>
      <w:rFonts w:ascii="Times New Roman" w:hAnsi="Times New Roman" w:eastAsia="宋体" w:cs="Times New Roman"/>
      <w:b/>
      <w:bCs/>
      <w:i/>
      <w:iCs/>
      <w:color w:val="4F81BD"/>
      <w:kern w:val="2"/>
      <w:sz w:val="21"/>
      <w:szCs w:val="24"/>
    </w:rPr>
  </w:style>
  <w:style w:type="character" w:customStyle="1" w:styleId="250">
    <w:name w:val="color_red1"/>
    <w:autoRedefine/>
    <w:qFormat/>
    <w:uiPriority w:val="0"/>
    <w:rPr>
      <w:color w:val="FA0004"/>
    </w:rPr>
  </w:style>
  <w:style w:type="character" w:customStyle="1" w:styleId="251">
    <w:name w:val="批注主题 Char2"/>
    <w:autoRedefine/>
    <w:qFormat/>
    <w:uiPriority w:val="99"/>
    <w:rPr>
      <w:b/>
      <w:bCs/>
      <w:kern w:val="2"/>
      <w:sz w:val="21"/>
      <w:szCs w:val="24"/>
    </w:rPr>
  </w:style>
  <w:style w:type="character" w:customStyle="1" w:styleId="252">
    <w:name w:val="Char Char34"/>
    <w:autoRedefine/>
    <w:qFormat/>
    <w:uiPriority w:val="0"/>
    <w:rPr>
      <w:rFonts w:ascii="仿宋_GB2312" w:eastAsia="仿宋_GB2312" w:cs="MingLiU"/>
      <w:b/>
      <w:spacing w:val="1"/>
      <w:w w:val="99"/>
      <w:sz w:val="28"/>
      <w:szCs w:val="32"/>
    </w:rPr>
  </w:style>
  <w:style w:type="character" w:customStyle="1" w:styleId="253">
    <w:name w:val="标题 1 Char"/>
    <w:autoRedefine/>
    <w:qFormat/>
    <w:uiPriority w:val="0"/>
    <w:rPr>
      <w:rFonts w:ascii="Times New Roman" w:hAnsi="Times New Roman" w:eastAsia="宋体" w:cs="Times New Roman"/>
      <w:b/>
      <w:bCs/>
      <w:kern w:val="44"/>
      <w:sz w:val="44"/>
      <w:szCs w:val="44"/>
    </w:rPr>
  </w:style>
  <w:style w:type="character" w:customStyle="1" w:styleId="254">
    <w:name w:val="docpro"/>
    <w:basedOn w:val="47"/>
    <w:qFormat/>
    <w:uiPriority w:val="0"/>
  </w:style>
  <w:style w:type="character" w:customStyle="1" w:styleId="255">
    <w:name w:val="正文文本 3 Char"/>
    <w:autoRedefine/>
    <w:qFormat/>
    <w:uiPriority w:val="0"/>
    <w:rPr>
      <w:kern w:val="2"/>
      <w:sz w:val="16"/>
      <w:szCs w:val="16"/>
    </w:rPr>
  </w:style>
  <w:style w:type="character" w:customStyle="1" w:styleId="256">
    <w:name w:val="标题 5 Char"/>
    <w:autoRedefine/>
    <w:qFormat/>
    <w:uiPriority w:val="0"/>
    <w:rPr>
      <w:rFonts w:ascii="Calibri" w:hAnsi="Calibri" w:eastAsia="宋体" w:cs="Times New Roman"/>
      <w:b/>
      <w:bCs/>
      <w:sz w:val="28"/>
      <w:szCs w:val="28"/>
    </w:rPr>
  </w:style>
  <w:style w:type="character" w:customStyle="1" w:styleId="257">
    <w:name w:val="style161"/>
    <w:autoRedefine/>
    <w:qFormat/>
    <w:uiPriority w:val="0"/>
    <w:rPr>
      <w:b/>
      <w:bCs/>
      <w:color w:val="333333"/>
    </w:rPr>
  </w:style>
  <w:style w:type="character" w:customStyle="1" w:styleId="258">
    <w:name w:val="文档结构图 Char2"/>
    <w:autoRedefine/>
    <w:qFormat/>
    <w:uiPriority w:val="99"/>
    <w:rPr>
      <w:kern w:val="2"/>
      <w:sz w:val="21"/>
      <w:szCs w:val="24"/>
      <w:shd w:val="clear" w:color="auto" w:fill="000080"/>
    </w:rPr>
  </w:style>
  <w:style w:type="character" w:customStyle="1" w:styleId="259">
    <w:name w:val="页脚 Char1"/>
    <w:semiHidden/>
    <w:qFormat/>
    <w:uiPriority w:val="99"/>
    <w:rPr>
      <w:kern w:val="2"/>
      <w:sz w:val="18"/>
      <w:szCs w:val="18"/>
    </w:rPr>
  </w:style>
  <w:style w:type="character" w:customStyle="1" w:styleId="260">
    <w:name w:val="日期 Char2"/>
    <w:autoRedefine/>
    <w:qFormat/>
    <w:uiPriority w:val="99"/>
    <w:rPr>
      <w:kern w:val="2"/>
      <w:sz w:val="21"/>
      <w:szCs w:val="24"/>
    </w:rPr>
  </w:style>
  <w:style w:type="character" w:customStyle="1" w:styleId="261">
    <w:name w:val="HTML 预设格式 Char"/>
    <w:autoRedefine/>
    <w:qFormat/>
    <w:uiPriority w:val="0"/>
    <w:rPr>
      <w:rFonts w:ascii="宋体" w:hAnsi="宋体" w:eastAsia="宋体" w:cs="宋体"/>
      <w:color w:val="000000"/>
      <w:sz w:val="24"/>
      <w:szCs w:val="24"/>
    </w:rPr>
  </w:style>
  <w:style w:type="character" w:customStyle="1" w:styleId="262">
    <w:name w:val="批注主题 字符"/>
    <w:link w:val="44"/>
    <w:autoRedefine/>
    <w:qFormat/>
    <w:uiPriority w:val="0"/>
    <w:rPr>
      <w:rFonts w:eastAsia="宋体"/>
      <w:b/>
      <w:bCs/>
      <w:kern w:val="2"/>
      <w:sz w:val="21"/>
      <w:szCs w:val="24"/>
      <w:lang w:val="en-US" w:eastAsia="zh-CN" w:bidi="ar-SA"/>
    </w:rPr>
  </w:style>
  <w:style w:type="character" w:customStyle="1" w:styleId="263">
    <w:name w:val="正文文本 2 字符"/>
    <w:link w:val="39"/>
    <w:autoRedefine/>
    <w:qFormat/>
    <w:uiPriority w:val="0"/>
    <w:rPr>
      <w:i/>
      <w:iCs/>
      <w:kern w:val="2"/>
      <w:sz w:val="26"/>
      <w:szCs w:val="24"/>
    </w:rPr>
  </w:style>
  <w:style w:type="character" w:customStyle="1" w:styleId="264">
    <w:name w:val="批注框文本 Char"/>
    <w:qFormat/>
    <w:uiPriority w:val="0"/>
    <w:rPr>
      <w:sz w:val="18"/>
      <w:szCs w:val="18"/>
    </w:rPr>
  </w:style>
  <w:style w:type="character" w:customStyle="1" w:styleId="265">
    <w:name w:val="文档结构图 Char"/>
    <w:autoRedefine/>
    <w:qFormat/>
    <w:uiPriority w:val="0"/>
    <w:rPr>
      <w:rFonts w:ascii="宋体"/>
      <w:kern w:val="2"/>
      <w:sz w:val="18"/>
      <w:szCs w:val="18"/>
    </w:rPr>
  </w:style>
  <w:style w:type="character" w:customStyle="1" w:styleId="266">
    <w:name w:val="标题 8 字符"/>
    <w:link w:val="11"/>
    <w:autoRedefine/>
    <w:qFormat/>
    <w:uiPriority w:val="0"/>
    <w:rPr>
      <w:rFonts w:hAnsi="Arial" w:eastAsia="仿宋_GB2312"/>
      <w:sz w:val="30"/>
      <w:lang w:val="en-US" w:eastAsia="zh-CN" w:bidi="ar-SA"/>
    </w:rPr>
  </w:style>
  <w:style w:type="character" w:customStyle="1" w:styleId="267">
    <w:name w:val="正文文本缩进 3 字符"/>
    <w:link w:val="36"/>
    <w:autoRedefine/>
    <w:qFormat/>
    <w:uiPriority w:val="0"/>
    <w:rPr>
      <w:rFonts w:ascii="宋体" w:hAnsi="宋体" w:eastAsia="宋体"/>
      <w:kern w:val="2"/>
      <w:sz w:val="28"/>
      <w:szCs w:val="28"/>
      <w:lang w:val="en-US" w:eastAsia="zh-CN" w:bidi="ar-SA"/>
    </w:rPr>
  </w:style>
  <w:style w:type="character" w:customStyle="1" w:styleId="268">
    <w:name w:val="正文文本缩进 字符"/>
    <w:link w:val="18"/>
    <w:autoRedefine/>
    <w:qFormat/>
    <w:uiPriority w:val="0"/>
    <w:rPr>
      <w:rFonts w:eastAsia="宋体"/>
      <w:kern w:val="2"/>
      <w:sz w:val="21"/>
      <w:szCs w:val="24"/>
      <w:lang w:val="en-US" w:eastAsia="zh-CN" w:bidi="ar-SA"/>
    </w:rPr>
  </w:style>
  <w:style w:type="character" w:customStyle="1" w:styleId="269">
    <w:name w:val="_Style 196"/>
    <w:qFormat/>
    <w:uiPriority w:val="0"/>
    <w:rPr>
      <w:i/>
      <w:iCs/>
      <w:color w:val="808080"/>
    </w:rPr>
  </w:style>
  <w:style w:type="character" w:customStyle="1" w:styleId="270">
    <w:name w:val="正文文本缩进 2 字符"/>
    <w:link w:val="26"/>
    <w:autoRedefine/>
    <w:qFormat/>
    <w:uiPriority w:val="0"/>
    <w:rPr>
      <w:rFonts w:eastAsia="宋体"/>
      <w:sz w:val="28"/>
      <w:szCs w:val="24"/>
      <w:lang w:val="en-US" w:eastAsia="zh-CN" w:bidi="ar-SA"/>
    </w:rPr>
  </w:style>
  <w:style w:type="character" w:customStyle="1" w:styleId="271">
    <w:name w:val="标题 7 字符"/>
    <w:link w:val="10"/>
    <w:autoRedefine/>
    <w:qFormat/>
    <w:uiPriority w:val="0"/>
    <w:rPr>
      <w:rFonts w:eastAsia="仿宋_GB2312"/>
      <w:sz w:val="30"/>
      <w:lang w:val="en-US" w:eastAsia="zh-CN" w:bidi="ar-SA"/>
    </w:rPr>
  </w:style>
  <w:style w:type="character" w:customStyle="1" w:styleId="272">
    <w:name w:val="Char Char13"/>
    <w:autoRedefine/>
    <w:qFormat/>
    <w:uiPriority w:val="0"/>
    <w:rPr>
      <w:kern w:val="2"/>
      <w:sz w:val="18"/>
      <w:szCs w:val="18"/>
    </w:rPr>
  </w:style>
  <w:style w:type="character" w:customStyle="1" w:styleId="273">
    <w:name w:val="正文文本缩进 2 Char1"/>
    <w:autoRedefine/>
    <w:qFormat/>
    <w:uiPriority w:val="0"/>
    <w:rPr>
      <w:sz w:val="28"/>
      <w:szCs w:val="24"/>
    </w:rPr>
  </w:style>
  <w:style w:type="character" w:customStyle="1" w:styleId="274">
    <w:name w:val="Char Char21"/>
    <w:autoRedefine/>
    <w:qFormat/>
    <w:uiPriority w:val="0"/>
    <w:rPr>
      <w:rFonts w:ascii="宋体" w:hAnsi="宋体" w:cs="宋体"/>
      <w:b/>
      <w:bCs/>
      <w:sz w:val="24"/>
      <w:szCs w:val="24"/>
    </w:rPr>
  </w:style>
  <w:style w:type="character" w:customStyle="1" w:styleId="275">
    <w:name w:val="文档结构图 Char1"/>
    <w:qFormat/>
    <w:uiPriority w:val="0"/>
    <w:rPr>
      <w:rFonts w:ascii="宋体"/>
      <w:kern w:val="2"/>
      <w:sz w:val="18"/>
      <w:szCs w:val="18"/>
    </w:rPr>
  </w:style>
  <w:style w:type="character" w:customStyle="1" w:styleId="276">
    <w:name w:val="标题 Char"/>
    <w:autoRedefine/>
    <w:qFormat/>
    <w:uiPriority w:val="0"/>
    <w:rPr>
      <w:rFonts w:ascii="Cambria" w:hAnsi="Cambria" w:eastAsia="宋体" w:cs="Times New Roman"/>
      <w:b/>
      <w:bCs/>
      <w:kern w:val="2"/>
      <w:sz w:val="32"/>
      <w:szCs w:val="32"/>
    </w:rPr>
  </w:style>
  <w:style w:type="character" w:customStyle="1" w:styleId="277">
    <w:name w:val="_Style 275"/>
    <w:autoRedefine/>
    <w:qFormat/>
    <w:uiPriority w:val="0"/>
    <w:rPr>
      <w:smallCaps/>
      <w:color w:val="C0504D"/>
      <w:u w:val="single"/>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明显参考1"/>
    <w:autoRedefine/>
    <w:qFormat/>
    <w:uiPriority w:val="0"/>
    <w:rPr>
      <w:b/>
      <w:bCs/>
      <w:smallCaps/>
      <w:color w:val="C0504D"/>
      <w:spacing w:val="5"/>
      <w:u w:val="single"/>
    </w:rPr>
  </w:style>
  <w:style w:type="character" w:customStyle="1" w:styleId="280">
    <w:name w:val="Char Char36"/>
    <w:qFormat/>
    <w:uiPriority w:val="0"/>
    <w:rPr>
      <w:rFonts w:ascii="仿宋_GB2312" w:eastAsia="仿宋_GB2312" w:cs="MingLiU"/>
      <w:b/>
      <w:sz w:val="24"/>
      <w:szCs w:val="28"/>
    </w:rPr>
  </w:style>
  <w:style w:type="character" w:customStyle="1" w:styleId="281">
    <w:name w:val="批注框文本 Char2"/>
    <w:autoRedefine/>
    <w:qFormat/>
    <w:uiPriority w:val="99"/>
    <w:rPr>
      <w:kern w:val="2"/>
      <w:sz w:val="18"/>
      <w:szCs w:val="18"/>
    </w:rPr>
  </w:style>
  <w:style w:type="character" w:customStyle="1" w:styleId="282">
    <w:name w:val="subhead1"/>
    <w:autoRedefine/>
    <w:qFormat/>
    <w:uiPriority w:val="0"/>
    <w:rPr>
      <w:rFonts w:hint="default" w:ascii="Tahoma" w:hAnsi="Tahoma" w:cs="Tahoma"/>
      <w:color w:val="000000"/>
      <w:sz w:val="18"/>
      <w:szCs w:val="18"/>
      <w:u w:val="none"/>
      <w:shd w:val="clear" w:color="auto" w:fill="FFFFFF"/>
    </w:rPr>
  </w:style>
  <w:style w:type="character" w:customStyle="1" w:styleId="283">
    <w:name w:val="正文文本缩进 3 Char2"/>
    <w:autoRedefine/>
    <w:semiHidden/>
    <w:qFormat/>
    <w:uiPriority w:val="99"/>
    <w:rPr>
      <w:rFonts w:ascii="Calibri" w:hAnsi="Calibri" w:eastAsia="宋体" w:cs="Times New Roman"/>
      <w:sz w:val="16"/>
      <w:szCs w:val="16"/>
    </w:rPr>
  </w:style>
  <w:style w:type="character" w:customStyle="1" w:styleId="284">
    <w:name w:val="纯文本 Char"/>
    <w:autoRedefine/>
    <w:qFormat/>
    <w:uiPriority w:val="0"/>
    <w:rPr>
      <w:rFonts w:ascii="宋体" w:hAnsi="Courier New"/>
      <w:sz w:val="28"/>
      <w:szCs w:val="28"/>
    </w:rPr>
  </w:style>
  <w:style w:type="character" w:customStyle="1" w:styleId="285">
    <w:name w:val="纯文本 Char2"/>
    <w:semiHidden/>
    <w:qFormat/>
    <w:uiPriority w:val="99"/>
    <w:rPr>
      <w:rFonts w:ascii="宋体" w:hAnsi="Courier New" w:eastAsia="宋体" w:cs="Courier New"/>
      <w:szCs w:val="21"/>
    </w:rPr>
  </w:style>
  <w:style w:type="character" w:customStyle="1" w:styleId="286">
    <w:name w:val="页眉 Char1"/>
    <w:autoRedefine/>
    <w:semiHidden/>
    <w:qFormat/>
    <w:uiPriority w:val="99"/>
    <w:rPr>
      <w:kern w:val="2"/>
      <w:sz w:val="18"/>
      <w:szCs w:val="18"/>
    </w:rPr>
  </w:style>
  <w:style w:type="character" w:customStyle="1" w:styleId="287">
    <w:name w:val="Char Char14"/>
    <w:autoRedefine/>
    <w:qFormat/>
    <w:uiPriority w:val="0"/>
    <w:rPr>
      <w:kern w:val="2"/>
      <w:sz w:val="18"/>
      <w:szCs w:val="18"/>
    </w:rPr>
  </w:style>
  <w:style w:type="character" w:customStyle="1" w:styleId="288">
    <w:name w:val="批注文字 字符"/>
    <w:link w:val="16"/>
    <w:autoRedefine/>
    <w:qFormat/>
    <w:uiPriority w:val="99"/>
    <w:rPr>
      <w:rFonts w:eastAsia="宋体"/>
      <w:kern w:val="2"/>
      <w:sz w:val="21"/>
      <w:szCs w:val="24"/>
      <w:lang w:val="en-US" w:eastAsia="zh-CN" w:bidi="ar-SA"/>
    </w:rPr>
  </w:style>
  <w:style w:type="character" w:customStyle="1" w:styleId="289">
    <w:name w:val="批注文字 Char Char"/>
    <w:autoRedefine/>
    <w:qFormat/>
    <w:uiPriority w:val="0"/>
    <w:rPr>
      <w:rFonts w:ascii="宋体" w:hAnsi="Times New Roman" w:eastAsia="宋体" w:cs="Times New Roman"/>
      <w:sz w:val="28"/>
      <w:szCs w:val="20"/>
    </w:rPr>
  </w:style>
  <w:style w:type="character" w:customStyle="1" w:styleId="290">
    <w:name w:val="标题 1 Char1"/>
    <w:qFormat/>
    <w:uiPriority w:val="0"/>
    <w:rPr>
      <w:rFonts w:ascii="Times New Roman" w:hAnsi="Times New Roman" w:eastAsia="宋体" w:cs="Times New Roman"/>
      <w:b/>
      <w:bCs/>
      <w:kern w:val="44"/>
      <w:sz w:val="44"/>
      <w:szCs w:val="44"/>
    </w:rPr>
  </w:style>
  <w:style w:type="character" w:customStyle="1" w:styleId="291">
    <w:name w:val="标题 5 字符"/>
    <w:link w:val="7"/>
    <w:autoRedefine/>
    <w:qFormat/>
    <w:uiPriority w:val="0"/>
    <w:rPr>
      <w:rFonts w:ascii="宋体" w:hAnsi="宋体" w:eastAsia="宋体" w:cs="宋体"/>
      <w:b/>
      <w:bCs/>
      <w:lang w:val="en-US" w:eastAsia="zh-CN" w:bidi="ar-SA"/>
    </w:rPr>
  </w:style>
  <w:style w:type="character" w:customStyle="1" w:styleId="292">
    <w:name w:val="手改 Char Char"/>
    <w:autoRedefine/>
    <w:qFormat/>
    <w:uiPriority w:val="0"/>
    <w:rPr>
      <w:kern w:val="2"/>
      <w:sz w:val="21"/>
      <w:szCs w:val="24"/>
    </w:rPr>
  </w:style>
  <w:style w:type="character" w:customStyle="1" w:styleId="293">
    <w:name w:val="标题 1 字符"/>
    <w:link w:val="3"/>
    <w:autoRedefine/>
    <w:qFormat/>
    <w:uiPriority w:val="0"/>
    <w:rPr>
      <w:rFonts w:eastAsia="宋体"/>
      <w:b/>
      <w:bCs/>
      <w:kern w:val="44"/>
      <w:sz w:val="44"/>
      <w:szCs w:val="44"/>
      <w:lang w:val="en-US" w:eastAsia="zh-CN" w:bidi="ar-SA"/>
    </w:rPr>
  </w:style>
  <w:style w:type="character" w:customStyle="1" w:styleId="294">
    <w:name w:val="intel3"/>
    <w:basedOn w:val="47"/>
    <w:autoRedefine/>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7"/>
    <w:autoRedefine/>
    <w:qFormat/>
    <w:uiPriority w:val="0"/>
    <w:rPr>
      <w:b/>
      <w:bCs/>
      <w:i/>
      <w:iCs/>
      <w:color w:val="4F81BD"/>
      <w:kern w:val="2"/>
      <w:sz w:val="21"/>
      <w:szCs w:val="22"/>
      <w:lang w:bidi="ar-SA"/>
    </w:rPr>
  </w:style>
  <w:style w:type="character" w:customStyle="1" w:styleId="297">
    <w:name w:val="明显引用 Char1"/>
    <w:link w:val="110"/>
    <w:autoRedefine/>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8"/>
    <w:autoRedefine/>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autoRedefine/>
    <w:qFormat/>
    <w:uiPriority w:val="0"/>
    <w:rPr>
      <w:rFonts w:eastAsia="黑体"/>
      <w:kern w:val="2"/>
      <w:sz w:val="44"/>
      <w:szCs w:val="44"/>
      <w:lang w:val="en-US" w:eastAsia="zh-CN" w:bidi="ar-SA"/>
    </w:rPr>
  </w:style>
  <w:style w:type="character" w:customStyle="1" w:styleId="302">
    <w:name w:val="日期 Char3"/>
    <w:autoRedefine/>
    <w:semiHidden/>
    <w:qFormat/>
    <w:uiPriority w:val="99"/>
    <w:rPr>
      <w:rFonts w:ascii="Calibri" w:hAnsi="Calibri" w:eastAsia="宋体" w:cs="Times New Roman"/>
      <w:szCs w:val="24"/>
    </w:rPr>
  </w:style>
  <w:style w:type="character" w:customStyle="1" w:styleId="303">
    <w:name w:val="纯文本 字符"/>
    <w:link w:val="23"/>
    <w:autoRedefine/>
    <w:qFormat/>
    <w:uiPriority w:val="0"/>
    <w:rPr>
      <w:rFonts w:ascii="宋体" w:hAnsi="Courier New" w:eastAsia="宋体" w:cs="Courier New"/>
      <w:kern w:val="2"/>
      <w:sz w:val="21"/>
      <w:szCs w:val="21"/>
      <w:lang w:val="en-US" w:eastAsia="zh-CN" w:bidi="ar-SA"/>
    </w:rPr>
  </w:style>
  <w:style w:type="character" w:customStyle="1" w:styleId="304">
    <w:name w:val="批注文字 Char"/>
    <w:autoRedefine/>
    <w:qFormat/>
    <w:uiPriority w:val="0"/>
    <w:rPr>
      <w:rFonts w:ascii="Times New Roman" w:hAnsi="Times New Roman" w:eastAsia="宋体" w:cs="Times New Roman"/>
      <w:kern w:val="2"/>
      <w:sz w:val="21"/>
      <w:szCs w:val="24"/>
    </w:rPr>
  </w:style>
  <w:style w:type="character" w:customStyle="1" w:styleId="305">
    <w:name w:val="Section Char"/>
    <w:autoRedefine/>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7"/>
    <w:autoRedefine/>
    <w:qFormat/>
    <w:uiPriority w:val="0"/>
    <w:rPr>
      <w:rFonts w:eastAsia="宋体"/>
      <w:kern w:val="2"/>
      <w:sz w:val="16"/>
      <w:szCs w:val="16"/>
      <w:lang w:val="en-US" w:eastAsia="zh-CN" w:bidi="ar-SA"/>
    </w:rPr>
  </w:style>
  <w:style w:type="character" w:customStyle="1" w:styleId="308">
    <w:name w:val="普通文字 Char Char1"/>
    <w:autoRedefine/>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autoRedefine/>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87</Pages>
  <Words>15461</Words>
  <Characters>16532</Characters>
  <Lines>1335</Lines>
  <Paragraphs>376</Paragraphs>
  <TotalTime>15</TotalTime>
  <ScaleCrop>false</ScaleCrop>
  <LinksUpToDate>false</LinksUpToDate>
  <CharactersWithSpaces>17005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阮零露</cp:lastModifiedBy>
  <cp:lastPrinted>2020-08-27T03:13:00Z</cp:lastPrinted>
  <dcterms:modified xsi:type="dcterms:W3CDTF">2025-06-13T06:47:38Z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79B6500CA8A146DF9DBBA58B57CF1930</vt:lpwstr>
  </property>
  <property fmtid="{D5CDD505-2E9C-101B-9397-08002B2CF9AE}" pid="4" name="KSOTemplateDocerSaveRecord">
    <vt:lpwstr>eyJoZGlkIjoiNDZlMzQ1NTJmMDEzZGU3NWJkM2Q5ZDk1NjQ5YzI2MzgiLCJ1c2VySWQiOiIxMTU0MTQyMTQxIn0=</vt:lpwstr>
  </property>
</Properties>
</file>