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补充医疗保险风险</w:t>
      </w:r>
      <w:bookmarkStart w:id="2" w:name="_GoBack"/>
      <w:bookmarkEnd w:id="2"/>
      <w:r>
        <w:rPr>
          <w:rFonts w:hint="eastAsia" w:ascii="方正小标宋_GBK" w:hAnsi="方正小标宋_GBK" w:eastAsia="方正小标宋_GBK" w:cs="方正小标宋_GBK"/>
          <w:sz w:val="44"/>
          <w:szCs w:val="44"/>
          <w:lang w:val="en-US" w:eastAsia="zh-CN"/>
        </w:rPr>
        <w:t>保障方案</w:t>
      </w:r>
    </w:p>
    <w:tbl>
      <w:tblPr>
        <w:tblStyle w:val="6"/>
        <w:tblW w:w="57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1418"/>
        <w:gridCol w:w="4840"/>
        <w:gridCol w:w="1902"/>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3" w:type="pct"/>
            <w:vMerge w:val="restart"/>
            <w:shd w:val="clear" w:color="auto" w:fill="FFFFFF"/>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left="0" w:leftChars="0" w:right="0" w:rightChars="0"/>
              <w:jc w:val="center"/>
              <w:rPr>
                <w:rFonts w:ascii="Times New Roman" w:hAnsi="Times New Roman" w:eastAsia="方正黑体_GBK" w:cs="宋体"/>
                <w:b w:val="0"/>
                <w:bCs/>
                <w:color w:val="auto"/>
                <w:kern w:val="0"/>
                <w:sz w:val="24"/>
                <w:szCs w:val="22"/>
                <w:highlight w:val="none"/>
                <w:u w:val="none"/>
              </w:rPr>
            </w:pPr>
            <w:r>
              <w:rPr>
                <w:rFonts w:hint="eastAsia" w:ascii="Times New Roman" w:hAnsi="Times New Roman" w:eastAsia="方正黑体_GBK" w:cs="宋体"/>
                <w:b w:val="0"/>
                <w:bCs/>
                <w:color w:val="auto"/>
                <w:kern w:val="0"/>
                <w:sz w:val="24"/>
                <w:szCs w:val="22"/>
                <w:highlight w:val="none"/>
                <w:u w:val="none"/>
              </w:rPr>
              <w:t>序号</w:t>
            </w:r>
          </w:p>
        </w:tc>
        <w:tc>
          <w:tcPr>
            <w:tcW w:w="684" w:type="pct"/>
            <w:vMerge w:val="restart"/>
            <w:shd w:val="clear" w:color="auto" w:fill="FFFFFF"/>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left="0" w:leftChars="0" w:right="0" w:rightChars="0"/>
              <w:jc w:val="center"/>
              <w:rPr>
                <w:rFonts w:ascii="Times New Roman" w:hAnsi="Times New Roman" w:eastAsia="方正黑体_GBK" w:cs="宋体"/>
                <w:b w:val="0"/>
                <w:bCs/>
                <w:color w:val="auto"/>
                <w:kern w:val="0"/>
                <w:sz w:val="24"/>
                <w:szCs w:val="22"/>
                <w:highlight w:val="none"/>
                <w:u w:val="none"/>
              </w:rPr>
            </w:pPr>
            <w:r>
              <w:rPr>
                <w:rFonts w:hint="eastAsia" w:ascii="Times New Roman" w:hAnsi="Times New Roman" w:eastAsia="方正黑体_GBK" w:cs="宋体"/>
                <w:b w:val="0"/>
                <w:bCs/>
                <w:color w:val="auto"/>
                <w:kern w:val="0"/>
                <w:sz w:val="24"/>
                <w:szCs w:val="22"/>
                <w:highlight w:val="none"/>
                <w:u w:val="none"/>
              </w:rPr>
              <w:t>保障项目</w:t>
            </w:r>
          </w:p>
        </w:tc>
        <w:tc>
          <w:tcPr>
            <w:tcW w:w="2335" w:type="pct"/>
            <w:vMerge w:val="restart"/>
            <w:shd w:val="clear" w:color="auto" w:fill="FFFFFF"/>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left="0" w:leftChars="0" w:right="0" w:rightChars="0"/>
              <w:jc w:val="center"/>
              <w:rPr>
                <w:rFonts w:ascii="Times New Roman" w:hAnsi="Times New Roman" w:eastAsia="方正黑体_GBK" w:cs="宋体"/>
                <w:b w:val="0"/>
                <w:bCs/>
                <w:color w:val="auto"/>
                <w:kern w:val="0"/>
                <w:sz w:val="24"/>
                <w:szCs w:val="22"/>
                <w:highlight w:val="none"/>
                <w:u w:val="none"/>
              </w:rPr>
            </w:pPr>
            <w:r>
              <w:rPr>
                <w:rFonts w:hint="eastAsia" w:ascii="Times New Roman" w:hAnsi="Times New Roman" w:eastAsia="方正黑体_GBK" w:cs="宋体"/>
                <w:b w:val="0"/>
                <w:bCs/>
                <w:color w:val="auto"/>
                <w:kern w:val="0"/>
                <w:sz w:val="24"/>
                <w:szCs w:val="22"/>
                <w:highlight w:val="none"/>
                <w:u w:val="none"/>
              </w:rPr>
              <w:t>保障内容</w:t>
            </w:r>
          </w:p>
        </w:tc>
        <w:tc>
          <w:tcPr>
            <w:tcW w:w="917" w:type="pct"/>
            <w:shd w:val="clear" w:color="auto" w:fill="FFFFFF"/>
            <w:noWrap/>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方正黑体_GBK" w:cs="宋体"/>
                <w:b w:val="0"/>
                <w:bCs/>
                <w:color w:val="auto"/>
                <w:kern w:val="0"/>
                <w:sz w:val="22"/>
                <w:szCs w:val="21"/>
                <w:highlight w:val="none"/>
                <w:u w:val="none"/>
              </w:rPr>
            </w:pPr>
            <w:r>
              <w:rPr>
                <w:rFonts w:hint="eastAsia" w:ascii="Times New Roman" w:hAnsi="Times New Roman" w:eastAsia="方正黑体_GBK" w:cs="宋体"/>
                <w:b w:val="0"/>
                <w:bCs/>
                <w:color w:val="auto"/>
                <w:kern w:val="0"/>
                <w:sz w:val="22"/>
                <w:szCs w:val="21"/>
                <w:highlight w:val="none"/>
                <w:u w:val="none"/>
              </w:rPr>
              <w:t>在职职工</w:t>
            </w:r>
          </w:p>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方正黑体_GBK" w:cs="宋体"/>
                <w:b w:val="0"/>
                <w:bCs/>
                <w:color w:val="auto"/>
                <w:kern w:val="0"/>
                <w:sz w:val="22"/>
                <w:szCs w:val="21"/>
                <w:highlight w:val="none"/>
                <w:u w:val="none"/>
                <w:lang w:eastAsia="zh-CN"/>
              </w:rPr>
            </w:pPr>
            <w:r>
              <w:rPr>
                <w:rFonts w:hint="eastAsia" w:ascii="Times New Roman" w:hAnsi="Times New Roman" w:eastAsia="方正黑体_GBK" w:cs="宋体"/>
                <w:b w:val="0"/>
                <w:bCs/>
                <w:color w:val="auto"/>
                <w:kern w:val="0"/>
                <w:sz w:val="22"/>
                <w:szCs w:val="21"/>
                <w:highlight w:val="none"/>
                <w:u w:val="none"/>
                <w:lang w:eastAsia="zh-CN"/>
              </w:rPr>
              <w:t>（</w:t>
            </w:r>
            <w:r>
              <w:rPr>
                <w:rFonts w:hint="eastAsia" w:ascii="Times New Roman" w:hAnsi="Times New Roman" w:eastAsia="方正黑体_GBK" w:cs="宋体"/>
                <w:b w:val="0"/>
                <w:bCs/>
                <w:color w:val="auto"/>
                <w:kern w:val="0"/>
                <w:sz w:val="22"/>
                <w:szCs w:val="21"/>
                <w:highlight w:val="none"/>
                <w:u w:val="none"/>
                <w:lang w:val="en-US" w:eastAsia="zh-CN"/>
              </w:rPr>
              <w:t>612人</w:t>
            </w:r>
            <w:r>
              <w:rPr>
                <w:rFonts w:hint="eastAsia" w:ascii="Times New Roman" w:hAnsi="Times New Roman" w:eastAsia="方正黑体_GBK" w:cs="宋体"/>
                <w:b w:val="0"/>
                <w:bCs/>
                <w:color w:val="auto"/>
                <w:kern w:val="0"/>
                <w:sz w:val="22"/>
                <w:szCs w:val="21"/>
                <w:highlight w:val="none"/>
                <w:u w:val="none"/>
                <w:lang w:eastAsia="zh-CN"/>
              </w:rPr>
              <w:t>）</w:t>
            </w:r>
          </w:p>
        </w:tc>
        <w:tc>
          <w:tcPr>
            <w:tcW w:w="839" w:type="pct"/>
            <w:shd w:val="clear" w:color="auto" w:fill="FFFFFF"/>
            <w:noWrap/>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方正黑体_GBK" w:cs="宋体"/>
                <w:b w:val="0"/>
                <w:bCs/>
                <w:color w:val="auto"/>
                <w:kern w:val="0"/>
                <w:sz w:val="22"/>
                <w:szCs w:val="21"/>
                <w:highlight w:val="none"/>
                <w:u w:val="none"/>
              </w:rPr>
            </w:pPr>
            <w:r>
              <w:rPr>
                <w:rFonts w:hint="eastAsia" w:ascii="Times New Roman" w:hAnsi="Times New Roman" w:eastAsia="方正黑体_GBK" w:cs="宋体"/>
                <w:b w:val="0"/>
                <w:bCs/>
                <w:color w:val="auto"/>
                <w:kern w:val="0"/>
                <w:sz w:val="22"/>
                <w:szCs w:val="21"/>
                <w:highlight w:val="none"/>
                <w:u w:val="none"/>
              </w:rPr>
              <w:t>退休职工</w:t>
            </w:r>
          </w:p>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方正黑体_GBK" w:cs="宋体"/>
                <w:b w:val="0"/>
                <w:bCs/>
                <w:color w:val="auto"/>
                <w:kern w:val="0"/>
                <w:sz w:val="22"/>
                <w:szCs w:val="21"/>
                <w:highlight w:val="none"/>
                <w:u w:val="none"/>
                <w:lang w:eastAsia="zh-CN"/>
              </w:rPr>
            </w:pPr>
            <w:r>
              <w:rPr>
                <w:rFonts w:hint="eastAsia" w:ascii="Times New Roman" w:hAnsi="Times New Roman" w:eastAsia="方正黑体_GBK" w:cs="宋体"/>
                <w:b w:val="0"/>
                <w:bCs/>
                <w:color w:val="auto"/>
                <w:kern w:val="0"/>
                <w:sz w:val="22"/>
                <w:szCs w:val="21"/>
                <w:highlight w:val="none"/>
                <w:u w:val="none"/>
                <w:lang w:eastAsia="zh-CN"/>
              </w:rPr>
              <w:t>（</w:t>
            </w:r>
            <w:r>
              <w:rPr>
                <w:rFonts w:hint="eastAsia" w:ascii="Times New Roman" w:hAnsi="Times New Roman" w:eastAsia="方正黑体_GBK" w:cs="宋体"/>
                <w:b w:val="0"/>
                <w:bCs/>
                <w:color w:val="auto"/>
                <w:kern w:val="0"/>
                <w:sz w:val="22"/>
                <w:szCs w:val="21"/>
                <w:highlight w:val="none"/>
                <w:u w:val="none"/>
                <w:lang w:val="en-US" w:eastAsia="zh-CN"/>
              </w:rPr>
              <w:t>14人</w:t>
            </w:r>
            <w:r>
              <w:rPr>
                <w:rFonts w:hint="eastAsia" w:ascii="Times New Roman" w:hAnsi="Times New Roman" w:eastAsia="方正黑体_GBK" w:cs="宋体"/>
                <w:b w:val="0"/>
                <w:bCs/>
                <w:color w:val="auto"/>
                <w:kern w:val="0"/>
                <w:sz w:val="22"/>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23" w:type="pct"/>
            <w:vMerge w:val="continue"/>
            <w:shd w:val="clear" w:color="auto" w:fill="FFFFFF"/>
            <w:noWrap w:val="0"/>
            <w:vAlign w:val="top"/>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left="0" w:leftChars="0" w:right="0" w:rightChars="0"/>
              <w:jc w:val="center"/>
              <w:rPr>
                <w:rFonts w:ascii="Times New Roman" w:hAnsi="Times New Roman" w:eastAsia="方正黑体_GBK" w:cs="宋体"/>
                <w:b w:val="0"/>
                <w:bCs/>
                <w:color w:val="auto"/>
                <w:kern w:val="0"/>
                <w:sz w:val="24"/>
                <w:szCs w:val="22"/>
                <w:highlight w:val="none"/>
                <w:u w:val="none"/>
              </w:rPr>
            </w:pPr>
          </w:p>
        </w:tc>
        <w:tc>
          <w:tcPr>
            <w:tcW w:w="684" w:type="pct"/>
            <w:vMerge w:val="continue"/>
            <w:shd w:val="clear" w:color="auto" w:fill="FFFFFF"/>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left="0" w:leftChars="0" w:right="0" w:rightChars="0"/>
              <w:jc w:val="center"/>
              <w:rPr>
                <w:rFonts w:ascii="Times New Roman" w:hAnsi="Times New Roman" w:eastAsia="方正黑体_GBK" w:cs="宋体"/>
                <w:b w:val="0"/>
                <w:bCs/>
                <w:color w:val="auto"/>
                <w:kern w:val="0"/>
                <w:sz w:val="24"/>
                <w:szCs w:val="22"/>
                <w:highlight w:val="none"/>
                <w:u w:val="none"/>
              </w:rPr>
            </w:pPr>
          </w:p>
        </w:tc>
        <w:tc>
          <w:tcPr>
            <w:tcW w:w="2335" w:type="pct"/>
            <w:vMerge w:val="continue"/>
            <w:shd w:val="clear" w:color="auto" w:fill="FFFFFF"/>
            <w:noWrap w:val="0"/>
            <w:vAlign w:val="top"/>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left="0" w:leftChars="0" w:right="0" w:rightChars="0"/>
              <w:jc w:val="center"/>
              <w:rPr>
                <w:rFonts w:ascii="Times New Roman" w:hAnsi="Times New Roman" w:eastAsia="方正黑体_GBK" w:cs="宋体"/>
                <w:b w:val="0"/>
                <w:bCs/>
                <w:color w:val="auto"/>
                <w:kern w:val="0"/>
                <w:sz w:val="24"/>
                <w:szCs w:val="22"/>
                <w:highlight w:val="none"/>
                <w:u w:val="none"/>
              </w:rPr>
            </w:pPr>
          </w:p>
        </w:tc>
        <w:tc>
          <w:tcPr>
            <w:tcW w:w="917" w:type="pct"/>
            <w:shd w:val="clear" w:color="auto" w:fill="FFFFFF"/>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left="0" w:leftChars="0" w:right="0" w:rightChars="0"/>
              <w:jc w:val="center"/>
              <w:rPr>
                <w:rFonts w:ascii="Times New Roman" w:hAnsi="Times New Roman" w:eastAsia="方正黑体_GBK" w:cs="宋体"/>
                <w:b w:val="0"/>
                <w:bCs/>
                <w:color w:val="auto"/>
                <w:kern w:val="0"/>
                <w:sz w:val="24"/>
                <w:szCs w:val="22"/>
                <w:highlight w:val="none"/>
                <w:u w:val="none"/>
              </w:rPr>
            </w:pPr>
            <w:r>
              <w:rPr>
                <w:rFonts w:hint="eastAsia" w:ascii="Times New Roman" w:hAnsi="Times New Roman" w:eastAsia="方正黑体_GBK" w:cs="宋体"/>
                <w:b w:val="0"/>
                <w:bCs/>
                <w:color w:val="auto"/>
                <w:kern w:val="0"/>
                <w:sz w:val="24"/>
                <w:szCs w:val="22"/>
                <w:highlight w:val="none"/>
                <w:u w:val="none"/>
              </w:rPr>
              <w:t>保额</w:t>
            </w:r>
          </w:p>
        </w:tc>
        <w:tc>
          <w:tcPr>
            <w:tcW w:w="839" w:type="pct"/>
            <w:shd w:val="clear" w:color="auto" w:fill="FFFFFF"/>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left="0" w:leftChars="0" w:right="0" w:rightChars="0"/>
              <w:jc w:val="center"/>
              <w:rPr>
                <w:rFonts w:hint="eastAsia" w:ascii="Times New Roman" w:hAnsi="Times New Roman" w:eastAsia="方正黑体_GBK" w:cs="宋体"/>
                <w:b w:val="0"/>
                <w:bCs/>
                <w:color w:val="auto"/>
                <w:kern w:val="0"/>
                <w:sz w:val="24"/>
                <w:szCs w:val="22"/>
                <w:highlight w:val="none"/>
                <w:u w:val="none"/>
              </w:rPr>
            </w:pPr>
            <w:r>
              <w:rPr>
                <w:rFonts w:hint="eastAsia" w:ascii="Times New Roman" w:hAnsi="Times New Roman" w:eastAsia="方正黑体_GBK" w:cs="宋体"/>
                <w:b w:val="0"/>
                <w:bCs/>
                <w:color w:val="auto"/>
                <w:kern w:val="0"/>
                <w:sz w:val="24"/>
                <w:szCs w:val="22"/>
                <w:highlight w:val="none"/>
                <w:u w:val="none"/>
              </w:rPr>
              <w:t>保额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23" w:type="pct"/>
            <w:vMerge w:val="restart"/>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left="0" w:leftChars="0" w:right="0" w:rightChars="0"/>
              <w:jc w:val="center"/>
              <w:rPr>
                <w:rFonts w:hint="eastAsia" w:ascii="Times New Roman" w:hAnsi="Times New Roman" w:eastAsia="方正仿宋_GBK" w:cs="方正仿宋_GBK"/>
                <w:b w:val="0"/>
                <w:bCs/>
                <w:color w:val="auto"/>
                <w:kern w:val="0"/>
                <w:sz w:val="24"/>
                <w:szCs w:val="22"/>
                <w:highlight w:val="none"/>
                <w:u w:val="none"/>
                <w:lang w:eastAsia="zh-CN"/>
              </w:rPr>
            </w:pPr>
            <w:r>
              <w:rPr>
                <w:rFonts w:hint="eastAsia" w:ascii="Times New Roman" w:hAnsi="Times New Roman" w:eastAsia="方正仿宋_GBK" w:cs="方正仿宋_GBK"/>
                <w:b w:val="0"/>
                <w:bCs/>
                <w:color w:val="auto"/>
                <w:kern w:val="0"/>
                <w:sz w:val="24"/>
                <w:szCs w:val="22"/>
                <w:highlight w:val="none"/>
                <w:u w:val="none"/>
                <w:lang w:val="en-US" w:eastAsia="zh-CN"/>
              </w:rPr>
              <w:t>1</w:t>
            </w:r>
          </w:p>
        </w:tc>
        <w:tc>
          <w:tcPr>
            <w:tcW w:w="684" w:type="pct"/>
            <w:vMerge w:val="restar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imes New Roman" w:hAnsi="Times New Roman" w:eastAsia="方正仿宋_GBK" w:cs="方正仿宋_GBK"/>
                <w:b w:val="0"/>
                <w:bCs/>
                <w:color w:val="auto"/>
                <w:kern w:val="0"/>
                <w:sz w:val="21"/>
                <w:szCs w:val="20"/>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bidi="ar"/>
              </w:rPr>
              <w:t>医保定点机构补充住院医疗</w:t>
            </w:r>
            <w:r>
              <w:rPr>
                <w:rFonts w:hint="eastAsia" w:ascii="Times New Roman" w:hAnsi="Times New Roman" w:eastAsia="方正仿宋_GBK" w:cs="方正仿宋_GBK"/>
                <w:i w:val="0"/>
                <w:iCs w:val="0"/>
                <w:color w:val="000000"/>
                <w:kern w:val="0"/>
                <w:sz w:val="21"/>
                <w:szCs w:val="21"/>
                <w:highlight w:val="none"/>
                <w:u w:val="none"/>
                <w:lang w:val="en-US" w:eastAsia="zh-CN" w:bidi="ar"/>
              </w:rPr>
              <w:t>（含特病门诊）（不含起付线）</w:t>
            </w:r>
          </w:p>
        </w:tc>
        <w:tc>
          <w:tcPr>
            <w:tcW w:w="2335" w:type="pct"/>
            <w:noWrap w:val="0"/>
            <w:vAlign w:val="top"/>
          </w:tcPr>
          <w:p>
            <w:pPr>
              <w:pStyle w:val="5"/>
              <w:keepNext w:val="0"/>
              <w:keepLines w:val="0"/>
              <w:pageBreakBefore w:val="0"/>
              <w:shd w:val="clear" w:color="auto" w:fill="auto"/>
              <w:kinsoku/>
              <w:wordWrap/>
              <w:overflowPunct/>
              <w:topLinePunct w:val="0"/>
              <w:autoSpaceDE/>
              <w:autoSpaceDN/>
              <w:bidi w:val="0"/>
              <w:adjustRightInd w:val="0"/>
              <w:snapToGrid w:val="0"/>
              <w:spacing w:line="240" w:lineRule="auto"/>
              <w:ind w:left="0" w:leftChars="0" w:right="0" w:rightChars="0"/>
              <w:jc w:val="left"/>
              <w:rPr>
                <w:rFonts w:hint="eastAsia" w:ascii="Times New Roman" w:hAnsi="Times New Roman" w:eastAsia="方正仿宋_GBK" w:cs="方正仿宋_GBK"/>
                <w:b w:val="0"/>
                <w:bCs/>
                <w:color w:val="auto"/>
                <w:kern w:val="0"/>
                <w:sz w:val="18"/>
                <w:szCs w:val="16"/>
                <w:highlight w:val="none"/>
                <w:u w:val="none"/>
              </w:rPr>
            </w:pPr>
            <w:r>
              <w:rPr>
                <w:rFonts w:hint="eastAsia" w:ascii="Times New Roman" w:hAnsi="Times New Roman" w:eastAsia="方正仿宋_GBK" w:cs="方正仿宋_GBK"/>
                <w:b w:val="0"/>
                <w:bCs/>
                <w:sz w:val="21"/>
                <w:szCs w:val="21"/>
                <w:highlight w:val="none"/>
                <w:u w:val="none"/>
                <w:lang w:val="en-US" w:eastAsia="zh-CN"/>
              </w:rPr>
              <w:t>被保险人在医院治疗发生的起付线至封顶线之间的符合重庆基本医疗保险支付范围内以及乙类个人自付部分的合理医疗费用，在大额基金封顶线以下，经医保支付后的剩余部分，按100%比例赔付。</w:t>
            </w:r>
            <w:r>
              <w:rPr>
                <w:rFonts w:hint="eastAsia" w:ascii="Times New Roman" w:hAnsi="Times New Roman" w:eastAsia="方正仿宋_GBK" w:cs="方正仿宋_GBK"/>
                <w:b/>
                <w:bCs/>
                <w:sz w:val="22"/>
                <w:szCs w:val="22"/>
                <w:highlight w:val="none"/>
                <w:u w:val="none"/>
                <w:lang w:val="en-US" w:eastAsia="zh-CN"/>
              </w:rPr>
              <w:t>（即甲乙类费用经医保报销后剩余部分在保额上限范围内按100%报销）</w:t>
            </w:r>
          </w:p>
        </w:tc>
        <w:tc>
          <w:tcPr>
            <w:tcW w:w="917"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imes New Roman" w:hAnsi="Times New Roman" w:eastAsia="方正仿宋_GBK" w:cs="方正仿宋_GBK"/>
                <w:b w:val="0"/>
                <w:bCs/>
                <w:color w:val="auto"/>
                <w:kern w:val="0"/>
                <w:sz w:val="24"/>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bidi="ar"/>
              </w:rPr>
              <w:t>5万元</w:t>
            </w:r>
          </w:p>
        </w:tc>
        <w:tc>
          <w:tcPr>
            <w:tcW w:w="839" w:type="pct"/>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left="0" w:leftChars="0" w:right="0" w:rightChars="0"/>
              <w:jc w:val="center"/>
              <w:rPr>
                <w:rFonts w:hint="eastAsia" w:ascii="Times New Roman" w:hAnsi="Times New Roman" w:eastAsia="方正仿宋_GBK" w:cs="方正仿宋_GBK"/>
                <w:b w:val="0"/>
                <w:bCs/>
                <w:color w:val="auto"/>
                <w:kern w:val="0"/>
                <w:sz w:val="24"/>
                <w:szCs w:val="22"/>
                <w:highlight w:val="none"/>
                <w:u w:val="none"/>
                <w:lang w:val="en-US" w:eastAsia="zh-CN"/>
              </w:rPr>
            </w:pPr>
            <w:r>
              <w:rPr>
                <w:rFonts w:hint="eastAsia" w:ascii="Times New Roman" w:hAnsi="Times New Roman" w:eastAsia="方正仿宋_GBK" w:cs="方正仿宋_GBK"/>
                <w:b w:val="0"/>
                <w:bCs/>
                <w:color w:val="auto"/>
                <w:kern w:val="0"/>
                <w:sz w:val="24"/>
                <w:szCs w:val="22"/>
                <w:highlight w:val="none"/>
                <w:u w:val="none"/>
                <w:lang w:val="en-US" w:eastAsia="zh-CN"/>
              </w:rPr>
              <w:t>5</w:t>
            </w:r>
            <w:r>
              <w:rPr>
                <w:rFonts w:hint="eastAsia" w:ascii="Times New Roman" w:hAnsi="Times New Roman" w:eastAsia="方正仿宋_GBK" w:cs="方正仿宋_GBK"/>
                <w:b w:val="0"/>
                <w:bCs/>
                <w:color w:val="auto"/>
                <w:kern w:val="0"/>
                <w:sz w:val="24"/>
                <w:szCs w:val="22"/>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223" w:type="pct"/>
            <w:vMerge w:val="continue"/>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left="0" w:leftChars="0" w:right="0" w:rightChars="0"/>
              <w:jc w:val="center"/>
              <w:rPr>
                <w:rFonts w:hint="eastAsia" w:ascii="Times New Roman" w:hAnsi="Times New Roman" w:eastAsia="方正仿宋_GBK" w:cs="方正仿宋_GBK"/>
                <w:b w:val="0"/>
                <w:bCs/>
                <w:color w:val="auto"/>
                <w:kern w:val="0"/>
                <w:sz w:val="24"/>
                <w:szCs w:val="22"/>
                <w:highlight w:val="none"/>
                <w:u w:val="none"/>
              </w:rPr>
            </w:pPr>
          </w:p>
        </w:tc>
        <w:tc>
          <w:tcPr>
            <w:tcW w:w="684" w:type="pct"/>
            <w:vMerge w:val="continue"/>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40" w:lineRule="auto"/>
              <w:ind w:left="0" w:leftChars="0" w:right="0" w:rightChars="0"/>
              <w:jc w:val="center"/>
              <w:rPr>
                <w:rFonts w:hint="eastAsia" w:ascii="Times New Roman" w:hAnsi="Times New Roman" w:eastAsia="方正仿宋_GBK" w:cs="方正仿宋_GBK"/>
                <w:b w:val="0"/>
                <w:bCs/>
                <w:color w:val="auto"/>
                <w:kern w:val="0"/>
                <w:sz w:val="21"/>
                <w:szCs w:val="20"/>
                <w:highlight w:val="none"/>
                <w:u w:val="none"/>
              </w:rPr>
            </w:pPr>
          </w:p>
        </w:tc>
        <w:tc>
          <w:tcPr>
            <w:tcW w:w="2335" w:type="pct"/>
            <w:noWrap w:val="0"/>
            <w:vAlign w:val="top"/>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left="0" w:leftChars="0" w:right="0" w:rightChars="0"/>
              <w:jc w:val="left"/>
              <w:textAlignment w:val="top"/>
              <w:rPr>
                <w:rFonts w:hint="eastAsia" w:ascii="Times New Roman" w:hAnsi="Times New Roman" w:eastAsia="方正仿宋_GBK" w:cs="方正仿宋_GBK"/>
                <w:b w:val="0"/>
                <w:bCs/>
                <w:color w:val="auto"/>
                <w:kern w:val="0"/>
                <w:sz w:val="18"/>
                <w:szCs w:val="16"/>
                <w:highlight w:val="none"/>
                <w:u w:val="none"/>
                <w:lang w:eastAsia="zh-CN"/>
              </w:rPr>
            </w:pPr>
            <w:r>
              <w:rPr>
                <w:rFonts w:hint="eastAsia" w:ascii="Times New Roman" w:hAnsi="Times New Roman" w:eastAsia="方正仿宋_GBK" w:cs="方正仿宋_GBK"/>
                <w:sz w:val="22"/>
                <w:szCs w:val="22"/>
                <w:highlight w:val="none"/>
                <w:u w:val="none"/>
                <w:lang w:val="en-US" w:eastAsia="zh-CN"/>
              </w:rPr>
              <w:t>被保险人在医院治疗发生的、符合重庆基本医疗保险支付范围外的合理医疗费用（包括超标额、全自费药品费及全自费诊疗费，不含床位费的超标额及床位费的全自费部分），年免赔额0.5万元，按100%比例赔付。</w:t>
            </w:r>
            <w:r>
              <w:rPr>
                <w:rFonts w:hint="eastAsia" w:ascii="Times New Roman" w:hAnsi="Times New Roman" w:eastAsia="方正仿宋_GBK" w:cs="方正仿宋_GBK"/>
                <w:b/>
                <w:bCs/>
                <w:sz w:val="22"/>
                <w:szCs w:val="22"/>
                <w:highlight w:val="none"/>
                <w:u w:val="none"/>
                <w:lang w:val="en-US" w:eastAsia="zh-CN"/>
              </w:rPr>
              <w:t>（即除免赔额后丙类费用在保额上限范围内100%报销）</w:t>
            </w:r>
          </w:p>
        </w:tc>
        <w:tc>
          <w:tcPr>
            <w:tcW w:w="917"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left="0" w:leftChars="0" w:right="0" w:rightChars="0"/>
              <w:jc w:val="center"/>
              <w:textAlignment w:val="center"/>
              <w:rPr>
                <w:rFonts w:hint="default" w:ascii="Times New Roman" w:hAnsi="Times New Roman" w:eastAsia="方正仿宋_GBK" w:cs="方正仿宋_GBK"/>
                <w:b w:val="0"/>
                <w:bCs/>
                <w:color w:val="auto"/>
                <w:kern w:val="0"/>
                <w:sz w:val="24"/>
                <w:szCs w:val="22"/>
                <w:highlight w:val="none"/>
                <w:u w:val="none"/>
                <w:lang w:val="en-US" w:eastAsia="zh-CN"/>
              </w:rPr>
            </w:pPr>
            <w:r>
              <w:rPr>
                <w:rFonts w:hint="eastAsia" w:ascii="Times New Roman" w:hAnsi="Times New Roman" w:eastAsia="方正仿宋_GBK" w:cs="方正仿宋_GBK"/>
                <w:i w:val="0"/>
                <w:iCs w:val="0"/>
                <w:color w:val="000000"/>
                <w:kern w:val="0"/>
                <w:sz w:val="22"/>
                <w:szCs w:val="22"/>
                <w:highlight w:val="none"/>
                <w:u w:val="none"/>
                <w:lang w:val="en-US" w:eastAsia="zh-CN" w:bidi="ar"/>
              </w:rPr>
              <w:t>100万元</w:t>
            </w:r>
          </w:p>
        </w:tc>
        <w:tc>
          <w:tcPr>
            <w:tcW w:w="839" w:type="pct"/>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left="0" w:leftChars="0" w:right="0" w:rightChars="0"/>
              <w:jc w:val="center"/>
              <w:rPr>
                <w:rFonts w:hint="eastAsia" w:ascii="Times New Roman" w:hAnsi="Times New Roman" w:eastAsia="方正仿宋_GBK" w:cs="方正仿宋_GBK"/>
                <w:b w:val="0"/>
                <w:bCs/>
                <w:color w:val="auto"/>
                <w:kern w:val="0"/>
                <w:sz w:val="24"/>
                <w:szCs w:val="22"/>
                <w:highlight w:val="none"/>
                <w:u w:val="none"/>
                <w:lang w:val="en-US" w:eastAsia="zh-CN" w:bidi="ar-SA"/>
              </w:rPr>
            </w:pPr>
            <w:r>
              <w:rPr>
                <w:rFonts w:hint="eastAsia" w:ascii="Times New Roman" w:hAnsi="Times New Roman" w:eastAsia="方正仿宋_GBK" w:cs="宋体"/>
                <w:b w:val="0"/>
                <w:bCs/>
                <w:color w:val="auto"/>
                <w:kern w:val="0"/>
                <w:sz w:val="24"/>
                <w:szCs w:val="22"/>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23" w:type="pct"/>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left="0" w:leftChars="0" w:right="0" w:rightChars="0"/>
              <w:jc w:val="center"/>
              <w:rPr>
                <w:rFonts w:hint="eastAsia" w:ascii="Times New Roman" w:hAnsi="Times New Roman" w:eastAsia="方正仿宋_GBK" w:cs="方正仿宋_GBK"/>
                <w:b w:val="0"/>
                <w:bCs/>
                <w:color w:val="auto"/>
                <w:kern w:val="0"/>
                <w:sz w:val="24"/>
                <w:szCs w:val="22"/>
                <w:highlight w:val="none"/>
                <w:u w:val="none"/>
                <w:lang w:val="en-US" w:eastAsia="zh-CN"/>
              </w:rPr>
            </w:pPr>
            <w:r>
              <w:rPr>
                <w:rFonts w:hint="eastAsia" w:ascii="Times New Roman" w:hAnsi="Times New Roman" w:eastAsia="方正仿宋_GBK" w:cs="方正仿宋_GBK"/>
                <w:b w:val="0"/>
                <w:bCs/>
                <w:color w:val="auto"/>
                <w:kern w:val="0"/>
                <w:sz w:val="24"/>
                <w:szCs w:val="22"/>
                <w:highlight w:val="none"/>
                <w:u w:val="none"/>
                <w:lang w:val="en-US" w:eastAsia="zh-CN"/>
              </w:rPr>
              <w:t>2</w:t>
            </w:r>
          </w:p>
        </w:tc>
        <w:tc>
          <w:tcPr>
            <w:tcW w:w="684"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left="0" w:leftChars="0" w:right="0" w:rightChars="0"/>
              <w:jc w:val="center"/>
              <w:textAlignment w:val="center"/>
              <w:rPr>
                <w:rFonts w:hint="default" w:ascii="Times New Roman" w:hAnsi="Times New Roman" w:eastAsia="方正仿宋_GBK" w:cs="方正仿宋_GBK"/>
                <w:b w:val="0"/>
                <w:bCs/>
                <w:color w:val="auto"/>
                <w:kern w:val="0"/>
                <w:sz w:val="21"/>
                <w:szCs w:val="20"/>
                <w:highlight w:val="none"/>
                <w:u w:val="none"/>
                <w:lang w:val="en-US" w:eastAsia="zh-CN"/>
              </w:rPr>
            </w:pPr>
            <w:r>
              <w:rPr>
                <w:rFonts w:hint="eastAsia" w:ascii="Times New Roman" w:hAnsi="Times New Roman" w:eastAsia="方正仿宋_GBK" w:cs="方正仿宋_GBK"/>
                <w:i w:val="0"/>
                <w:iCs w:val="0"/>
                <w:color w:val="000000"/>
                <w:kern w:val="0"/>
                <w:sz w:val="18"/>
                <w:szCs w:val="18"/>
                <w:highlight w:val="none"/>
                <w:u w:val="none"/>
                <w:lang w:val="en-US" w:eastAsia="zh-CN" w:bidi="ar"/>
              </w:rPr>
              <w:t>医保定点机构门急诊</w:t>
            </w:r>
            <w:r>
              <w:rPr>
                <w:rFonts w:hint="eastAsia" w:ascii="Times New Roman" w:hAnsi="Times New Roman" w:eastAsia="方正仿宋_GBK" w:cs="方正仿宋_GBK"/>
                <w:i w:val="0"/>
                <w:iCs w:val="0"/>
                <w:color w:val="000000"/>
                <w:kern w:val="0"/>
                <w:sz w:val="21"/>
                <w:szCs w:val="21"/>
                <w:highlight w:val="none"/>
                <w:u w:val="none"/>
                <w:lang w:val="en-US" w:eastAsia="zh-CN" w:bidi="ar"/>
              </w:rPr>
              <w:t>（不含起付线）</w:t>
            </w:r>
          </w:p>
        </w:tc>
        <w:tc>
          <w:tcPr>
            <w:tcW w:w="2335" w:type="pct"/>
            <w:noWrap w:val="0"/>
            <w:vAlign w:val="top"/>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left="0" w:leftChars="0" w:right="0" w:rightChars="0"/>
              <w:jc w:val="left"/>
              <w:textAlignment w:val="top"/>
              <w:rPr>
                <w:rFonts w:hint="default" w:ascii="Times New Roman" w:hAnsi="Times New Roman" w:eastAsia="方正仿宋_GBK" w:cs="方正仿宋_GBK"/>
                <w:b w:val="0"/>
                <w:bCs/>
                <w:color w:val="auto"/>
                <w:kern w:val="0"/>
                <w:sz w:val="18"/>
                <w:szCs w:val="16"/>
                <w:highlight w:val="none"/>
                <w:u w:val="none"/>
                <w:lang w:val="en-US" w:eastAsia="zh-CN"/>
              </w:rPr>
            </w:pPr>
            <w:r>
              <w:rPr>
                <w:rFonts w:hint="eastAsia" w:ascii="Times New Roman" w:hAnsi="Times New Roman" w:eastAsia="方正仿宋_GBK" w:cs="方正仿宋_GBK"/>
                <w:sz w:val="24"/>
                <w:szCs w:val="24"/>
                <w:highlight w:val="none"/>
                <w:u w:val="none"/>
                <w:lang w:val="en-US" w:eastAsia="zh-CN"/>
              </w:rPr>
              <w:t>被保险人因遭受意外或疾病，在医院治疗发生的符合重庆基本医疗保险规定的、合理的门诊急诊医疗费用，年免费额200元</w:t>
            </w:r>
            <w:r>
              <w:rPr>
                <w:rFonts w:hint="eastAsia" w:ascii="Times New Roman" w:hAnsi="Times New Roman" w:eastAsia="方正仿宋_GBK" w:cs="方正仿宋_GBK"/>
                <w:b/>
                <w:bCs/>
                <w:color w:val="000000"/>
                <w:sz w:val="24"/>
                <w:szCs w:val="24"/>
                <w:highlight w:val="none"/>
                <w:lang w:val="en-US" w:eastAsia="zh-CN"/>
              </w:rPr>
              <w:t>，</w:t>
            </w:r>
            <w:r>
              <w:rPr>
                <w:rFonts w:hint="eastAsia" w:ascii="Times New Roman" w:hAnsi="Times New Roman" w:eastAsia="方正仿宋_GBK" w:cs="方正仿宋_GBK"/>
                <w:b w:val="0"/>
                <w:bCs w:val="0"/>
                <w:sz w:val="24"/>
                <w:szCs w:val="24"/>
                <w:highlight w:val="none"/>
                <w:u w:val="none"/>
                <w:lang w:val="en-US" w:eastAsia="zh-CN"/>
              </w:rPr>
              <w:t>按95%比例赔付</w:t>
            </w:r>
            <w:r>
              <w:rPr>
                <w:rFonts w:hint="eastAsia" w:ascii="Times New Roman" w:hAnsi="Times New Roman" w:eastAsia="方正仿宋_GBK" w:cs="方正仿宋_GBK"/>
                <w:sz w:val="24"/>
                <w:szCs w:val="24"/>
                <w:highlight w:val="none"/>
                <w:u w:val="none"/>
                <w:lang w:val="en-US" w:eastAsia="zh-CN"/>
              </w:rPr>
              <w:t>，次数未限制。</w:t>
            </w:r>
            <w:r>
              <w:rPr>
                <w:rFonts w:hint="eastAsia" w:ascii="Times New Roman" w:hAnsi="Times New Roman" w:eastAsia="方正仿宋_GBK" w:cs="方正仿宋_GBK"/>
                <w:b/>
                <w:bCs/>
                <w:sz w:val="22"/>
                <w:szCs w:val="22"/>
                <w:highlight w:val="none"/>
                <w:u w:val="none"/>
                <w:lang w:val="en-US" w:eastAsia="zh-CN"/>
              </w:rPr>
              <w:t>（即甲类费用的100%部分和乙类费用的65%-90%部分在保额上限范围内按95%报销）</w:t>
            </w:r>
          </w:p>
        </w:tc>
        <w:tc>
          <w:tcPr>
            <w:tcW w:w="917"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left="0" w:leftChars="0" w:right="0" w:rightChars="0"/>
              <w:jc w:val="center"/>
              <w:textAlignment w:val="center"/>
              <w:rPr>
                <w:rFonts w:hint="default" w:ascii="Times New Roman" w:hAnsi="Times New Roman" w:eastAsia="方正仿宋_GBK" w:cs="方正仿宋_GBK"/>
                <w:b w:val="0"/>
                <w:bCs/>
                <w:color w:val="auto"/>
                <w:kern w:val="0"/>
                <w:sz w:val="24"/>
                <w:szCs w:val="22"/>
                <w:highlight w:val="none"/>
                <w:u w:val="none"/>
                <w:lang w:val="en-US" w:eastAsia="zh-CN"/>
              </w:rPr>
            </w:pPr>
            <w:r>
              <w:rPr>
                <w:rFonts w:hint="eastAsia" w:ascii="Times New Roman" w:hAnsi="Times New Roman" w:eastAsia="方正仿宋_GBK" w:cs="方正仿宋_GBK"/>
                <w:i w:val="0"/>
                <w:iCs w:val="0"/>
                <w:color w:val="000000"/>
                <w:kern w:val="0"/>
                <w:sz w:val="22"/>
                <w:szCs w:val="22"/>
                <w:highlight w:val="none"/>
                <w:u w:val="none"/>
                <w:lang w:val="en-US" w:eastAsia="zh-CN" w:bidi="ar"/>
              </w:rPr>
              <w:t>0.5万元</w:t>
            </w:r>
          </w:p>
        </w:tc>
        <w:tc>
          <w:tcPr>
            <w:tcW w:w="839" w:type="pct"/>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left="0" w:leftChars="0" w:right="0" w:rightChars="0"/>
              <w:jc w:val="center"/>
              <w:rPr>
                <w:rFonts w:hint="eastAsia" w:ascii="Times New Roman" w:hAnsi="Times New Roman" w:eastAsia="方正仿宋_GBK" w:cs="宋体"/>
                <w:b w:val="0"/>
                <w:bCs/>
                <w:color w:val="auto"/>
                <w:kern w:val="0"/>
                <w:sz w:val="24"/>
                <w:szCs w:val="22"/>
                <w:highlight w:val="none"/>
                <w:u w:val="none"/>
                <w:lang w:val="en-US" w:eastAsia="zh-CN" w:bidi="ar-SA"/>
              </w:rPr>
            </w:pPr>
            <w:r>
              <w:rPr>
                <w:rFonts w:hint="eastAsia" w:ascii="Times New Roman" w:hAnsi="Times New Roman" w:eastAsia="方正仿宋_GBK" w:cs="宋体"/>
                <w:b w:val="0"/>
                <w:bCs/>
                <w:color w:val="auto"/>
                <w:kern w:val="0"/>
                <w:sz w:val="24"/>
                <w:szCs w:val="22"/>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23" w:type="pct"/>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方正仿宋_GBK" w:cs="宋体"/>
                <w:b w:val="0"/>
                <w:bCs/>
                <w:color w:val="auto"/>
                <w:kern w:val="0"/>
                <w:sz w:val="24"/>
                <w:szCs w:val="22"/>
                <w:highlight w:val="none"/>
                <w:u w:val="none"/>
                <w:lang w:val="en-US" w:eastAsia="zh-CN"/>
              </w:rPr>
            </w:pPr>
            <w:r>
              <w:rPr>
                <w:rFonts w:hint="eastAsia" w:ascii="Times New Roman" w:hAnsi="Times New Roman" w:eastAsia="方正仿宋_GBK" w:cs="宋体"/>
                <w:b w:val="0"/>
                <w:bCs/>
                <w:color w:val="auto"/>
                <w:kern w:val="0"/>
                <w:sz w:val="24"/>
                <w:szCs w:val="22"/>
                <w:highlight w:val="none"/>
                <w:u w:val="none"/>
                <w:lang w:val="en-US" w:eastAsia="zh-CN"/>
              </w:rPr>
              <w:t>3</w:t>
            </w:r>
          </w:p>
        </w:tc>
        <w:tc>
          <w:tcPr>
            <w:tcW w:w="684"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imes New Roman" w:hAnsi="Times New Roman" w:eastAsia="方正仿宋_GBK" w:cs="方正仿宋_GBK"/>
                <w:i w:val="0"/>
                <w:iCs w:val="0"/>
                <w:color w:val="000000"/>
                <w:kern w:val="0"/>
                <w:sz w:val="21"/>
                <w:szCs w:val="21"/>
                <w:highlight w:val="none"/>
                <w:u w:val="none"/>
                <w:lang w:val="en-US" w:eastAsia="zh-CN" w:bidi="ar"/>
              </w:rPr>
            </w:pPr>
            <w:r>
              <w:rPr>
                <w:rFonts w:hint="eastAsia" w:ascii="Times New Roman" w:hAnsi="Times New Roman" w:eastAsia="方正仿宋_GBK" w:cs="方正仿宋_GBK"/>
                <w:i w:val="0"/>
                <w:iCs w:val="0"/>
                <w:color w:val="000000"/>
                <w:kern w:val="0"/>
                <w:sz w:val="21"/>
                <w:szCs w:val="21"/>
                <w:highlight w:val="none"/>
                <w:u w:val="none"/>
                <w:lang w:val="en-US" w:eastAsia="zh-CN" w:bidi="ar"/>
              </w:rPr>
              <w:t>意外</w:t>
            </w:r>
            <w:r>
              <w:rPr>
                <w:rStyle w:val="11"/>
                <w:rFonts w:ascii="Times New Roman" w:hAnsi="Times New Roman" w:eastAsia="方正仿宋_GBK"/>
                <w:sz w:val="21"/>
                <w:szCs w:val="21"/>
                <w:highlight w:val="none"/>
                <w:u w:val="none"/>
                <w:lang w:val="en-US" w:eastAsia="zh-CN" w:bidi="ar"/>
              </w:rPr>
              <w:t>/</w:t>
            </w:r>
            <w:r>
              <w:rPr>
                <w:rFonts w:hint="eastAsia" w:ascii="Times New Roman" w:hAnsi="Times New Roman" w:eastAsia="方正仿宋_GBK" w:cs="方正仿宋_GBK"/>
                <w:i w:val="0"/>
                <w:iCs w:val="0"/>
                <w:color w:val="000000"/>
                <w:kern w:val="0"/>
                <w:sz w:val="21"/>
                <w:szCs w:val="21"/>
                <w:highlight w:val="none"/>
                <w:u w:val="none"/>
                <w:lang w:val="en-US" w:eastAsia="zh-CN" w:bidi="ar"/>
              </w:rPr>
              <w:t>疾病</w:t>
            </w:r>
          </w:p>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imes New Roman" w:hAnsi="Times New Roman" w:eastAsia="方正仿宋_GBK" w:cs="宋体"/>
                <w:b w:val="0"/>
                <w:bCs/>
                <w:color w:val="auto"/>
                <w:kern w:val="0"/>
                <w:sz w:val="21"/>
                <w:szCs w:val="20"/>
                <w:highlight w:val="none"/>
                <w:u w:val="none"/>
              </w:rPr>
            </w:pPr>
            <w:r>
              <w:rPr>
                <w:rFonts w:hint="eastAsia" w:ascii="Times New Roman" w:hAnsi="Times New Roman" w:eastAsia="方正仿宋_GBK" w:cs="方正仿宋_GBK"/>
                <w:i w:val="0"/>
                <w:iCs w:val="0"/>
                <w:color w:val="000000"/>
                <w:kern w:val="0"/>
                <w:sz w:val="21"/>
                <w:szCs w:val="21"/>
                <w:highlight w:val="none"/>
                <w:u w:val="none"/>
                <w:lang w:val="en-US" w:eastAsia="zh-CN" w:bidi="ar"/>
              </w:rPr>
              <w:t>住院津贴</w:t>
            </w:r>
          </w:p>
        </w:tc>
        <w:tc>
          <w:tcPr>
            <w:tcW w:w="2335"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imes New Roman" w:hAnsi="Times New Roman" w:eastAsia="方正仿宋_GBK" w:cs="方正仿宋_GBK"/>
                <w:b w:val="0"/>
                <w:bCs/>
                <w:color w:val="auto"/>
                <w:kern w:val="0"/>
                <w:sz w:val="21"/>
                <w:szCs w:val="20"/>
                <w:highlight w:val="none"/>
                <w:u w:val="none"/>
              </w:rPr>
            </w:pPr>
            <w:bookmarkStart w:id="0" w:name="OLE_LINK3"/>
            <w:r>
              <w:rPr>
                <w:rFonts w:hint="eastAsia" w:ascii="Times New Roman" w:hAnsi="Times New Roman" w:eastAsia="方正仿宋_GBK" w:cs="方正仿宋_GBK"/>
                <w:i w:val="0"/>
                <w:iCs w:val="0"/>
                <w:color w:val="000000"/>
                <w:kern w:val="0"/>
                <w:sz w:val="22"/>
                <w:szCs w:val="22"/>
                <w:highlight w:val="none"/>
                <w:u w:val="none"/>
                <w:lang w:val="en-US" w:eastAsia="zh-CN" w:bidi="ar"/>
              </w:rPr>
              <w:t>意外</w:t>
            </w:r>
            <w:r>
              <w:rPr>
                <w:rFonts w:hint="default" w:ascii="Times New Roman" w:hAnsi="Times New Roman" w:eastAsia="方正仿宋_GBK" w:cs="Times New Roman"/>
                <w:i w:val="0"/>
                <w:iCs w:val="0"/>
                <w:color w:val="000000"/>
                <w:kern w:val="0"/>
                <w:sz w:val="22"/>
                <w:szCs w:val="22"/>
                <w:highlight w:val="none"/>
                <w:u w:val="none"/>
                <w:lang w:val="en-US" w:eastAsia="zh-CN" w:bidi="ar"/>
              </w:rPr>
              <w:t>/</w:t>
            </w:r>
            <w:r>
              <w:rPr>
                <w:rFonts w:hint="eastAsia" w:ascii="Times New Roman" w:hAnsi="Times New Roman" w:eastAsia="方正仿宋_GBK" w:cs="方正仿宋_GBK"/>
                <w:i w:val="0"/>
                <w:iCs w:val="0"/>
                <w:color w:val="000000"/>
                <w:kern w:val="0"/>
                <w:sz w:val="22"/>
                <w:szCs w:val="22"/>
                <w:highlight w:val="none"/>
                <w:u w:val="none"/>
                <w:lang w:val="en-US" w:eastAsia="zh-CN" w:bidi="ar"/>
              </w:rPr>
              <w:t>疾病住院日额补贴</w:t>
            </w:r>
            <w:r>
              <w:rPr>
                <w:rFonts w:hint="eastAsia" w:ascii="Times New Roman" w:hAnsi="Times New Roman" w:eastAsia="方正仿宋_GBK" w:cs="方正仿宋_GBK"/>
                <w:b/>
                <w:bCs/>
                <w:i w:val="0"/>
                <w:iCs w:val="0"/>
                <w:color w:val="000000"/>
                <w:kern w:val="0"/>
                <w:sz w:val="20"/>
                <w:szCs w:val="20"/>
                <w:highlight w:val="none"/>
                <w:u w:val="none"/>
                <w:lang w:val="en-US" w:eastAsia="zh-CN" w:bidi="ar"/>
              </w:rPr>
              <w:t>（在保额范围内用于</w:t>
            </w:r>
            <w:r>
              <w:rPr>
                <w:rFonts w:hint="eastAsia" w:ascii="Times New Roman" w:hAnsi="Times New Roman" w:eastAsia="方正仿宋_GBK" w:cs="方正仿宋_GBK"/>
                <w:b/>
                <w:bCs/>
                <w:sz w:val="20"/>
                <w:szCs w:val="20"/>
                <w:highlight w:val="none"/>
                <w:u w:val="none"/>
                <w:lang w:val="en-US" w:eastAsia="zh-CN"/>
              </w:rPr>
              <w:t>床位费的超标额及床位费的全自费部分的补助</w:t>
            </w:r>
            <w:r>
              <w:rPr>
                <w:rFonts w:hint="eastAsia" w:ascii="Times New Roman" w:hAnsi="Times New Roman" w:eastAsia="方正仿宋_GBK" w:cs="方正仿宋_GBK"/>
                <w:b/>
                <w:bCs/>
                <w:i w:val="0"/>
                <w:iCs w:val="0"/>
                <w:color w:val="000000"/>
                <w:kern w:val="0"/>
                <w:sz w:val="20"/>
                <w:szCs w:val="20"/>
                <w:highlight w:val="none"/>
                <w:u w:val="none"/>
                <w:lang w:val="en-US" w:eastAsia="zh-CN" w:bidi="ar"/>
              </w:rPr>
              <w:t>）</w:t>
            </w:r>
            <w:bookmarkEnd w:id="0"/>
          </w:p>
        </w:tc>
        <w:tc>
          <w:tcPr>
            <w:tcW w:w="917"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imes New Roman" w:hAnsi="Times New Roman" w:eastAsia="方正仿宋_GBK" w:cs="宋体"/>
                <w:b w:val="0"/>
                <w:bCs/>
                <w:color w:val="auto"/>
                <w:kern w:val="0"/>
                <w:sz w:val="24"/>
                <w:szCs w:val="22"/>
                <w:highlight w:val="none"/>
                <w:u w:val="none"/>
              </w:rPr>
            </w:pPr>
            <w:r>
              <w:rPr>
                <w:rFonts w:hint="eastAsia" w:ascii="Times New Roman" w:hAnsi="Times New Roman" w:eastAsia="方正仿宋_GBK" w:cs="方正仿宋_GBK"/>
                <w:i w:val="0"/>
                <w:iCs w:val="0"/>
                <w:color w:val="000000"/>
                <w:kern w:val="0"/>
                <w:sz w:val="16"/>
                <w:szCs w:val="16"/>
                <w:highlight w:val="none"/>
                <w:u w:val="none"/>
                <w:lang w:val="en-US" w:eastAsia="zh-CN" w:bidi="ar"/>
              </w:rPr>
              <w:t>200元/天，全年最高180天</w:t>
            </w:r>
          </w:p>
        </w:tc>
        <w:tc>
          <w:tcPr>
            <w:tcW w:w="839" w:type="pct"/>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left="0" w:leftChars="0" w:right="0" w:rightChars="0"/>
              <w:jc w:val="center"/>
              <w:rPr>
                <w:rFonts w:hint="eastAsia" w:ascii="Times New Roman" w:hAnsi="Times New Roman" w:eastAsia="方正仿宋_GBK" w:cs="宋体"/>
                <w:b w:val="0"/>
                <w:bCs/>
                <w:color w:val="auto"/>
                <w:kern w:val="0"/>
                <w:sz w:val="24"/>
                <w:szCs w:val="22"/>
                <w:highlight w:val="none"/>
                <w:u w:val="none"/>
                <w:lang w:val="en-US" w:eastAsia="zh-CN" w:bidi="ar-SA"/>
              </w:rPr>
            </w:pPr>
            <w:r>
              <w:rPr>
                <w:rFonts w:hint="eastAsia" w:ascii="Times New Roman" w:hAnsi="Times New Roman" w:eastAsia="方正仿宋_GBK" w:cs="宋体"/>
                <w:b w:val="0"/>
                <w:bCs/>
                <w:color w:val="auto"/>
                <w:kern w:val="0"/>
                <w:sz w:val="24"/>
                <w:szCs w:val="22"/>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23" w:type="pct"/>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left="0" w:leftChars="0" w:right="0" w:rightChars="0"/>
              <w:jc w:val="center"/>
              <w:rPr>
                <w:rFonts w:hint="eastAsia" w:ascii="Times New Roman" w:hAnsi="Times New Roman" w:eastAsia="方正仿宋_GBK" w:cs="宋体"/>
                <w:b w:val="0"/>
                <w:bCs/>
                <w:color w:val="auto"/>
                <w:kern w:val="0"/>
                <w:sz w:val="24"/>
                <w:szCs w:val="22"/>
                <w:highlight w:val="none"/>
                <w:u w:val="none"/>
                <w:lang w:val="en-US" w:eastAsia="zh-CN"/>
              </w:rPr>
            </w:pPr>
            <w:r>
              <w:rPr>
                <w:rFonts w:hint="eastAsia" w:ascii="Times New Roman" w:hAnsi="Times New Roman" w:eastAsia="方正仿宋_GBK" w:cs="宋体"/>
                <w:b w:val="0"/>
                <w:bCs/>
                <w:color w:val="auto"/>
                <w:kern w:val="0"/>
                <w:sz w:val="24"/>
                <w:szCs w:val="22"/>
                <w:highlight w:val="none"/>
                <w:u w:val="none"/>
                <w:lang w:val="en-US" w:eastAsia="zh-CN"/>
              </w:rPr>
              <w:t>4</w:t>
            </w:r>
          </w:p>
        </w:tc>
        <w:tc>
          <w:tcPr>
            <w:tcW w:w="684"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imes New Roman" w:hAnsi="Times New Roman" w:eastAsia="方正仿宋_GBK" w:cs="方正仿宋_GBK"/>
                <w:i w:val="0"/>
                <w:iCs w:val="0"/>
                <w:color w:val="000000"/>
                <w:kern w:val="0"/>
                <w:sz w:val="21"/>
                <w:szCs w:val="21"/>
                <w:highlight w:val="none"/>
                <w:u w:val="none"/>
                <w:lang w:val="en-US" w:eastAsia="zh-CN" w:bidi="ar"/>
              </w:rPr>
            </w:pPr>
            <w:r>
              <w:rPr>
                <w:rFonts w:hint="eastAsia" w:ascii="Times New Roman" w:hAnsi="Times New Roman" w:eastAsia="方正仿宋_GBK" w:cs="方正仿宋_GBK"/>
                <w:i w:val="0"/>
                <w:iCs w:val="0"/>
                <w:color w:val="000000"/>
                <w:kern w:val="0"/>
                <w:sz w:val="21"/>
                <w:szCs w:val="21"/>
                <w:highlight w:val="none"/>
                <w:u w:val="none"/>
                <w:lang w:val="en-US" w:eastAsia="zh-CN" w:bidi="ar"/>
              </w:rPr>
              <w:t>重症监护室</w:t>
            </w:r>
          </w:p>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left="0" w:leftChars="0" w:right="0" w:rightChars="0"/>
              <w:jc w:val="center"/>
              <w:textAlignment w:val="center"/>
              <w:rPr>
                <w:rFonts w:ascii="Times New Roman" w:hAnsi="Times New Roman" w:eastAsia="方正仿宋_GBK" w:cs="宋体"/>
                <w:b w:val="0"/>
                <w:bCs/>
                <w:color w:val="auto"/>
                <w:kern w:val="0"/>
                <w:sz w:val="21"/>
                <w:szCs w:val="20"/>
                <w:highlight w:val="none"/>
                <w:u w:val="none"/>
              </w:rPr>
            </w:pPr>
            <w:r>
              <w:rPr>
                <w:rFonts w:hint="eastAsia" w:ascii="Times New Roman" w:hAnsi="Times New Roman" w:eastAsia="方正仿宋_GBK" w:cs="方正仿宋_GBK"/>
                <w:i w:val="0"/>
                <w:iCs w:val="0"/>
                <w:color w:val="000000"/>
                <w:kern w:val="0"/>
                <w:sz w:val="21"/>
                <w:szCs w:val="21"/>
                <w:highlight w:val="none"/>
                <w:u w:val="none"/>
                <w:lang w:val="en-US" w:eastAsia="zh-CN" w:bidi="ar"/>
              </w:rPr>
              <w:t>津贴</w:t>
            </w:r>
          </w:p>
        </w:tc>
        <w:tc>
          <w:tcPr>
            <w:tcW w:w="2335"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left="0" w:leftChars="0" w:right="0" w:rightChars="0"/>
              <w:jc w:val="both"/>
              <w:textAlignment w:val="center"/>
              <w:rPr>
                <w:rFonts w:ascii="Times New Roman" w:hAnsi="Times New Roman" w:eastAsia="方正仿宋_GBK" w:cs="方正仿宋_GBK"/>
                <w:b w:val="0"/>
                <w:bCs/>
                <w:color w:val="auto"/>
                <w:kern w:val="0"/>
                <w:sz w:val="21"/>
                <w:szCs w:val="20"/>
                <w:highlight w:val="none"/>
                <w:u w:val="none"/>
              </w:rPr>
            </w:pPr>
            <w:r>
              <w:rPr>
                <w:rFonts w:hint="eastAsia" w:ascii="Times New Roman" w:hAnsi="Times New Roman" w:eastAsia="方正仿宋_GBK" w:cs="方正仿宋_GBK"/>
                <w:i w:val="0"/>
                <w:iCs w:val="0"/>
                <w:color w:val="000000"/>
                <w:kern w:val="0"/>
                <w:sz w:val="21"/>
                <w:szCs w:val="21"/>
                <w:highlight w:val="none"/>
                <w:u w:val="none"/>
                <w:lang w:val="en-US" w:eastAsia="zh-CN" w:bidi="ar"/>
              </w:rPr>
              <w:t>重症监护室津贴保险金</w:t>
            </w:r>
            <w:r>
              <w:rPr>
                <w:rFonts w:hint="eastAsia" w:ascii="Times New Roman" w:hAnsi="Times New Roman" w:eastAsia="方正仿宋_GBK" w:cs="方正仿宋_GBK"/>
                <w:b/>
                <w:bCs/>
                <w:i w:val="0"/>
                <w:iCs w:val="0"/>
                <w:color w:val="000000"/>
                <w:kern w:val="0"/>
                <w:sz w:val="21"/>
                <w:szCs w:val="21"/>
                <w:highlight w:val="none"/>
                <w:u w:val="none"/>
                <w:lang w:val="en-US" w:eastAsia="zh-CN" w:bidi="ar"/>
              </w:rPr>
              <w:t>（在保额范围内用于</w:t>
            </w:r>
            <w:r>
              <w:rPr>
                <w:rFonts w:hint="eastAsia" w:ascii="Times New Roman" w:hAnsi="Times New Roman" w:eastAsia="方正仿宋_GBK" w:cs="方正仿宋_GBK"/>
                <w:b/>
                <w:bCs/>
                <w:sz w:val="21"/>
                <w:szCs w:val="21"/>
                <w:highlight w:val="none"/>
                <w:u w:val="none"/>
                <w:lang w:val="en-US" w:eastAsia="zh-CN"/>
              </w:rPr>
              <w:t>床位费的超标额及床位费的全自费部分的补助</w:t>
            </w:r>
            <w:r>
              <w:rPr>
                <w:rFonts w:hint="eastAsia" w:ascii="Times New Roman" w:hAnsi="Times New Roman" w:eastAsia="方正仿宋_GBK" w:cs="方正仿宋_GBK"/>
                <w:b/>
                <w:bCs/>
                <w:i w:val="0"/>
                <w:iCs w:val="0"/>
                <w:color w:val="000000"/>
                <w:kern w:val="0"/>
                <w:sz w:val="21"/>
                <w:szCs w:val="21"/>
                <w:highlight w:val="none"/>
                <w:u w:val="none"/>
                <w:lang w:val="en-US" w:eastAsia="zh-CN" w:bidi="ar"/>
              </w:rPr>
              <w:t>）</w:t>
            </w:r>
          </w:p>
        </w:tc>
        <w:tc>
          <w:tcPr>
            <w:tcW w:w="917"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left="0" w:leftChars="0" w:right="0" w:rightChars="0"/>
              <w:jc w:val="center"/>
              <w:textAlignment w:val="center"/>
              <w:rPr>
                <w:rFonts w:ascii="Times New Roman" w:hAnsi="Times New Roman" w:eastAsia="方正仿宋_GBK" w:cs="宋体"/>
                <w:b w:val="0"/>
                <w:bCs/>
                <w:color w:val="auto"/>
                <w:kern w:val="0"/>
                <w:sz w:val="24"/>
                <w:szCs w:val="22"/>
                <w:highlight w:val="none"/>
                <w:u w:val="none"/>
              </w:rPr>
            </w:pPr>
            <w:r>
              <w:rPr>
                <w:rFonts w:hint="eastAsia" w:ascii="Times New Roman" w:hAnsi="Times New Roman" w:eastAsia="方正仿宋_GBK" w:cs="方正仿宋_GBK"/>
                <w:i w:val="0"/>
                <w:iCs w:val="0"/>
                <w:color w:val="000000"/>
                <w:kern w:val="0"/>
                <w:sz w:val="16"/>
                <w:szCs w:val="16"/>
                <w:highlight w:val="none"/>
                <w:u w:val="none"/>
                <w:lang w:val="en-US" w:eastAsia="zh-CN" w:bidi="ar"/>
              </w:rPr>
              <w:t>500元/天，全年最高10天</w:t>
            </w:r>
          </w:p>
        </w:tc>
        <w:tc>
          <w:tcPr>
            <w:tcW w:w="839" w:type="pct"/>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left="0" w:leftChars="0" w:right="0" w:rightChars="0"/>
              <w:jc w:val="center"/>
              <w:rPr>
                <w:rFonts w:hint="eastAsia" w:ascii="Times New Roman" w:hAnsi="Times New Roman" w:eastAsia="方正仿宋_GBK" w:cs="宋体"/>
                <w:b w:val="0"/>
                <w:bCs/>
                <w:color w:val="auto"/>
                <w:kern w:val="0"/>
                <w:sz w:val="24"/>
                <w:szCs w:val="22"/>
                <w:highlight w:val="none"/>
                <w:u w:val="none"/>
                <w:lang w:val="en-US" w:eastAsia="zh-CN" w:bidi="ar-SA"/>
              </w:rPr>
            </w:pPr>
            <w:r>
              <w:rPr>
                <w:rFonts w:hint="eastAsia" w:ascii="Times New Roman" w:hAnsi="Times New Roman" w:eastAsia="方正仿宋_GBK" w:cs="宋体"/>
                <w:b w:val="0"/>
                <w:bCs/>
                <w:color w:val="auto"/>
                <w:kern w:val="0"/>
                <w:sz w:val="24"/>
                <w:szCs w:val="22"/>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23" w:type="pct"/>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方正仿宋_GBK" w:cs="宋体"/>
                <w:b w:val="0"/>
                <w:bCs/>
                <w:color w:val="auto"/>
                <w:kern w:val="0"/>
                <w:sz w:val="24"/>
                <w:szCs w:val="22"/>
                <w:highlight w:val="none"/>
                <w:u w:val="none"/>
                <w:lang w:val="en-US" w:eastAsia="zh-CN"/>
              </w:rPr>
            </w:pPr>
            <w:r>
              <w:rPr>
                <w:rFonts w:hint="eastAsia" w:ascii="Times New Roman" w:hAnsi="Times New Roman" w:eastAsia="方正仿宋_GBK" w:cs="宋体"/>
                <w:b w:val="0"/>
                <w:bCs/>
                <w:color w:val="auto"/>
                <w:kern w:val="0"/>
                <w:sz w:val="24"/>
                <w:szCs w:val="22"/>
                <w:highlight w:val="none"/>
                <w:u w:val="none"/>
                <w:lang w:val="en-US" w:eastAsia="zh-CN"/>
              </w:rPr>
              <w:t>5</w:t>
            </w:r>
          </w:p>
        </w:tc>
        <w:tc>
          <w:tcPr>
            <w:tcW w:w="684"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imes New Roman" w:hAnsi="Times New Roman" w:eastAsia="方正仿宋_GBK" w:cs="方正仿宋_GBK"/>
                <w:i w:val="0"/>
                <w:iCs w:val="0"/>
                <w:color w:val="000000"/>
                <w:kern w:val="0"/>
                <w:sz w:val="20"/>
                <w:szCs w:val="20"/>
                <w:highlight w:val="none"/>
                <w:u w:val="none"/>
                <w:lang w:val="en-US" w:eastAsia="zh-CN" w:bidi="ar"/>
              </w:rPr>
            </w:pPr>
            <w:r>
              <w:rPr>
                <w:rFonts w:hint="eastAsia" w:ascii="Times New Roman" w:hAnsi="Times New Roman" w:eastAsia="方正仿宋_GBK" w:cs="方正仿宋_GBK"/>
                <w:i w:val="0"/>
                <w:iCs w:val="0"/>
                <w:color w:val="000000"/>
                <w:kern w:val="0"/>
                <w:sz w:val="21"/>
                <w:szCs w:val="21"/>
                <w:highlight w:val="none"/>
                <w:u w:val="none"/>
                <w:lang w:val="en-US" w:eastAsia="zh-CN" w:bidi="ar"/>
              </w:rPr>
              <w:t>医保定点机构住院期间院外购药</w:t>
            </w:r>
          </w:p>
        </w:tc>
        <w:tc>
          <w:tcPr>
            <w:tcW w:w="2335"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left="0" w:leftChars="0" w:right="0" w:rightChars="0"/>
              <w:jc w:val="left"/>
              <w:textAlignment w:val="center"/>
              <w:rPr>
                <w:rFonts w:hint="eastAsia" w:ascii="Times New Roman" w:hAnsi="Times New Roman" w:eastAsia="方正仿宋_GBK" w:cs="方正仿宋_GBK"/>
                <w:i w:val="0"/>
                <w:iCs w:val="0"/>
                <w:color w:val="000000"/>
                <w:kern w:val="0"/>
                <w:sz w:val="18"/>
                <w:szCs w:val="18"/>
                <w:highlight w:val="none"/>
                <w:u w:val="none"/>
                <w:lang w:val="en-US" w:eastAsia="zh-CN" w:bidi="ar"/>
              </w:rPr>
            </w:pPr>
            <w:r>
              <w:rPr>
                <w:rFonts w:hint="eastAsia" w:ascii="Times New Roman" w:hAnsi="Times New Roman" w:eastAsia="方正仿宋_GBK" w:cs="方正仿宋_GBK"/>
                <w:i w:val="0"/>
                <w:iCs w:val="0"/>
                <w:color w:val="000000"/>
                <w:kern w:val="0"/>
                <w:sz w:val="21"/>
                <w:szCs w:val="21"/>
                <w:highlight w:val="none"/>
                <w:u w:val="none"/>
                <w:lang w:val="en-US" w:eastAsia="zh-CN" w:bidi="ar"/>
              </w:rPr>
              <w:t>初次罹患重大疾病或轻症（住院账单总金额达到15万元视为重大疾病），在二级及以上公立医院住院期间。由医院专科医生开具处方，在院外购买的且为被保险人当前治疗必需的特定药品（每次特定药品处方单剂量不超过一个月）。按照100%比例赔付，</w:t>
            </w:r>
            <w:bookmarkStart w:id="1" w:name="OLE_LINK4"/>
            <w:r>
              <w:rPr>
                <w:rFonts w:hint="eastAsia" w:ascii="Times New Roman" w:hAnsi="Times New Roman" w:eastAsia="方正仿宋_GBK" w:cs="方正仿宋_GBK"/>
                <w:i w:val="0"/>
                <w:iCs w:val="0"/>
                <w:color w:val="000000"/>
                <w:kern w:val="0"/>
                <w:sz w:val="21"/>
                <w:szCs w:val="21"/>
                <w:highlight w:val="none"/>
                <w:u w:val="none"/>
                <w:lang w:val="en-US" w:eastAsia="zh-CN" w:bidi="ar"/>
              </w:rPr>
              <w:t>最高赔付金额为2万元</w:t>
            </w:r>
            <w:bookmarkEnd w:id="1"/>
            <w:r>
              <w:rPr>
                <w:rFonts w:hint="eastAsia" w:ascii="Times New Roman" w:hAnsi="Times New Roman" w:eastAsia="方正仿宋_GBK" w:cs="方正仿宋_GBK"/>
                <w:i w:val="0"/>
                <w:iCs w:val="0"/>
                <w:color w:val="000000"/>
                <w:kern w:val="0"/>
                <w:sz w:val="21"/>
                <w:szCs w:val="21"/>
                <w:highlight w:val="none"/>
                <w:u w:val="none"/>
                <w:lang w:val="en-US" w:eastAsia="zh-CN" w:bidi="ar"/>
              </w:rPr>
              <w:t>。</w:t>
            </w:r>
          </w:p>
        </w:tc>
        <w:tc>
          <w:tcPr>
            <w:tcW w:w="917" w:type="pc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left="0" w:leftChars="0" w:right="0" w:rightChars="0"/>
              <w:jc w:val="center"/>
              <w:textAlignment w:val="center"/>
              <w:rPr>
                <w:rFonts w:hint="eastAsia" w:ascii="Times New Roman" w:hAnsi="Times New Roman" w:eastAsia="方正仿宋_GBK" w:cs="方正仿宋_GBK"/>
                <w:i w:val="0"/>
                <w:iCs w:val="0"/>
                <w:color w:val="000000"/>
                <w:kern w:val="0"/>
                <w:sz w:val="18"/>
                <w:szCs w:val="18"/>
                <w:highlight w:val="none"/>
                <w:u w:val="none"/>
                <w:lang w:val="en-US" w:eastAsia="zh-CN" w:bidi="ar"/>
              </w:rPr>
            </w:pPr>
            <w:r>
              <w:rPr>
                <w:rFonts w:hint="eastAsia" w:ascii="Times New Roman" w:hAnsi="Times New Roman" w:eastAsia="方正仿宋_GBK" w:cs="方正仿宋_GBK"/>
                <w:i w:val="0"/>
                <w:iCs w:val="0"/>
                <w:color w:val="000000"/>
                <w:kern w:val="0"/>
                <w:sz w:val="16"/>
                <w:szCs w:val="16"/>
                <w:highlight w:val="none"/>
                <w:u w:val="none"/>
                <w:lang w:val="en-US" w:eastAsia="zh-CN" w:bidi="ar"/>
              </w:rPr>
              <w:t>2万元</w:t>
            </w:r>
          </w:p>
        </w:tc>
        <w:tc>
          <w:tcPr>
            <w:tcW w:w="839" w:type="pct"/>
            <w:noWrap w:val="0"/>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left="0" w:leftChars="0" w:right="0" w:rightChars="0"/>
              <w:jc w:val="center"/>
              <w:rPr>
                <w:rFonts w:hint="eastAsia" w:ascii="Times New Roman" w:hAnsi="Times New Roman" w:eastAsia="方正仿宋_GBK" w:cs="宋体"/>
                <w:b w:val="0"/>
                <w:bCs/>
                <w:color w:val="auto"/>
                <w:kern w:val="0"/>
                <w:sz w:val="24"/>
                <w:szCs w:val="22"/>
                <w:highlight w:val="none"/>
                <w:u w:val="none"/>
                <w:lang w:val="en-US" w:eastAsia="zh-CN" w:bidi="ar-SA"/>
              </w:rPr>
            </w:pPr>
          </w:p>
        </w:tc>
      </w:tr>
    </w:tbl>
    <w:p>
      <w:pPr>
        <w:keepNext w:val="0"/>
        <w:keepLines w:val="0"/>
        <w:pageBreakBefore w:val="0"/>
        <w:kinsoku/>
        <w:wordWrap/>
        <w:overflowPunct/>
        <w:topLinePunct w:val="0"/>
        <w:autoSpaceDE/>
        <w:autoSpaceDN/>
        <w:bidi w:val="0"/>
        <w:adjustRightInd w:val="0"/>
        <w:snapToGrid w:val="0"/>
        <w:spacing w:line="240" w:lineRule="auto"/>
        <w:ind w:left="0" w:leftChars="0" w:right="0" w:rightChars="0"/>
        <w:rPr>
          <w:rFonts w:hint="eastAsia" w:ascii="方正仿宋_GBK" w:eastAsia="方正仿宋_GBK"/>
          <w:sz w:val="32"/>
          <w:szCs w:val="32"/>
          <w:lang w:val="en-US" w:eastAsia="zh-CN"/>
        </w:rPr>
      </w:pPr>
    </w:p>
    <w:p>
      <w:pPr>
        <w:pStyle w:val="2"/>
        <w:keepNext w:val="0"/>
        <w:keepLines w:val="0"/>
        <w:pageBreakBefore w:val="0"/>
        <w:kinsoku/>
        <w:wordWrap/>
        <w:overflowPunct/>
        <w:topLinePunct w:val="0"/>
        <w:autoSpaceDE/>
        <w:autoSpaceDN/>
        <w:bidi w:val="0"/>
        <w:adjustRightInd w:val="0"/>
        <w:snapToGrid w:val="0"/>
        <w:spacing w:line="240" w:lineRule="auto"/>
        <w:ind w:left="0" w:leftChars="0" w:right="0" w:rightChars="0"/>
        <w:rPr>
          <w:rFonts w:hint="eastAsia" w:ascii="方正仿宋_GBK" w:eastAsia="方正仿宋_GBK"/>
          <w:sz w:val="32"/>
          <w:szCs w:val="32"/>
          <w:lang w:val="en-US" w:eastAsia="zh-CN"/>
        </w:rPr>
        <w:sectPr>
          <w:pgSz w:w="11906" w:h="16838"/>
          <w:pgMar w:top="2098" w:right="1531" w:bottom="1984" w:left="1531" w:header="851" w:footer="992" w:gutter="0"/>
          <w:pgNumType w:fmt="decimal"/>
          <w:cols w:space="720" w:num="1"/>
          <w:rtlGutter w:val="0"/>
          <w:docGrid w:type="lines" w:linePitch="315" w:charSpace="0"/>
        </w:sectPr>
      </w:pPr>
    </w:p>
    <w:p>
      <w:pPr>
        <w:pStyle w:val="2"/>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pPr>
      <w:r>
        <w:rPr>
          <w:rFonts w:hint="eastAsia" w:ascii="方正小标宋_GBK" w:hAnsi="方正小标宋_GBK" w:eastAsia="方正小标宋_GBK" w:cs="方正小标宋_GBK"/>
          <w:sz w:val="36"/>
          <w:szCs w:val="36"/>
          <w:lang w:val="en-US" w:eastAsia="zh-CN"/>
        </w:rPr>
        <w:t>财产险保险方案</w:t>
      </w:r>
    </w:p>
    <w:tbl>
      <w:tblPr>
        <w:tblStyle w:val="6"/>
        <w:tblW w:w="108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3"/>
        <w:gridCol w:w="607"/>
        <w:gridCol w:w="942"/>
        <w:gridCol w:w="942"/>
        <w:gridCol w:w="1310"/>
        <w:gridCol w:w="699"/>
        <w:gridCol w:w="1380"/>
        <w:gridCol w:w="1092"/>
        <w:gridCol w:w="907"/>
        <w:gridCol w:w="2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293" w:type="dxa"/>
            <w:vMerge w:val="restart"/>
            <w:tcBorders>
              <w:top w:val="single" w:color="000000" w:sz="12" w:space="0"/>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07" w:type="dxa"/>
            <w:vMerge w:val="restart"/>
            <w:tcBorders>
              <w:top w:val="single" w:color="000000" w:sz="12" w:space="0"/>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保险名称</w:t>
            </w:r>
          </w:p>
        </w:tc>
        <w:tc>
          <w:tcPr>
            <w:tcW w:w="942" w:type="dxa"/>
            <w:vMerge w:val="restart"/>
            <w:tcBorders>
              <w:top w:val="single" w:color="000000" w:sz="12" w:space="0"/>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保险开始时间</w:t>
            </w:r>
          </w:p>
        </w:tc>
        <w:tc>
          <w:tcPr>
            <w:tcW w:w="942" w:type="dxa"/>
            <w:vMerge w:val="restart"/>
            <w:tcBorders>
              <w:top w:val="single" w:color="000000" w:sz="12" w:space="0"/>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保险截止时间</w:t>
            </w:r>
          </w:p>
        </w:tc>
        <w:tc>
          <w:tcPr>
            <w:tcW w:w="1310" w:type="dxa"/>
            <w:tcBorders>
              <w:top w:val="single" w:color="000000" w:sz="12" w:space="0"/>
              <w:left w:val="nil"/>
              <w:bottom w:val="nil"/>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现保费</w:t>
            </w:r>
          </w:p>
        </w:tc>
        <w:tc>
          <w:tcPr>
            <w:tcW w:w="699" w:type="dxa"/>
            <w:vMerge w:val="restart"/>
            <w:tcBorders>
              <w:top w:val="single" w:color="000000" w:sz="12"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投保单位</w:t>
            </w:r>
          </w:p>
        </w:tc>
        <w:tc>
          <w:tcPr>
            <w:tcW w:w="2660" w:type="dxa"/>
            <w:gridSpan w:val="4"/>
            <w:tcBorders>
              <w:top w:val="single" w:color="000000" w:sz="12" w:space="0"/>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保险方案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293" w:type="dxa"/>
            <w:vMerge w:val="continue"/>
            <w:tcBorders>
              <w:top w:val="single" w:color="000000" w:sz="12" w:space="0"/>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000000"/>
                <w:sz w:val="18"/>
                <w:szCs w:val="18"/>
                <w:u w:val="none"/>
              </w:rPr>
            </w:pPr>
          </w:p>
        </w:tc>
        <w:tc>
          <w:tcPr>
            <w:tcW w:w="607" w:type="dxa"/>
            <w:vMerge w:val="continue"/>
            <w:tcBorders>
              <w:top w:val="single" w:color="000000" w:sz="12" w:space="0"/>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000000"/>
                <w:sz w:val="18"/>
                <w:szCs w:val="18"/>
                <w:u w:val="none"/>
              </w:rPr>
            </w:pPr>
          </w:p>
        </w:tc>
        <w:tc>
          <w:tcPr>
            <w:tcW w:w="942" w:type="dxa"/>
            <w:vMerge w:val="continue"/>
            <w:tcBorders>
              <w:top w:val="single" w:color="000000" w:sz="12" w:space="0"/>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000000"/>
                <w:sz w:val="18"/>
                <w:szCs w:val="18"/>
                <w:u w:val="none"/>
              </w:rPr>
            </w:pPr>
          </w:p>
        </w:tc>
        <w:tc>
          <w:tcPr>
            <w:tcW w:w="942" w:type="dxa"/>
            <w:vMerge w:val="continue"/>
            <w:tcBorders>
              <w:top w:val="single" w:color="000000" w:sz="12" w:space="0"/>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000000"/>
                <w:sz w:val="18"/>
                <w:szCs w:val="18"/>
                <w:u w:val="none"/>
              </w:rPr>
            </w:pPr>
          </w:p>
        </w:tc>
        <w:tc>
          <w:tcPr>
            <w:tcW w:w="131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（元/年）</w:t>
            </w:r>
          </w:p>
        </w:tc>
        <w:tc>
          <w:tcPr>
            <w:tcW w:w="699" w:type="dxa"/>
            <w:vMerge w:val="continue"/>
            <w:tcBorders>
              <w:top w:val="single" w:color="000000" w:sz="12"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9D08E"/>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保障金额</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（万元）</w:t>
            </w:r>
          </w:p>
        </w:tc>
        <w:tc>
          <w:tcPr>
            <w:tcW w:w="1092" w:type="dxa"/>
            <w:tcBorders>
              <w:top w:val="single" w:color="000000" w:sz="8" w:space="0"/>
              <w:left w:val="nil"/>
              <w:bottom w:val="single" w:color="000000" w:sz="8" w:space="0"/>
              <w:right w:val="single" w:color="000000" w:sz="8" w:space="0"/>
            </w:tcBorders>
            <w:shd w:val="clear" w:color="auto" w:fill="A9D08E"/>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免赔</w:t>
            </w:r>
          </w:p>
        </w:tc>
        <w:tc>
          <w:tcPr>
            <w:tcW w:w="907" w:type="dxa"/>
            <w:tcBorders>
              <w:top w:val="single" w:color="000000" w:sz="8" w:space="0"/>
              <w:left w:val="nil"/>
              <w:bottom w:val="single" w:color="000000" w:sz="8" w:space="0"/>
              <w:right w:val="single" w:color="000000" w:sz="8" w:space="0"/>
            </w:tcBorders>
            <w:shd w:val="clear" w:color="auto" w:fill="A9D08E"/>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附加险</w:t>
            </w:r>
          </w:p>
        </w:tc>
        <w:tc>
          <w:tcPr>
            <w:tcW w:w="2660" w:type="dxa"/>
            <w:tcBorders>
              <w:top w:val="single" w:color="000000" w:sz="8" w:space="0"/>
              <w:left w:val="nil"/>
              <w:bottom w:val="single" w:color="000000" w:sz="8" w:space="0"/>
              <w:right w:val="single" w:color="000000" w:sz="8" w:space="0"/>
            </w:tcBorders>
            <w:shd w:val="clear" w:color="auto" w:fill="A9D08E"/>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356250</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重庆市乐和乐都旅游有限公司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1.本保单每次事故免赔为100元或损失金额的0%，二者以高者为准。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1.附加食品、饮料责任条款：累计责任限额500万元，每次事故赔偿限额300万元，每次事故每人赔偿限额100万元。</w:t>
            </w:r>
          </w:p>
        </w:tc>
        <w:tc>
          <w:tcPr>
            <w:tcW w:w="2660"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2.本保单每次事故财产损失绝对免赔200元或损失金额的5%，二者以高者为准。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2.附加罢工、暴乱、民众骚动及恶意破坏条款：限额同主险一致。</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每次事故赔偿限额：1500万元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3.本保单附加停车场责任条款，全车盗抢免赔2000元或20%，两者以高者为准；划痕及其他事故，每次事故绝对免赔200元或损失金额的10%，两者以高者为准。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广告及装饰装置责任条款：累计责任限额410万元，每次事故赔偿限额205万元，每次事故人身伤亡赔偿限额200万元，每次事故财产损失赔偿限额5万元，每次事故每人赔偿限额100万元（含医疗费用赔偿限额20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每次事故每人赔偿限额：100万元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4.附加救火费用条款：累计责任限额200万元，每次事故赔偿限额100万元。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（含）每人医疗费用赔偿限额：20万元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5.附加恐怖活动条款：累计责任限额420万元，每次事故赔偿限额210万元，每次事故人身伤亡赔偿限额200万元，每次事故财产损失赔偿限额10万元，每次事故每人赔偿限额100万元（含医疗费用赔偿限额20万元）。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每次事故财产损失赔偿限额：10万元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6.附加锅炉爆炸责任条款：累计责任限额410万元，每次事故赔偿限额205万元，每次事故人身伤亡赔偿限额200万元，每次事故财产损失赔偿限额5万元，每次事故每人赔偿限额100万元（含医疗费用赔偿限额20万元）。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法律诉讼赔偿限额：10万元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7.附加停车场责任条款：累计责任限额500万元，每次事故赔偿限额300万元，每次每个车位赔偿限额30万元。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8.附加急救费用条款：累计责任限额200万元，每次事故赔偿限额100万元。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9.附加电梯责任条款：累计责任限额200万元，每次事故赔偿限额100万元，每人赔偿限额100万元。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10.附加卫生装置条款：累计责任限额200万元，每次事故赔偿限额100万元。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11.附加社交及娱乐场所责任条款：累计责任限额200万元，每次事故赔偿限额100万元。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12.附加电瓶车责任条款：累计责任限额200万元，每次事故赔偿限额100万元。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13.附加不受控制条款：累计责任限额200万元，每次事故赔偿限额100万元。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14.附加客人财产责任条款：累计责任限额5万元，每一客户赔偿限额1万元。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15.附加火灾和爆炸责任条款：累计责任限额200万元，每次事故赔偿限额100万元。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16.附加提供物品及服务条款：累计责任限额200万元，每次事故赔偿限额100万元。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17.附加娱乐设施条款：累计责任限额200万元，每次事故赔偿限额100万元。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18.附加错误与遗漏条款：累计责任限额100万元，每次事故赔偿限额100万元。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19.附加法律费用保险条款。</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团体意外伤害保险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188.1元/人</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重庆市乐和乐都旅游有限公司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意外身故、残疾20万；</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门急诊每次免赔额100元，赔付比例90%</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1.附加意外伤害医疗保险；</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意外医疗费用2万（每次门急诊限额1000元，每次免赔额100元，赔付比例90%）；</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2.附加意外伤害住院津贴保险；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意外住院津贴1.8万（每人每日意外住院津贴100元，无免赔天数，单次最高180日）</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3.附加高处作业除外保险；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工种：舞蹈演员（不涉及高空）</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4.附加上下班途中责任保险；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雇主责任险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2029年8月31日及短期</w:t>
            </w: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一年期551元人；</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重庆市乐和乐都旅游有限公司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每人赔偿限额：100万</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本保单死亡残疾赔付无免赔；每次事故每人医疗费用免赔额为0元或损失金额的0%，两者以高者为准。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1.附加就餐责任保险；</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五个月内228元/人；</w:t>
            </w: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每人医疗费用赔偿限额：10万</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2.附加上下班途中责任保险；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三个月内114元/人</w:t>
            </w: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一年期涉及工种：清洁工、绿化工、杂工、勤杂工、安全管理员、电动门岗、辅助饲养、动物管理员、饲料加工员、种植工</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3.附加猝死责任保险；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五个月内涉及工种：动物管理员</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4.附加社交活动和文娱活动责任保险；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三个月内涉及工种：安保、检票、接待咨询、救生员、设备操作</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5.附加误工费用责任保险；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6.附加伤残赔偿比例调整保险A款；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7.附加一次性伤残就业补助金责任保险。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114000</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重庆旅游资产管理有限公司金刀峡分公司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累计赔偿限额：3000万元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1.本保单每次事故免赔为100元或损失金额的0%，二者以高者为准。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1.附加急救费用条款：累计责任限额200万元，每次事故赔偿限额100万元。</w:t>
            </w:r>
          </w:p>
        </w:tc>
        <w:tc>
          <w:tcPr>
            <w:tcW w:w="2660"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每次事故赔偿限额：1500万元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2.本保单每次事故财产损失绝对免赔200元或损失金额的5%，二者以高者为准。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2.附加救火费用条款：累计责任限额200万元，每次事故赔偿限额100万元。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每次事故每人赔偿限额：100万元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3.本保单附加停车场责任条款，全车盗抢免赔2000元或20%，两者以高者为准；划痕及其他事故，每次事故绝对免赔200元或损失金额的10%，两者以高者为准。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3.附加食品、饮料责任条款：赔偿限额同主险一致。</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（含）每人医疗费用赔偿限额：20万元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4.附加恐怖活动条款：赔偿限额同主险一致。</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每次事故财产损失赔偿限额：10万元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5.附加广告及装饰装置责任条款：赔偿限额同主险一致。</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法律诉讼赔偿限额：10万元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6.附加停车场责任条款：累计责任限额300万元，每次事故赔偿限额300万元，每次每个车位赔偿限额30万元。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7.附加电梯责任条款：赔偿限额同主险一致。</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8.附加罢工、暴乱、民众骚动及恶意破坏条款：赔偿限额同主险一致。</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9.附加锅炉爆炸责任保险条款：赔偿限额同主险一致。</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10.附加客人财产责任条款：累计责任限额5万元，每一客户赔偿限额1万元。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11.附加火灾和爆炸责任条款：赔偿限额同主险一致。</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12.附加提供物品及服务条款：赔偿限额同主险一致。</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13.附加娱乐设施条款：赔偿限额同主险一致。</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14.附加卫生装置条款：赔偿限额同主险一致。</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15.附加社交及娱乐场所责任条款：赔偿限额同主险一致。</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16.附加不受控制条款：累计责任限额100万元，每次事故赔偿限额100万元。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17.附加错误与遗漏条款：累计责任限额100万元，每次事故赔偿限额100万元。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18.附加电瓶车责任条款：赔偿限额同主险一致。</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19.附加法律费用保险条款。</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现金险</w:t>
            </w:r>
          </w:p>
        </w:tc>
        <w:tc>
          <w:tcPr>
            <w:tcW w:w="94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427.5</w:t>
            </w:r>
          </w:p>
        </w:tc>
        <w:tc>
          <w:tcPr>
            <w:tcW w:w="699"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重庆旅游资产管理有限公司金刀峡分公司</w:t>
            </w: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总保额：30万元</w:t>
            </w:r>
          </w:p>
        </w:tc>
        <w:tc>
          <w:tcPr>
            <w:tcW w:w="109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0元或损失金额的0%</w:t>
            </w: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26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财产一切险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2026年9月26日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84124.11</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重庆旅游资产管理有限公司金刀峡分公司</w:t>
            </w:r>
          </w:p>
        </w:tc>
        <w:tc>
          <w:tcPr>
            <w:tcW w:w="138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总保额：211,063,337.73</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1.本保险对地震每次事故的绝对免赔为40万或损失金额的5%，二者以高者为准。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1.扩展露天存放及简易建筑内财产保险（B款）；</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2.本保险每次事故的绝对免赔为1000人民币或损失金额的5%，二者以高者为准。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2.扩展地震保险（A款）；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3.扩展恶意破坏保险；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4.盗窃、抢劫损失保险（A款）；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5.自动恢复保险金额保险（A款）；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6.扩展85％保险条款；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7.扩展自动喷淋系统水损保险（A款）；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8.疏散费用保险条款；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9.扩展水箱、水管爆裂保险；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10.增加资产保险；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11.流动机械保险。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机器损坏险</w:t>
            </w:r>
          </w:p>
        </w:tc>
        <w:tc>
          <w:tcPr>
            <w:tcW w:w="94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2026年9月26日</w:t>
            </w:r>
          </w:p>
        </w:tc>
        <w:tc>
          <w:tcPr>
            <w:tcW w:w="94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6161.61</w:t>
            </w:r>
          </w:p>
        </w:tc>
        <w:tc>
          <w:tcPr>
            <w:tcW w:w="699"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重庆旅游资产管理有限公司金刀峡分公司</w:t>
            </w: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总保额：27024618.47</w:t>
            </w:r>
          </w:p>
        </w:tc>
        <w:tc>
          <w:tcPr>
            <w:tcW w:w="109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500元或损失金额的2%</w:t>
            </w: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1.清理残骸费用保险；2.特别费用保险；3.空运费保险；4.专业费用保险。</w:t>
            </w:r>
          </w:p>
        </w:tc>
        <w:tc>
          <w:tcPr>
            <w:tcW w:w="26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雇主责任险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2027年2月16日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2029年8月31日及短期</w:t>
            </w: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一年期458.85元/人；</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重庆旅游资产管理有限公司金刀峡分公司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每人赔偿限额：50万元</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本保单死亡残疾赔付无免赔；每次事故每人医疗费用免赔额为100元或损失金额的0%，两者以高者为准。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1.附加就餐责任保险；</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二个月123.5元/人</w:t>
            </w: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每人医疗费用赔偿限额：5万元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2.附加上下班途中责任保险；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一年期涉及工种：活动现场NPC（角色扮演）、厨师</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3.附加猝死责任保险；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两个月涉及工种：清洁工、交通指挥、销售</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4.附加社交活动和文娱活动责任保险；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5.附加误工费用责任保险；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6.附加伤残赔偿比例调整保险A款；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7.附加一次性伤残就业补助金责任保险。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国内水运承运人责任险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2027年7月3日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18240</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重庆旅游资产管理有限公司统景景区管理分公司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累计责任限额640万元；</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0元或损失金额的0%</w:t>
            </w:r>
          </w:p>
        </w:tc>
        <w:tc>
          <w:tcPr>
            <w:tcW w:w="9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每次事故每人财产损失责任限额5000元</w:t>
            </w:r>
          </w:p>
        </w:tc>
        <w:tc>
          <w:tcPr>
            <w:tcW w:w="2660"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每次事故赔偿限额320万元；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每船每次事故赔偿限额160万元；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每人（每座）每次事故赔偿限额80万元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财产损失限额每人0.5万元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2026年8月29日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77235</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重庆旅游资产管理有限公司统景景区管理分公司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累计赔偿限额：3000万元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本保单每次事故财产损失绝对免赔0元或损失金额的0%，二者以高者为准。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1.附加娱乐设施条款：累计责任限额200万元，每次赔偿限额100万元，每次事故每人赔偿限额100万元（含医疗费用赔偿限额10万元）。</w:t>
            </w:r>
          </w:p>
        </w:tc>
        <w:tc>
          <w:tcPr>
            <w:tcW w:w="2660"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每次事故赔偿限额：500万元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2.本保单每次人身伤亡事故绝对免赔0元或损失金额0%，二者以高者为准。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火灾、爆炸、烟熏、水损责任条款：累计责任限额3000万元，每次事故赔偿限额500万元，每次事故人身伤害赔偿限额500万元，每次事故每人赔偿限额100万元，每次事故每人医疗费用赔偿限额10万元，每次事故财产损失赔偿限额3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每次事故每人赔偿限额：100万元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3.凡70岁以上者（含70岁）发生意外事故，免赔10%。</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3.附加停车场责任条款：累计责任限额200万元，每次赔偿限额30万元，每个车位赔偿限额10万元。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每次事故每人医疗费用赔偿限额100万元。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注：附加停车场责任条款免赔内容删除了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4.附加电梯责任条款：累计责任限额200万元，每次赔偿限额100万元，每次事故每人赔偿限额100万元（含医疗费用赔偿限额10万元）。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每次事故财产损失赔偿限额：50万元。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5.附加消防队与水损条款：累计责任限额200万元，每次赔偿限额100万元，每次事故每人赔偿限额100万元（含医疗费用赔偿限额10万元）。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每次事故人身伤亡伤亡赔偿限额500万元。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6.附加游泳池责任保险：累计责任限额300万元，每次赔偿限额100万元，每次事故每人赔偿限额100万元（含医疗费用赔偿限额10万元）。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7.附加食品、饮料责任条款：累计责任限额100万元，每次事故赔偿限额100万元，每次事故每人赔偿限额100万元（含医疗费用赔偿限额10万元）。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注：诉讼费用删除了</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8.附加客人财产责任条款：累计责任限额2万元，每次事故赔偿限额1万元，每次事故每人赔偿限额2000元。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9.附加罢工、暴乱、民众骚动及恶意破坏条款：限额同主险一致。</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10.附加卫生装置条款：限额同主险一致。</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11.附加社交及娱乐场所责任条款：限额同主险一致。</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12.附加法律费用保险条款。</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雇主责任险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2026年12月16日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2029年8月31日及短期</w:t>
            </w: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一年期883.5元/人；</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重庆旅游资产管理有限公司统景景区管理分公司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每人赔偿限额：100万元</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本保单死亡残疾赔付无免赔；每次事故每人医疗费用免赔额为100元或损失金额的0%，两者以高者为准。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1.附加就餐责任保险；</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五天（含）以内42.75元/人</w:t>
            </w: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每人医疗费用赔偿限额：10万元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2.附加上下班途中责任保险；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五至十天（含）85.5元/人</w:t>
            </w: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一年期涉及工种：清洁工、服务员、杂工、苗圃工、锅炉工、救生员</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3.附加猝死责任保险；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十至十五天（含）128.25元/人</w:t>
            </w: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短期涉及工种：服务员、清洁工</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4.附加社交活动和文娱活动责任保险；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5.附加误工费用责任保险；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6.附加伤残赔偿比例调整保险A款；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7.附加一次性伤残就业补助金责任保险。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职业院校实习生责任险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2026年8月31日（临时）</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短期</w:t>
            </w: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四个月285元/人；</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重庆旅游资产管理有限公司统景景区管理分公司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累计赔偿限额：200万元</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0元或损失金额的0%</w:t>
            </w:r>
          </w:p>
        </w:tc>
        <w:tc>
          <w:tcPr>
            <w:tcW w:w="907"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六个月342元/人</w:t>
            </w: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每次事故赔偿限额：100万元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每次事故每人赔偿限额：100万元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（含）每人医疗费用赔偿限额：10万元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每次事故财产损失赔偿限额：0</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法律诉讼赔偿限额：0</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财产综合险</w:t>
            </w:r>
          </w:p>
        </w:tc>
        <w:tc>
          <w:tcPr>
            <w:tcW w:w="94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2026年8月</w:t>
            </w:r>
          </w:p>
        </w:tc>
        <w:tc>
          <w:tcPr>
            <w:tcW w:w="94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w:t>
            </w:r>
          </w:p>
        </w:tc>
        <w:tc>
          <w:tcPr>
            <w:tcW w:w="131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72200</w:t>
            </w:r>
          </w:p>
        </w:tc>
        <w:tc>
          <w:tcPr>
            <w:tcW w:w="699"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重庆旅游资产管理有限公司统景景区管理分公司</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总保额：46284.98万元。</w:t>
            </w:r>
          </w:p>
        </w:tc>
        <w:tc>
          <w:tcPr>
            <w:tcW w:w="109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本保险对每次事故的绝对免赔为 0元或损失金额的 0%，以高者为准。</w:t>
            </w: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26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国内水运承运人责任险</w:t>
            </w:r>
          </w:p>
        </w:tc>
        <w:tc>
          <w:tcPr>
            <w:tcW w:w="94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2026年9月25日</w:t>
            </w:r>
          </w:p>
        </w:tc>
        <w:tc>
          <w:tcPr>
            <w:tcW w:w="94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32982</w:t>
            </w:r>
          </w:p>
        </w:tc>
        <w:tc>
          <w:tcPr>
            <w:tcW w:w="699"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重庆乌江画廊旅游开发有限公司</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累计责任限额：1000万元；每次事故赔偿限额650万元；每人（每座）每次事故赔偿限额20万元（含每人医疗费用赔偿限额10万元），每次事故每人财产损失责任限额2万元，法律诉讼赔偿限额：10万元。</w:t>
            </w:r>
          </w:p>
        </w:tc>
        <w:tc>
          <w:tcPr>
            <w:tcW w:w="109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0元或损失金额的0%</w:t>
            </w: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每次事故每人财产损失责任限额2万元</w:t>
            </w:r>
          </w:p>
        </w:tc>
        <w:tc>
          <w:tcPr>
            <w:tcW w:w="266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乌江画廊1、2、6、8、9号船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国内水运承运人责任险</w:t>
            </w:r>
          </w:p>
        </w:tc>
        <w:tc>
          <w:tcPr>
            <w:tcW w:w="94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2027年2月3日</w:t>
            </w:r>
          </w:p>
        </w:tc>
        <w:tc>
          <w:tcPr>
            <w:tcW w:w="94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6270</w:t>
            </w:r>
          </w:p>
        </w:tc>
        <w:tc>
          <w:tcPr>
            <w:tcW w:w="699"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重庆乌江画廊旅游开发有限公司</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累计责任限额：500万元；每次事故赔偿限额300万元；每人（每座）每次事故赔偿限额30万元（含每人医疗费用赔偿限额10万元），每次事故每人财产损失责任限额2万元，法律诉讼赔偿限额：10万元。</w:t>
            </w:r>
          </w:p>
        </w:tc>
        <w:tc>
          <w:tcPr>
            <w:tcW w:w="109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0元或损失金额的0%</w:t>
            </w: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每次事故每人财产损失责任限额2万元</w:t>
            </w:r>
          </w:p>
        </w:tc>
        <w:tc>
          <w:tcPr>
            <w:tcW w:w="266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鸿至号、鸿北号船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船舶一切险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2026年8月24日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17936</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重庆乌江画廊旅游开发有限公司</w:t>
            </w:r>
          </w:p>
        </w:tc>
        <w:tc>
          <w:tcPr>
            <w:tcW w:w="1380"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每条船总保额：150万元</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主险及附加螺旋桨等单独损失保险每次事故绝对免赔额为0.5万元或（免赔率）同等责任及其以下为损失金额的10%；主要责任为损失金额的15%：全部责任为损失金额的20%，两者以高者为准。船东对船员责任保险：每次事故医疗费用免赔额为500元人民币。</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船东对船员责任保险920,000元（累计赔偿限额92万元，每次事故每人人身伤亡赔偿限额20万元，每次事故每人医疗费用赔偿限额3万元）；</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乌江画廊1、2号船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螺旋桨等单独损失保险150万元。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船舶一切险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2027年2月3日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16530</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重庆乌江画廊旅游开发有限公司</w:t>
            </w:r>
          </w:p>
        </w:tc>
        <w:tc>
          <w:tcPr>
            <w:tcW w:w="1380"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每条船总保额：150万元</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主险及附加螺旋桨等单独损失保险每次事故绝对免赔额为0.5万元或（免赔率）同等责任及其以下为损失金额的10%；主要责任为损失金额的15%：全部责任为损失金额的20%，两者以高者为准。船东对船员责任保险：每次事故医疗费用免赔额为500元人民币。</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船东对船员责任保险（累计赔偿限额80万元，每次事故每人人身伤亡赔偿限额20万元，每次事故每人医疗费用赔偿限额3万元）；</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鸿北、鸿至号船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螺旋桨等单独损失保险150万元。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船舶一切险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2027年4月12日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8958</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重庆乌江画廊旅游开发有限公司</w:t>
            </w:r>
          </w:p>
        </w:tc>
        <w:tc>
          <w:tcPr>
            <w:tcW w:w="1380"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每条船总保额：150万元</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主险及附加螺旋桨等单独损失保险每次事故绝对免赔额为0.5万元或（免赔率）同等责任及其以下为损失金额的10%；主要责任为损失金额的15%：全部责任为损失金额的20%，两者以高者为准。船东对船员责任保险：每次事故医疗费用免赔额为500元人民币。</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船东对船员责任保险（累计赔偿限额80万元，每次事故每人人身伤亡赔偿限额20万元，每次事故每人医疗费用赔偿限额3万元）；</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乌江画廊6号船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螺旋桨等单独损失保险150万元。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船舶一切险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2027年4月30日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16805.5</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重庆乌江画廊旅游开发有限公司</w:t>
            </w:r>
          </w:p>
        </w:tc>
        <w:tc>
          <w:tcPr>
            <w:tcW w:w="1380"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每条船总保额：150万元</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主险及附加螺旋桨等单独损失保险每次事故绝对免赔额为0.5万元或（免赔率）同等责任及其以下为损失金额的10%；主要责任为损失金额的15%：全部责任为损失金额的20%，两者以高者为准。船东对船员责任保险：每次事故医疗费用免赔额为500元人民币。</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船东对船员责任保险60万元（累计赔偿限额60万元，每次事故每人人身伤亡赔偿限额20万元，每次事故每人医疗费用赔偿限额3万元）；</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乌江画廊8、9号船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螺旋桨等单独损失保险150万元。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船舶一切险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2026年9月16日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15618</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重庆乌江画廊旅游开发有限公司</w:t>
            </w:r>
          </w:p>
        </w:tc>
        <w:tc>
          <w:tcPr>
            <w:tcW w:w="1380"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每条船总保额：300万元</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主险及附加螺旋桨等单独损失保险每次事故绝对免赔额为0.5万元或（免赔率）同等责任及其以下为损失金额的10%；主要责任为损失金额的15%：全部责任为损失金额的20%，两者以高者为准。船东对船员责任保险：每次事故医疗费用免赔额为500元人民币。</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船东对船员责任保险100万元（累计赔偿限额100万元，每次事故每人人身伤亡赔偿限额20万元，每次事故每人医疗费用赔偿限额2万元）；</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乌江画廊趸1号船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螺旋桨等单独损失保险80万元；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 船东对旅客责任保险100万元（累计赔偿限额100万元，每次事故每人人身伤亡赔偿限额50万元，每次事故每人医疗费用赔偿限额3万元）。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雇主责任险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2027年4月26日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船上人员：779元/人</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重庆乌江画廊旅游开发有限公司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每人赔偿限额：50万元</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本保单死亡残疾赔付无免赔；每次事故每人医疗费用免赔额为100元或损失金额的0%，两者以高者为准。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1.附加就餐责任保险；</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船下人员：427.5元/人</w:t>
            </w: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每人医疗费用赔偿限额：5万元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2.附加上下班途中责任保险；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涉及工种：船长、船员、船舶驾驶员、水手、船舶讲解员、船上服务员、清洁工、厨师</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3.附加猝死责任保险；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4.附加社交活动和文娱活动责任保险；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5.附加误工费用责任保险；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6.附加伤残赔偿比例调整保险A款；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7.附加一次性伤残就业补助金责任保险。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156750</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重庆乌江画廊旅游开发有限公司阿依河分公司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累计赔偿限额：3000万元</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1.本保单每次事故绝对免赔为0元或损失金额0%，二者以高者为准。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1.附加食品、饮料责任条款：累计责任限额600万元，每次事故赔偿限额300万元，每次事故每人赔偿限额100万元。</w:t>
            </w:r>
          </w:p>
        </w:tc>
        <w:tc>
          <w:tcPr>
            <w:tcW w:w="2660"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承保范围：重庆市彭水苗族土家族自治县阿依河景区、阿依河仁义酒店、乌江画廊景区、龚滩仁义酒店经营及办公场所所属范围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每次事故赔偿限额：1500万元，其中：每人赔偿限额150万元（含每人医疗费用8万元）；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2.附加停车场责任条款：累计责任限额500万元，每次事故赔偿限额300万元，每次每个车位赔偿限额20万元。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每次事故人身伤亡赔偿限额1500万元，每次事故财产损失赔偿限额10万元，诉讼费用赔偿限额累计10万元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3.附加电梯责任条款：累计责任限额200万元，每次事故赔偿限额200万元，每人赔偿限额100万元。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4.附加救火费用条款：累计责任限额200万元，每次事故赔偿限额100万元。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5.附加急救费用条款：累计责任限额200万元，每次事故赔偿限额100万元。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6.附加广告及装饰装置责任条款：累计责任限额200万元，每次事故赔偿限额100万元。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7.附加罢工、暴乱、民众骚动及恶意破坏条款：累计责任限额200万元，每次事故赔偿限额100万元。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8.附加恐怖活动条款：累计责任限额200万元，每次事故赔偿限额100万元。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9.附加预付赔款保险条款（50%）：累计责任限额200万元，每次赔偿限额100万元（其中财产损失每次赔偿限额20万元，人身伤害赔偿限额80万元）。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10.附加锅炉爆炸责任保险条款：累计责任限额200万元，每次事故赔偿限额100万元。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11.附加客人财产责任条款：累计责任限额3万元，每一客户赔偿限额1万元。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12.附加电瓶车责任条款：累计责任限额200万元，每次事故赔偿限额100万元。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13.附加火灾和爆炸责任条款：累计责任限额200万元，每次事故赔偿限额100万元。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14.附加提供物品及服务条款：累计责任限额200万元，每次事故赔偿限额100万元。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15.附加娱乐设施条款：累计责任限额200万元，每次事故赔偿限额100万元。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16.附加卫生装置条款：累计责任限额100万元，每次事故赔偿限额50万元。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17.附加社交及娱乐场所责任条款：累计责任限额100万元，每次事故赔偿限额100万元。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18.附加不受控制条款：累计责任限额100万元，每次事故赔偿限额100万元。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19.附加错误与遗漏条款：累计责任限额100万元，每次事故赔偿限额100万元。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20.附加法律费用保险条款。</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雇主责任险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2029年8月31日及短期</w:t>
            </w: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一年期：一类职业：256.5元/人，二类职业：275.5元/人，四类职业：712.5元/人，五类职业：779元/人；</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重庆乌江画廊旅游开发有限公司阿依河分公司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每人赔偿限额：50万元</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本保单死亡残疾赔付无免赔；每次事故每人医疗费用免赔额为100元或损失金额的0%，两者以高者为准。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1.附加就餐责任保险；</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二个月：一类职业：102.6元/人，二类职业：110.2元/人，四类职业：285元/人</w:t>
            </w: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每人医疗费用赔偿限额：5万元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2.附加上下班途中责任保险；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一年期涉及工种：管理层、服务员、清洁工、治安人员、安保、观光车驾驶员、导游、筏工/船员</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3.附加猝死责任保险；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三个月涉及工种：餐厅服务员、客房服务员、清洁工、厨师、安保</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4.附加社交活动和文娱活动责任保险；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5.附加误工费用责任保险；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6.附加伤残赔偿比例调整保险A款；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7.附加一次性伤残就业补助金责任保险。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雇主责任险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2026年9月5日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403.75元/人</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重庆乌江画廊旅游开发有限公司酉阳分公司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每人赔偿限额：50万元</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本保单死亡残疾赔付无免赔；每次事故每人医疗费用免赔额为100元或损失金额的0%，两者以高者为准。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1.附加就餐责任保险；</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每人医疗费用赔偿限额：5万元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2.附加上下班途中责任保险；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涉及工种：搬运工、厨师、洗碗工</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3.附加猝死责任保险；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4.附加社交活动和文娱活动责任保险；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5.附加误工费用责任保险；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6.附加伤残赔偿比例调整保险A款；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7.附加一次性伤残就业补助金责任保险。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船舶一切险</w:t>
            </w:r>
          </w:p>
        </w:tc>
        <w:tc>
          <w:tcPr>
            <w:tcW w:w="94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2027年7月1日</w:t>
            </w:r>
          </w:p>
        </w:tc>
        <w:tc>
          <w:tcPr>
            <w:tcW w:w="94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693500</w:t>
            </w:r>
          </w:p>
        </w:tc>
        <w:tc>
          <w:tcPr>
            <w:tcW w:w="699"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重庆长江黄金游轮有限公司</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1亿元</w:t>
            </w:r>
          </w:p>
        </w:tc>
        <w:tc>
          <w:tcPr>
            <w:tcW w:w="109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主险每次事故绝对免赔人民币10000元或损失金额的10%，二者以高者为准。</w:t>
            </w: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附加四分之一附加险，附加螺旋桨等单独损失险（保额均同主险一致）</w:t>
            </w:r>
          </w:p>
        </w:tc>
        <w:tc>
          <w:tcPr>
            <w:tcW w:w="26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黄金游轮2、5、6、8号、长江记忆每艘船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船舶一切险</w:t>
            </w:r>
          </w:p>
        </w:tc>
        <w:tc>
          <w:tcPr>
            <w:tcW w:w="94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2027年7月1日</w:t>
            </w:r>
          </w:p>
        </w:tc>
        <w:tc>
          <w:tcPr>
            <w:tcW w:w="94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110960</w:t>
            </w:r>
          </w:p>
        </w:tc>
        <w:tc>
          <w:tcPr>
            <w:tcW w:w="699"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重庆长江黄金游轮有限公司</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8000万元</w:t>
            </w:r>
          </w:p>
        </w:tc>
        <w:tc>
          <w:tcPr>
            <w:tcW w:w="109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主险每次事故绝对免赔人民币10000元或损失金额的10%，二者以高者为准。</w:t>
            </w: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附加四分之一附加险，附加螺旋桨等单独损失险（保额均同主险一致）</w:t>
            </w:r>
          </w:p>
        </w:tc>
        <w:tc>
          <w:tcPr>
            <w:tcW w:w="26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黄金游轮3号船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6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船舶一切险</w:t>
            </w:r>
          </w:p>
        </w:tc>
        <w:tc>
          <w:tcPr>
            <w:tcW w:w="94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2027年7月1日</w:t>
            </w:r>
          </w:p>
        </w:tc>
        <w:tc>
          <w:tcPr>
            <w:tcW w:w="94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97090</w:t>
            </w:r>
          </w:p>
        </w:tc>
        <w:tc>
          <w:tcPr>
            <w:tcW w:w="699"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重庆长江黄金游轮有限公司</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7000万元</w:t>
            </w:r>
          </w:p>
        </w:tc>
        <w:tc>
          <w:tcPr>
            <w:tcW w:w="109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主险每次事故绝对免赔人民币10000元或损失金额的10%，二者以高者为准。</w:t>
            </w: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附加四分之一附加险，附加螺旋桨等单独损失险（保额均同主险一致）</w:t>
            </w:r>
          </w:p>
        </w:tc>
        <w:tc>
          <w:tcPr>
            <w:tcW w:w="26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长江奇迹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6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船舶一切险</w:t>
            </w:r>
          </w:p>
        </w:tc>
        <w:tc>
          <w:tcPr>
            <w:tcW w:w="94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2027年7月1日</w:t>
            </w:r>
          </w:p>
        </w:tc>
        <w:tc>
          <w:tcPr>
            <w:tcW w:w="94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61718.38</w:t>
            </w:r>
          </w:p>
        </w:tc>
        <w:tc>
          <w:tcPr>
            <w:tcW w:w="699"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重庆长江黄金游轮有限公司</w:t>
            </w: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4449.77万元</w:t>
            </w:r>
          </w:p>
        </w:tc>
        <w:tc>
          <w:tcPr>
            <w:tcW w:w="109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主险每次事故绝对免赔人民币10000元或损失金额的10%，二者以高者为准。</w:t>
            </w: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附加四分之一附加险，附加螺旋桨等单独损失险（保额均同主险一致）</w:t>
            </w:r>
          </w:p>
        </w:tc>
        <w:tc>
          <w:tcPr>
            <w:tcW w:w="26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时光号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国内水运承运人责任险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2027年7月1日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368315</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重庆长江黄金游轮有限公司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累计赔偿限额：5000万</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0元或损失金额的0%</w:t>
            </w:r>
          </w:p>
        </w:tc>
        <w:tc>
          <w:tcPr>
            <w:tcW w:w="907"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附加司乘人员每人（每座）每次事故赔偿限额200万元（含每人医疗费用赔偿限额10万元）</w:t>
            </w:r>
          </w:p>
        </w:tc>
        <w:tc>
          <w:tcPr>
            <w:tcW w:w="2660"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每船每次事故赔偿限额：3000万</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每船每次事故财产损失限额：5万</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每座累计赔偿限额：100万（包含医疗赔偿限额10万）</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附加司乘人员每人（每座）每次事故赔偿限额：200万（含每人医疗费用赔偿限额10万）</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境内旅行意外伤害保险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2027年1月1日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【方案一】0.95元3天/1.425元4天/2.375元7天</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重庆长江黄金游轮有限公司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【方案一】意外身故、伤残给付10万元；</w:t>
            </w:r>
          </w:p>
        </w:tc>
        <w:tc>
          <w:tcPr>
            <w:tcW w:w="109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0元或损失金额的0%</w:t>
            </w:r>
          </w:p>
        </w:tc>
        <w:tc>
          <w:tcPr>
            <w:tcW w:w="907"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附加旅行疾病身故保险。</w:t>
            </w:r>
          </w:p>
        </w:tc>
        <w:tc>
          <w:tcPr>
            <w:tcW w:w="2660"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投保天数不同，对应保费不同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【方案一】1.425元3天/1.9元4天/3.325元7天</w:t>
            </w: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意外、急性病医疗费用补偿3万元；</w:t>
            </w:r>
          </w:p>
        </w:tc>
        <w:tc>
          <w:tcPr>
            <w:tcW w:w="109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【方案一】1.9元3天/2.375元4天/4.275元7天</w:t>
            </w: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急性病身故给付1万元。</w:t>
            </w:r>
          </w:p>
        </w:tc>
        <w:tc>
          <w:tcPr>
            <w:tcW w:w="109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【方案二】意外身故、伤残给付30万元；</w:t>
            </w:r>
          </w:p>
        </w:tc>
        <w:tc>
          <w:tcPr>
            <w:tcW w:w="109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意外、急性病医疗费用补偿3万元；</w:t>
            </w:r>
          </w:p>
        </w:tc>
        <w:tc>
          <w:tcPr>
            <w:tcW w:w="109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急性病身故给付1万元。</w:t>
            </w:r>
          </w:p>
        </w:tc>
        <w:tc>
          <w:tcPr>
            <w:tcW w:w="109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【方案三】意外身故、伤残给付50万元；</w:t>
            </w:r>
          </w:p>
        </w:tc>
        <w:tc>
          <w:tcPr>
            <w:tcW w:w="109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意外、急性病医疗费用补偿3万元；</w:t>
            </w:r>
          </w:p>
        </w:tc>
        <w:tc>
          <w:tcPr>
            <w:tcW w:w="109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急性病身故给付1万元。</w:t>
            </w:r>
          </w:p>
        </w:tc>
        <w:tc>
          <w:tcPr>
            <w:tcW w:w="109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26410</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重庆长江三峡旅游开发有限公司云阳两江假日酒店分公司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累计赔偿限额：600万元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1.本保单每次事故免赔为100元或损失金额的0%，二者以高者为准。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1.附加急救费用条款，限额同主险一致。</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每次事故赔偿限额：300万元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2.本保单每次事故财产损失绝对免赔200元或损失金额的5%，二者以高者为准。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2.附加食品、饮料责任条款，累计责任限额500万元，每次事故赔偿限额200万元，每次事故每人赔偿限额100万元。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每次事故每人赔偿限额：100万元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3.本保单附加停车场责任条款，全车盗抢免赔2000元或20%，两者以高者为准；划痕及其他事故，每次事故绝对免赔200元或损失金额的10%，两者以高者为准。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3.附加客人财产责任条款，累计责任限额2万元，每次事故赔偿限额2万元，每次事故每人赔偿限额2000元。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（含）每人医疗费用赔偿限额：10万元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4.附加罢工、暴乱、民众骚动及恶意破坏条款，限额同主险一致。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每次事故财产损失赔偿限额：40万元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5.附加火灾、爆炸、烟熏、水损责任条款，累计责任限额100万元，每次事故赔偿限额30万元，每次事故人身伤亡赔偿限额30万元，每次事故每人赔偿限额30万元，每次事故财产损失赔偿限额2万元。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法律诉讼赔偿限额：5万元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6.附加建筑物改变条款，累计赔偿限额500万元，每次事故赔偿限额200万元。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7.附加停车场责任条款（停车位共76个），累计责任限额500万元，每次赔偿限额15万元。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8.附加电梯责任条款（5部），累计责任限额500万元，每次赔偿限额200万元。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9.附加卫生装置条款，限额同主险一致。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10.附加社交及娱乐场所责任条款，限额同主险一致。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11.附加游泳池责任保险条款，累计责任限额300万元，每次赔偿限额200万元，每次事故每人赔偿限额100万元（含医疗费用赔偿限额10万元。）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12.锅炉爆炸责任条款；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13.公众责任保险附加法律费用保险条款。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2027年4月3日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13300</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重庆长江三峡旅游开发有限公司巫山江山红叶酒店分公司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累计赔偿限额：1000万元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1.本保单每次事故财产损失绝对免赔0元或者损失金额的0%，二者以高者为准。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1.附加客人财产责任条款：累计责任限额5万元，每次事故赔偿限额5元。</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每次事故赔偿限额：500万元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2.本保单每次事故人身伤亡绝对免赔100元或损失金额的0%，二者以高者为准。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2.附加火灾、爆炸、烟熏、水损责任条款：限额同主险一致。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每次事故每人赔偿限额：50万元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3.本保单附加停车场责任保险，其中每次事故整车盗抢免赔率为20%，每次事故绝对免赔额为200元或损失金额的20%。</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3.附加停车场责任条款：累计责任限额：100万元，每次事故赔偿限额：30万元，每次每个车位赔偿限额：30万元。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（含）每人医疗费用赔偿限额：5万元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4.附加电梯责任条款：累计责任限额：200万元，每次事故赔偿限额：100万元，每人赔偿限额：50万元。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每次事故财产损失赔偿限额：5万元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5.附加锅炉爆炸责任条款：限额同主险一致。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6.附加食品、饮料责任条款：限额同主险一致。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7.附加游泳池责任条款：累计责任限额：200万元，每次事故赔偿限额：100万元，每人赔偿限额：50万元。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8.附加卫生装置条款：限额同主险一致。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9.附加社交及娱乐场所责任条款：限额同主险一致。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10.附加法律费用保险条款。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2027年4月25日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7125</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重庆新智文旅有限公司红岩文化旅游分公司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累计赔偿限额：1000万元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1.本保单每次事故财产损失绝对免赔200元或者损失金额的5%，二者以高者为准。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1.附加救火费用条款：累计责任限额：100万元，每次事故赔偿限额：50万元。</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每次事故赔偿限额：500万元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2.本保单每次事故医疗费用绝对免赔100元或者损失金额的5%，二者以高者为准。  </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2.附加罢工、暴乱、民众骚动及恶意破坏条款：累计责任限额：100万元，每次事故赔偿限额：50万元。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每次事故每人赔偿限额：100万元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3.附加客人财产责任条款：累计责任限额5万元，每次事故赔偿限额5万元。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（含）每人医疗费用赔偿限额：5万元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4.附加火灾、爆炸、烟熏、水损责任条款：赔偿限额同主险一致。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每次事故财产损失赔偿限额：5万元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5.附加食品、饮料责任条款：累计责任限额500万元，每次事故赔偿限额500万元，每次事故每人赔偿限额50万元。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法律诉讼费用累计5万元，每次5万元，其他保额不变。</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6.附加急救费用条款：累计责任限额：100万元，每次事故赔偿限额：50万元。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7.附加卫生装置条款：累计责任限额：100万元，每次事故赔偿限额：50万元。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8.附加社交及娱乐场所责任条款：累计责任限额：100万元，每次事故赔偿限额：50万元。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9.附加不受控制条款：同主险一致。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10.附加错误与遗漏条款：同主险一致。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11.附加出租人责任条款：同主险一致。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12.附加广告及装饰装置责任条款：累计责任限额：100万元，每次事故赔偿限额：50万元。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13.附加法律费用保险条款。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旅行社责任险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2026年8月30日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1710</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重庆新智文旅有限公司红岩文化旅游分公司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累计责任限额：40万元；</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0元或损失金额的0%</w:t>
            </w:r>
          </w:p>
        </w:tc>
        <w:tc>
          <w:tcPr>
            <w:tcW w:w="907"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每次事故责任限额：20万元；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每人人身伤亡责任限额：20万元；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每人医疗费用责任限额：0.5万元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财产一切险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2026年9月19日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6576.85</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重庆新智文旅有限公司红岩文化旅游分公司</w:t>
            </w:r>
          </w:p>
        </w:tc>
        <w:tc>
          <w:tcPr>
            <w:tcW w:w="138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总保额：8,653,417.68</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1.本保险对地震每次事故的绝对免赔为40万或损失金额的5%，二者以高者为准。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1.扩展地震保险（A款）；</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2.本保险每次事故的绝对免赔为1000人民币或损失金额的5%，二者以高者为准。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2.扩展水箱、水管爆裂保险；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3.扩展恐怖活动保险；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4.扩展动物侵袭保险；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5.电路电器设备损失保险；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6.疏散费用保险条款；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7.建筑物外部附属设施保险（A款）；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8.锅炉爆炸、倒塌保险；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9.广告霓虹灯特约保险；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10.计算机及其附属设备特约保险；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11.清理残骸费用保险；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12.水道清理条款；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13.扩展临时移动保险（A款）；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14.附加自燃财产保险；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15.扩展恶意破坏保险；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16.水渍保险；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17.扩展烟熏保险。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2026年9月30日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15200</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重庆新智文旅有限公司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累计赔偿限额：1000万元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1.本保单每次事故财产损失绝对免赔200元或者损失金额的5%，二者以高者为准。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1.附加救火费用条款：累计责任限额：100万元，每次事故赔偿限额：50万元。</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每次事故赔偿限额：500万元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2.本保单每次事故医疗费用绝对免赔100元或者损失金额的5%，二者以高者为准。  </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2.附加罢工、暴乱、民众骚动及恶意破坏条款：累计责任限额：100万元，每次事故赔偿限额：50万元。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每次事故每人赔偿限额：50万元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3.附加客人财产责任条款：累计责任限额2万元，每一客户赔偿限额1万元。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（含）每人医疗费用赔偿限额：5万元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4.附加火灾、爆炸、烟熏、水损责任条款：赔偿限额同主险一致。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每次事故财产损失赔偿限额：2万元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5.附加急救费用条款：累计责任限额：100万元，每次事故赔偿限额：50万元。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法律诉讼费用累计5万元，每次5万元，其他保额不变。</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6.附加社交及娱乐场所责任条款：累计责任限额：100万元，每次事故赔偿限额：50万元。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7.附加不受控制条款：同主险一致。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8.附加错误与遗漏条款：同主险一致。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9.附加广告及装饰装置责任条款：累计责任限额：100万元，每次事故赔偿限额：50万元。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10附加法律费用保险条款。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2026年9月30日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3790</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重庆山水城文化旅游发展有限公司江北分公司（重庆大炸六五隧道惨案史实展馆）</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累计赔偿限额：500万元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1.本保单每次事故财产损失免赔1000元或损失金额5%，二者以高者为准；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1.附加工、乱、民众强动及恶意坏条款：累计责任限额100万元，每次事故赔偿限额50万元。</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每次事故赔偿限额：260万元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2.本保单每次事故每人医疗费用免赔100元或损失金额5%，二者以高者为准。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2.附加急救费用条款：累计责任限额60万元，每次事故赔偿限额30万元。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每次事故每人赔偿限额：50万元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3.附加火灾和炸责条款：限额同主险一致。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（含）每人医疗费用赔偿限额：5万元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4.附加不受控制条款：限额同土险一致。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每次事故财产损失赔偿限额：60万元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5.附加社交及娱乐场所责任条款：累计责任限额100万元，每次事故赔偿限额50万元。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法律诉讼费用累计5万元，每次5万元，其他保额不变。</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6.附加广告及装饰责任条款：累计责任限额100万元，每次事故赔偿限额50万元。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7.附加法律费用保险条款。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2027年2月6日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19000</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重庆山水城文化旅游发展有限公司江北分公司（重庆儿童乐园）</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累计赔偿限额：1000万元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1.本保单每次事故财产损失免赔额为300元或损失金额的5%，两者以高者为准。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1.附加不受控制条款；</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每次事故赔偿限额：500万元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2.每次事故人伤医疗费用免赔额为200元或损失金额的0%，两者以高者为准。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2.附加法律费用保险条款。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每次事故每人赔偿限额：150万元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（含）每人医疗费用赔偿限额：10万元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每次事故财产损失赔偿限额：15万元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4655</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石柱土家族自治县季佳房地产开发有限公司黄水两江假日酒店</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累计赔偿限额：200万元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1.本保单每次事故财产损失绝对免赔0%或0元，二者以高者为准；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1.附加停车场责任条款（停车位共99个），累计责任限额：100万元，每次事故赔偿限额：50万元，每次每个车位赔偿限额：10万元。</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每次事故赔偿限额：50万元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附加停车场责任保险，其中每次事故整车盗抢免赔率为20%，每次事故绝对免赔额为损失金额的20%。室外车位盗抢事故所致损失，保险人不负责赔偿。划痕赔偿责任每次事故绝对免赔0元或损失金额的20%，两者以高者为准。停车场其他责任事故，每次绝对免赔200元或损失金额的5%，两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2.附加电梯责任条款（6部），累计责任限额：100万元，每人赔偿限额：20万元，每次赔偿限额：50万元。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每次事故每人赔偿限额：20万元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3.附加卫生装置条款，限额同主险一致。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（含）每人医疗费用赔偿限额：2万元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4.附加社交及娱乐场所责任条款，限额同主险一致。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每次事故财产损失赔偿限额：2万元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5.附加广告及装饰装置责任条款，累计责任限额：100万元，每人赔偿限额：20万元，每次赔偿限额：50万元。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6.附加火灾和爆炸责任条款，累计责任限额：100万元，每人赔偿限额：20万元，每次赔偿限额：50万元。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7.附加食品、饮料责任条款，累计责任限额：100万元，每人赔偿限额：20万元，每次赔偿限额：50万元。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8.附加法律费用保险条款。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财产综合险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12471</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石柱土家族自治县季佳房地产开发有限公司黄水两江假日酒店</w:t>
            </w:r>
          </w:p>
        </w:tc>
        <w:tc>
          <w:tcPr>
            <w:tcW w:w="138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总保额：100,980,000</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本保险每次事故免赔额为500元或损失金额的5%，二者以高者为准。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1.附加扩展恶意破坏保险；</w:t>
            </w:r>
          </w:p>
        </w:tc>
        <w:tc>
          <w:tcPr>
            <w:tcW w:w="2660"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2.附加扩展自动喷淋系统水损保险；</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3.附加扩展水箱、水管爆裂保险；</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4.附加扩展清理残骸费用保险；</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5.附加扩展锅炉爆炸、倒塌保险。</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财产一切险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2026年9月19日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28086</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重庆两江假日酒店管理有限公司（江北店地址）</w:t>
            </w:r>
          </w:p>
        </w:tc>
        <w:tc>
          <w:tcPr>
            <w:tcW w:w="138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总保额：389,000,000</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1.本保险对地震每次事故的绝对免赔为40万或损失金额的5%，二者以高者为准。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1.扩展地震保险（A款）；</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2.本保险每次事故的绝对免赔为1000人民币或损失金额的5%，二者以高者为准。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2.附加施救损失保险；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3.附加广告牌、告示牌及装饰物特约保险；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4.附加锅炉爆炸、倒塌保险条款。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财产一切险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2026年11月21日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10508</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重庆两江假日酒店管理有限公司（重宾酒店地址）</w:t>
            </w:r>
          </w:p>
        </w:tc>
        <w:tc>
          <w:tcPr>
            <w:tcW w:w="138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总保额：158,022,283.04</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1.本保险对地震每次事故的绝对免赔为40万或损失金额的5%，二者以高者为准。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1.附加建筑物外部附属设施特约保险（B款）；</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2.本保险每次事故的绝对免赔为1000人民币或损失金额的5%，二者以高者为准。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2.附加玻璃破碎保险（A款）条款；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3.附加扩展地震保险（A款）；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4.附加水渍保险；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5.附加扩展恶意破坏保险；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6.附加扩展自动喷淋系统水损保险（A款）；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7.附加疏散费用保险条款；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8.附加扩展水箱、水管爆裂保险。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2027年3月1日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3705</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重庆两江假日酒店管理有限公司餐饮管理分公司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累计赔偿限额：300万元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1.本保单每次事故免赔为100元或损失金额的0%，二者以高者为准。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1.附加锅炉爆炸责任条款：累计责任限额200万元，每次事故赔偿限额100万元，每次事故人身伤亡赔偿限额200万元，每次事故每人赔偿限额60万元，每次事故财产损失赔偿限额2万元。</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每次事故赔偿限额：200万元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2.本保单每次事故财产损失绝对免赔200元或损失金额的5%，二者以高者为准。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2.附加急救费用条款：累计责任限额100万元，每次事故赔偿限额50万元。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每次事故每人赔偿限额：50万元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3.附加罢工、暴乱、民众骚动及恶意破坏条款：限额同主险一致。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（含）每人医疗费用赔偿限额：5万元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4.附加火灾、爆炸、烟熏、水损责任条款：累计责任限额100万元，每次事故赔偿限额100万元，每次事故人身伤亡赔偿限额100万元，每次事故每人赔偿限额50万元，每次事故财产损失赔偿限额2万元。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每次事故财产损失赔偿限额：10万元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5.附加暴力行为、抢劫责任条款：限额同主险一致。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6.附加不受控制条款。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7.附加错误与遗漏条款。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8.附加卫生装置条款：限额同主险一致。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9.附加社交及娱乐场所责任条款：限额同主险一致。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10.附加酒类责任条款：累计责任限额80万元。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11.附加食品、饮料责任条款：累计责任限额100万元，每次赔偿限额100万元，每人60万元。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12.附加雇员及合伙人条款：累计责任限额200万元，每次100万元，每人50万元。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13.附加法律费用保险条款。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2026年8月18日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5700</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重庆两江假日酒店管理有限公司大学城分公司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累计赔偿限额：300万元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1.本保单每次事故免赔为100元（2025年保单为0.0元）或损失金额的0%，二者以高者为准。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1.附加锅炉爆炸责任条款：累计责任限额200万元，每次事故赔偿限额100万元，每次事故人身伤亡赔偿限额100万元，每次事故每人赔偿限额50万元，每次事故财产损失赔偿限额2万元。</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每次事故赔偿限额：200万元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2.本保单每次事故财产损失绝对免赔200元（2025年保单为0.0元）或损失金额的5%（2025年保单为0%），二者以高者为准。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2.附加急救费用条款：累计责任限额100万元，每次事故赔偿限额50万元。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每次事故每人赔偿限额：50万元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3.附加罢工、暴乱、民众骚动及恶意破坏条款：限额同主险一致。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（含）每人医疗费用赔偿限额：5万元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4.附加火灾、爆炸、烟熏、水损责任条款：累计责任限额200万元，每次事故赔偿限额100万元，每次事故人身伤亡赔偿限额100万元，每次事故每人赔偿限额50万元，每次事故财产损失赔偿限额2万元。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每次事故财产损失赔偿限额：20万元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5.附加暴力行为、抢劫责任条款：限额同主险一致。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6.附加不受控制条款。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7.附加错误与遗漏条款。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8.附加电梯责任条款：累计责任限额200万元，每次赔偿限额100万元。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9.附加卫生装置条款：限额同主险一致。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10.附加社交及娱乐场所责任条款：限额同主险一致。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11.附加雇员及合伙人条款：限额同主险一致。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12.附加酒类责任条款：累计责任限额80万元。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13.附加食品、饮料责任条款：累计责任限额100万元，每次赔偿限额100万元，每人50万元。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14.附加法律费用保险条款。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雇主责任险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99.75元/人</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重庆两江假日酒店管理有限公司大学城分公司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每人赔偿限额：20万元</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本保单死亡残疾赔付无免赔；每次事故每人医疗费用免赔额为100元或损失金额的0%，两者以高者为准。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1.附加就餐责任保险；</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每人医疗费用赔偿限额：2万元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2.附加上下班途中责任保险；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涉及工种：客房服务员、餐厅服务员、清洁工、工程安保员</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3.附加猝死责任保险；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4.附加社交活动和文娱活动责任保险；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5.附加误工费用责任保险；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6.附加伤残赔偿比例调整保险A款；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7.附加一次性伤残就业补助金责任保险。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2027年2月14日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45700</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重庆两江假日酒店管理有限公司大足分公司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累计赔偿限额：1000万元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1.本保单每次事故免赔为100元或损失金额的0%，二者以高者为准。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1.附加游泳池及健身房责任条款：累计责任限额500万元。</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每次事故赔偿限额：1000万元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2.本保单每次事故财产损失绝对免赔200元或损失金额的5%，二者以高者为准。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2.附加恐怖活动条款：累计责任限额200万元。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每次事故每人赔偿限额：100万元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3.本保单附加停车场责任条款，全车盗抢免赔2000元或20%，两者以高者为准；划痕及其他事故，每次事故绝对免赔200元或损失金额的10%，两者以高者为准。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3.附加广告及装饰装置责任条款：累计责任限额300万元。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（含）每人医疗费用赔偿限额：20万元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4.附加电梯、机器及大厦自动装置条款：累计责任限额200万元，每次200万元。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每次事故财产损失赔偿限额：10万元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5.附加火灾、爆炸、烟熏、水损责任条款：累计责任限额500万元，每次事故赔偿限额300万元。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法律诉讼赔偿限额：5万元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6.附加食品、饮料责任条款：累计责任限额200万元，每次事故赔偿限额200万元，每次事故每人赔偿限额50万元。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7.附加锅炉爆炸责任条款：累计责任限额500万元，每次事故赔偿限额200万元。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8.附加建筑物改变条款：累计赔偿限额500万元，每次事故赔偿限额200万元。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9.附加停车场责任条款：累计责任限额500万元，每车赔偿限额10万元。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10.附加交叉责任条款：限额同主险一致。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11.附加电瓶车责任条款：每人赔偿限额100万元（其中医疗赔偿限额20万元），车上人员（非员工）保险责任每座赔偿限额10万元（其中医疗赔偿限额10万元）。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12.附加暴力行为、抢劫责任条款：累计责任限额200万元，每次事故赔偿限额100万元。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13.附加娱乐设施条款：累计责任限额200万元，每次事故赔偿限额100万元。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14.附加法律费用保险条款。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雇主责任险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2026年9月2日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2029年8月31日及短期</w:t>
            </w: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一年期171元/人；</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重庆两江假日酒店管理有限公司大足分公司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每人赔偿限额：50万元</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本保单死亡残疾赔付无免赔；每次事故每人医疗费用免赔额为100元或损失金额的0%，两者以高者为准。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1.附加就餐责任保险；</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四个月85.5元/人</w:t>
            </w: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每人医疗费用赔偿限额：5万元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2.附加上下班途中责任保险；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一年期涉及工种：水电工、锅炉工、安全消防专员、万能工</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3.附加猝死责任保险；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四个月涉及工种：服务员、协助救援</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4.附加社交活动和文娱活动责任保险；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5.附加误工费用责任保险；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6.附加伤残赔偿比例调整保险A款；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7.附加一次性伤残就业补助金责任保险。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雇主责任险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2026年7月27日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2029年8月31日及短期</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90.25元/人</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重庆两江假日酒店管理有限公司江北分公司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每人伤亡责任赔偿限额：20万元</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本保单死亡残疾赔付无免赔；每次事故每人医疗费用免赔额为100(0元）元或损失金额的0%，两者以高者为准。 不承担（65）岁以上超龄人员48小时内的疾病死亡和猝死赔偿责任（新增条款）</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1.附加就餐责任保险；</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每人医疗费用赔偿限额：3万元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2.附加上下班途中责任保险；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涉及工种：服务员</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3.附加猝死责任保险；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4.附加社交活动和文娱活动责任保险；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5.附加误工费用责任保险；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6.附加伤残赔偿比例调整保险A款；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7.附加一次性伤残就业补助金责任保险。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2026年9月10日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8075</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重庆两江假日酒店管理有限公司江北分公司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累计赔偿限额：500万元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1.本保单每次事故免赔为100元或损失金额的0%，二者以高者为准。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1.附加电梯责任条款：累计责任限额：200万元，每次事故赔偿限额：100万元，每人赔偿限额：20万元。</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每次事故赔偿限额：200万元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2.本保单每次事故财产损失绝对免赔200元或损失金额的5%，二者以高者为准。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2.附加广告及装饰装置责任条款：累计责任限额：200万元，每次事故赔偿限额：100万元。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每次事故每人赔偿限额：25万元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3.本保单附加停车场责任条款，全车盗抢免赔2000元或20%，两者以高者为准；划痕及其他事故，每次事故绝对免赔200元或损失金额的10%，两者以高者为准。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3.附加食品、饮料责任条款：累计责任限额500万元，每次事故赔偿限额200万元，每次事故每人赔偿限额20万元。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（含）每人医疗费用赔偿限额：5万元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4.附加停车场责任条款：累计责任限额：500万元，每次事故赔偿限额：150万元，每次每个车位赔偿限额：5万元。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每次事故财产损失赔偿限额：200万元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5.附加火灾、爆炸、烟熏、水损责任条款：累计责任限额：200万元，每次事故赔偿限额：100万元。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6.附加客人财产责任条款：累计责任限额200万元，每次事故每人赔偿限额2000元。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7.附加卫生装置条款：限额同主险一致。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8.附加社交及娱乐场所责任条款：限额同主险一致。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9.附加法律费用保险条款。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财产一切险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2026年9月29日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2271</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重庆两江假日酒店管理有限公司江北分公司</w:t>
            </w:r>
          </w:p>
        </w:tc>
        <w:tc>
          <w:tcPr>
            <w:tcW w:w="138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总保额：11,495,353.15</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1.本保险对地震每次事故的绝对免赔为40万或损失金额的5%，二者以高者为准。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1.企财险附加扩展恶意破坏保险；</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2.本保险每次事故的免赔为0元人民币或损失金额的0%</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2.企财险附加自动恢复保险金额保险（A款）；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3.企财险附加玻璃破碎保险（A款）条款；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4.企财险附加扩展地震保险（A款）；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5.企财险附加扩展自动喷淋系统水损保险（A款）；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6.企财险附加疏散费用保险条款；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7.企财险附加扩展水箱、水管爆裂保险。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8.财产一切险条款（2009版）。</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6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机器损坏险</w:t>
            </w:r>
          </w:p>
        </w:tc>
        <w:tc>
          <w:tcPr>
            <w:tcW w:w="94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2026年9月29日</w:t>
            </w:r>
          </w:p>
        </w:tc>
        <w:tc>
          <w:tcPr>
            <w:tcW w:w="94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7377.52</w:t>
            </w:r>
          </w:p>
        </w:tc>
        <w:tc>
          <w:tcPr>
            <w:tcW w:w="699"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重庆两江假日酒店管理有限公司江北分公司</w:t>
            </w: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总保额28976925.18</w:t>
            </w:r>
          </w:p>
        </w:tc>
        <w:tc>
          <w:tcPr>
            <w:tcW w:w="109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500元或损失金额的2%（每次事故免赔额为0元或损失金额的0%,二者居高者为准）</w:t>
            </w: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1.清理残骸费用保险；2.特别费用保险；3.空运费保险；4.专业费用保险。</w:t>
            </w:r>
          </w:p>
        </w:tc>
        <w:tc>
          <w:tcPr>
            <w:tcW w:w="26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11875</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重庆两江假日酒店管理有限公司彭水分公司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累计赔偿限额：500万</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1.本保单每次事故免赔为100元或损失金额的0%，二者以高者为准。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1.附加锅炉爆炸责任保险条款：累计责任限额100万元，每次事故赔偿限额50万元。</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每次事故赔偿限额：200万元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2.本保单每次事故财产损失绝对免赔200元或损失金额的5%，二者以高者为准。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2.附加电梯责任条款：累计责任限额100万元，每次事故赔偿限额50万元。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每次事故每人赔偿限额：50万元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3.本保单附加停车场责任条款，全车盗抢免赔2000元或20%，两者以高者为准；划痕及其他事故，每次事故绝对免赔200元或损失金额的10%，两者以高者为准。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3.附加停车场责任条款：累计责任限额300万元，每次事故赔偿限额20万元，每次每个车位赔偿限额20万元。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（含）每人医疗费用赔偿限额：3万元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4.附加广告及装饰装置责任条款：累计责任限额200万元，每次事故赔偿限额100万元。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每次事故财产损失赔偿限额：20万元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5.附加火灾、爆炸、烟熏、水损责任条款：累计责任限额100万元，每次事故赔偿限额100万元。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法律诉讼赔偿限额：5万元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6.附加食品、饮料责任条款：累计责任限额100万元，每次事故赔偿限额100万元。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7.附加急救费用条款：累计责任限额200万元，每次事故赔偿限额100万元。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8.附加客人财产责任条款：累计责任限额20万元，每一客户赔偿限额2万元。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9.附加卫生装置条款：累计责任限额100万元，每次事故赔偿限额50万元。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10.附加社交及娱乐场所责任条款：累计责任限额100万元，每次事故赔偿限额100万元。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11.附加法律费用保险条款。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雇主责任险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180元/人</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重庆两江假日酒店管理有限公司彭水分公司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每人赔偿限额：30万元</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本保单死亡残疾赔付无免赔；每次事故每人医疗费用免赔额为100元或损失金额的0%，两者以高者为准。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1.附加就餐责任保险；</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每人医疗费用赔偿限额：3万元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2.附加上下班途中责任保险；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涉及工种：管理层、内勤、外勤、安保、清洁工、服务员、工程人员、船员</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3.附加猝死责任保险；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4.附加社交活动和文娱活动责任保险；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5.附加误工费用责任保险；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6.附加伤残赔偿比例调整保险A款；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7.附加一次性伤残就业补助金责任保险。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2027年4月4日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10450</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重庆旅投道真两江酒店有限公司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累计赔偿限额：1000万元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1.本保单每次事故财产损失绝对免赔500元或者损失金额的10%，二者以高者为准。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1.附加电梯责任条款：累计责任限额：100万元，每次事故赔偿限额：20万元，每人赔偿限额：10万元。</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每次事故赔偿限额：500万元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2.本保单附加停车场责任保险，其中每次事故绝对免赔额为200元或损失金额的5%，二者以高者为准；每次事故整车盗抢免赔率为20%。</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2.附加停车场责任条款：累计责任限额：300万元，每次事故赔偿限额：20万元，每次每个车位赔偿限额：10万元。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每次事故每人赔偿限额：50万元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3.附加食品、饮料责任条款：累计责任限额100万元，每次事故赔偿限额50万元，每次事故每人赔偿限额20万元。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（含）每人医疗费用赔偿限额：5万元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4.附加客人财产责任条款：累计责任限额5万元，每次事故每人赔偿限额2000元。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每次事故财产损失赔偿限额：3万元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5）。附加火灾、爆炸、烟熏、水损责任条款：累计责任限额：50万元，每次事故赔偿限额：50万元。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6.附加卫生装置条款：累计责任限额：40万元，每次事故赔偿限额：20万元。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7.附加社交及娱乐场所责任条款：累计责任限额：40万元，每次事故赔偿限额：20万元。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8.附加法律费用保险条款。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雇主责任险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2027年5月1日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171元/人</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重庆旅投道真两江酒店有限公司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每人赔偿限额：20万元</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本保单死亡残疾赔付无免赔；每次事故每人医疗费用免赔额为100元或损失金额的0%，两者以高者为准。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1.附加就餐责任保险；</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每人医疗费用赔偿限额：2万元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2.附加上下班途中责任保险；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涉及工种：管理层、内勤、外勤、服务员、清洁工、安保、防损员工、工程万能工</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3.附加猝死责任保险；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4.附加社交活动和文娱活动责任保险；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5.附加误工费用责任保险；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6.附加伤残赔偿比例调整保险A款；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7.附加一次性伤残就业补助金责任保险。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财产综合险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2027年3月12日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6655.29</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重庆旅投道真两江酒店有限公司</w:t>
            </w:r>
          </w:p>
        </w:tc>
        <w:tc>
          <w:tcPr>
            <w:tcW w:w="138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总保额：75,628,248.29</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本保险每次事故免赔额为1000元或损失金额的10%，二者以高者为准。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1.附加扩展恶意破坏保险；</w:t>
            </w:r>
          </w:p>
        </w:tc>
        <w:tc>
          <w:tcPr>
            <w:tcW w:w="2660"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2.附加扩展自动喷淋系统水损保险；</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3.附加扩展水箱、水管爆裂保险；</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4.附加扩展清理残骸费用保险；</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5.附加扩展锅炉爆炸、倒塌保险。</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5225</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重庆两江假日酒店管理有限公司世纪英皇物管分公司（大厦）</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累计赔偿限额：200万元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1.本保单每次事故财产损失绝对免赔200元或者损失金额的5%，二者以高者为准。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1.附加不受控制条款：赔偿限额同主险一致。</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每次事故赔偿限额：100万元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2.本保单每次事故医疗费用绝对免赔100元或者损失金额的5%，二者以高者为准。  </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2.附加错误与遗漏条款：赔偿限额同主险一致。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每次事故每人赔偿限额：50万元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3.附加火灾和爆炸责任条款：赔偿限额同主险一致。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（含）每人医疗费用赔偿限额：5万元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4.附加广告及装饰装置责任条款：累计责任限额：100万元，每次事故赔偿限额：100万元。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每次事故财产损失赔偿限额：2万元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5.附加法律费用保险条款。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6175</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重庆两江假日酒店管理有限公司世纪英皇物管分公司（车库）</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累计赔偿限额：200万元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1.本保单每次事故财产损失绝对免赔200元或者损失金额的5%，二者以高者为准。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1.附加停车场责任条款：累计责任限额：200万元，每次事故赔偿限额：100万元，每次每个车位赔偿限额：10万元。</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每次事故赔偿限额：100万元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2.本保单附加停车场责任保险，其中每次事故绝对免赔额为500元或损失金额的5%，二者以高者为准；每次事故整车盗抢免赔率为20%。</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2.附加不受控制条款：赔偿限额同主险一致。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每次事故每人赔偿限额：50万元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3.附加错误与遗漏条款：赔偿限额同主险一致。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（含）每人医疗费用赔偿限额：5万元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4.附加火灾和爆炸责任条款：赔偿限额同主险一致。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每次事故财产损失赔偿限额：2万元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5.附加法律费用保险条款。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雇主责任险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2027年4月1日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90.25元/人</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重庆两江假日酒店管理有限公司加州分公司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每人赔偿限额：20万元</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本保单死亡残疾赔付无免赔；每次事故每人医疗费用免赔额为100元或损失金额的0%，两者以高者为准。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1.附加就餐责任保险；</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每人医疗费用赔偿限额：3万元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2.附加上下班途中责任保险；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涉及工种：内勤、电工、安保、服务员、清洁工、前台接待</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3.附加猝死责任保险；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4.附加社交活动和文娱活动责任保险；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5.附加误工费用责任保险；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6.附加伤残赔偿比例调整保险A款；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7.附加一次性伤残就业补助金责任保险。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2027年4月1日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2717</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重庆两江假日酒店管理有限公司加州分公司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累计赔偿限额：100万元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1.本保单人伤医疗费用每次事故免赔100元或者损失金额的0%，二者以高者为准。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1.附加火灾和爆炸责任条款：累计责任限额：100万元，每次事故赔偿限额：50万元，每人赔偿限额：20万元。</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每次事故赔偿限额：50万元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2.本保单财产损失每次事故免赔100元或者损失金额的0%，二者以高者为准。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2.附加电梯责任条款：累计责任限额：累计责任限额：100万元，每次事故赔偿限额：50万元，每人赔偿限额：20万元，医疗2万元。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每次事故每人赔偿限额：20万元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3.附加广告及装饰装置责任条款：累计责任限额：100万元，每次事故赔偿限额：50万元，每人赔偿限额：20万元。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（含）每人医疗费用赔偿限额：2万元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4.附加食品、饮料责任条款：累计责任限额：100万元，每次事故赔偿限额：50万元，每人赔偿限额：20万元。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每次事故财产损失赔偿限额：0.5万元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5.附加社交及娱乐场所责任条款：累计责任限额：100万元，每次事故赔偿限额：50万元，每人赔偿限额：20万元。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6.附加法律费用保险条款。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财产一切险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2026年10月16日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17385</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重庆两江假日酒店管理有限公司帕格森蒂酒店分公司</w:t>
            </w:r>
          </w:p>
        </w:tc>
        <w:tc>
          <w:tcPr>
            <w:tcW w:w="138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总保额：182,800,000</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1.本保险对地震每次事故的绝对免赔为40万或损失金额的5%，二者以高者为准。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1.附加扩展恶意破坏保险；</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2.本保险每次事故的绝对免赔为1000人民币或损失金额的5%，二者以高者为准。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2.企财险附加玻璃破碎保险（A款）条款；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3.企财险附加扩展自动喷淋系统水损保险（A款）；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4.附加广告牌、告示牌及装饰物特约保险；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5.附加锅炉爆炸、倒塌保险条款。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6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现金险</w:t>
            </w:r>
          </w:p>
        </w:tc>
        <w:tc>
          <w:tcPr>
            <w:tcW w:w="94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2026年10月16日</w:t>
            </w:r>
          </w:p>
        </w:tc>
        <w:tc>
          <w:tcPr>
            <w:tcW w:w="94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w:t>
            </w:r>
          </w:p>
        </w:tc>
        <w:tc>
          <w:tcPr>
            <w:tcW w:w="699"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重庆两江假日酒店管理有限公司帕格森蒂酒店分公司</w:t>
            </w: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总保额：50万元</w:t>
            </w:r>
          </w:p>
        </w:tc>
        <w:tc>
          <w:tcPr>
            <w:tcW w:w="109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0元或损失金额的0%</w:t>
            </w: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26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2027年2月1日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4275</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重庆两江假日酒店管理有限公司渝北分公司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累计赔偿限额：200万元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1.本保单人伤医疗费用每次事故免赔100元或者损失金额的0%，二者以高者为准。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1.附加火灾和爆炸责任条款：累计责任限额：200万元，每次事故赔偿限额：100万元，每人赔偿限额：20万元。</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每次事故赔偿限额：100万元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2.本保单财产损失每次事故免赔100元或者损失金额的0%，二者以高者为准。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2.附加电梯责任条款：累计责任限额：累计责任限额：100万元，每次事故赔偿限额：50万元，每人赔偿限额：20万元，医疗2万元。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每次事故每人赔偿限额：20万元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3.全车盗抢免赔20%或2000元，两者以高者为准：划痕及其他事故每次事故免赔200元或10%，两者以高为准。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3.附加广告及装饰装置责任条款：累计责任限额：200万元，每次事故赔偿限额：100万元，每人赔偿限额：20万元。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（含）每人医疗费用赔偿限额：2万元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4.附加食品、饮料责任条款：累计责任限额：200万元，每次事故赔偿限额：100万元，每人赔偿限额：20万元。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每次事故财产损失赔偿限额：0.5万元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5.附加社交及娱乐场所责任条款：累计责任限额：200万元，每次事故赔偿限额：100万元，每人赔偿限额：20万元。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6.附加停车场责任条款：累计责任限额：100万元，每次事故赔偿限额：50万元，每车位赔偿限额10万元，每次事故每车划痕赔偿限额0.2万元。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7.附加法律费用保险条款。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财产一切险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2026年12月24日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17765</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重庆两江假日酒店管理有限公司云顶酒店分公司</w:t>
            </w:r>
          </w:p>
        </w:tc>
        <w:tc>
          <w:tcPr>
            <w:tcW w:w="138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总保额：111,800,000</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1.本保险对地震每次事故的绝对免赔为40万或损失金额的5%，二者以高者为准。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1.扩展地震保险（A款）；</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2.本保险每次事故的绝对免赔为1000人民币或损失金额的5%，二者以高者为准。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2.附加施救损失保险；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3.附加广告牌、告示牌及装饰物特约保险；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4.附加锅炉爆炸、倒塌保险条款。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5.企财险附加玻璃破碎保险（A款）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6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现金险</w:t>
            </w:r>
          </w:p>
        </w:tc>
        <w:tc>
          <w:tcPr>
            <w:tcW w:w="94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2026年12月24日</w:t>
            </w:r>
          </w:p>
        </w:tc>
        <w:tc>
          <w:tcPr>
            <w:tcW w:w="94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451.25</w:t>
            </w:r>
          </w:p>
        </w:tc>
        <w:tc>
          <w:tcPr>
            <w:tcW w:w="699"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重庆两江假日酒店管理有限公司云顶酒店分公司</w:t>
            </w: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总保额：50万元</w:t>
            </w:r>
          </w:p>
        </w:tc>
        <w:tc>
          <w:tcPr>
            <w:tcW w:w="109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1000元或损失金额的10%</w:t>
            </w: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26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2027年4月20日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7946.75</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重庆两江假日酒店管理有限公司云顶酒店分公司</w:t>
            </w: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累计赔偿限额：500万元</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每次事故免赔500元或者损失金额的10%，二者以高者为准。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1.附加停车场责任险，累计责任限额100万元，每次责任限额50万元</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每次事故赔偿限额：200万元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2.附加电梯责任险，每次事故每人责任限额50万元，每次事故责任限额200万元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每次事故每人赔偿限额：50万（含）每人医疗费用赔偿限额：5万元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每次事故财产损失赔偿限额：10万元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火灾公众责任险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2027年5月20日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3455</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重庆两江假日酒店管理有限公司云顶酒店分公司</w:t>
            </w: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累计责任限额300万元</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每人医疗费用免赔额1000元或损失的5%以高者为准</w:t>
            </w:r>
          </w:p>
        </w:tc>
        <w:tc>
          <w:tcPr>
            <w:tcW w:w="907"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每次事故每人伤亡责任限额30万元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每次事故每人医疗费用3万元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每次事故责任限额200万元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雇主责任险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2027年4月20日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4294</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重庆两江假日酒店管理有限公司云顶酒店分公司</w:t>
            </w: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累计责任限额：660万元</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100元或10%取高</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1.附加误工费用保险责任</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（214.7元/人）</w:t>
            </w: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每次事故责任限额：660万元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2.附加残疾赔偿比例调整保险条款 (2026版A）十级5%</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每人伤亡责任限额：30万元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3.附加一次性伤残就业补助金责任保险（2026版）条款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每人医疗费用责任限额：3万元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2027年3月25日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2375</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重庆武陵文旅融合发展有限公司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累计赔偿限额：300万元</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本保单每次事故财产损失绝对免赔100元或者损失金额的5%，二者以高者为准。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1.附加广告及装饰装置责任条款：累计责任限额50万元，每次事故赔偿限额50万元，每次事故每人赔偿限额30万元（含医疗费用赔偿限额5万元）。</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每次事故赔偿限额：150万元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2.附加提供物品及服务条款：累计责任限额50万元，每次事故赔偿限额50万元，每次事故每人赔偿限额30万元（含医疗费用赔偿限额5万元）。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每次事故每人赔偿限额：30万元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3.附加展览会责任条款：累计责任限额50万元，每次事故赔偿限额50万元，每次事故每人赔偿限额30万元（含医疗费用赔偿限额5万元）。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（含）每人医疗费用赔偿限额：5万元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4.附加法律费用保险条款。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每次事故财产损失赔偿限额：2万元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火灾公众责任险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2026年10月24日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7600</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重庆东方花苑饭店有限公司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累计赔偿限额：1000万元；</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500元或损失金额的10%</w:t>
            </w:r>
          </w:p>
        </w:tc>
        <w:tc>
          <w:tcPr>
            <w:tcW w:w="907"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附加第三者财产损失责任20万元</w:t>
            </w:r>
          </w:p>
        </w:tc>
        <w:tc>
          <w:tcPr>
            <w:tcW w:w="2660"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每次事故赔偿限额1000万元；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每次事故人身伤亡赔偿限额1000万元；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每次事故每人人身伤亡责任限额40万元（其中含医疗限额4万元）；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每次事故财产损失赔偿限额200000元。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燃气责任险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2027年2月20日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5700</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重庆东方花苑饭店有限公司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累计赔偿限额：200万元；</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200元或损失金额的5%</w:t>
            </w:r>
          </w:p>
        </w:tc>
        <w:tc>
          <w:tcPr>
            <w:tcW w:w="907"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附加雇员人身损害责任保险</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每次事故赔偿限额200万元；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每次事故每人人身伤亡责任限额30万元（其中含医疗限额3万元）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2027年4月25日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5985</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重庆东方花苑饭店有限公司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累计赔偿限额：1000万元</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本保单每次事故免赔300元或者损失金额的0%，二者以高者为准。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1.附加电梯责任条款：累计责任限额：200万元，每次事故赔偿限额：100万元，每人赔偿限额：50万元。</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每次事故赔偿限额：500万元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2.附加广告及装饰装置责任条款：累计责任限额：100万元，每次事故赔偿限额：100万元，每人赔偿限额：50万元。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每次事故每人赔偿限额：50万元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3.附加食品、饮料责任条款：累计责任限额：100万元，每次事故赔偿限额：100万元，每人赔偿限额：20万元。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（含）每人医疗费用赔偿限额：2万元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4.附加卫生装置条款：累计责任限额：100万元，每次事故赔偿限额：100万元，每人赔偿限额：20万元。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每次事故财产损失赔偿限额：5万元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5.附加法律费用保险条款。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法律诉讼赔偿限额：10万元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财产基本险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2027年4月25日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1482</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重庆东方花苑饭店有限公司</w:t>
            </w:r>
          </w:p>
        </w:tc>
        <w:tc>
          <w:tcPr>
            <w:tcW w:w="1380"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总保额：15,603,830.69</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本保险每次事故免赔额为1000元或损失金额的10%，二者以高者为准。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1.附加扩展恶意破坏保险（通用型）；</w:t>
            </w:r>
          </w:p>
        </w:tc>
        <w:tc>
          <w:tcPr>
            <w:tcW w:w="2660"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2.附加扩展水箱、水管爆裂保险（通用型）</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2027年5月15日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5700</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重庆广场宾馆有限公司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累计赔偿限额：100万元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1.本保单每次事故免赔200元或者损失金额的5%，二者以高者为准。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1.附加火灾和爆炸责任条款：累计责任限额：100万元，每次事故赔偿限额：50万元，每人赔偿限额：20万元。</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每次事故赔偿限额：50万元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2.全车盗抢免赔20%或2000元，两者以高者为准；划痕及其他事故每次事故免赔200元或10%，两者以高为准。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2.附加电梯责任条款：累计责任限额：累计责任限额：100万元，每次事故赔偿限额：50万元，每人赔偿限额：20万元，医疗2万元。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每次事故每人赔偿限额：20万元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3.附加广告及装饰装置责任条款：累计责任限额：100万元，每次事故赔偿限额：50万元，每人赔偿限额：20万元。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（含）每人医疗费用赔偿限额：2万元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4.附加食品、饮料责任条款：累计责任限额：100万元，每次事故赔偿限额：50万元，每人赔偿限额：20万元。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每次事故财产损失赔偿限额：10万元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5.附加停车场责任条款：累计责任限额：100万元，每次事故赔偿限额：50万元，每车位赔偿限额5万元，每次事故每车划痕赔偿限额0.3万元。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6.附加卫生装置条款：累计责任限额：100万元，每次事故赔偿限额：50万元，每人赔偿限额：20万元。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7.附加法律费用保险条款。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财产综合险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2027年5月15日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5282</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重庆广场宾馆有限公司</w:t>
            </w:r>
          </w:p>
        </w:tc>
        <w:tc>
          <w:tcPr>
            <w:tcW w:w="1380"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总保额：52,902,945.49</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本保险每次事故免赔额为1000元或损失金额的10%，二者以高者为准。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1.附加扩展恶意破坏保险；</w:t>
            </w:r>
          </w:p>
        </w:tc>
        <w:tc>
          <w:tcPr>
            <w:tcW w:w="2660"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2.附加扩展自动喷淋系统水损保险；</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3.附加扩展水箱、水管爆裂保险；</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4.附加扩展清理残骸费用保险；</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5.附加扩展锅炉爆炸、倒塌保险。</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财产一切险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2027年2月6日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17100</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重庆天眷和资产管理有限公司</w:t>
            </w:r>
          </w:p>
        </w:tc>
        <w:tc>
          <w:tcPr>
            <w:tcW w:w="138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总保额：168,938,700</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1.本保险对地震每次事故的绝对免赔为40万或损失金额的5%，二者以高者为准。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1.企财险附加扩展恶意破坏保险；</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2.本保险每次事故的绝对免赔为1000人民币或损失金额的5%，二者以高者为准。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2.企财险附加玻璃破碎保险（A款）条款；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3.企财险附加扩展地震保险（A款）；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4.企财险附加扩展自动喷淋系统水损保险（A款）；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5.企财险附加疏散费用保险）条款；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6.附加锅炉爆炸、倒塌保险条款；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7.企财险附加扩展水箱、水管爆裂保险。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2027年1月20日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16910</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重庆天眷和资产管理有限公司奉节分公司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累计赔偿限额：800万元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1.本保单每次事故免赔为500元或损失金额的0%，二者以高者为准。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1.电梯责任条款（赔偿限额同主险一致）；</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每次事故赔偿限额：500万元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2.本保单每次事故财产损失绝对免赔500元或损失金额的5%，二者以高者为准。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2.食品、饮料责任条款（累计200万，每次100万）；</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每次事故每人赔偿限额：50万元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3.本保单附加停车场责任条款，全车盗抢免赔2000元或20%，两者以高者为准；划痕及其他事故，每次事故绝对免赔200元或损失金额的10%，两者以高者为准。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3.火灾、爆炸、烟熏、水损责任条款（赔偿限额同主险一致）；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（含）每人医疗费用赔偿限额：5万元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4.停车场责任条款（赔偿限额：每车位最高限额10万元，每车划痕限额2000元，每次200万元，累计500万）；</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每次事故财产损失赔偿限额：100万元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5.卫生装置条款（累计赔偿限额累计200万，每次100万）；</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法律诉讼赔偿限额：5万元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6.客人财产责任条款（累计10万，每人0.5万）；</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7.广告及装饰装置责任条款（赔偿限额同主险一致）；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8.酒类责任条款（累计赔偿限额累计200万，每次100万</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9.附加法律费用保险条款。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职业院校实习生责任险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2026年5月18日（临时）</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短期</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一个月34.2元/人</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重庆天眷和资产管理有限公司奉节分公司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累计赔偿限额：260万元</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0元或损失金额的0%</w:t>
            </w:r>
          </w:p>
        </w:tc>
        <w:tc>
          <w:tcPr>
            <w:tcW w:w="907"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每次事故赔偿限额：130万元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每次事故每人赔偿限额：20万元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（含）每人医疗费用赔偿限额：2万元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每次事故财产损失赔偿限额：0</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法律诉讼赔偿限额：0</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2027年1月14日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6080</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重庆新华酒店管理有限责任公司渝北新华酒店</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累计赔偿限额：300万</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1.本保单每次事故免赔为100元或损失金额的5%，二者以高者为准。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1.电梯责任条款（赔偿限额同主险一致）；</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每次事故赔偿限额：200万</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2.本保单每次事故财产损失绝对免赔200元或损失金额的5%，二者以高者为准。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2.食品、饮料责任条款（赔偿限额同主险一致）；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每次事故每人赔偿限额：30万元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3.本保单附加停车场责任条款，全车盗抢免赔2000元或20%，两者以高者为准；划痕及其他事故，每次事故绝对免赔200元或损失金额的10%，两者以高者为准。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3.火灾和爆炸责任条款（赔偿限额同主险一致）；</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（含）每人医疗费用赔偿限额：3万元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4.停车场责任条款（赔偿限额：每车位最高限额10万元，每车划痕限额2000元，每次50万元，累计100万元）；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每次事故财产损失赔偿限额：5万元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5.卫生装置条款（累计赔偿限额100万元，每次事故50万元）；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法律诉讼赔偿限额：3万元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6.提供物品及服务条款（累计赔偿限额100万元，每次事故50万元）。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7.附加法律费用保险条款。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2027年5月16日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2622</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重庆天怡酒店管理有限公司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累计赔偿限额：100万元</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本保单每次事故免赔200元或者损失金额的5%，二者以高者为准。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1.附加电梯责任条款；</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每次事故赔偿限额：50万元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2.附加卫生装置条款；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每次事故每人赔偿限额：20万元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3.附加法律费用保险条款。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（含）每人医疗费用赔偿限额：2万元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每次事故财产损失赔偿限额：1万元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2026年12月4日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2090</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重庆大剧院管理有限公司渝中区分公司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累计赔偿限额：100万元</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本保单每次事故免赔500元或者损失金额的0%，二者以高者为准。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1.附加急救费用条款：累计责任限额：10万元，每次事故赔偿限额：10万元，每人赔偿限额：10万元。</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每次事故赔偿限额：100万元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2.附加罢工、暴乱、民众骚动及恶意破坏条款：累计责任限额：50万元，每次事故赔偿限额：50万元，每人赔偿限额：50万元。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每次事故每人赔偿限额：20万元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3.附加卫生装置条款：累计责任限额：50万元，每次事故赔偿限额：50万元，每人赔偿限额：50万元。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（含）每人医疗费用赔偿限额：3万元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4.附加食品、饮料责任条款：累计责任限额：100万元，每次事故赔偿限额：50万元。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每次事故财产损失赔偿限额：1万元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5.附加法律费用保险条款。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法律诉讼赔偿限额：10万元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财产一切险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2026年12月4日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5985</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重庆大剧院管理有限公司渝中区分公司</w:t>
            </w:r>
          </w:p>
        </w:tc>
        <w:tc>
          <w:tcPr>
            <w:tcW w:w="1380"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总保额：3,500,000</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本保险每次事故的绝对免赔为1000元或损失金额的10%，二者以高者为准。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1.附加施救损失保险；</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2.附加广告牌、告示牌及装饰物特约保险。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未定</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短期</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2052</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重庆艺术大市场有限公司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累计赔偿限额：300万</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1.本保单每次事故财产损失绝对免赔200元或者损失金额的5%，二者以高者为准。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1.附加火灾和爆炸责任条款：累计责任限额：300万元，每次事故赔偿限额：200万元，每次事故每人赔偿限额30万元。</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以实际项目开展需求为准，按需购买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每次事故赔偿限额：200万</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2.本保单每次事故医疗费用绝对免赔100元或者损失金额的5%，二者以高者为准。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2.附加展览会责任条款：累计责任限额：300万元，每次事故赔偿限额：200万元，每次事故每人赔偿限额30万元。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每次事故每人赔偿限额：30万元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3.附加广告及装饰装置责任条款：累计责任限额：300万元，每次事故赔偿限额：200万元，每次事故每人赔偿限额30万元。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（含）每人医疗费用赔偿限额：3万元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4.附加人身侵害责任条款：累计责任限额：100万元，每次事故赔偿限额：50万元，每次事故每人赔偿限额10万元。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每次事故财产损失赔偿限额：2万元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5.附加法律费用保险条款。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境内旅行意外伤害保险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3日以下（含3日）0.50元/人</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重庆渝之旅国际旅行社股份有限公司、重庆中国青年旅行社有限公司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意外身故、伤残给付7万/人</w:t>
            </w:r>
          </w:p>
        </w:tc>
        <w:tc>
          <w:tcPr>
            <w:tcW w:w="109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0元或损失金额的0%</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1.附加旅行疾病身故保险；</w:t>
            </w:r>
          </w:p>
        </w:tc>
        <w:tc>
          <w:tcPr>
            <w:tcW w:w="2660"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投保天数不同，对应保费不同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4-14日（含14日）0.79元/人</w:t>
            </w: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意外、急性病医疗费用补偿3万元/人</w:t>
            </w:r>
          </w:p>
        </w:tc>
        <w:tc>
          <w:tcPr>
            <w:tcW w:w="109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2.附加扩展高风险运动保险；</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15-21日（含21日）1.67元/人</w:t>
            </w: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急性病身故给付1万元/人</w:t>
            </w:r>
          </w:p>
        </w:tc>
        <w:tc>
          <w:tcPr>
            <w:tcW w:w="109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3.附加超龄人员保险；</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22-30日（含30日）1.93元/人</w:t>
            </w: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合计：11万/人</w:t>
            </w:r>
          </w:p>
        </w:tc>
        <w:tc>
          <w:tcPr>
            <w:tcW w:w="109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4.附加扩展食物中毒保险条款；</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31-50日（含50日）11.24元/人</w:t>
            </w: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65岁（不含65岁）－85岁被保险人若突发急性病身故按照该项保额的50%给付保险金。</w:t>
            </w:r>
          </w:p>
        </w:tc>
        <w:tc>
          <w:tcPr>
            <w:tcW w:w="109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5.附加调整意外健康险保险金额保险条款；</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51-80日（含80日）22.47元/人</w:t>
            </w: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6.附加约定或调整意外健康险责任期间保险条款（180天）。</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81-120日（含120日）28.09元/人</w:t>
            </w: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120-180日（含180日）33.71元/人</w:t>
            </w: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境外旅行意外伤害保险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2026年9月1日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1-3（含3天）1.01元/人</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重庆渝之旅国际旅行社股份有限公司、重庆中国青年旅行社有限公司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意外身故、伤残给付24万元/人</w:t>
            </w:r>
          </w:p>
        </w:tc>
        <w:tc>
          <w:tcPr>
            <w:tcW w:w="109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0元或损失金额的0%</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1.附加旅行疾病身故保险；</w:t>
            </w:r>
          </w:p>
        </w:tc>
        <w:tc>
          <w:tcPr>
            <w:tcW w:w="2660"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投保天数不同，对应保费不同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4-8（含8日）1.6元/人</w:t>
            </w: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意外、急性病医疗费用补偿6万元/人</w:t>
            </w:r>
          </w:p>
        </w:tc>
        <w:tc>
          <w:tcPr>
            <w:tcW w:w="109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2.附加扩展高风险运动保险；</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9-14（含14日）2.61元/人</w:t>
            </w: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急性病身故给付1.5万元/人</w:t>
            </w:r>
          </w:p>
        </w:tc>
        <w:tc>
          <w:tcPr>
            <w:tcW w:w="109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3.附加超龄人员保险；</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15-21（含21日）3.63元/人</w:t>
            </w: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合计：31.5万元/人</w:t>
            </w:r>
          </w:p>
        </w:tc>
        <w:tc>
          <w:tcPr>
            <w:tcW w:w="109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4.附加扩展食物中毒保险条款；</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22-30（含30日）7.06元/人</w:t>
            </w: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65岁（不含65岁）－85岁被保险人若突发急性病身故按照该项保额的50%给付保险金。</w:t>
            </w:r>
          </w:p>
        </w:tc>
        <w:tc>
          <w:tcPr>
            <w:tcW w:w="109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5.附加调整意外健康险保险金额保险条款；</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31-50（含50日）22.47元/人</w:t>
            </w: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6.附加约定或调整意外健康险责任期间保险条款（180天）。</w:t>
            </w: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51-80（含80日）33.71元/人</w:t>
            </w: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81-120（含120日）39.33元/人</w:t>
            </w: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121-180（含180日）44.94元/人</w:t>
            </w: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109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2027年4月10日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8787.5</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重庆经典物业管理有限公司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累计赔偿限额：80万元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1.本保单每次事故财产损失绝对免赔200元或者损失金额的5%，二者以高者为准。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1.附加停车场责任：累计责任限额80万元，每次事故赔偿限额40万元，每次每个车位赔偿限额5万元，每个车位划痕限额：1000元。</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每次事故赔偿限额：40万元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2.本保单对人身伤亡每次事故绝对免赔额为200元或损失金额的5%，两者以高者为准。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2.附加电梯责任：累计责任限额80万元，每次事故赔偿限额40万元，每次事故人身伤亡赔偿限额40万元，每次事故每人赔偿限额10万元，每次事故财产损失赔偿限额1万元。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每次事故每人赔偿限额：10万元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3.本保单附加停车场责任保险，全车盗抢免赔20%或2000元，两者以高者为准；划痕及其他事故每次事故免赔200元或10%，两者以高为准。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3.附加锅炉爆炸责任条款：累计责任限额80万元，每次事故赔偿限额40万元，每次事故人身伤亡赔偿限额40万元，每次事故每人赔偿限额10万元，每次事故财产损失赔偿限额1万元。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（含）每人医疗费用赔偿限额：2万元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4.附加广告招牌及装饰物责任条款：累计责任限额80万元，每次事故赔偿限额40万元，每次事故人身伤亡赔偿限额40万元，每次事故每人赔偿限额10万元，每次事故财产损失赔偿限额1万元。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每次事故财产损失赔偿限额：1万元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5.附加火灾、爆炸、烟熏、水损责任条款：累计责任限额80万元，每次事故赔偿限额40万元，每次事故人身伤亡赔偿限额40万元，每次事故每人赔偿限额10万元，每次事故财产损失赔偿限额1万元。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6.附加法律费用保险条款。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2027年4月10日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5225</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重庆经典物业管理有限公司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累计赔偿限额：80万元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1.本保单每次事故财产损失绝对免赔200元或者损失金额的5%，二者以高者为准。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1.附加停车场责任：累计责任限额80万元，每次事故赔偿限额40万元，每次每个车位赔偿限额5万元，每个车位划痕限额：1000元。</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每次事故赔偿限额：40万元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2.本保单对人身伤亡每次事故绝对免赔额为200元或损失金额的5%，两者以高者为准。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2.附加电梯责任：累计责任限额80万元，每次事故赔偿限额40万元，每次事故人身伤亡赔偿限额40万元，每次事故每人赔偿限额10万元，每次事故财产损失赔偿限额1万元。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每次事故每人赔偿限额：10万元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3.本保单附加停车场责任保险，全车盗抢免赔20%或2000元，两者以高者为准；划痕及其他事故每次事故免赔200元或10%，两者以高为准。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3.附加锅炉爆炸责任条款：累计责任限额80万元，每次事故赔偿限额40万元，每次事故人身伤亡赔偿限额40万元，每次事故每人赔偿限额10万元，每次事故财产损失赔偿限额1万元。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（含）每人医疗费用赔偿限额：2万元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4.附加广告招牌及装饰物责任条款：累计责任限额80万元，每次事故赔偿限额40万元，每次事故人身伤亡赔偿限额40万元，每次事故每人赔偿限额10万元，每次事故财产损失赔偿限额1万元。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每次事故财产损失赔偿限额：1万元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5.附加火灾、爆炸、烟熏、水损责任条款：累计责任限额80万元，每次事故赔偿限额40万元，每次事故人身伤亡赔偿限额40万元，每次事故每人赔偿限额10万元，每次事故财产损失赔偿限额1万元。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6.附加法律费用保险条款。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2027年4月10日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2280</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重庆经典物业管理有限公司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累计赔偿限额：80万元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1.本保单每次事故财产损失绝对免赔200元或者损失金额的5%，二者以高者为准。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1.附加电梯责任：累计责任限额80万元，每次事故赔偿限额40万元，每次事故人身伤亡赔偿限额40万元，每次事故每人赔偿限额10万元，每次事故财产损失赔偿限额1万元。</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每次事故赔偿限额：40万元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2.本保单对人身伤亡每次事故绝对免赔额为200元或损失金额的5%，两者以高者为准。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2.附加锅炉爆炸责任条款：累计责任限额80万元，每次事故赔偿限额40万元，每次事故人身伤亡赔偿限额40万元，每次事故每人赔偿限额10万元，每次事故财产损失赔偿限额1万元。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每次事故每人赔偿限额：10万元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3.附加广告招牌及装饰物责任条款：累计责任限额80万元，每次事故赔偿限额40万元，每次事故人身伤亡赔偿限额40万元，每次事故每人赔偿限额10万元，每次事故财产损失赔偿限额1万元。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（含）每人医疗费用赔偿限额：2万元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4.附加火灾、爆炸、烟熏、水损责任条款：累计责任限额80万元，每次事故赔偿限额40万元，每次事故人身伤亡赔偿限额40万元，每次事故每人赔偿限额10万元，每次事故财产损失赔偿限额1万元。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每次事故财产损失赔偿限额：1万元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5.附加法律费用保险条款。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2027年4月10日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8189</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重庆经典物业管理有限公司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累计赔偿限额：80万元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1.本保单每次事故财产损失绝对免赔200元或者损失金额的5%，二者以高者为准。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1.附加停车场责任：累计责任限额80万元，每次事故赔偿限额40万元，每次每个车位赔偿限额5万元，每个车位划痕限额：1000元。</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每次事故赔偿限额：40万元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2.本保单对人身伤亡每次事故绝对免赔额为200元或损失金额的5%，两者以高者为准。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2.附加电梯责任：累计责任限额80万元，每次事故赔偿限额40万元，每次事故人身伤亡赔偿限额40万元，每次事故每人赔偿限额10万元，每次事故财产损失赔偿限额1万元。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每次事故每人赔偿限额：10万元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3.本保单附加停车场责任保险，全车盗抢免赔20%或2000元，两者以高者为准；划痕及其他事故每次事故免赔200元或10%，两者以高为准。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3.附加锅炉爆炸责任条款：累计责任限额80万元，每次事故赔偿限额40万元，每次事故人身伤亡赔偿限额40万元，每次事故每人赔偿限额10万元，每次事故财产损失赔偿限额1万元。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（含）每人医疗费用赔偿限额：2万元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4.附加广告招牌及装饰物责任条款：累计责任限额80万元，每次事故赔偿限额40万元，每次事故人身伤亡赔偿限额40万元，每次事故每人赔偿限额10万元，每次事故财产损失赔偿限额1万元。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每次事故财产损失赔偿限额：1万元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5.附加火灾、爆炸、烟熏、水损责任条款：累计责任限额80万元，每次事故赔偿限额40万元，每次事故人身伤亡赔偿限额40万元，每次事故每人赔偿限额10万元，每次事故财产损失赔偿限额1万元。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6.附加法律费用保险条款。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公众责任险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2027年4月10日</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2029年8月31日</w:t>
            </w:r>
          </w:p>
        </w:tc>
        <w:tc>
          <w:tcPr>
            <w:tcW w:w="131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9525.5</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重庆经典物业管理有限公司道真分公司</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累计赔偿限额：80万元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1.本保单每次事故财产损失绝对免赔200元或者损失金额的5%，二者以高者为准。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1.附加停车场责任：累计责任限额80万元，每次事故赔偿限额40万元，每次每个车位赔偿限额5万元，每个车位划痕限额：1000元。</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每次事故赔偿限额：40万元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2.本保单对人身伤亡每次事故绝对免赔额为200元或损失金额的5%，两者以高者为准。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2.附加电梯责任：累计责任限额80万元，每次事故赔偿限额40万元，每次事故人身伤亡赔偿限额40万元，每次事故每人赔偿限额10万元，每次事故财产损失赔偿限额1万元。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每次事故每人赔偿限额：10万元</w:t>
            </w:r>
          </w:p>
        </w:tc>
        <w:tc>
          <w:tcPr>
            <w:tcW w:w="1092"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3.本保单附加停车场责任保险，全车盗抢免赔20%或2000元，两者以高者为准；划痕及其他事故每次事故免赔200元或10%，两者以高为准。</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3.附加锅炉爆炸责任条款：累计责任限额80万元，每次事故赔偿限额40万元，每次事故人身伤亡赔偿限额40万元，每次事故每人赔偿限额10万元，每次事故财产损失赔偿限额1万元。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（含）每人医疗费用赔偿限额：2万元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4.附加广告招牌及装饰物责任条款：累计责任限额80万元，每次事故赔偿限额40万元，每次事故人身伤亡赔偿限额40万元，每次事故每人赔偿限额10万元，每次事故财产损失赔偿限额1万元。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每次事故财产损失赔偿限额：1万元</w:t>
            </w:r>
          </w:p>
        </w:tc>
        <w:tc>
          <w:tcPr>
            <w:tcW w:w="1092"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5.附加火灾、爆炸、烟熏、水损责任条款：累计责任限额80万元，每次事故赔偿限额40万元，每次事故人身伤亡赔偿限额40万元，每次事故每人赔偿限额10万元，每次事故财产损失赔偿限额1万元。</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法律诉讼费用累计5万元，每次5万元</w:t>
            </w:r>
          </w:p>
        </w:tc>
        <w:tc>
          <w:tcPr>
            <w:tcW w:w="109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6.附加法律费用保险条款。</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607"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旅游观光景点、娱乐场所意外伤害保险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1天</w:t>
            </w: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方案一：4.75元/人</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各景区</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【方案一】</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意外身故、残疾给付，意外医疗费用免赔为0元，意外住院津贴免赔3天。</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1.附加出行个人责任保险条款；</w:t>
            </w:r>
          </w:p>
        </w:tc>
        <w:tc>
          <w:tcPr>
            <w:tcW w:w="2660" w:type="dxa"/>
            <w:tcBorders>
              <w:top w:val="nil"/>
              <w:left w:val="nil"/>
              <w:bottom w:val="nil"/>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在景区购票时购买（投保过程中可根据投保单位提出的要求保额进行调整，最终保费以双方洽谈的结论为准，原则上不超过同等项目的最高限价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意外身故、残疾给付，意外医疗费用补偿8万元（每次事故门、急诊限额1000元，每次事故免赔额0元，给付比例100%，累计给付医疗保险金占保险金额的比例10%）；</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2.附加旅行疾病身故保险条款；</w:t>
            </w:r>
          </w:p>
        </w:tc>
        <w:tc>
          <w:tcPr>
            <w:tcW w:w="266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方案二：7.6元/人</w:t>
            </w: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个人责任500元；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3.附加旅行住院津贴保险条款；</w:t>
            </w:r>
          </w:p>
        </w:tc>
        <w:tc>
          <w:tcPr>
            <w:tcW w:w="2660" w:type="dxa"/>
            <w:tcBorders>
              <w:top w:val="nil"/>
              <w:left w:val="nil"/>
              <w:bottom w:val="nil"/>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急性病身故给付1万元；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4.附加扩展高风险运动保险。</w:t>
            </w:r>
          </w:p>
        </w:tc>
        <w:tc>
          <w:tcPr>
            <w:tcW w:w="266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方案三：9.5元/人</w:t>
            </w: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意外住院津贴1.8万元（每次免赔3天，每次最高给付津贴90天，津贴给付标准100元/天，总给付180天）。</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【方案二】</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意外身故、残疾给付，意外医疗费用补偿10万元（每次事故门、急诊限额1000元，每次事故免赔额0元，给付比例100%，累计给付医疗保险金占保险金额的比例10%）；</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个人责任500元；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急性病身故给付1万元；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意外住院津贴1.8万元（每次免赔3天，每次最高给付津贴90天，津贴给付标准100元/天，总给付180天）。</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【方案三】</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意外身故、残疾给付，意外医疗费用补偿20万元（每次事故门、急诊限额1000元，每次事故免赔额0元，给付比例100%，累计给付医疗保险金占保险金额的比例10%）；</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个人责任500元；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急性病身故给付1万元；</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tcBorders>
              <w:top w:val="nil"/>
              <w:left w:val="nil"/>
              <w:bottom w:val="nil"/>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22"/>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意外住院津贴1.8万元（每次免赔3天，每次最高给付津贴90天，津贴给付标准100元/天，总给付180天）。</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22"/>
                <w:u w:val="none"/>
              </w:rPr>
            </w:pPr>
          </w:p>
        </w:tc>
        <w:tc>
          <w:tcPr>
            <w:tcW w:w="2660"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restart"/>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607"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境内旅行意外伤害保险</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942"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1天</w:t>
            </w:r>
          </w:p>
        </w:tc>
        <w:tc>
          <w:tcPr>
            <w:tcW w:w="1310"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4.75元/人</w:t>
            </w:r>
          </w:p>
        </w:tc>
        <w:tc>
          <w:tcPr>
            <w:tcW w:w="699"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各酒店</w:t>
            </w: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意外身故、残疾给付10万元；</w:t>
            </w:r>
          </w:p>
        </w:tc>
        <w:tc>
          <w:tcPr>
            <w:tcW w:w="1092" w:type="dxa"/>
            <w:vMerge w:val="restart"/>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意外身故、残疾给付，意外医疗费用免赔为0元，意外住院津贴免赔3天。</w:t>
            </w: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1.附加旅行住院津贴保险条款；</w:t>
            </w:r>
          </w:p>
        </w:tc>
        <w:tc>
          <w:tcPr>
            <w:tcW w:w="266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到酒店入住购买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意外医疗费用补偿1万元（每次事故门、急诊限额1000元，每次事故免赔额0元，给付比例100%）；</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2.附加超龄人员保险；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3" w:type="dxa"/>
            <w:vMerge w:val="continue"/>
            <w:tcBorders>
              <w:top w:val="nil"/>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607"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0"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right"/>
              <w:rPr>
                <w:rFonts w:hint="eastAsia" w:ascii="宋体" w:hAnsi="宋体" w:eastAsia="宋体" w:cs="宋体"/>
                <w:i w:val="0"/>
                <w:iCs w:val="0"/>
                <w:color w:val="000000"/>
                <w:sz w:val="18"/>
                <w:szCs w:val="18"/>
                <w:u w:val="none"/>
              </w:rPr>
            </w:pPr>
          </w:p>
        </w:tc>
        <w:tc>
          <w:tcPr>
            <w:tcW w:w="699"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意外住院津贴1.8万元（每次免赔3天，每次最高给付津贴90天，津贴给付标准100元/天，总给付180天）。</w:t>
            </w:r>
          </w:p>
        </w:tc>
        <w:tc>
          <w:tcPr>
            <w:tcW w:w="1092" w:type="dxa"/>
            <w:vMerge w:val="continue"/>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rPr>
                <w:rFonts w:hint="eastAsia" w:ascii="宋体" w:hAnsi="宋体" w:eastAsia="宋体" w:cs="宋体"/>
                <w:i w:val="0"/>
                <w:iCs w:val="0"/>
                <w:color w:val="000000"/>
                <w:sz w:val="18"/>
                <w:szCs w:val="18"/>
                <w:u w:val="none"/>
              </w:rPr>
            </w:pPr>
          </w:p>
        </w:tc>
        <w:tc>
          <w:tcPr>
            <w:tcW w:w="907"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3.附加约定或调整意外健康险保障区域保险。</w:t>
            </w:r>
          </w:p>
        </w:tc>
        <w:tc>
          <w:tcPr>
            <w:tcW w:w="2660" w:type="dxa"/>
            <w:vMerge w:val="continue"/>
            <w:tcBorders>
              <w:top w:val="nil"/>
              <w:left w:val="nil"/>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i w:val="0"/>
                <w:iCs w:val="0"/>
                <w:color w:val="000000"/>
                <w:sz w:val="18"/>
                <w:szCs w:val="18"/>
                <w:u w:val="none"/>
              </w:rPr>
            </w:pPr>
          </w:p>
        </w:tc>
      </w:tr>
    </w:tbl>
    <w:p>
      <w:pPr>
        <w:keepNext w:val="0"/>
        <w:keepLines w:val="0"/>
        <w:pageBreakBefore w:val="0"/>
        <w:kinsoku/>
        <w:wordWrap/>
        <w:overflowPunct/>
        <w:topLinePunct w:val="0"/>
        <w:autoSpaceDE/>
        <w:autoSpaceDN/>
        <w:bidi w:val="0"/>
        <w:adjustRightInd w:val="0"/>
        <w:snapToGrid w:val="0"/>
        <w:spacing w:line="240" w:lineRule="auto"/>
        <w:ind w:left="0" w:leftChars="0" w:right="0" w:right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244599"/>
    <w:rsid w:val="283B4FC8"/>
    <w:rsid w:val="2B244599"/>
    <w:rsid w:val="2FCA34E1"/>
    <w:rsid w:val="34F64A36"/>
    <w:rsid w:val="37911786"/>
    <w:rsid w:val="37E32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left="100" w:leftChars="100" w:right="100" w:rightChars="100"/>
    </w:pPr>
  </w:style>
  <w:style w:type="paragraph" w:styleId="3">
    <w:name w:val="footer"/>
    <w:basedOn w:val="1"/>
    <w:qFormat/>
    <w:uiPriority w:val="0"/>
    <w:pPr>
      <w:tabs>
        <w:tab w:val="center" w:pos="4153"/>
        <w:tab w:val="right" w:pos="8306"/>
      </w:tabs>
      <w:snapToGrid w:val="0"/>
      <w:jc w:val="left"/>
    </w:pPr>
    <w:rPr>
      <w:sz w:val="18"/>
    </w:rPr>
  </w:style>
  <w:style w:type="paragraph" w:styleId="4">
    <w:name w:val="footnote text"/>
    <w:basedOn w:val="1"/>
    <w:qFormat/>
    <w:uiPriority w:val="0"/>
    <w:pPr>
      <w:snapToGrid w:val="0"/>
      <w:jc w:val="left"/>
    </w:pPr>
    <w:rPr>
      <w:sz w:val="18"/>
    </w:rPr>
  </w:style>
  <w:style w:type="paragraph" w:styleId="5">
    <w:name w:val="Title"/>
    <w:basedOn w:val="1"/>
    <w:next w:val="1"/>
    <w:qFormat/>
    <w:uiPriority w:val="0"/>
    <w:pPr>
      <w:jc w:val="center"/>
      <w:outlineLvl w:val="0"/>
    </w:pPr>
    <w:rPr>
      <w:rFonts w:ascii="Arial" w:hAnsi="Arial"/>
      <w:b/>
      <w:sz w:val="32"/>
    </w:rPr>
  </w:style>
  <w:style w:type="character" w:styleId="8">
    <w:name w:val="footnote reference"/>
    <w:basedOn w:val="7"/>
    <w:qFormat/>
    <w:uiPriority w:val="0"/>
    <w:rPr>
      <w:vertAlign w:val="superscript"/>
    </w:rPr>
  </w:style>
  <w:style w:type="character" w:customStyle="1" w:styleId="9">
    <w:name w:val="font11"/>
    <w:basedOn w:val="7"/>
    <w:qFormat/>
    <w:uiPriority w:val="0"/>
    <w:rPr>
      <w:rFonts w:hint="eastAsia" w:ascii="宋体" w:hAnsi="宋体" w:eastAsia="宋体" w:cs="宋体"/>
      <w:color w:val="000000"/>
      <w:sz w:val="18"/>
      <w:szCs w:val="18"/>
      <w:u w:val="none"/>
    </w:rPr>
  </w:style>
  <w:style w:type="paragraph" w:styleId="10">
    <w:name w:val="List Paragraph"/>
    <w:basedOn w:val="1"/>
    <w:qFormat/>
    <w:uiPriority w:val="99"/>
    <w:pPr>
      <w:ind w:firstLine="420" w:firstLineChars="200"/>
    </w:pPr>
    <w:rPr>
      <w:szCs w:val="20"/>
    </w:rPr>
  </w:style>
  <w:style w:type="character" w:customStyle="1" w:styleId="11">
    <w:name w:val="font101"/>
    <w:basedOn w:val="7"/>
    <w:qFormat/>
    <w:uiPriority w:val="0"/>
    <w:rPr>
      <w:rFonts w:hint="default" w:ascii="Times New Roman" w:hAnsi="Times New Roman" w:cs="Times New Roman"/>
      <w:color w:val="000000"/>
      <w:sz w:val="22"/>
      <w:szCs w:val="22"/>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8857</Words>
  <Characters>9769</Characters>
  <Lines>0</Lines>
  <Paragraphs>0</Paragraphs>
  <TotalTime>6</TotalTime>
  <ScaleCrop>false</ScaleCrop>
  <LinksUpToDate>false</LinksUpToDate>
  <CharactersWithSpaces>9798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2026-07-13T03:49:00Z</dcterms:created>
  <dc:creator>雅雯XI</dc:creator>
  <cp:lastModifiedBy>李莱</cp:lastModifiedBy>
  <dcterms:modified xsi:type="dcterms:W3CDTF">2026-07-16T09:05:22Z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035421CC037444D2BB6ECB81D90C147A_13</vt:lpwstr>
  </property>
  <property fmtid="{D5CDD505-2E9C-101B-9397-08002B2CF9AE}" pid="4" name="KSOTemplateDocerSaveRecord">
    <vt:lpwstr>eyJoZGlkIjoiMTM4ZjIyNWI2MmMxODY1M2Q0MzA2M2E3M2MyMzlmMmEiLCJ1c2VySWQiOiI4MjQyNzg4MTIifQ==</vt:lpwstr>
  </property>
</Properties>
</file>