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1D38C1">
      <w:pPr>
        <w:snapToGrid w:val="0"/>
        <w:jc w:val="center"/>
        <w:rPr>
          <w:rFonts w:hint="eastAsia" w:ascii="仿宋" w:hAnsi="仿宋" w:eastAsia="仿宋" w:cs="仿宋"/>
          <w:color w:val="auto"/>
          <w:sz w:val="160"/>
          <w:szCs w:val="160"/>
          <w:highlight w:val="none"/>
          <w:lang w:val="en-US"/>
        </w:rPr>
      </w:pPr>
      <w:r>
        <w:rPr>
          <w:rFonts w:hint="eastAsia" w:ascii="仿宋" w:hAnsi="仿宋" w:eastAsia="仿宋" w:cs="仿宋"/>
          <w:b/>
          <w:bCs/>
          <w:color w:val="auto"/>
          <w:sz w:val="40"/>
          <w:szCs w:val="40"/>
          <w:highlight w:val="none"/>
        </w:rPr>
        <w:t>项目名称:</w:t>
      </w:r>
      <w:r>
        <w:rPr>
          <w:rFonts w:hint="eastAsia" w:ascii="仿宋" w:hAnsi="仿宋" w:eastAsia="仿宋" w:cs="仿宋"/>
          <w:b/>
          <w:bCs/>
          <w:color w:val="auto"/>
          <w:sz w:val="40"/>
          <w:szCs w:val="40"/>
          <w:highlight w:val="none"/>
          <w:lang w:val="en-US" w:eastAsia="zh-CN"/>
        </w:rPr>
        <w:t>重庆市南岸区江南新城南坪实验幼儿园户外场地改建工程（第二次）</w:t>
      </w:r>
    </w:p>
    <w:p w14:paraId="3F600F22">
      <w:pPr>
        <w:snapToGrid w:val="0"/>
        <w:jc w:val="center"/>
        <w:rPr>
          <w:rFonts w:hint="eastAsia" w:ascii="仿宋" w:hAnsi="仿宋" w:eastAsia="仿宋" w:cs="仿宋"/>
          <w:color w:val="auto"/>
          <w:sz w:val="110"/>
          <w:szCs w:val="110"/>
          <w:highlight w:val="none"/>
        </w:rPr>
      </w:pPr>
    </w:p>
    <w:p w14:paraId="2F94F59A">
      <w:pPr>
        <w:snapToGrid w:val="0"/>
        <w:jc w:val="center"/>
        <w:rPr>
          <w:rFonts w:hint="eastAsia" w:ascii="仿宋" w:hAnsi="仿宋" w:eastAsia="仿宋" w:cs="仿宋"/>
          <w:color w:val="auto"/>
          <w:sz w:val="110"/>
          <w:szCs w:val="110"/>
          <w:highlight w:val="none"/>
          <w:lang w:val="en-US" w:eastAsia="zh-CN"/>
        </w:rPr>
      </w:pPr>
    </w:p>
    <w:p w14:paraId="2716AAF5">
      <w:pPr>
        <w:snapToGrid w:val="0"/>
        <w:jc w:val="center"/>
        <w:rPr>
          <w:rFonts w:hint="eastAsia" w:ascii="仿宋" w:hAnsi="仿宋" w:eastAsia="仿宋" w:cs="仿宋"/>
          <w:color w:val="auto"/>
          <w:sz w:val="110"/>
          <w:szCs w:val="110"/>
          <w:highlight w:val="none"/>
          <w:lang w:val="en-US" w:eastAsia="zh-CN"/>
        </w:rPr>
      </w:pPr>
    </w:p>
    <w:p w14:paraId="715ADC09">
      <w:pPr>
        <w:snapToGrid w:val="0"/>
        <w:jc w:val="center"/>
        <w:rPr>
          <w:rFonts w:hint="eastAsia" w:ascii="仿宋" w:hAnsi="仿宋" w:eastAsia="仿宋" w:cs="仿宋"/>
          <w:color w:val="auto"/>
          <w:sz w:val="110"/>
          <w:szCs w:val="110"/>
          <w:highlight w:val="none"/>
          <w:lang w:val="en-US" w:eastAsia="zh-CN"/>
        </w:rPr>
      </w:pPr>
      <w:r>
        <w:rPr>
          <w:rFonts w:hint="eastAsia" w:ascii="仿宋" w:hAnsi="仿宋" w:eastAsia="仿宋" w:cs="仿宋"/>
          <w:color w:val="auto"/>
          <w:sz w:val="110"/>
          <w:szCs w:val="110"/>
          <w:highlight w:val="none"/>
          <w:lang w:val="en-US" w:eastAsia="zh-CN"/>
        </w:rPr>
        <w:t>招标文件</w:t>
      </w:r>
    </w:p>
    <w:p w14:paraId="4EE2D138">
      <w:pPr>
        <w:spacing w:line="700" w:lineRule="exact"/>
        <w:jc w:val="center"/>
        <w:rPr>
          <w:rFonts w:hint="eastAsia" w:ascii="仿宋" w:hAnsi="仿宋" w:eastAsia="仿宋" w:cs="仿宋"/>
          <w:color w:val="auto"/>
          <w:sz w:val="40"/>
          <w:szCs w:val="22"/>
          <w:highlight w:val="none"/>
        </w:rPr>
      </w:pPr>
    </w:p>
    <w:p w14:paraId="7CA3F934">
      <w:pPr>
        <w:spacing w:line="700" w:lineRule="exact"/>
        <w:rPr>
          <w:rFonts w:hint="eastAsia" w:ascii="仿宋" w:hAnsi="仿宋" w:eastAsia="仿宋" w:cs="仿宋"/>
          <w:color w:val="auto"/>
          <w:sz w:val="40"/>
          <w:szCs w:val="22"/>
          <w:highlight w:val="none"/>
        </w:rPr>
      </w:pPr>
    </w:p>
    <w:p w14:paraId="6DC95FB7">
      <w:pPr>
        <w:spacing w:line="700" w:lineRule="exact"/>
        <w:rPr>
          <w:rFonts w:hint="eastAsia" w:ascii="仿宋" w:hAnsi="仿宋" w:eastAsia="仿宋" w:cs="仿宋"/>
          <w:color w:val="auto"/>
          <w:sz w:val="40"/>
          <w:szCs w:val="22"/>
          <w:highlight w:val="none"/>
        </w:rPr>
      </w:pPr>
    </w:p>
    <w:p w14:paraId="52D55F7D">
      <w:pPr>
        <w:spacing w:line="500" w:lineRule="exact"/>
        <w:outlineLvl w:val="0"/>
        <w:rPr>
          <w:rFonts w:hint="eastAsia" w:ascii="仿宋" w:hAnsi="仿宋" w:eastAsia="仿宋" w:cs="仿宋"/>
          <w:color w:val="auto"/>
          <w:sz w:val="44"/>
          <w:szCs w:val="22"/>
          <w:highlight w:val="none"/>
        </w:rPr>
      </w:pPr>
    </w:p>
    <w:p w14:paraId="4BD8EC88">
      <w:pPr>
        <w:pStyle w:val="31"/>
        <w:rPr>
          <w:rFonts w:hint="eastAsia" w:ascii="仿宋" w:hAnsi="仿宋" w:eastAsia="仿宋" w:cs="仿宋"/>
          <w:color w:val="auto"/>
          <w:highlight w:val="none"/>
        </w:rPr>
      </w:pPr>
    </w:p>
    <w:p w14:paraId="4F094141">
      <w:pPr>
        <w:rPr>
          <w:rFonts w:hint="eastAsia" w:ascii="仿宋" w:hAnsi="仿宋" w:eastAsia="仿宋" w:cs="仿宋"/>
          <w:color w:val="auto"/>
          <w:highlight w:val="none"/>
        </w:rPr>
      </w:pPr>
    </w:p>
    <w:p w14:paraId="240F55CF">
      <w:pPr>
        <w:spacing w:line="360" w:lineRule="auto"/>
        <w:ind w:left="2558" w:leftChars="342" w:hanging="1600" w:hangingChars="500"/>
        <w:outlineLvl w:val="0"/>
        <w:rPr>
          <w:rFonts w:hint="eastAsia" w:ascii="仿宋" w:hAnsi="仿宋" w:eastAsia="仿宋" w:cs="仿宋"/>
          <w:color w:val="auto"/>
          <w:sz w:val="32"/>
          <w:szCs w:val="32"/>
          <w:highlight w:val="none"/>
        </w:rPr>
      </w:pPr>
    </w:p>
    <w:p w14:paraId="18800580">
      <w:pPr>
        <w:spacing w:line="500" w:lineRule="exact"/>
        <w:ind w:firstLine="800" w:firstLineChars="250"/>
        <w:outlineLvl w:val="0"/>
        <w:rPr>
          <w:rFonts w:hint="eastAsia" w:ascii="仿宋" w:hAnsi="仿宋" w:eastAsia="仿宋" w:cs="仿宋"/>
          <w:color w:val="auto"/>
          <w:sz w:val="32"/>
          <w:szCs w:val="32"/>
          <w:highlight w:val="none"/>
        </w:rPr>
      </w:pPr>
    </w:p>
    <w:p w14:paraId="0DF84A58">
      <w:pPr>
        <w:pStyle w:val="31"/>
        <w:rPr>
          <w:rFonts w:hint="eastAsia" w:ascii="仿宋" w:hAnsi="仿宋" w:eastAsia="仿宋" w:cs="仿宋"/>
          <w:color w:val="auto"/>
          <w:highlight w:val="none"/>
        </w:rPr>
      </w:pPr>
    </w:p>
    <w:p w14:paraId="783C9B9A">
      <w:pPr>
        <w:rPr>
          <w:rFonts w:hint="eastAsia" w:ascii="仿宋" w:hAnsi="仿宋" w:eastAsia="仿宋" w:cs="仿宋"/>
          <w:color w:val="auto"/>
          <w:highlight w:val="none"/>
        </w:rPr>
      </w:pPr>
    </w:p>
    <w:p w14:paraId="454E7109">
      <w:pPr>
        <w:spacing w:line="360" w:lineRule="auto"/>
        <w:ind w:firstLine="720" w:firstLineChars="200"/>
        <w:jc w:val="center"/>
        <w:outlineLvl w:val="0"/>
        <w:rPr>
          <w:rFonts w:hint="eastAsia"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lang w:val="en-US" w:eastAsia="zh-CN"/>
        </w:rPr>
        <w:t>招标</w:t>
      </w:r>
      <w:r>
        <w:rPr>
          <w:rFonts w:hint="eastAsia" w:ascii="仿宋" w:hAnsi="仿宋" w:eastAsia="仿宋" w:cs="仿宋"/>
          <w:color w:val="auto"/>
          <w:sz w:val="36"/>
          <w:szCs w:val="36"/>
          <w:highlight w:val="none"/>
        </w:rPr>
        <w:t>人：</w:t>
      </w:r>
      <w:r>
        <w:rPr>
          <w:rFonts w:hint="eastAsia" w:ascii="仿宋" w:hAnsi="仿宋" w:eastAsia="仿宋" w:cs="仿宋"/>
          <w:color w:val="auto"/>
          <w:sz w:val="36"/>
          <w:szCs w:val="36"/>
          <w:highlight w:val="none"/>
          <w:lang w:val="en-US" w:eastAsia="zh-CN"/>
        </w:rPr>
        <w:t>重庆市南岸区江南新城南坪实验幼儿园</w:t>
      </w:r>
    </w:p>
    <w:p w14:paraId="550167A0">
      <w:pPr>
        <w:spacing w:line="360" w:lineRule="auto"/>
        <w:ind w:firstLine="1800" w:firstLineChars="500"/>
        <w:jc w:val="both"/>
        <w:outlineLvl w:val="0"/>
        <w:rPr>
          <w:rFonts w:hint="eastAsia"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lang w:val="en-US" w:eastAsia="zh-CN"/>
        </w:rPr>
        <w:t>招标代理机构：重庆普聚工程咨询有限公司</w:t>
      </w:r>
    </w:p>
    <w:p w14:paraId="6E0EE8DC">
      <w:pPr>
        <w:snapToGrid w:val="0"/>
        <w:spacing w:line="560" w:lineRule="exact"/>
        <w:jc w:val="center"/>
        <w:rPr>
          <w:rFonts w:hint="eastAsia" w:ascii="仿宋" w:hAnsi="仿宋" w:eastAsia="仿宋" w:cs="仿宋"/>
          <w:b/>
          <w:color w:val="auto"/>
          <w:sz w:val="44"/>
          <w:szCs w:val="44"/>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417" w:right="1361" w:bottom="1417" w:left="1361" w:header="851" w:footer="992" w:gutter="0"/>
          <w:pgNumType w:fmt="numberInDash" w:start="0"/>
          <w:cols w:space="720" w:num="1"/>
          <w:titlePg/>
          <w:docGrid w:linePitch="380" w:charSpace="-5735"/>
        </w:sectPr>
      </w:pPr>
      <w:r>
        <w:rPr>
          <w:rFonts w:hint="eastAsia" w:ascii="仿宋" w:hAnsi="仿宋" w:eastAsia="仿宋" w:cs="仿宋"/>
          <w:color w:val="auto"/>
          <w:sz w:val="36"/>
          <w:szCs w:val="36"/>
          <w:highlight w:val="none"/>
        </w:rPr>
        <w:t>二〇二</w:t>
      </w:r>
      <w:r>
        <w:rPr>
          <w:rFonts w:hint="eastAsia" w:ascii="仿宋" w:hAnsi="仿宋" w:eastAsia="仿宋" w:cs="仿宋"/>
          <w:color w:val="auto"/>
          <w:sz w:val="36"/>
          <w:szCs w:val="36"/>
          <w:highlight w:val="none"/>
          <w:lang w:val="en-US" w:eastAsia="zh-CN"/>
        </w:rPr>
        <w:t>五</w:t>
      </w:r>
      <w:r>
        <w:rPr>
          <w:rFonts w:hint="eastAsia" w:ascii="仿宋" w:hAnsi="仿宋" w:eastAsia="仿宋" w:cs="仿宋"/>
          <w:color w:val="auto"/>
          <w:sz w:val="36"/>
          <w:szCs w:val="36"/>
          <w:highlight w:val="none"/>
        </w:rPr>
        <w:t>年</w:t>
      </w:r>
      <w:r>
        <w:rPr>
          <w:rFonts w:hint="eastAsia" w:ascii="仿宋" w:hAnsi="仿宋" w:eastAsia="仿宋" w:cs="仿宋"/>
          <w:color w:val="auto"/>
          <w:sz w:val="36"/>
          <w:szCs w:val="36"/>
          <w:highlight w:val="none"/>
          <w:lang w:val="en-US" w:eastAsia="zh-CN"/>
        </w:rPr>
        <w:t>六</w:t>
      </w:r>
      <w:r>
        <w:rPr>
          <w:rFonts w:hint="eastAsia" w:ascii="仿宋" w:hAnsi="仿宋" w:eastAsia="仿宋" w:cs="仿宋"/>
          <w:color w:val="auto"/>
          <w:sz w:val="36"/>
          <w:szCs w:val="36"/>
          <w:highlight w:val="none"/>
        </w:rPr>
        <w:t>月</w:t>
      </w:r>
    </w:p>
    <w:p w14:paraId="559BDB9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color w:val="auto"/>
          <w:highlight w:val="none"/>
        </w:rPr>
      </w:pPr>
      <w:r>
        <w:rPr>
          <w:rFonts w:hint="eastAsia" w:ascii="仿宋" w:hAnsi="仿宋" w:eastAsia="仿宋" w:cs="仿宋"/>
          <w:b/>
          <w:bCs/>
          <w:color w:val="auto"/>
          <w:sz w:val="32"/>
          <w:szCs w:val="32"/>
          <w:highlight w:val="none"/>
        </w:rPr>
        <w:t>目   录</w:t>
      </w:r>
    </w:p>
    <w:p w14:paraId="47D632E0">
      <w:pPr>
        <w:pStyle w:val="21"/>
        <w:tabs>
          <w:tab w:val="right" w:leader="dot" w:pos="9412"/>
        </w:tabs>
        <w:spacing w:line="360" w:lineRule="auto"/>
        <w:rPr>
          <w:rFonts w:hint="eastAsia" w:ascii="仿宋" w:hAnsi="仿宋" w:eastAsia="仿宋" w:cs="仿宋"/>
          <w:color w:val="auto"/>
          <w:sz w:val="28"/>
          <w:szCs w:val="20"/>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TOC \o "1-3" \h \z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8"/>
          <w:szCs w:val="24"/>
          <w:highlight w:val="none"/>
        </w:rPr>
        <w:fldChar w:fldCharType="begin"/>
      </w:r>
      <w:r>
        <w:rPr>
          <w:rFonts w:hint="eastAsia" w:ascii="仿宋" w:hAnsi="仿宋" w:eastAsia="仿宋" w:cs="仿宋"/>
          <w:color w:val="auto"/>
          <w:sz w:val="28"/>
          <w:szCs w:val="24"/>
          <w:highlight w:val="none"/>
        </w:rPr>
        <w:instrText xml:space="preserve"> HYPERLINK \l _Toc32491 </w:instrText>
      </w:r>
      <w:r>
        <w:rPr>
          <w:rFonts w:hint="eastAsia" w:ascii="仿宋" w:hAnsi="仿宋" w:eastAsia="仿宋" w:cs="仿宋"/>
          <w:color w:val="auto"/>
          <w:sz w:val="28"/>
          <w:szCs w:val="24"/>
          <w:highlight w:val="none"/>
        </w:rPr>
        <w:fldChar w:fldCharType="separate"/>
      </w:r>
      <w:r>
        <w:rPr>
          <w:rFonts w:hint="eastAsia" w:ascii="仿宋" w:hAnsi="仿宋" w:eastAsia="仿宋" w:cs="仿宋"/>
          <w:color w:val="auto"/>
          <w:sz w:val="28"/>
          <w:szCs w:val="28"/>
          <w:highlight w:val="none"/>
        </w:rPr>
        <w:t xml:space="preserve">第一篇  </w:t>
      </w:r>
      <w:r>
        <w:rPr>
          <w:rFonts w:hint="eastAsia" w:ascii="仿宋" w:hAnsi="仿宋" w:eastAsia="仿宋" w:cs="仿宋"/>
          <w:color w:val="auto"/>
          <w:sz w:val="28"/>
          <w:szCs w:val="28"/>
          <w:highlight w:val="none"/>
          <w:lang w:val="en-US" w:eastAsia="zh-CN"/>
        </w:rPr>
        <w:t>招标公告</w:t>
      </w:r>
      <w:r>
        <w:rPr>
          <w:rFonts w:hint="eastAsia" w:ascii="仿宋" w:hAnsi="仿宋" w:eastAsia="仿宋" w:cs="仿宋"/>
          <w:color w:val="auto"/>
          <w:sz w:val="28"/>
          <w:szCs w:val="20"/>
          <w:highlight w:val="none"/>
        </w:rPr>
        <w:tab/>
      </w:r>
      <w:r>
        <w:rPr>
          <w:rFonts w:hint="eastAsia" w:ascii="仿宋" w:hAnsi="仿宋" w:eastAsia="仿宋" w:cs="仿宋"/>
          <w:color w:val="auto"/>
          <w:sz w:val="28"/>
          <w:szCs w:val="20"/>
          <w:highlight w:val="none"/>
        </w:rPr>
        <w:fldChar w:fldCharType="begin"/>
      </w:r>
      <w:r>
        <w:rPr>
          <w:rFonts w:hint="eastAsia" w:ascii="仿宋" w:hAnsi="仿宋" w:eastAsia="仿宋" w:cs="仿宋"/>
          <w:color w:val="auto"/>
          <w:sz w:val="28"/>
          <w:szCs w:val="20"/>
          <w:highlight w:val="none"/>
        </w:rPr>
        <w:instrText xml:space="preserve"> PAGEREF _Toc32491 \h </w:instrText>
      </w:r>
      <w:r>
        <w:rPr>
          <w:rFonts w:hint="eastAsia" w:ascii="仿宋" w:hAnsi="仿宋" w:eastAsia="仿宋" w:cs="仿宋"/>
          <w:color w:val="auto"/>
          <w:sz w:val="28"/>
          <w:szCs w:val="20"/>
          <w:highlight w:val="none"/>
        </w:rPr>
        <w:fldChar w:fldCharType="separate"/>
      </w:r>
      <w:r>
        <w:rPr>
          <w:rFonts w:hint="eastAsia" w:ascii="仿宋" w:hAnsi="仿宋" w:eastAsia="仿宋" w:cs="仿宋"/>
          <w:color w:val="auto"/>
          <w:sz w:val="28"/>
          <w:szCs w:val="20"/>
          <w:highlight w:val="none"/>
        </w:rPr>
        <w:t>1</w:t>
      </w:r>
      <w:r>
        <w:rPr>
          <w:rFonts w:hint="eastAsia" w:ascii="仿宋" w:hAnsi="仿宋" w:eastAsia="仿宋" w:cs="仿宋"/>
          <w:color w:val="auto"/>
          <w:sz w:val="28"/>
          <w:szCs w:val="20"/>
          <w:highlight w:val="none"/>
        </w:rPr>
        <w:fldChar w:fldCharType="end"/>
      </w:r>
      <w:r>
        <w:rPr>
          <w:rFonts w:hint="eastAsia" w:ascii="仿宋" w:hAnsi="仿宋" w:eastAsia="仿宋" w:cs="仿宋"/>
          <w:color w:val="auto"/>
          <w:sz w:val="28"/>
          <w:szCs w:val="24"/>
          <w:highlight w:val="none"/>
        </w:rPr>
        <w:fldChar w:fldCharType="end"/>
      </w:r>
    </w:p>
    <w:p w14:paraId="0BE4CE38">
      <w:pPr>
        <w:pStyle w:val="21"/>
        <w:tabs>
          <w:tab w:val="right" w:leader="dot" w:pos="9412"/>
        </w:tabs>
        <w:spacing w:line="360" w:lineRule="auto"/>
        <w:rPr>
          <w:rFonts w:hint="eastAsia" w:ascii="仿宋" w:hAnsi="仿宋" w:eastAsia="仿宋" w:cs="仿宋"/>
          <w:color w:val="auto"/>
          <w:sz w:val="28"/>
          <w:szCs w:val="20"/>
          <w:highlight w:val="none"/>
        </w:rPr>
      </w:pPr>
      <w:r>
        <w:rPr>
          <w:rFonts w:hint="eastAsia" w:ascii="仿宋" w:hAnsi="仿宋" w:eastAsia="仿宋" w:cs="仿宋"/>
          <w:color w:val="auto"/>
          <w:sz w:val="28"/>
          <w:szCs w:val="24"/>
          <w:highlight w:val="none"/>
        </w:rPr>
        <w:fldChar w:fldCharType="begin"/>
      </w:r>
      <w:r>
        <w:rPr>
          <w:rFonts w:hint="eastAsia" w:ascii="仿宋" w:hAnsi="仿宋" w:eastAsia="仿宋" w:cs="仿宋"/>
          <w:color w:val="auto"/>
          <w:sz w:val="28"/>
          <w:szCs w:val="24"/>
          <w:highlight w:val="none"/>
        </w:rPr>
        <w:instrText xml:space="preserve"> HYPERLINK \l _Toc18443 </w:instrText>
      </w:r>
      <w:r>
        <w:rPr>
          <w:rFonts w:hint="eastAsia" w:ascii="仿宋" w:hAnsi="仿宋" w:eastAsia="仿宋" w:cs="仿宋"/>
          <w:color w:val="auto"/>
          <w:sz w:val="28"/>
          <w:szCs w:val="24"/>
          <w:highlight w:val="none"/>
        </w:rPr>
        <w:fldChar w:fldCharType="separate"/>
      </w:r>
      <w:r>
        <w:rPr>
          <w:rFonts w:hint="eastAsia" w:ascii="仿宋" w:hAnsi="仿宋" w:eastAsia="仿宋" w:cs="仿宋"/>
          <w:color w:val="auto"/>
          <w:sz w:val="28"/>
          <w:szCs w:val="28"/>
          <w:highlight w:val="none"/>
        </w:rPr>
        <w:t xml:space="preserve">第二篇  </w:t>
      </w:r>
      <w:r>
        <w:rPr>
          <w:rFonts w:hint="eastAsia" w:ascii="仿宋" w:hAnsi="仿宋" w:eastAsia="仿宋" w:cs="仿宋"/>
          <w:color w:val="auto"/>
          <w:sz w:val="28"/>
          <w:szCs w:val="28"/>
          <w:highlight w:val="none"/>
          <w:lang w:eastAsia="zh-CN"/>
        </w:rPr>
        <w:t>项目</w:t>
      </w:r>
      <w:r>
        <w:rPr>
          <w:rFonts w:hint="eastAsia" w:ascii="仿宋" w:hAnsi="仿宋" w:eastAsia="仿宋" w:cs="仿宋"/>
          <w:color w:val="auto"/>
          <w:sz w:val="28"/>
          <w:szCs w:val="28"/>
          <w:highlight w:val="none"/>
          <w:lang w:val="en-US" w:eastAsia="zh-CN"/>
        </w:rPr>
        <w:t>服务需求</w:t>
      </w:r>
      <w:r>
        <w:rPr>
          <w:rFonts w:hint="eastAsia" w:ascii="仿宋" w:hAnsi="仿宋" w:eastAsia="仿宋" w:cs="仿宋"/>
          <w:color w:val="auto"/>
          <w:sz w:val="28"/>
          <w:szCs w:val="20"/>
          <w:highlight w:val="none"/>
        </w:rPr>
        <w:tab/>
      </w:r>
      <w:r>
        <w:rPr>
          <w:rFonts w:hint="eastAsia" w:ascii="仿宋" w:hAnsi="仿宋" w:eastAsia="仿宋" w:cs="仿宋"/>
          <w:color w:val="auto"/>
          <w:sz w:val="28"/>
          <w:szCs w:val="20"/>
          <w:highlight w:val="none"/>
        </w:rPr>
        <w:fldChar w:fldCharType="begin"/>
      </w:r>
      <w:r>
        <w:rPr>
          <w:rFonts w:hint="eastAsia" w:ascii="仿宋" w:hAnsi="仿宋" w:eastAsia="仿宋" w:cs="仿宋"/>
          <w:color w:val="auto"/>
          <w:sz w:val="28"/>
          <w:szCs w:val="20"/>
          <w:highlight w:val="none"/>
        </w:rPr>
        <w:instrText xml:space="preserve"> PAGEREF _Toc18443 \h </w:instrText>
      </w:r>
      <w:r>
        <w:rPr>
          <w:rFonts w:hint="eastAsia" w:ascii="仿宋" w:hAnsi="仿宋" w:eastAsia="仿宋" w:cs="仿宋"/>
          <w:color w:val="auto"/>
          <w:sz w:val="28"/>
          <w:szCs w:val="20"/>
          <w:highlight w:val="none"/>
        </w:rPr>
        <w:fldChar w:fldCharType="separate"/>
      </w:r>
      <w:r>
        <w:rPr>
          <w:rFonts w:hint="eastAsia" w:ascii="仿宋" w:hAnsi="仿宋" w:eastAsia="仿宋" w:cs="仿宋"/>
          <w:color w:val="auto"/>
          <w:sz w:val="28"/>
          <w:szCs w:val="20"/>
          <w:highlight w:val="none"/>
        </w:rPr>
        <w:t>4</w:t>
      </w:r>
      <w:r>
        <w:rPr>
          <w:rFonts w:hint="eastAsia" w:ascii="仿宋" w:hAnsi="仿宋" w:eastAsia="仿宋" w:cs="仿宋"/>
          <w:color w:val="auto"/>
          <w:sz w:val="28"/>
          <w:szCs w:val="20"/>
          <w:highlight w:val="none"/>
        </w:rPr>
        <w:fldChar w:fldCharType="end"/>
      </w:r>
      <w:r>
        <w:rPr>
          <w:rFonts w:hint="eastAsia" w:ascii="仿宋" w:hAnsi="仿宋" w:eastAsia="仿宋" w:cs="仿宋"/>
          <w:color w:val="auto"/>
          <w:sz w:val="28"/>
          <w:szCs w:val="24"/>
          <w:highlight w:val="none"/>
        </w:rPr>
        <w:fldChar w:fldCharType="end"/>
      </w:r>
    </w:p>
    <w:p w14:paraId="5389FB2F">
      <w:pPr>
        <w:pStyle w:val="21"/>
        <w:tabs>
          <w:tab w:val="right" w:leader="dot" w:pos="9412"/>
        </w:tabs>
        <w:spacing w:line="360" w:lineRule="auto"/>
        <w:rPr>
          <w:rFonts w:hint="eastAsia" w:ascii="仿宋" w:hAnsi="仿宋" w:eastAsia="仿宋" w:cs="仿宋"/>
          <w:color w:val="auto"/>
          <w:sz w:val="28"/>
          <w:szCs w:val="20"/>
          <w:highlight w:val="none"/>
        </w:rPr>
      </w:pPr>
      <w:r>
        <w:rPr>
          <w:rFonts w:hint="eastAsia" w:ascii="仿宋" w:hAnsi="仿宋" w:eastAsia="仿宋" w:cs="仿宋"/>
          <w:color w:val="auto"/>
          <w:sz w:val="28"/>
          <w:szCs w:val="24"/>
          <w:highlight w:val="none"/>
        </w:rPr>
        <w:fldChar w:fldCharType="begin"/>
      </w:r>
      <w:r>
        <w:rPr>
          <w:rFonts w:hint="eastAsia" w:ascii="仿宋" w:hAnsi="仿宋" w:eastAsia="仿宋" w:cs="仿宋"/>
          <w:color w:val="auto"/>
          <w:sz w:val="28"/>
          <w:szCs w:val="24"/>
          <w:highlight w:val="none"/>
        </w:rPr>
        <w:instrText xml:space="preserve"> HYPERLINK \l _Toc4743 </w:instrText>
      </w:r>
      <w:r>
        <w:rPr>
          <w:rFonts w:hint="eastAsia" w:ascii="仿宋" w:hAnsi="仿宋" w:eastAsia="仿宋" w:cs="仿宋"/>
          <w:color w:val="auto"/>
          <w:sz w:val="28"/>
          <w:szCs w:val="24"/>
          <w:highlight w:val="none"/>
        </w:rPr>
        <w:fldChar w:fldCharType="separate"/>
      </w:r>
      <w:r>
        <w:rPr>
          <w:rFonts w:hint="eastAsia" w:ascii="仿宋" w:hAnsi="仿宋" w:eastAsia="仿宋" w:cs="仿宋"/>
          <w:color w:val="auto"/>
          <w:sz w:val="28"/>
          <w:szCs w:val="36"/>
          <w:highlight w:val="none"/>
          <w:lang w:val="en-US" w:eastAsia="zh-CN"/>
        </w:rPr>
        <w:t>第三篇  项目商务需求</w:t>
      </w:r>
      <w:r>
        <w:rPr>
          <w:rFonts w:hint="eastAsia" w:ascii="仿宋" w:hAnsi="仿宋" w:eastAsia="仿宋" w:cs="仿宋"/>
          <w:color w:val="auto"/>
          <w:sz w:val="28"/>
          <w:szCs w:val="20"/>
          <w:highlight w:val="none"/>
        </w:rPr>
        <w:tab/>
      </w:r>
      <w:r>
        <w:rPr>
          <w:rFonts w:hint="eastAsia" w:ascii="仿宋" w:hAnsi="仿宋" w:eastAsia="仿宋" w:cs="仿宋"/>
          <w:color w:val="auto"/>
          <w:sz w:val="28"/>
          <w:szCs w:val="20"/>
          <w:highlight w:val="none"/>
        </w:rPr>
        <w:fldChar w:fldCharType="begin"/>
      </w:r>
      <w:r>
        <w:rPr>
          <w:rFonts w:hint="eastAsia" w:ascii="仿宋" w:hAnsi="仿宋" w:eastAsia="仿宋" w:cs="仿宋"/>
          <w:color w:val="auto"/>
          <w:sz w:val="28"/>
          <w:szCs w:val="20"/>
          <w:highlight w:val="none"/>
        </w:rPr>
        <w:instrText xml:space="preserve"> PAGEREF _Toc4743 \h </w:instrText>
      </w:r>
      <w:r>
        <w:rPr>
          <w:rFonts w:hint="eastAsia" w:ascii="仿宋" w:hAnsi="仿宋" w:eastAsia="仿宋" w:cs="仿宋"/>
          <w:color w:val="auto"/>
          <w:sz w:val="28"/>
          <w:szCs w:val="20"/>
          <w:highlight w:val="none"/>
        </w:rPr>
        <w:fldChar w:fldCharType="separate"/>
      </w:r>
      <w:r>
        <w:rPr>
          <w:rFonts w:hint="eastAsia" w:ascii="仿宋" w:hAnsi="仿宋" w:eastAsia="仿宋" w:cs="仿宋"/>
          <w:color w:val="auto"/>
          <w:sz w:val="28"/>
          <w:szCs w:val="20"/>
          <w:highlight w:val="none"/>
        </w:rPr>
        <w:t>7</w:t>
      </w:r>
      <w:r>
        <w:rPr>
          <w:rFonts w:hint="eastAsia" w:ascii="仿宋" w:hAnsi="仿宋" w:eastAsia="仿宋" w:cs="仿宋"/>
          <w:color w:val="auto"/>
          <w:sz w:val="28"/>
          <w:szCs w:val="20"/>
          <w:highlight w:val="none"/>
        </w:rPr>
        <w:fldChar w:fldCharType="end"/>
      </w:r>
      <w:r>
        <w:rPr>
          <w:rFonts w:hint="eastAsia" w:ascii="仿宋" w:hAnsi="仿宋" w:eastAsia="仿宋" w:cs="仿宋"/>
          <w:color w:val="auto"/>
          <w:sz w:val="28"/>
          <w:szCs w:val="24"/>
          <w:highlight w:val="none"/>
        </w:rPr>
        <w:fldChar w:fldCharType="end"/>
      </w:r>
    </w:p>
    <w:p w14:paraId="412E861E">
      <w:pPr>
        <w:pStyle w:val="21"/>
        <w:tabs>
          <w:tab w:val="right" w:leader="dot" w:pos="9412"/>
        </w:tabs>
        <w:spacing w:line="360" w:lineRule="auto"/>
        <w:rPr>
          <w:rFonts w:hint="eastAsia" w:ascii="仿宋" w:hAnsi="仿宋" w:eastAsia="仿宋" w:cs="仿宋"/>
          <w:color w:val="auto"/>
          <w:sz w:val="28"/>
          <w:szCs w:val="20"/>
          <w:highlight w:val="none"/>
        </w:rPr>
      </w:pPr>
      <w:r>
        <w:rPr>
          <w:rFonts w:hint="eastAsia" w:ascii="仿宋" w:hAnsi="仿宋" w:eastAsia="仿宋" w:cs="仿宋"/>
          <w:color w:val="auto"/>
          <w:sz w:val="28"/>
          <w:szCs w:val="24"/>
          <w:highlight w:val="none"/>
        </w:rPr>
        <w:fldChar w:fldCharType="begin"/>
      </w:r>
      <w:r>
        <w:rPr>
          <w:rFonts w:hint="eastAsia" w:ascii="仿宋" w:hAnsi="仿宋" w:eastAsia="仿宋" w:cs="仿宋"/>
          <w:color w:val="auto"/>
          <w:sz w:val="28"/>
          <w:szCs w:val="24"/>
          <w:highlight w:val="none"/>
        </w:rPr>
        <w:instrText xml:space="preserve"> HYPERLINK \l _Toc19698 </w:instrText>
      </w:r>
      <w:r>
        <w:rPr>
          <w:rFonts w:hint="eastAsia" w:ascii="仿宋" w:hAnsi="仿宋" w:eastAsia="仿宋" w:cs="仿宋"/>
          <w:color w:val="auto"/>
          <w:sz w:val="28"/>
          <w:szCs w:val="24"/>
          <w:highlight w:val="none"/>
        </w:rPr>
        <w:fldChar w:fldCharType="separate"/>
      </w:r>
      <w:r>
        <w:rPr>
          <w:rFonts w:hint="eastAsia" w:ascii="仿宋" w:hAnsi="仿宋" w:eastAsia="仿宋" w:cs="仿宋"/>
          <w:color w:val="auto"/>
          <w:sz w:val="28"/>
          <w:szCs w:val="36"/>
          <w:highlight w:val="none"/>
        </w:rPr>
        <w:t>第四篇  评审程序及方法、评审标准、无效响应和采购终止</w:t>
      </w:r>
      <w:r>
        <w:rPr>
          <w:rFonts w:hint="eastAsia" w:ascii="仿宋" w:hAnsi="仿宋" w:eastAsia="仿宋" w:cs="仿宋"/>
          <w:color w:val="auto"/>
          <w:sz w:val="28"/>
          <w:szCs w:val="20"/>
          <w:highlight w:val="none"/>
        </w:rPr>
        <w:tab/>
      </w:r>
      <w:r>
        <w:rPr>
          <w:rFonts w:hint="eastAsia" w:ascii="仿宋" w:hAnsi="仿宋" w:eastAsia="仿宋" w:cs="仿宋"/>
          <w:color w:val="auto"/>
          <w:sz w:val="28"/>
          <w:szCs w:val="20"/>
          <w:highlight w:val="none"/>
        </w:rPr>
        <w:fldChar w:fldCharType="begin"/>
      </w:r>
      <w:r>
        <w:rPr>
          <w:rFonts w:hint="eastAsia" w:ascii="仿宋" w:hAnsi="仿宋" w:eastAsia="仿宋" w:cs="仿宋"/>
          <w:color w:val="auto"/>
          <w:sz w:val="28"/>
          <w:szCs w:val="20"/>
          <w:highlight w:val="none"/>
        </w:rPr>
        <w:instrText xml:space="preserve"> PAGEREF _Toc19698 \h </w:instrText>
      </w:r>
      <w:r>
        <w:rPr>
          <w:rFonts w:hint="eastAsia" w:ascii="仿宋" w:hAnsi="仿宋" w:eastAsia="仿宋" w:cs="仿宋"/>
          <w:color w:val="auto"/>
          <w:sz w:val="28"/>
          <w:szCs w:val="20"/>
          <w:highlight w:val="none"/>
        </w:rPr>
        <w:fldChar w:fldCharType="separate"/>
      </w:r>
      <w:r>
        <w:rPr>
          <w:rFonts w:hint="eastAsia" w:ascii="仿宋" w:hAnsi="仿宋" w:eastAsia="仿宋" w:cs="仿宋"/>
          <w:color w:val="auto"/>
          <w:sz w:val="28"/>
          <w:szCs w:val="20"/>
          <w:highlight w:val="none"/>
        </w:rPr>
        <w:t>15</w:t>
      </w:r>
      <w:r>
        <w:rPr>
          <w:rFonts w:hint="eastAsia" w:ascii="仿宋" w:hAnsi="仿宋" w:eastAsia="仿宋" w:cs="仿宋"/>
          <w:color w:val="auto"/>
          <w:sz w:val="28"/>
          <w:szCs w:val="20"/>
          <w:highlight w:val="none"/>
        </w:rPr>
        <w:fldChar w:fldCharType="end"/>
      </w:r>
      <w:r>
        <w:rPr>
          <w:rFonts w:hint="eastAsia" w:ascii="仿宋" w:hAnsi="仿宋" w:eastAsia="仿宋" w:cs="仿宋"/>
          <w:color w:val="auto"/>
          <w:sz w:val="28"/>
          <w:szCs w:val="24"/>
          <w:highlight w:val="none"/>
        </w:rPr>
        <w:fldChar w:fldCharType="end"/>
      </w:r>
    </w:p>
    <w:p w14:paraId="21474C0E">
      <w:pPr>
        <w:pStyle w:val="21"/>
        <w:tabs>
          <w:tab w:val="right" w:leader="dot" w:pos="9412"/>
        </w:tabs>
        <w:spacing w:line="360" w:lineRule="auto"/>
        <w:rPr>
          <w:rFonts w:hint="eastAsia" w:ascii="仿宋" w:hAnsi="仿宋" w:eastAsia="仿宋" w:cs="仿宋"/>
          <w:color w:val="auto"/>
          <w:sz w:val="28"/>
          <w:szCs w:val="20"/>
          <w:highlight w:val="none"/>
        </w:rPr>
      </w:pPr>
      <w:r>
        <w:rPr>
          <w:rFonts w:hint="eastAsia" w:ascii="仿宋" w:hAnsi="仿宋" w:eastAsia="仿宋" w:cs="仿宋"/>
          <w:color w:val="auto"/>
          <w:sz w:val="28"/>
          <w:szCs w:val="24"/>
          <w:highlight w:val="none"/>
        </w:rPr>
        <w:fldChar w:fldCharType="begin"/>
      </w:r>
      <w:r>
        <w:rPr>
          <w:rFonts w:hint="eastAsia" w:ascii="仿宋" w:hAnsi="仿宋" w:eastAsia="仿宋" w:cs="仿宋"/>
          <w:color w:val="auto"/>
          <w:sz w:val="28"/>
          <w:szCs w:val="24"/>
          <w:highlight w:val="none"/>
        </w:rPr>
        <w:instrText xml:space="preserve"> HYPERLINK \l _Toc8803 </w:instrText>
      </w:r>
      <w:r>
        <w:rPr>
          <w:rFonts w:hint="eastAsia" w:ascii="仿宋" w:hAnsi="仿宋" w:eastAsia="仿宋" w:cs="仿宋"/>
          <w:color w:val="auto"/>
          <w:sz w:val="28"/>
          <w:szCs w:val="24"/>
          <w:highlight w:val="none"/>
        </w:rPr>
        <w:fldChar w:fldCharType="separate"/>
      </w:r>
      <w:r>
        <w:rPr>
          <w:rFonts w:hint="eastAsia" w:ascii="仿宋" w:hAnsi="仿宋" w:eastAsia="仿宋" w:cs="仿宋"/>
          <w:color w:val="auto"/>
          <w:sz w:val="28"/>
          <w:szCs w:val="28"/>
          <w:highlight w:val="none"/>
        </w:rPr>
        <w:t xml:space="preserve">第五篇  </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须知</w:t>
      </w:r>
      <w:r>
        <w:rPr>
          <w:rFonts w:hint="eastAsia" w:ascii="仿宋" w:hAnsi="仿宋" w:eastAsia="仿宋" w:cs="仿宋"/>
          <w:color w:val="auto"/>
          <w:sz w:val="28"/>
          <w:szCs w:val="20"/>
          <w:highlight w:val="none"/>
        </w:rPr>
        <w:tab/>
      </w:r>
      <w:r>
        <w:rPr>
          <w:rFonts w:hint="eastAsia" w:ascii="仿宋" w:hAnsi="仿宋" w:eastAsia="仿宋" w:cs="仿宋"/>
          <w:color w:val="auto"/>
          <w:sz w:val="28"/>
          <w:szCs w:val="20"/>
          <w:highlight w:val="none"/>
        </w:rPr>
        <w:fldChar w:fldCharType="begin"/>
      </w:r>
      <w:r>
        <w:rPr>
          <w:rFonts w:hint="eastAsia" w:ascii="仿宋" w:hAnsi="仿宋" w:eastAsia="仿宋" w:cs="仿宋"/>
          <w:color w:val="auto"/>
          <w:sz w:val="28"/>
          <w:szCs w:val="20"/>
          <w:highlight w:val="none"/>
        </w:rPr>
        <w:instrText xml:space="preserve"> PAGEREF _Toc8803 \h </w:instrText>
      </w:r>
      <w:r>
        <w:rPr>
          <w:rFonts w:hint="eastAsia" w:ascii="仿宋" w:hAnsi="仿宋" w:eastAsia="仿宋" w:cs="仿宋"/>
          <w:color w:val="auto"/>
          <w:sz w:val="28"/>
          <w:szCs w:val="20"/>
          <w:highlight w:val="none"/>
        </w:rPr>
        <w:fldChar w:fldCharType="separate"/>
      </w:r>
      <w:r>
        <w:rPr>
          <w:rFonts w:hint="eastAsia" w:ascii="仿宋" w:hAnsi="仿宋" w:eastAsia="仿宋" w:cs="仿宋"/>
          <w:color w:val="auto"/>
          <w:sz w:val="28"/>
          <w:szCs w:val="20"/>
          <w:highlight w:val="none"/>
        </w:rPr>
        <w:t>20</w:t>
      </w:r>
      <w:r>
        <w:rPr>
          <w:rFonts w:hint="eastAsia" w:ascii="仿宋" w:hAnsi="仿宋" w:eastAsia="仿宋" w:cs="仿宋"/>
          <w:color w:val="auto"/>
          <w:sz w:val="28"/>
          <w:szCs w:val="20"/>
          <w:highlight w:val="none"/>
        </w:rPr>
        <w:fldChar w:fldCharType="end"/>
      </w:r>
      <w:r>
        <w:rPr>
          <w:rFonts w:hint="eastAsia" w:ascii="仿宋" w:hAnsi="仿宋" w:eastAsia="仿宋" w:cs="仿宋"/>
          <w:color w:val="auto"/>
          <w:sz w:val="28"/>
          <w:szCs w:val="24"/>
          <w:highlight w:val="none"/>
        </w:rPr>
        <w:fldChar w:fldCharType="end"/>
      </w:r>
    </w:p>
    <w:p w14:paraId="76D5BD84">
      <w:pPr>
        <w:pStyle w:val="21"/>
        <w:tabs>
          <w:tab w:val="right" w:leader="dot" w:pos="9412"/>
        </w:tabs>
        <w:spacing w:line="360" w:lineRule="auto"/>
        <w:rPr>
          <w:rFonts w:hint="eastAsia" w:ascii="仿宋" w:hAnsi="仿宋" w:eastAsia="仿宋" w:cs="仿宋"/>
          <w:color w:val="auto"/>
          <w:sz w:val="28"/>
          <w:szCs w:val="20"/>
          <w:highlight w:val="none"/>
        </w:rPr>
      </w:pPr>
      <w:r>
        <w:rPr>
          <w:rFonts w:hint="eastAsia" w:ascii="仿宋" w:hAnsi="仿宋" w:eastAsia="仿宋" w:cs="仿宋"/>
          <w:color w:val="auto"/>
          <w:sz w:val="28"/>
          <w:szCs w:val="24"/>
          <w:highlight w:val="none"/>
        </w:rPr>
        <w:fldChar w:fldCharType="begin"/>
      </w:r>
      <w:r>
        <w:rPr>
          <w:rFonts w:hint="eastAsia" w:ascii="仿宋" w:hAnsi="仿宋" w:eastAsia="仿宋" w:cs="仿宋"/>
          <w:color w:val="auto"/>
          <w:sz w:val="28"/>
          <w:szCs w:val="24"/>
          <w:highlight w:val="none"/>
        </w:rPr>
        <w:instrText xml:space="preserve"> HYPERLINK \l _Toc8319 </w:instrText>
      </w:r>
      <w:r>
        <w:rPr>
          <w:rFonts w:hint="eastAsia" w:ascii="仿宋" w:hAnsi="仿宋" w:eastAsia="仿宋" w:cs="仿宋"/>
          <w:color w:val="auto"/>
          <w:sz w:val="28"/>
          <w:szCs w:val="24"/>
          <w:highlight w:val="none"/>
        </w:rPr>
        <w:fldChar w:fldCharType="separate"/>
      </w:r>
      <w:r>
        <w:rPr>
          <w:rFonts w:hint="eastAsia" w:ascii="仿宋" w:hAnsi="仿宋" w:eastAsia="仿宋" w:cs="仿宋"/>
          <w:color w:val="auto"/>
          <w:sz w:val="28"/>
          <w:szCs w:val="32"/>
          <w:highlight w:val="none"/>
        </w:rPr>
        <w:t>第六篇  合同草案条款</w:t>
      </w:r>
      <w:r>
        <w:rPr>
          <w:rFonts w:hint="eastAsia" w:ascii="仿宋" w:hAnsi="仿宋" w:eastAsia="仿宋" w:cs="仿宋"/>
          <w:color w:val="auto"/>
          <w:sz w:val="28"/>
          <w:szCs w:val="20"/>
          <w:highlight w:val="none"/>
        </w:rPr>
        <w:tab/>
      </w:r>
      <w:r>
        <w:rPr>
          <w:rFonts w:hint="eastAsia" w:ascii="仿宋" w:hAnsi="仿宋" w:eastAsia="仿宋" w:cs="仿宋"/>
          <w:color w:val="auto"/>
          <w:sz w:val="28"/>
          <w:szCs w:val="20"/>
          <w:highlight w:val="none"/>
        </w:rPr>
        <w:fldChar w:fldCharType="begin"/>
      </w:r>
      <w:r>
        <w:rPr>
          <w:rFonts w:hint="eastAsia" w:ascii="仿宋" w:hAnsi="仿宋" w:eastAsia="仿宋" w:cs="仿宋"/>
          <w:color w:val="auto"/>
          <w:sz w:val="28"/>
          <w:szCs w:val="20"/>
          <w:highlight w:val="none"/>
        </w:rPr>
        <w:instrText xml:space="preserve"> PAGEREF _Toc8319 \h </w:instrText>
      </w:r>
      <w:r>
        <w:rPr>
          <w:rFonts w:hint="eastAsia" w:ascii="仿宋" w:hAnsi="仿宋" w:eastAsia="仿宋" w:cs="仿宋"/>
          <w:color w:val="auto"/>
          <w:sz w:val="28"/>
          <w:szCs w:val="20"/>
          <w:highlight w:val="none"/>
        </w:rPr>
        <w:fldChar w:fldCharType="separate"/>
      </w:r>
      <w:r>
        <w:rPr>
          <w:rFonts w:hint="eastAsia" w:ascii="仿宋" w:hAnsi="仿宋" w:eastAsia="仿宋" w:cs="仿宋"/>
          <w:color w:val="auto"/>
          <w:sz w:val="28"/>
          <w:szCs w:val="20"/>
          <w:highlight w:val="none"/>
        </w:rPr>
        <w:t>23</w:t>
      </w:r>
      <w:r>
        <w:rPr>
          <w:rFonts w:hint="eastAsia" w:ascii="仿宋" w:hAnsi="仿宋" w:eastAsia="仿宋" w:cs="仿宋"/>
          <w:color w:val="auto"/>
          <w:sz w:val="28"/>
          <w:szCs w:val="20"/>
          <w:highlight w:val="none"/>
        </w:rPr>
        <w:fldChar w:fldCharType="end"/>
      </w:r>
      <w:r>
        <w:rPr>
          <w:rFonts w:hint="eastAsia" w:ascii="仿宋" w:hAnsi="仿宋" w:eastAsia="仿宋" w:cs="仿宋"/>
          <w:color w:val="auto"/>
          <w:sz w:val="28"/>
          <w:szCs w:val="24"/>
          <w:highlight w:val="none"/>
        </w:rPr>
        <w:fldChar w:fldCharType="end"/>
      </w:r>
    </w:p>
    <w:p w14:paraId="44D47CBF">
      <w:pPr>
        <w:pStyle w:val="21"/>
        <w:tabs>
          <w:tab w:val="right" w:leader="dot" w:pos="9412"/>
        </w:tabs>
        <w:spacing w:line="360" w:lineRule="auto"/>
        <w:rPr>
          <w:rFonts w:hint="eastAsia" w:ascii="仿宋" w:hAnsi="仿宋" w:eastAsia="仿宋" w:cs="仿宋"/>
          <w:color w:val="auto"/>
          <w:sz w:val="28"/>
          <w:szCs w:val="20"/>
          <w:highlight w:val="none"/>
        </w:rPr>
      </w:pPr>
      <w:r>
        <w:rPr>
          <w:rFonts w:hint="eastAsia" w:ascii="仿宋" w:hAnsi="仿宋" w:eastAsia="仿宋" w:cs="仿宋"/>
          <w:color w:val="auto"/>
          <w:sz w:val="28"/>
          <w:szCs w:val="24"/>
          <w:highlight w:val="none"/>
        </w:rPr>
        <w:fldChar w:fldCharType="begin"/>
      </w:r>
      <w:r>
        <w:rPr>
          <w:rFonts w:hint="eastAsia" w:ascii="仿宋" w:hAnsi="仿宋" w:eastAsia="仿宋" w:cs="仿宋"/>
          <w:color w:val="auto"/>
          <w:sz w:val="28"/>
          <w:szCs w:val="24"/>
          <w:highlight w:val="none"/>
        </w:rPr>
        <w:instrText xml:space="preserve"> HYPERLINK \l _Toc12120 </w:instrText>
      </w:r>
      <w:r>
        <w:rPr>
          <w:rFonts w:hint="eastAsia" w:ascii="仿宋" w:hAnsi="仿宋" w:eastAsia="仿宋" w:cs="仿宋"/>
          <w:color w:val="auto"/>
          <w:sz w:val="28"/>
          <w:szCs w:val="24"/>
          <w:highlight w:val="none"/>
        </w:rPr>
        <w:fldChar w:fldCharType="separate"/>
      </w:r>
      <w:r>
        <w:rPr>
          <w:rFonts w:hint="eastAsia" w:ascii="仿宋" w:hAnsi="仿宋" w:eastAsia="仿宋" w:cs="仿宋"/>
          <w:color w:val="auto"/>
          <w:sz w:val="28"/>
          <w:szCs w:val="32"/>
          <w:highlight w:val="none"/>
        </w:rPr>
        <w:t xml:space="preserve">第七篇  </w:t>
      </w:r>
      <w:r>
        <w:rPr>
          <w:rFonts w:hint="eastAsia" w:ascii="仿宋" w:hAnsi="仿宋" w:eastAsia="仿宋" w:cs="仿宋"/>
          <w:color w:val="auto"/>
          <w:sz w:val="28"/>
          <w:szCs w:val="32"/>
          <w:highlight w:val="none"/>
          <w:lang w:eastAsia="zh-CN"/>
        </w:rPr>
        <w:t>投标文件</w:t>
      </w:r>
      <w:r>
        <w:rPr>
          <w:rFonts w:hint="eastAsia" w:ascii="仿宋" w:hAnsi="仿宋" w:eastAsia="仿宋" w:cs="仿宋"/>
          <w:color w:val="auto"/>
          <w:sz w:val="28"/>
          <w:szCs w:val="32"/>
          <w:highlight w:val="none"/>
        </w:rPr>
        <w:t>格式要求</w:t>
      </w:r>
      <w:r>
        <w:rPr>
          <w:rFonts w:hint="eastAsia" w:ascii="仿宋" w:hAnsi="仿宋" w:eastAsia="仿宋" w:cs="仿宋"/>
          <w:color w:val="auto"/>
          <w:sz w:val="28"/>
          <w:szCs w:val="20"/>
          <w:highlight w:val="none"/>
        </w:rPr>
        <w:tab/>
      </w:r>
      <w:r>
        <w:rPr>
          <w:rFonts w:hint="eastAsia" w:ascii="仿宋" w:hAnsi="仿宋" w:eastAsia="仿宋" w:cs="仿宋"/>
          <w:color w:val="auto"/>
          <w:sz w:val="28"/>
          <w:szCs w:val="20"/>
          <w:highlight w:val="none"/>
        </w:rPr>
        <w:fldChar w:fldCharType="begin"/>
      </w:r>
      <w:r>
        <w:rPr>
          <w:rFonts w:hint="eastAsia" w:ascii="仿宋" w:hAnsi="仿宋" w:eastAsia="仿宋" w:cs="仿宋"/>
          <w:color w:val="auto"/>
          <w:sz w:val="28"/>
          <w:szCs w:val="20"/>
          <w:highlight w:val="none"/>
        </w:rPr>
        <w:instrText xml:space="preserve"> PAGEREF _Toc12120 \h </w:instrText>
      </w:r>
      <w:r>
        <w:rPr>
          <w:rFonts w:hint="eastAsia" w:ascii="仿宋" w:hAnsi="仿宋" w:eastAsia="仿宋" w:cs="仿宋"/>
          <w:color w:val="auto"/>
          <w:sz w:val="28"/>
          <w:szCs w:val="20"/>
          <w:highlight w:val="none"/>
        </w:rPr>
        <w:fldChar w:fldCharType="separate"/>
      </w:r>
      <w:r>
        <w:rPr>
          <w:rFonts w:hint="eastAsia" w:ascii="仿宋" w:hAnsi="仿宋" w:eastAsia="仿宋" w:cs="仿宋"/>
          <w:color w:val="auto"/>
          <w:sz w:val="28"/>
          <w:szCs w:val="20"/>
          <w:highlight w:val="none"/>
        </w:rPr>
        <w:t>35</w:t>
      </w:r>
      <w:r>
        <w:rPr>
          <w:rFonts w:hint="eastAsia" w:ascii="仿宋" w:hAnsi="仿宋" w:eastAsia="仿宋" w:cs="仿宋"/>
          <w:color w:val="auto"/>
          <w:sz w:val="28"/>
          <w:szCs w:val="20"/>
          <w:highlight w:val="none"/>
        </w:rPr>
        <w:fldChar w:fldCharType="end"/>
      </w:r>
      <w:r>
        <w:rPr>
          <w:rFonts w:hint="eastAsia" w:ascii="仿宋" w:hAnsi="仿宋" w:eastAsia="仿宋" w:cs="仿宋"/>
          <w:color w:val="auto"/>
          <w:sz w:val="28"/>
          <w:szCs w:val="24"/>
          <w:highlight w:val="none"/>
        </w:rPr>
        <w:fldChar w:fldCharType="end"/>
      </w:r>
    </w:p>
    <w:p w14:paraId="6160493D">
      <w:pPr>
        <w:pStyle w:val="12"/>
        <w:tabs>
          <w:tab w:val="right" w:leader="dot" w:pos="9412"/>
        </w:tabs>
        <w:spacing w:line="360" w:lineRule="auto"/>
        <w:rPr>
          <w:rFonts w:hint="eastAsia" w:ascii="仿宋" w:hAnsi="仿宋" w:eastAsia="仿宋" w:cs="仿宋"/>
          <w:color w:val="auto"/>
          <w:sz w:val="28"/>
          <w:szCs w:val="20"/>
          <w:highlight w:val="none"/>
        </w:rPr>
      </w:pPr>
      <w:r>
        <w:rPr>
          <w:rFonts w:hint="eastAsia" w:ascii="仿宋" w:hAnsi="仿宋" w:eastAsia="仿宋" w:cs="仿宋"/>
          <w:color w:val="auto"/>
          <w:sz w:val="28"/>
          <w:szCs w:val="24"/>
          <w:highlight w:val="none"/>
        </w:rPr>
        <w:fldChar w:fldCharType="begin"/>
      </w:r>
      <w:r>
        <w:rPr>
          <w:rFonts w:hint="eastAsia" w:ascii="仿宋" w:hAnsi="仿宋" w:eastAsia="仿宋" w:cs="仿宋"/>
          <w:color w:val="auto"/>
          <w:sz w:val="28"/>
          <w:szCs w:val="24"/>
          <w:highlight w:val="none"/>
        </w:rPr>
        <w:instrText xml:space="preserve"> HYPERLINK \l _Toc31231 </w:instrText>
      </w:r>
      <w:r>
        <w:rPr>
          <w:rFonts w:hint="eastAsia" w:ascii="仿宋" w:hAnsi="仿宋" w:eastAsia="仿宋" w:cs="仿宋"/>
          <w:color w:val="auto"/>
          <w:sz w:val="28"/>
          <w:szCs w:val="24"/>
          <w:highlight w:val="none"/>
        </w:rPr>
        <w:fldChar w:fldCharType="separate"/>
      </w:r>
      <w:r>
        <w:rPr>
          <w:rFonts w:hint="eastAsia" w:ascii="仿宋" w:hAnsi="仿宋" w:eastAsia="仿宋" w:cs="仿宋"/>
          <w:color w:val="auto"/>
          <w:sz w:val="28"/>
          <w:szCs w:val="32"/>
          <w:highlight w:val="none"/>
        </w:rPr>
        <w:t>一、经济部分</w:t>
      </w:r>
      <w:r>
        <w:rPr>
          <w:rFonts w:hint="eastAsia" w:ascii="仿宋" w:hAnsi="仿宋" w:eastAsia="仿宋" w:cs="仿宋"/>
          <w:color w:val="auto"/>
          <w:sz w:val="28"/>
          <w:szCs w:val="20"/>
          <w:highlight w:val="none"/>
        </w:rPr>
        <w:tab/>
      </w:r>
      <w:r>
        <w:rPr>
          <w:rFonts w:hint="eastAsia" w:ascii="仿宋" w:hAnsi="仿宋" w:eastAsia="仿宋" w:cs="仿宋"/>
          <w:color w:val="auto"/>
          <w:sz w:val="28"/>
          <w:szCs w:val="20"/>
          <w:highlight w:val="none"/>
        </w:rPr>
        <w:fldChar w:fldCharType="begin"/>
      </w:r>
      <w:r>
        <w:rPr>
          <w:rFonts w:hint="eastAsia" w:ascii="仿宋" w:hAnsi="仿宋" w:eastAsia="仿宋" w:cs="仿宋"/>
          <w:color w:val="auto"/>
          <w:sz w:val="28"/>
          <w:szCs w:val="20"/>
          <w:highlight w:val="none"/>
        </w:rPr>
        <w:instrText xml:space="preserve"> PAGEREF _Toc31231 \h </w:instrText>
      </w:r>
      <w:r>
        <w:rPr>
          <w:rFonts w:hint="eastAsia" w:ascii="仿宋" w:hAnsi="仿宋" w:eastAsia="仿宋" w:cs="仿宋"/>
          <w:color w:val="auto"/>
          <w:sz w:val="28"/>
          <w:szCs w:val="20"/>
          <w:highlight w:val="none"/>
        </w:rPr>
        <w:fldChar w:fldCharType="separate"/>
      </w:r>
      <w:r>
        <w:rPr>
          <w:rFonts w:hint="eastAsia" w:ascii="仿宋" w:hAnsi="仿宋" w:eastAsia="仿宋" w:cs="仿宋"/>
          <w:color w:val="auto"/>
          <w:sz w:val="28"/>
          <w:szCs w:val="20"/>
          <w:highlight w:val="none"/>
        </w:rPr>
        <w:t>36</w:t>
      </w:r>
      <w:r>
        <w:rPr>
          <w:rFonts w:hint="eastAsia" w:ascii="仿宋" w:hAnsi="仿宋" w:eastAsia="仿宋" w:cs="仿宋"/>
          <w:color w:val="auto"/>
          <w:sz w:val="28"/>
          <w:szCs w:val="20"/>
          <w:highlight w:val="none"/>
        </w:rPr>
        <w:fldChar w:fldCharType="end"/>
      </w:r>
      <w:r>
        <w:rPr>
          <w:rFonts w:hint="eastAsia" w:ascii="仿宋" w:hAnsi="仿宋" w:eastAsia="仿宋" w:cs="仿宋"/>
          <w:color w:val="auto"/>
          <w:sz w:val="28"/>
          <w:szCs w:val="24"/>
          <w:highlight w:val="none"/>
        </w:rPr>
        <w:fldChar w:fldCharType="end"/>
      </w:r>
    </w:p>
    <w:p w14:paraId="257787FA">
      <w:pPr>
        <w:pStyle w:val="12"/>
        <w:tabs>
          <w:tab w:val="right" w:leader="dot" w:pos="9412"/>
        </w:tabs>
        <w:spacing w:line="360" w:lineRule="auto"/>
        <w:rPr>
          <w:rFonts w:hint="eastAsia" w:ascii="仿宋" w:hAnsi="仿宋" w:eastAsia="仿宋" w:cs="仿宋"/>
          <w:color w:val="auto"/>
          <w:sz w:val="28"/>
          <w:szCs w:val="20"/>
          <w:highlight w:val="none"/>
        </w:rPr>
      </w:pPr>
      <w:r>
        <w:rPr>
          <w:rFonts w:hint="eastAsia" w:ascii="仿宋" w:hAnsi="仿宋" w:eastAsia="仿宋" w:cs="仿宋"/>
          <w:color w:val="auto"/>
          <w:sz w:val="28"/>
          <w:szCs w:val="24"/>
          <w:highlight w:val="none"/>
        </w:rPr>
        <w:fldChar w:fldCharType="begin"/>
      </w:r>
      <w:r>
        <w:rPr>
          <w:rFonts w:hint="eastAsia" w:ascii="仿宋" w:hAnsi="仿宋" w:eastAsia="仿宋" w:cs="仿宋"/>
          <w:color w:val="auto"/>
          <w:sz w:val="28"/>
          <w:szCs w:val="24"/>
          <w:highlight w:val="none"/>
        </w:rPr>
        <w:instrText xml:space="preserve"> HYPERLINK \l _Toc12453 </w:instrText>
      </w:r>
      <w:r>
        <w:rPr>
          <w:rFonts w:hint="eastAsia" w:ascii="仿宋" w:hAnsi="仿宋" w:eastAsia="仿宋" w:cs="仿宋"/>
          <w:color w:val="auto"/>
          <w:sz w:val="28"/>
          <w:szCs w:val="24"/>
          <w:highlight w:val="none"/>
        </w:rPr>
        <w:fldChar w:fldCharType="separate"/>
      </w:r>
      <w:r>
        <w:rPr>
          <w:rFonts w:hint="eastAsia" w:ascii="仿宋" w:hAnsi="仿宋" w:eastAsia="仿宋" w:cs="仿宋"/>
          <w:color w:val="auto"/>
          <w:sz w:val="28"/>
          <w:szCs w:val="32"/>
          <w:highlight w:val="none"/>
        </w:rPr>
        <w:t>二、技术</w:t>
      </w:r>
      <w:r>
        <w:rPr>
          <w:rFonts w:hint="eastAsia" w:ascii="仿宋" w:hAnsi="仿宋" w:eastAsia="仿宋" w:cs="仿宋"/>
          <w:color w:val="auto"/>
          <w:sz w:val="28"/>
          <w:szCs w:val="32"/>
          <w:highlight w:val="none"/>
          <w:lang w:eastAsia="zh-CN"/>
        </w:rPr>
        <w:t>部分</w:t>
      </w:r>
      <w:r>
        <w:rPr>
          <w:rFonts w:hint="eastAsia" w:ascii="仿宋" w:hAnsi="仿宋" w:eastAsia="仿宋" w:cs="仿宋"/>
          <w:color w:val="auto"/>
          <w:sz w:val="28"/>
          <w:szCs w:val="20"/>
          <w:highlight w:val="none"/>
        </w:rPr>
        <w:tab/>
      </w:r>
      <w:r>
        <w:rPr>
          <w:rFonts w:hint="eastAsia" w:ascii="仿宋" w:hAnsi="仿宋" w:eastAsia="仿宋" w:cs="仿宋"/>
          <w:color w:val="auto"/>
          <w:sz w:val="28"/>
          <w:szCs w:val="20"/>
          <w:highlight w:val="none"/>
        </w:rPr>
        <w:fldChar w:fldCharType="begin"/>
      </w:r>
      <w:r>
        <w:rPr>
          <w:rFonts w:hint="eastAsia" w:ascii="仿宋" w:hAnsi="仿宋" w:eastAsia="仿宋" w:cs="仿宋"/>
          <w:color w:val="auto"/>
          <w:sz w:val="28"/>
          <w:szCs w:val="20"/>
          <w:highlight w:val="none"/>
        </w:rPr>
        <w:instrText xml:space="preserve"> PAGEREF _Toc12453 \h </w:instrText>
      </w:r>
      <w:r>
        <w:rPr>
          <w:rFonts w:hint="eastAsia" w:ascii="仿宋" w:hAnsi="仿宋" w:eastAsia="仿宋" w:cs="仿宋"/>
          <w:color w:val="auto"/>
          <w:sz w:val="28"/>
          <w:szCs w:val="20"/>
          <w:highlight w:val="none"/>
        </w:rPr>
        <w:fldChar w:fldCharType="separate"/>
      </w:r>
      <w:r>
        <w:rPr>
          <w:rFonts w:hint="eastAsia" w:ascii="仿宋" w:hAnsi="仿宋" w:eastAsia="仿宋" w:cs="仿宋"/>
          <w:color w:val="auto"/>
          <w:sz w:val="28"/>
          <w:szCs w:val="20"/>
          <w:highlight w:val="none"/>
        </w:rPr>
        <w:t>38</w:t>
      </w:r>
      <w:r>
        <w:rPr>
          <w:rFonts w:hint="eastAsia" w:ascii="仿宋" w:hAnsi="仿宋" w:eastAsia="仿宋" w:cs="仿宋"/>
          <w:color w:val="auto"/>
          <w:sz w:val="28"/>
          <w:szCs w:val="20"/>
          <w:highlight w:val="none"/>
        </w:rPr>
        <w:fldChar w:fldCharType="end"/>
      </w:r>
      <w:r>
        <w:rPr>
          <w:rFonts w:hint="eastAsia" w:ascii="仿宋" w:hAnsi="仿宋" w:eastAsia="仿宋" w:cs="仿宋"/>
          <w:color w:val="auto"/>
          <w:sz w:val="28"/>
          <w:szCs w:val="24"/>
          <w:highlight w:val="none"/>
        </w:rPr>
        <w:fldChar w:fldCharType="end"/>
      </w:r>
    </w:p>
    <w:p w14:paraId="0B6D1235">
      <w:pPr>
        <w:pStyle w:val="12"/>
        <w:tabs>
          <w:tab w:val="right" w:leader="dot" w:pos="9412"/>
        </w:tabs>
        <w:spacing w:line="360" w:lineRule="auto"/>
        <w:rPr>
          <w:rFonts w:hint="eastAsia" w:ascii="仿宋" w:hAnsi="仿宋" w:eastAsia="仿宋" w:cs="仿宋"/>
          <w:color w:val="auto"/>
          <w:sz w:val="28"/>
          <w:szCs w:val="20"/>
          <w:highlight w:val="none"/>
        </w:rPr>
      </w:pPr>
      <w:r>
        <w:rPr>
          <w:rFonts w:hint="eastAsia" w:ascii="仿宋" w:hAnsi="仿宋" w:eastAsia="仿宋" w:cs="仿宋"/>
          <w:color w:val="auto"/>
          <w:sz w:val="28"/>
          <w:szCs w:val="24"/>
          <w:highlight w:val="none"/>
        </w:rPr>
        <w:fldChar w:fldCharType="begin"/>
      </w:r>
      <w:r>
        <w:rPr>
          <w:rFonts w:hint="eastAsia" w:ascii="仿宋" w:hAnsi="仿宋" w:eastAsia="仿宋" w:cs="仿宋"/>
          <w:color w:val="auto"/>
          <w:sz w:val="28"/>
          <w:szCs w:val="24"/>
          <w:highlight w:val="none"/>
        </w:rPr>
        <w:instrText xml:space="preserve"> HYPERLINK \l _Toc5199 </w:instrText>
      </w:r>
      <w:r>
        <w:rPr>
          <w:rFonts w:hint="eastAsia" w:ascii="仿宋" w:hAnsi="仿宋" w:eastAsia="仿宋" w:cs="仿宋"/>
          <w:color w:val="auto"/>
          <w:sz w:val="28"/>
          <w:szCs w:val="24"/>
          <w:highlight w:val="none"/>
        </w:rPr>
        <w:fldChar w:fldCharType="separate"/>
      </w:r>
      <w:r>
        <w:rPr>
          <w:rFonts w:hint="eastAsia" w:ascii="仿宋" w:hAnsi="仿宋" w:eastAsia="仿宋" w:cs="仿宋"/>
          <w:color w:val="auto"/>
          <w:sz w:val="28"/>
          <w:szCs w:val="32"/>
          <w:highlight w:val="none"/>
        </w:rPr>
        <w:t>三、商务部分</w:t>
      </w:r>
      <w:r>
        <w:rPr>
          <w:rFonts w:hint="eastAsia" w:ascii="仿宋" w:hAnsi="仿宋" w:eastAsia="仿宋" w:cs="仿宋"/>
          <w:color w:val="auto"/>
          <w:sz w:val="28"/>
          <w:szCs w:val="20"/>
          <w:highlight w:val="none"/>
        </w:rPr>
        <w:tab/>
      </w:r>
      <w:r>
        <w:rPr>
          <w:rFonts w:hint="eastAsia" w:ascii="仿宋" w:hAnsi="仿宋" w:eastAsia="仿宋" w:cs="仿宋"/>
          <w:color w:val="auto"/>
          <w:sz w:val="28"/>
          <w:szCs w:val="20"/>
          <w:highlight w:val="none"/>
        </w:rPr>
        <w:fldChar w:fldCharType="begin"/>
      </w:r>
      <w:r>
        <w:rPr>
          <w:rFonts w:hint="eastAsia" w:ascii="仿宋" w:hAnsi="仿宋" w:eastAsia="仿宋" w:cs="仿宋"/>
          <w:color w:val="auto"/>
          <w:sz w:val="28"/>
          <w:szCs w:val="20"/>
          <w:highlight w:val="none"/>
        </w:rPr>
        <w:instrText xml:space="preserve"> PAGEREF _Toc5199 \h </w:instrText>
      </w:r>
      <w:r>
        <w:rPr>
          <w:rFonts w:hint="eastAsia" w:ascii="仿宋" w:hAnsi="仿宋" w:eastAsia="仿宋" w:cs="仿宋"/>
          <w:color w:val="auto"/>
          <w:sz w:val="28"/>
          <w:szCs w:val="20"/>
          <w:highlight w:val="none"/>
        </w:rPr>
        <w:fldChar w:fldCharType="separate"/>
      </w:r>
      <w:r>
        <w:rPr>
          <w:rFonts w:hint="eastAsia" w:ascii="仿宋" w:hAnsi="仿宋" w:eastAsia="仿宋" w:cs="仿宋"/>
          <w:color w:val="auto"/>
          <w:sz w:val="28"/>
          <w:szCs w:val="20"/>
          <w:highlight w:val="none"/>
        </w:rPr>
        <w:t>39</w:t>
      </w:r>
      <w:r>
        <w:rPr>
          <w:rFonts w:hint="eastAsia" w:ascii="仿宋" w:hAnsi="仿宋" w:eastAsia="仿宋" w:cs="仿宋"/>
          <w:color w:val="auto"/>
          <w:sz w:val="28"/>
          <w:szCs w:val="20"/>
          <w:highlight w:val="none"/>
        </w:rPr>
        <w:fldChar w:fldCharType="end"/>
      </w:r>
      <w:r>
        <w:rPr>
          <w:rFonts w:hint="eastAsia" w:ascii="仿宋" w:hAnsi="仿宋" w:eastAsia="仿宋" w:cs="仿宋"/>
          <w:color w:val="auto"/>
          <w:sz w:val="28"/>
          <w:szCs w:val="24"/>
          <w:highlight w:val="none"/>
        </w:rPr>
        <w:fldChar w:fldCharType="end"/>
      </w:r>
    </w:p>
    <w:p w14:paraId="72F3EB4B">
      <w:pPr>
        <w:pStyle w:val="12"/>
        <w:tabs>
          <w:tab w:val="right" w:leader="dot" w:pos="9412"/>
        </w:tabs>
        <w:spacing w:line="360" w:lineRule="auto"/>
        <w:rPr>
          <w:rFonts w:hint="eastAsia" w:ascii="仿宋" w:hAnsi="仿宋" w:eastAsia="仿宋" w:cs="仿宋"/>
          <w:color w:val="auto"/>
          <w:sz w:val="28"/>
          <w:szCs w:val="20"/>
          <w:highlight w:val="none"/>
        </w:rPr>
      </w:pPr>
      <w:r>
        <w:rPr>
          <w:rFonts w:hint="eastAsia" w:ascii="仿宋" w:hAnsi="仿宋" w:eastAsia="仿宋" w:cs="仿宋"/>
          <w:color w:val="auto"/>
          <w:sz w:val="28"/>
          <w:szCs w:val="24"/>
          <w:highlight w:val="none"/>
        </w:rPr>
        <w:fldChar w:fldCharType="begin"/>
      </w:r>
      <w:r>
        <w:rPr>
          <w:rFonts w:hint="eastAsia" w:ascii="仿宋" w:hAnsi="仿宋" w:eastAsia="仿宋" w:cs="仿宋"/>
          <w:color w:val="auto"/>
          <w:sz w:val="28"/>
          <w:szCs w:val="24"/>
          <w:highlight w:val="none"/>
        </w:rPr>
        <w:instrText xml:space="preserve"> HYPERLINK \l _Toc12335 </w:instrText>
      </w:r>
      <w:r>
        <w:rPr>
          <w:rFonts w:hint="eastAsia" w:ascii="仿宋" w:hAnsi="仿宋" w:eastAsia="仿宋" w:cs="仿宋"/>
          <w:color w:val="auto"/>
          <w:sz w:val="28"/>
          <w:szCs w:val="24"/>
          <w:highlight w:val="none"/>
        </w:rPr>
        <w:fldChar w:fldCharType="separate"/>
      </w:r>
      <w:r>
        <w:rPr>
          <w:rFonts w:hint="eastAsia" w:ascii="仿宋" w:hAnsi="仿宋" w:eastAsia="仿宋" w:cs="仿宋"/>
          <w:color w:val="auto"/>
          <w:sz w:val="28"/>
          <w:szCs w:val="32"/>
          <w:highlight w:val="none"/>
        </w:rPr>
        <w:t>四、资格条件</w:t>
      </w:r>
      <w:r>
        <w:rPr>
          <w:rFonts w:hint="eastAsia" w:ascii="仿宋" w:hAnsi="仿宋" w:eastAsia="仿宋" w:cs="仿宋"/>
          <w:color w:val="auto"/>
          <w:sz w:val="28"/>
          <w:szCs w:val="20"/>
          <w:highlight w:val="none"/>
        </w:rPr>
        <w:tab/>
      </w:r>
      <w:r>
        <w:rPr>
          <w:rFonts w:hint="eastAsia" w:ascii="仿宋" w:hAnsi="仿宋" w:eastAsia="仿宋" w:cs="仿宋"/>
          <w:color w:val="auto"/>
          <w:sz w:val="28"/>
          <w:szCs w:val="20"/>
          <w:highlight w:val="none"/>
        </w:rPr>
        <w:fldChar w:fldCharType="begin"/>
      </w:r>
      <w:r>
        <w:rPr>
          <w:rFonts w:hint="eastAsia" w:ascii="仿宋" w:hAnsi="仿宋" w:eastAsia="仿宋" w:cs="仿宋"/>
          <w:color w:val="auto"/>
          <w:sz w:val="28"/>
          <w:szCs w:val="20"/>
          <w:highlight w:val="none"/>
        </w:rPr>
        <w:instrText xml:space="preserve"> PAGEREF _Toc12335 \h </w:instrText>
      </w:r>
      <w:r>
        <w:rPr>
          <w:rFonts w:hint="eastAsia" w:ascii="仿宋" w:hAnsi="仿宋" w:eastAsia="仿宋" w:cs="仿宋"/>
          <w:color w:val="auto"/>
          <w:sz w:val="28"/>
          <w:szCs w:val="20"/>
          <w:highlight w:val="none"/>
        </w:rPr>
        <w:fldChar w:fldCharType="separate"/>
      </w:r>
      <w:r>
        <w:rPr>
          <w:rFonts w:hint="eastAsia" w:ascii="仿宋" w:hAnsi="仿宋" w:eastAsia="仿宋" w:cs="仿宋"/>
          <w:color w:val="auto"/>
          <w:sz w:val="28"/>
          <w:szCs w:val="20"/>
          <w:highlight w:val="none"/>
        </w:rPr>
        <w:t>41</w:t>
      </w:r>
      <w:r>
        <w:rPr>
          <w:rFonts w:hint="eastAsia" w:ascii="仿宋" w:hAnsi="仿宋" w:eastAsia="仿宋" w:cs="仿宋"/>
          <w:color w:val="auto"/>
          <w:sz w:val="28"/>
          <w:szCs w:val="20"/>
          <w:highlight w:val="none"/>
        </w:rPr>
        <w:fldChar w:fldCharType="end"/>
      </w:r>
      <w:r>
        <w:rPr>
          <w:rFonts w:hint="eastAsia" w:ascii="仿宋" w:hAnsi="仿宋" w:eastAsia="仿宋" w:cs="仿宋"/>
          <w:color w:val="auto"/>
          <w:sz w:val="28"/>
          <w:szCs w:val="24"/>
          <w:highlight w:val="none"/>
        </w:rPr>
        <w:fldChar w:fldCharType="end"/>
      </w:r>
    </w:p>
    <w:p w14:paraId="0B5AB999">
      <w:pPr>
        <w:pStyle w:val="12"/>
        <w:tabs>
          <w:tab w:val="right" w:leader="dot" w:pos="9412"/>
        </w:tabs>
        <w:spacing w:line="360" w:lineRule="auto"/>
        <w:rPr>
          <w:rFonts w:hint="eastAsia" w:ascii="仿宋" w:hAnsi="仿宋" w:eastAsia="仿宋" w:cs="仿宋"/>
          <w:color w:val="auto"/>
          <w:highlight w:val="none"/>
        </w:rPr>
      </w:pPr>
      <w:r>
        <w:rPr>
          <w:rFonts w:hint="eastAsia" w:ascii="仿宋" w:hAnsi="仿宋" w:eastAsia="仿宋" w:cs="仿宋"/>
          <w:color w:val="auto"/>
          <w:sz w:val="28"/>
          <w:szCs w:val="24"/>
          <w:highlight w:val="none"/>
        </w:rPr>
        <w:fldChar w:fldCharType="begin"/>
      </w:r>
      <w:r>
        <w:rPr>
          <w:rFonts w:hint="eastAsia" w:ascii="仿宋" w:hAnsi="仿宋" w:eastAsia="仿宋" w:cs="仿宋"/>
          <w:color w:val="auto"/>
          <w:sz w:val="28"/>
          <w:szCs w:val="24"/>
          <w:highlight w:val="none"/>
        </w:rPr>
        <w:instrText xml:space="preserve"> HYPERLINK \l _Toc12008 </w:instrText>
      </w:r>
      <w:r>
        <w:rPr>
          <w:rFonts w:hint="eastAsia" w:ascii="仿宋" w:hAnsi="仿宋" w:eastAsia="仿宋" w:cs="仿宋"/>
          <w:color w:val="auto"/>
          <w:sz w:val="28"/>
          <w:szCs w:val="24"/>
          <w:highlight w:val="none"/>
        </w:rPr>
        <w:fldChar w:fldCharType="separate"/>
      </w:r>
      <w:r>
        <w:rPr>
          <w:rFonts w:hint="eastAsia" w:ascii="仿宋" w:hAnsi="仿宋" w:eastAsia="仿宋" w:cs="仿宋"/>
          <w:color w:val="auto"/>
          <w:sz w:val="28"/>
          <w:szCs w:val="28"/>
          <w:highlight w:val="none"/>
        </w:rPr>
        <w:t>五、其他应提供的资料</w:t>
      </w:r>
      <w:r>
        <w:rPr>
          <w:rFonts w:hint="eastAsia" w:ascii="仿宋" w:hAnsi="仿宋" w:eastAsia="仿宋" w:cs="仿宋"/>
          <w:color w:val="auto"/>
          <w:sz w:val="28"/>
          <w:szCs w:val="20"/>
          <w:highlight w:val="none"/>
        </w:rPr>
        <w:tab/>
      </w:r>
      <w:r>
        <w:rPr>
          <w:rFonts w:hint="eastAsia" w:ascii="仿宋" w:hAnsi="仿宋" w:eastAsia="仿宋" w:cs="仿宋"/>
          <w:color w:val="auto"/>
          <w:sz w:val="28"/>
          <w:szCs w:val="20"/>
          <w:highlight w:val="none"/>
        </w:rPr>
        <w:fldChar w:fldCharType="begin"/>
      </w:r>
      <w:r>
        <w:rPr>
          <w:rFonts w:hint="eastAsia" w:ascii="仿宋" w:hAnsi="仿宋" w:eastAsia="仿宋" w:cs="仿宋"/>
          <w:color w:val="auto"/>
          <w:sz w:val="28"/>
          <w:szCs w:val="20"/>
          <w:highlight w:val="none"/>
        </w:rPr>
        <w:instrText xml:space="preserve"> PAGEREF _Toc12008 \h </w:instrText>
      </w:r>
      <w:r>
        <w:rPr>
          <w:rFonts w:hint="eastAsia" w:ascii="仿宋" w:hAnsi="仿宋" w:eastAsia="仿宋" w:cs="仿宋"/>
          <w:color w:val="auto"/>
          <w:sz w:val="28"/>
          <w:szCs w:val="20"/>
          <w:highlight w:val="none"/>
        </w:rPr>
        <w:fldChar w:fldCharType="separate"/>
      </w:r>
      <w:r>
        <w:rPr>
          <w:rFonts w:hint="eastAsia" w:ascii="仿宋" w:hAnsi="仿宋" w:eastAsia="仿宋" w:cs="仿宋"/>
          <w:color w:val="auto"/>
          <w:sz w:val="28"/>
          <w:szCs w:val="20"/>
          <w:highlight w:val="none"/>
        </w:rPr>
        <w:t>47</w:t>
      </w:r>
      <w:r>
        <w:rPr>
          <w:rFonts w:hint="eastAsia" w:ascii="仿宋" w:hAnsi="仿宋" w:eastAsia="仿宋" w:cs="仿宋"/>
          <w:color w:val="auto"/>
          <w:sz w:val="28"/>
          <w:szCs w:val="20"/>
          <w:highlight w:val="none"/>
        </w:rPr>
        <w:fldChar w:fldCharType="end"/>
      </w:r>
      <w:r>
        <w:rPr>
          <w:rFonts w:hint="eastAsia" w:ascii="仿宋" w:hAnsi="仿宋" w:eastAsia="仿宋" w:cs="仿宋"/>
          <w:color w:val="auto"/>
          <w:sz w:val="28"/>
          <w:szCs w:val="24"/>
          <w:highlight w:val="none"/>
        </w:rPr>
        <w:fldChar w:fldCharType="end"/>
      </w:r>
    </w:p>
    <w:p w14:paraId="05A17C0E">
      <w:pPr>
        <w:pStyle w:val="21"/>
        <w:keepNext w:val="0"/>
        <w:keepLines w:val="0"/>
        <w:pageBreakBefore w:val="0"/>
        <w:widowControl w:val="0"/>
        <w:tabs>
          <w:tab w:val="right" w:leader="dot" w:pos="9402"/>
        </w:tabs>
        <w:kinsoku/>
        <w:wordWrap/>
        <w:overflowPunct/>
        <w:topLinePunct w:val="0"/>
        <w:autoSpaceDE/>
        <w:autoSpaceDN/>
        <w:bidi w:val="0"/>
        <w:adjustRightInd/>
        <w:snapToGrid/>
        <w:spacing w:line="360" w:lineRule="auto"/>
        <w:ind w:left="560"/>
        <w:textAlignment w:val="auto"/>
        <w:rPr>
          <w:rFonts w:hint="eastAsia" w:ascii="仿宋" w:hAnsi="仿宋" w:eastAsia="仿宋" w:cs="仿宋"/>
          <w:color w:val="auto"/>
          <w:sz w:val="21"/>
          <w:szCs w:val="28"/>
          <w:highlight w:val="none"/>
        </w:rPr>
        <w:sectPr>
          <w:footerReference r:id="rId9" w:type="default"/>
          <w:pgSz w:w="11907" w:h="16840"/>
          <w:pgMar w:top="1134" w:right="1191" w:bottom="1134" w:left="1304" w:header="851" w:footer="992" w:gutter="0"/>
          <w:pgNumType w:fmt="numberInDash" w:start="1"/>
          <w:cols w:space="720" w:num="1"/>
          <w:docGrid w:linePitch="380" w:charSpace="-5735"/>
        </w:sectPr>
      </w:pPr>
      <w:r>
        <w:rPr>
          <w:rFonts w:hint="eastAsia" w:ascii="仿宋" w:hAnsi="仿宋" w:eastAsia="仿宋" w:cs="仿宋"/>
          <w:color w:val="auto"/>
          <w:szCs w:val="24"/>
          <w:highlight w:val="none"/>
        </w:rPr>
        <w:fldChar w:fldCharType="end"/>
      </w:r>
    </w:p>
    <w:p w14:paraId="2446321B">
      <w:pPr>
        <w:pStyle w:val="3"/>
        <w:pageBreakBefore w:val="0"/>
        <w:widowControl w:val="0"/>
        <w:kinsoku/>
        <w:wordWrap/>
        <w:overflowPunct/>
        <w:topLinePunct w:val="0"/>
        <w:autoSpaceDE/>
        <w:autoSpaceDN/>
        <w:bidi w:val="0"/>
        <w:adjustRightInd/>
        <w:snapToGrid w:val="0"/>
        <w:spacing w:before="0" w:after="0" w:line="440" w:lineRule="exact"/>
        <w:jc w:val="center"/>
        <w:textAlignment w:val="auto"/>
        <w:rPr>
          <w:rFonts w:hint="eastAsia" w:ascii="仿宋" w:hAnsi="仿宋" w:eastAsia="仿宋" w:cs="仿宋"/>
          <w:color w:val="auto"/>
          <w:sz w:val="36"/>
          <w:szCs w:val="28"/>
          <w:highlight w:val="none"/>
          <w:lang w:val="en-US"/>
        </w:rPr>
      </w:pPr>
      <w:bookmarkStart w:id="0" w:name="_Toc32491"/>
      <w:bookmarkStart w:id="1" w:name="_Toc11641050"/>
      <w:bookmarkStart w:id="2" w:name="_Toc12789052"/>
      <w:r>
        <w:rPr>
          <w:rFonts w:hint="eastAsia" w:ascii="仿宋" w:hAnsi="仿宋" w:eastAsia="仿宋" w:cs="仿宋"/>
          <w:color w:val="auto"/>
          <w:sz w:val="36"/>
          <w:szCs w:val="28"/>
          <w:highlight w:val="none"/>
        </w:rPr>
        <w:t xml:space="preserve">第一篇  </w:t>
      </w:r>
      <w:bookmarkEnd w:id="0"/>
      <w:bookmarkEnd w:id="1"/>
      <w:bookmarkEnd w:id="2"/>
      <w:r>
        <w:rPr>
          <w:rFonts w:hint="eastAsia" w:ascii="仿宋" w:hAnsi="仿宋" w:eastAsia="仿宋" w:cs="仿宋"/>
          <w:color w:val="auto"/>
          <w:sz w:val="36"/>
          <w:szCs w:val="28"/>
          <w:highlight w:val="none"/>
          <w:lang w:val="en-US" w:eastAsia="zh-CN"/>
        </w:rPr>
        <w:t>招标公告</w:t>
      </w:r>
    </w:p>
    <w:p w14:paraId="1A137058">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bookmarkStart w:id="3" w:name="_Toc317775175"/>
      <w:bookmarkStart w:id="4" w:name="_Toc313893526"/>
      <w:r>
        <w:rPr>
          <w:rFonts w:hint="eastAsia" w:ascii="仿宋" w:hAnsi="仿宋" w:eastAsia="仿宋" w:cs="仿宋"/>
          <w:color w:val="auto"/>
          <w:sz w:val="24"/>
          <w:szCs w:val="24"/>
          <w:highlight w:val="none"/>
          <w:u w:val="single"/>
          <w:lang w:val="en-US" w:eastAsia="zh-CN"/>
        </w:rPr>
        <w:t>重庆普聚工程咨询有限公司</w:t>
      </w:r>
      <w:r>
        <w:rPr>
          <w:rFonts w:hint="eastAsia" w:ascii="仿宋" w:hAnsi="仿宋" w:eastAsia="仿宋" w:cs="仿宋"/>
          <w:color w:val="auto"/>
          <w:sz w:val="24"/>
          <w:szCs w:val="24"/>
          <w:highlight w:val="none"/>
        </w:rPr>
        <w:t>（以下简称：</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代理机构）接受</w:t>
      </w:r>
      <w:r>
        <w:rPr>
          <w:rFonts w:hint="eastAsia" w:ascii="仿宋" w:hAnsi="仿宋" w:eastAsia="仿宋" w:cs="仿宋"/>
          <w:color w:val="auto"/>
          <w:sz w:val="24"/>
          <w:szCs w:val="24"/>
          <w:highlight w:val="none"/>
          <w:u w:val="single"/>
          <w:lang w:val="en-US" w:eastAsia="zh-CN"/>
        </w:rPr>
        <w:t>重庆市南岸区江南新城南坪实验幼儿园</w:t>
      </w:r>
      <w:r>
        <w:rPr>
          <w:rFonts w:hint="eastAsia" w:ascii="仿宋" w:hAnsi="仿宋" w:eastAsia="仿宋" w:cs="仿宋"/>
          <w:color w:val="auto"/>
          <w:sz w:val="24"/>
          <w:szCs w:val="24"/>
          <w:highlight w:val="none"/>
        </w:rPr>
        <w:t>（以下简称：</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人）的委托，对</w:t>
      </w:r>
      <w:r>
        <w:rPr>
          <w:rFonts w:hint="eastAsia" w:ascii="仿宋" w:hAnsi="仿宋" w:eastAsia="仿宋" w:cs="仿宋"/>
          <w:color w:val="auto"/>
          <w:sz w:val="24"/>
          <w:szCs w:val="24"/>
          <w:highlight w:val="none"/>
          <w:u w:val="single"/>
          <w:lang w:val="en-US" w:eastAsia="zh-CN"/>
        </w:rPr>
        <w:t>重庆市南岸区江南新城南坪实验幼儿园户外场地改建工程（第二次）</w:t>
      </w:r>
      <w:r>
        <w:rPr>
          <w:rFonts w:hint="eastAsia" w:ascii="仿宋" w:hAnsi="仿宋" w:eastAsia="仿宋" w:cs="仿宋"/>
          <w:color w:val="auto"/>
          <w:sz w:val="24"/>
          <w:szCs w:val="24"/>
          <w:highlight w:val="none"/>
        </w:rPr>
        <w:t>进行</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，欢迎有资格的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前来参加</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w:t>
      </w:r>
    </w:p>
    <w:tbl>
      <w:tblPr>
        <w:tblStyle w:val="24"/>
        <w:tblpPr w:leftFromText="180" w:rightFromText="180" w:vertAnchor="text" w:horzAnchor="margin" w:tblpXSpec="center" w:tblpY="596"/>
        <w:tblOverlap w:val="never"/>
        <w:tblW w:w="8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2"/>
        <w:gridCol w:w="1833"/>
        <w:gridCol w:w="3648"/>
      </w:tblGrid>
      <w:tr w14:paraId="7D212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3312" w:type="dxa"/>
            <w:noWrap w:val="0"/>
            <w:vAlign w:val="center"/>
          </w:tcPr>
          <w:p w14:paraId="16547144">
            <w:pPr>
              <w:pageBreakBefore w:val="0"/>
              <w:widowControl w:val="0"/>
              <w:kinsoku/>
              <w:wordWrap/>
              <w:overflowPunct/>
              <w:topLinePunct w:val="0"/>
              <w:autoSpaceDE/>
              <w:autoSpaceDN/>
              <w:bidi w:val="0"/>
              <w:adjustRightInd/>
              <w:snapToGrid w:val="0"/>
              <w:spacing w:line="440" w:lineRule="exact"/>
              <w:jc w:val="center"/>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项目名称</w:t>
            </w:r>
          </w:p>
        </w:tc>
        <w:tc>
          <w:tcPr>
            <w:tcW w:w="1833" w:type="dxa"/>
            <w:noWrap w:val="0"/>
            <w:vAlign w:val="center"/>
          </w:tcPr>
          <w:p w14:paraId="2C806175">
            <w:pPr>
              <w:pageBreakBefore w:val="0"/>
              <w:widowControl w:val="0"/>
              <w:kinsoku/>
              <w:wordWrap/>
              <w:overflowPunct/>
              <w:topLinePunct w:val="0"/>
              <w:autoSpaceDE/>
              <w:autoSpaceDN/>
              <w:bidi w:val="0"/>
              <w:adjustRightInd/>
              <w:snapToGrid w:val="0"/>
              <w:spacing w:line="440" w:lineRule="exact"/>
              <w:jc w:val="center"/>
              <w:textAlignment w:val="auto"/>
              <w:outlineLvl w:val="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最高限价（元）</w:t>
            </w:r>
          </w:p>
        </w:tc>
        <w:tc>
          <w:tcPr>
            <w:tcW w:w="3648" w:type="dxa"/>
            <w:noWrap w:val="0"/>
            <w:vAlign w:val="center"/>
          </w:tcPr>
          <w:p w14:paraId="3240AA33">
            <w:pPr>
              <w:pageBreakBefore w:val="0"/>
              <w:widowControl w:val="0"/>
              <w:kinsoku/>
              <w:wordWrap/>
              <w:overflowPunct/>
              <w:topLinePunct w:val="0"/>
              <w:autoSpaceDE/>
              <w:autoSpaceDN/>
              <w:bidi w:val="0"/>
              <w:adjustRightInd/>
              <w:snapToGrid w:val="0"/>
              <w:spacing w:line="440" w:lineRule="exact"/>
              <w:jc w:val="center"/>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中标人数量</w:t>
            </w:r>
            <w:r>
              <w:rPr>
                <w:rFonts w:hint="eastAsia" w:ascii="仿宋" w:hAnsi="仿宋" w:eastAsia="仿宋" w:cs="仿宋"/>
                <w:b/>
                <w:color w:val="auto"/>
                <w:sz w:val="24"/>
                <w:szCs w:val="24"/>
                <w:highlight w:val="none"/>
              </w:rPr>
              <w:t>（名）</w:t>
            </w:r>
          </w:p>
        </w:tc>
      </w:tr>
      <w:tr w14:paraId="7C89D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3312" w:type="dxa"/>
            <w:noWrap w:val="0"/>
            <w:vAlign w:val="center"/>
          </w:tcPr>
          <w:p w14:paraId="3081CFF2">
            <w:pPr>
              <w:pageBreakBefore w:val="0"/>
              <w:widowControl w:val="0"/>
              <w:kinsoku/>
              <w:wordWrap/>
              <w:overflowPunct/>
              <w:topLinePunct w:val="0"/>
              <w:autoSpaceDE/>
              <w:autoSpaceDN/>
              <w:bidi w:val="0"/>
              <w:adjustRightInd/>
              <w:snapToGrid w:val="0"/>
              <w:spacing w:line="440" w:lineRule="exact"/>
              <w:jc w:val="center"/>
              <w:textAlignment w:val="auto"/>
              <w:outlineLvl w:val="0"/>
              <w:rPr>
                <w:rFonts w:hint="eastAsia" w:ascii="仿宋" w:hAnsi="仿宋" w:eastAsia="仿宋" w:cs="仿宋"/>
                <w:bCs/>
                <w:color w:val="auto"/>
                <w:sz w:val="24"/>
                <w:szCs w:val="24"/>
                <w:highlight w:val="none"/>
                <w:lang w:eastAsia="zh-CN"/>
              </w:rPr>
            </w:pPr>
            <w:r>
              <w:rPr>
                <w:rFonts w:hint="eastAsia" w:ascii="仿宋" w:hAnsi="仿宋" w:eastAsia="仿宋" w:cs="仿宋"/>
                <w:color w:val="auto"/>
                <w:sz w:val="24"/>
                <w:szCs w:val="24"/>
                <w:highlight w:val="none"/>
                <w:u w:val="none"/>
                <w:lang w:val="en-US" w:eastAsia="zh-CN"/>
              </w:rPr>
              <w:t>重庆市南岸区江南新城南坪实验幼儿园户外场地改建工程（第二次）</w:t>
            </w:r>
          </w:p>
        </w:tc>
        <w:tc>
          <w:tcPr>
            <w:tcW w:w="1833" w:type="dxa"/>
            <w:noWrap w:val="0"/>
            <w:vAlign w:val="center"/>
          </w:tcPr>
          <w:p w14:paraId="2D016D82">
            <w:pPr>
              <w:pageBreakBefore w:val="0"/>
              <w:widowControl w:val="0"/>
              <w:kinsoku/>
              <w:wordWrap/>
              <w:overflowPunct/>
              <w:topLinePunct w:val="0"/>
              <w:autoSpaceDE/>
              <w:autoSpaceDN/>
              <w:bidi w:val="0"/>
              <w:adjustRightInd/>
              <w:snapToGrid w:val="0"/>
              <w:spacing w:line="440" w:lineRule="exact"/>
              <w:jc w:val="center"/>
              <w:textAlignment w:val="auto"/>
              <w:outlineLvl w:val="0"/>
              <w:rPr>
                <w:rFonts w:hint="default" w:ascii="仿宋" w:hAnsi="仿宋" w:eastAsia="仿宋" w:cs="仿宋"/>
                <w:color w:val="auto"/>
                <w:sz w:val="24"/>
                <w:szCs w:val="24"/>
                <w:highlight w:val="none"/>
                <w:u w:val="none"/>
                <w:lang w:val="en-US" w:eastAsia="zh-CN"/>
              </w:rPr>
            </w:pPr>
            <w:r>
              <w:rPr>
                <w:rFonts w:hint="default" w:ascii="仿宋" w:hAnsi="仿宋" w:eastAsia="仿宋" w:cs="仿宋"/>
                <w:color w:val="auto"/>
                <w:sz w:val="24"/>
                <w:szCs w:val="24"/>
                <w:highlight w:val="none"/>
                <w:u w:val="none"/>
                <w:lang w:val="en-US" w:eastAsia="zh-CN"/>
              </w:rPr>
              <w:t>290873.15</w:t>
            </w:r>
          </w:p>
        </w:tc>
        <w:tc>
          <w:tcPr>
            <w:tcW w:w="3648" w:type="dxa"/>
            <w:noWrap w:val="0"/>
            <w:vAlign w:val="center"/>
          </w:tcPr>
          <w:p w14:paraId="771AA18B">
            <w:pPr>
              <w:pageBreakBefore w:val="0"/>
              <w:widowControl w:val="0"/>
              <w:kinsoku/>
              <w:wordWrap/>
              <w:overflowPunct/>
              <w:topLinePunct w:val="0"/>
              <w:autoSpaceDE/>
              <w:autoSpaceDN/>
              <w:bidi w:val="0"/>
              <w:adjustRightInd/>
              <w:snapToGrid w:val="0"/>
              <w:spacing w:line="440" w:lineRule="exact"/>
              <w:jc w:val="center"/>
              <w:textAlignment w:val="auto"/>
              <w:outlineLvl w:val="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w:t>
            </w:r>
          </w:p>
        </w:tc>
      </w:tr>
    </w:tbl>
    <w:p w14:paraId="1B32115F">
      <w:pPr>
        <w:pStyle w:val="4"/>
        <w:pageBreakBefore w:val="0"/>
        <w:widowControl w:val="0"/>
        <w:kinsoku/>
        <w:wordWrap/>
        <w:overflowPunct/>
        <w:topLinePunct w:val="0"/>
        <w:autoSpaceDE/>
        <w:autoSpaceDN/>
        <w:bidi w:val="0"/>
        <w:adjustRightInd/>
        <w:snapToGrid w:val="0"/>
        <w:spacing w:before="0" w:after="0" w:line="440" w:lineRule="exact"/>
        <w:textAlignment w:val="auto"/>
        <w:rPr>
          <w:rFonts w:hint="eastAsia" w:ascii="仿宋" w:hAnsi="仿宋" w:eastAsia="仿宋" w:cs="仿宋"/>
          <w:color w:val="auto"/>
          <w:sz w:val="24"/>
          <w:szCs w:val="24"/>
          <w:highlight w:val="none"/>
        </w:rPr>
      </w:pPr>
      <w:bookmarkStart w:id="5" w:name="_Toc13873"/>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内容</w:t>
      </w:r>
      <w:bookmarkEnd w:id="3"/>
      <w:bookmarkEnd w:id="4"/>
      <w:bookmarkEnd w:id="5"/>
      <w:bookmarkStart w:id="6" w:name="_Toc403569770"/>
      <w:bookmarkStart w:id="7" w:name="_Toc19074"/>
      <w:bookmarkStart w:id="8" w:name="_Toc373860293"/>
      <w:bookmarkStart w:id="9" w:name="_Toc317775178"/>
    </w:p>
    <w:p w14:paraId="65011FCC">
      <w:pPr>
        <w:pStyle w:val="4"/>
        <w:pageBreakBefore w:val="0"/>
        <w:widowControl w:val="0"/>
        <w:kinsoku/>
        <w:wordWrap/>
        <w:overflowPunct/>
        <w:topLinePunct w:val="0"/>
        <w:autoSpaceDE/>
        <w:autoSpaceDN/>
        <w:bidi w:val="0"/>
        <w:adjustRightInd/>
        <w:snapToGrid w:val="0"/>
        <w:spacing w:before="0" w:after="0"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bookmarkEnd w:id="6"/>
      <w:r>
        <w:rPr>
          <w:rFonts w:hint="eastAsia" w:ascii="仿宋" w:hAnsi="仿宋" w:eastAsia="仿宋" w:cs="仿宋"/>
          <w:color w:val="auto"/>
          <w:sz w:val="24"/>
          <w:szCs w:val="24"/>
          <w:highlight w:val="none"/>
        </w:rPr>
        <w:t>资金来源及落实情况</w:t>
      </w:r>
      <w:bookmarkEnd w:id="7"/>
    </w:p>
    <w:p w14:paraId="4FF1FC7A">
      <w:pPr>
        <w:pageBreakBefore w:val="0"/>
        <w:widowControl w:val="0"/>
        <w:tabs>
          <w:tab w:val="left" w:pos="3480"/>
        </w:tabs>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业主自筹，</w:t>
      </w:r>
      <w:r>
        <w:rPr>
          <w:rFonts w:hint="eastAsia" w:ascii="仿宋" w:hAnsi="仿宋" w:eastAsia="仿宋" w:cs="仿宋"/>
          <w:color w:val="auto"/>
          <w:sz w:val="24"/>
          <w:szCs w:val="24"/>
          <w:highlight w:val="none"/>
        </w:rPr>
        <w:t>采购预算金额为</w:t>
      </w:r>
      <w:r>
        <w:rPr>
          <w:rFonts w:hint="default" w:ascii="仿宋" w:hAnsi="仿宋" w:eastAsia="仿宋" w:cs="仿宋"/>
          <w:color w:val="auto"/>
          <w:sz w:val="24"/>
          <w:szCs w:val="24"/>
          <w:highlight w:val="none"/>
          <w:u w:val="none"/>
          <w:lang w:val="en-US" w:eastAsia="zh-CN"/>
        </w:rPr>
        <w:t>290873.15</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lang w:val="en-US" w:eastAsia="zh-CN"/>
        </w:rPr>
        <w:t>。</w:t>
      </w:r>
    </w:p>
    <w:p w14:paraId="16AFBF12">
      <w:pPr>
        <w:pStyle w:val="4"/>
        <w:pageBreakBefore w:val="0"/>
        <w:widowControl w:val="0"/>
        <w:kinsoku/>
        <w:wordWrap/>
        <w:overflowPunct/>
        <w:topLinePunct w:val="0"/>
        <w:autoSpaceDE/>
        <w:autoSpaceDN/>
        <w:bidi w:val="0"/>
        <w:adjustRightInd/>
        <w:snapToGrid w:val="0"/>
        <w:spacing w:before="0" w:after="0" w:line="440" w:lineRule="exact"/>
        <w:textAlignment w:val="auto"/>
        <w:rPr>
          <w:rFonts w:hint="eastAsia" w:ascii="仿宋" w:hAnsi="仿宋" w:eastAsia="仿宋" w:cs="仿宋"/>
          <w:color w:val="auto"/>
          <w:sz w:val="24"/>
          <w:szCs w:val="24"/>
          <w:highlight w:val="none"/>
        </w:rPr>
      </w:pPr>
      <w:bookmarkStart w:id="10" w:name="_Toc403569771"/>
      <w:bookmarkStart w:id="11" w:name="_Toc11732"/>
      <w:r>
        <w:rPr>
          <w:rFonts w:hint="eastAsia" w:ascii="仿宋" w:hAnsi="仿宋" w:eastAsia="仿宋" w:cs="仿宋"/>
          <w:color w:val="auto"/>
          <w:sz w:val="24"/>
          <w:szCs w:val="24"/>
          <w:highlight w:val="none"/>
        </w:rPr>
        <w:t>三、</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资格</w:t>
      </w:r>
      <w:bookmarkEnd w:id="10"/>
      <w:r>
        <w:rPr>
          <w:rFonts w:hint="eastAsia" w:ascii="仿宋" w:hAnsi="仿宋" w:eastAsia="仿宋" w:cs="仿宋"/>
          <w:color w:val="auto"/>
          <w:sz w:val="24"/>
          <w:szCs w:val="24"/>
          <w:highlight w:val="none"/>
        </w:rPr>
        <w:t>条件</w:t>
      </w:r>
      <w:bookmarkEnd w:id="11"/>
    </w:p>
    <w:bookmarkEnd w:id="8"/>
    <w:p w14:paraId="33179BDD">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基本资格条件：</w:t>
      </w:r>
    </w:p>
    <w:p w14:paraId="40B6EF27">
      <w:pPr>
        <w:pageBreakBefore w:val="0"/>
        <w:widowControl w:val="0"/>
        <w:kinsoku/>
        <w:wordWrap/>
        <w:overflowPunct/>
        <w:topLinePunct w:val="0"/>
        <w:autoSpaceDE/>
        <w:autoSpaceDN/>
        <w:bidi w:val="0"/>
        <w:adjustRightInd/>
        <w:snapToGrid w:val="0"/>
        <w:spacing w:line="440" w:lineRule="exact"/>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p w14:paraId="64A83640">
      <w:pPr>
        <w:pageBreakBefore w:val="0"/>
        <w:widowControl w:val="0"/>
        <w:kinsoku/>
        <w:wordWrap/>
        <w:overflowPunct/>
        <w:topLinePunct w:val="0"/>
        <w:autoSpaceDE/>
        <w:autoSpaceDN/>
        <w:bidi w:val="0"/>
        <w:adjustRightInd/>
        <w:snapToGrid w:val="0"/>
        <w:spacing w:line="440" w:lineRule="exact"/>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2、具有良好的商业信誉和健全的财务会计制度；</w:t>
      </w:r>
    </w:p>
    <w:p w14:paraId="3A044EAB">
      <w:pPr>
        <w:pageBreakBefore w:val="0"/>
        <w:widowControl w:val="0"/>
        <w:kinsoku/>
        <w:wordWrap/>
        <w:overflowPunct/>
        <w:topLinePunct w:val="0"/>
        <w:autoSpaceDE/>
        <w:autoSpaceDN/>
        <w:bidi w:val="0"/>
        <w:adjustRightInd/>
        <w:snapToGrid w:val="0"/>
        <w:spacing w:line="440" w:lineRule="exact"/>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3、具有履行合同所必需的设备和专业技术能力；</w:t>
      </w:r>
    </w:p>
    <w:p w14:paraId="35B5A7A0">
      <w:pPr>
        <w:pageBreakBefore w:val="0"/>
        <w:widowControl w:val="0"/>
        <w:kinsoku/>
        <w:wordWrap/>
        <w:overflowPunct/>
        <w:topLinePunct w:val="0"/>
        <w:autoSpaceDE/>
        <w:autoSpaceDN/>
        <w:bidi w:val="0"/>
        <w:adjustRightInd/>
        <w:snapToGrid w:val="0"/>
        <w:spacing w:line="440" w:lineRule="exact"/>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4、有依法缴纳税收和社会保障资金的良好记录；</w:t>
      </w:r>
    </w:p>
    <w:p w14:paraId="3A7DF4F8">
      <w:pPr>
        <w:pageBreakBefore w:val="0"/>
        <w:widowControl w:val="0"/>
        <w:kinsoku/>
        <w:wordWrap/>
        <w:overflowPunct/>
        <w:topLinePunct w:val="0"/>
        <w:autoSpaceDE/>
        <w:autoSpaceDN/>
        <w:bidi w:val="0"/>
        <w:adjustRightInd/>
        <w:snapToGrid w:val="0"/>
        <w:spacing w:line="440" w:lineRule="exact"/>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5、参加政府采购活动前三年内，在经营活动</w:t>
      </w:r>
      <w:bookmarkStart w:id="190" w:name="_GoBack"/>
      <w:bookmarkEnd w:id="190"/>
      <w:r>
        <w:rPr>
          <w:rFonts w:hint="eastAsia" w:ascii="仿宋" w:hAnsi="仿宋" w:eastAsia="仿宋" w:cs="仿宋"/>
          <w:color w:val="auto"/>
          <w:sz w:val="24"/>
          <w:szCs w:val="24"/>
          <w:highlight w:val="none"/>
        </w:rPr>
        <w:t>中没有重大违法记录。</w:t>
      </w:r>
    </w:p>
    <w:p w14:paraId="30C7DDF6">
      <w:pPr>
        <w:pageBreakBefore w:val="0"/>
        <w:widowControl w:val="0"/>
        <w:kinsoku/>
        <w:wordWrap/>
        <w:overflowPunct/>
        <w:topLinePunct w:val="0"/>
        <w:autoSpaceDE/>
        <w:autoSpaceDN/>
        <w:bidi w:val="0"/>
        <w:adjustRightInd/>
        <w:snapToGrid w:val="0"/>
        <w:spacing w:line="440" w:lineRule="exact"/>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6、法律、行政法规规定的其他条件。</w:t>
      </w:r>
    </w:p>
    <w:p w14:paraId="051089D4">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二</w:t>
      </w:r>
      <w:r>
        <w:rPr>
          <w:rFonts w:hint="eastAsia" w:ascii="仿宋" w:hAnsi="仿宋" w:eastAsia="仿宋" w:cs="仿宋"/>
          <w:color w:val="auto"/>
          <w:sz w:val="24"/>
          <w:szCs w:val="24"/>
          <w:highlight w:val="none"/>
        </w:rPr>
        <w:t>）本项目的特定资格要求：</w:t>
      </w:r>
    </w:p>
    <w:p w14:paraId="2ED8995B">
      <w:pPr>
        <w:pageBreakBefore w:val="0"/>
        <w:widowControl w:val="0"/>
        <w:kinsoku/>
        <w:wordWrap/>
        <w:overflowPunct/>
        <w:topLinePunct w:val="0"/>
        <w:autoSpaceDE/>
        <w:autoSpaceDN/>
        <w:bidi w:val="0"/>
        <w:adjustRightInd/>
        <w:snapToGrid w:val="0"/>
        <w:spacing w:line="440" w:lineRule="exact"/>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须具备建设行政主管部门颁发的有效的</w:t>
      </w:r>
      <w:r>
        <w:rPr>
          <w:rFonts w:hint="eastAsia" w:ascii="仿宋" w:hAnsi="仿宋" w:eastAsia="仿宋" w:cs="仿宋"/>
          <w:b/>
          <w:bCs/>
          <w:color w:val="auto"/>
          <w:sz w:val="24"/>
          <w:szCs w:val="24"/>
          <w:highlight w:val="none"/>
          <w:lang w:val="en-US" w:eastAsia="zh-CN"/>
        </w:rPr>
        <w:t>建筑工程施工总承包三级及以上或建筑装修装饰工程专业承包二级及以上资质</w:t>
      </w:r>
      <w:r>
        <w:rPr>
          <w:rFonts w:hint="eastAsia" w:ascii="仿宋" w:hAnsi="仿宋" w:eastAsia="仿宋" w:cs="仿宋"/>
          <w:color w:val="auto"/>
          <w:sz w:val="24"/>
          <w:szCs w:val="24"/>
          <w:highlight w:val="none"/>
        </w:rPr>
        <w:t>（须提供有效的资质证书</w:t>
      </w:r>
      <w:r>
        <w:rPr>
          <w:rFonts w:hint="eastAsia" w:ascii="仿宋" w:hAnsi="仿宋" w:eastAsia="仿宋" w:cs="仿宋"/>
          <w:color w:val="auto"/>
          <w:sz w:val="24"/>
          <w:szCs w:val="24"/>
          <w:highlight w:val="none"/>
          <w:lang w:eastAsia="zh-CN"/>
        </w:rPr>
        <w:t>扫描件（</w:t>
      </w:r>
      <w:r>
        <w:rPr>
          <w:rFonts w:hint="eastAsia" w:ascii="仿宋" w:hAnsi="仿宋" w:eastAsia="仿宋" w:cs="仿宋"/>
          <w:color w:val="auto"/>
          <w:sz w:val="24"/>
          <w:szCs w:val="24"/>
          <w:highlight w:val="none"/>
          <w:lang w:val="en-US" w:eastAsia="zh-CN"/>
        </w:rPr>
        <w:t>或复印件扫描件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并加盖</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w:t>
      </w:r>
    </w:p>
    <w:p w14:paraId="5062C853">
      <w:pPr>
        <w:pageBreakBefore w:val="0"/>
        <w:widowControl w:val="0"/>
        <w:kinsoku/>
        <w:wordWrap/>
        <w:overflowPunct/>
        <w:topLinePunct w:val="0"/>
        <w:autoSpaceDE/>
        <w:autoSpaceDN/>
        <w:bidi w:val="0"/>
        <w:adjustRightInd/>
        <w:snapToGrid w:val="0"/>
        <w:spacing w:line="440" w:lineRule="exact"/>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须具备建设行政主管部门颁发的有效的安全生产许可证（须提供有效的安全生产许可证</w:t>
      </w:r>
      <w:r>
        <w:rPr>
          <w:rFonts w:hint="eastAsia" w:ascii="仿宋" w:hAnsi="仿宋" w:eastAsia="仿宋" w:cs="仿宋"/>
          <w:color w:val="auto"/>
          <w:sz w:val="24"/>
          <w:szCs w:val="24"/>
          <w:highlight w:val="none"/>
          <w:lang w:eastAsia="zh-CN"/>
        </w:rPr>
        <w:t>扫描件（</w:t>
      </w:r>
      <w:r>
        <w:rPr>
          <w:rFonts w:hint="eastAsia" w:ascii="仿宋" w:hAnsi="仿宋" w:eastAsia="仿宋" w:cs="仿宋"/>
          <w:color w:val="auto"/>
          <w:sz w:val="24"/>
          <w:szCs w:val="24"/>
          <w:highlight w:val="none"/>
          <w:lang w:val="en-US" w:eastAsia="zh-CN"/>
        </w:rPr>
        <w:t>或复印件扫描件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并加盖</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w:t>
      </w:r>
    </w:p>
    <w:p w14:paraId="27E8342D">
      <w:pPr>
        <w:pStyle w:val="4"/>
        <w:pageBreakBefore w:val="0"/>
        <w:widowControl w:val="0"/>
        <w:kinsoku/>
        <w:wordWrap/>
        <w:overflowPunct/>
        <w:topLinePunct w:val="0"/>
        <w:autoSpaceDE/>
        <w:autoSpaceDN/>
        <w:bidi w:val="0"/>
        <w:adjustRightInd/>
        <w:snapToGrid w:val="0"/>
        <w:spacing w:before="0" w:after="0" w:line="440" w:lineRule="exact"/>
        <w:textAlignment w:val="auto"/>
        <w:rPr>
          <w:rFonts w:hint="eastAsia" w:ascii="仿宋" w:hAnsi="仿宋" w:eastAsia="仿宋" w:cs="仿宋"/>
          <w:color w:val="auto"/>
          <w:sz w:val="24"/>
          <w:szCs w:val="24"/>
          <w:highlight w:val="none"/>
        </w:rPr>
      </w:pPr>
      <w:bookmarkStart w:id="12" w:name="_Toc30463"/>
      <w:r>
        <w:rPr>
          <w:rFonts w:hint="eastAsia" w:ascii="仿宋" w:hAnsi="仿宋" w:eastAsia="仿宋" w:cs="仿宋"/>
          <w:color w:val="auto"/>
          <w:sz w:val="24"/>
          <w:szCs w:val="24"/>
          <w:highlight w:val="none"/>
        </w:rPr>
        <w:t>四、</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有关说明</w:t>
      </w:r>
      <w:bookmarkEnd w:id="12"/>
    </w:p>
    <w:p w14:paraId="64A551DA">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需通过重庆市</w:t>
      </w:r>
      <w:r>
        <w:rPr>
          <w:rFonts w:hint="eastAsia" w:ascii="仿宋" w:hAnsi="仿宋" w:eastAsia="仿宋" w:cs="仿宋"/>
          <w:color w:val="auto"/>
          <w:sz w:val="24"/>
          <w:szCs w:val="24"/>
          <w:highlight w:val="none"/>
          <w:lang w:val="en-US" w:eastAsia="zh-CN"/>
        </w:rPr>
        <w:t>行采家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https://www.gec123.com/</w:t>
      </w:r>
      <w:r>
        <w:rPr>
          <w:rFonts w:hint="eastAsia" w:ascii="仿宋" w:hAnsi="仿宋" w:eastAsia="仿宋" w:cs="仿宋"/>
          <w:color w:val="auto"/>
          <w:sz w:val="24"/>
          <w:szCs w:val="24"/>
          <w:highlight w:val="none"/>
        </w:rPr>
        <w:t>）进行注册，登记加入“重庆市政府采购</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库”。</w:t>
      </w:r>
    </w:p>
    <w:p w14:paraId="3310378F">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（二）凡有意参加</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，请在“行采家”（https://www.gec123.com/）采购公告发布之日起至提交</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截止时间之前自行下载本项目</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文件以及补遗等</w:t>
      </w:r>
      <w:r>
        <w:rPr>
          <w:rFonts w:hint="eastAsia" w:ascii="仿宋" w:hAnsi="仿宋" w:eastAsia="仿宋" w:cs="仿宋"/>
          <w:color w:val="auto"/>
          <w:sz w:val="24"/>
          <w:szCs w:val="24"/>
          <w:highlight w:val="none"/>
          <w:lang w:eastAsia="zh-CN"/>
        </w:rPr>
        <w:t>开标</w:t>
      </w:r>
      <w:r>
        <w:rPr>
          <w:rFonts w:hint="eastAsia" w:ascii="仿宋" w:hAnsi="仿宋" w:eastAsia="仿宋" w:cs="仿宋"/>
          <w:color w:val="auto"/>
          <w:sz w:val="24"/>
          <w:szCs w:val="24"/>
          <w:highlight w:val="none"/>
        </w:rPr>
        <w:t>前公布的所有项目资料，无论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下载与否，均视为已知晓所有实质性要求内容。</w:t>
      </w:r>
    </w:p>
    <w:p w14:paraId="239B82D3">
      <w:pPr>
        <w:pStyle w:val="9"/>
        <w:keepNext w:val="0"/>
        <w:keepLines w:val="0"/>
        <w:pageBreakBefore w:val="0"/>
        <w:widowControl w:val="0"/>
        <w:kinsoku/>
        <w:wordWrap/>
        <w:overflowPunct/>
        <w:topLinePunct w:val="0"/>
        <w:autoSpaceDE/>
        <w:autoSpaceDN/>
        <w:bidi w:val="0"/>
        <w:adjustRightInd/>
        <w:snapToGrid/>
        <w:spacing w:after="120" w:line="440" w:lineRule="exact"/>
        <w:ind w:right="-470" w:rightChars="-168" w:firstLine="480" w:firstLineChars="200"/>
        <w:jc w:val="left"/>
        <w:textAlignment w:val="auto"/>
        <w:outlineLvl w:val="1"/>
        <w:rPr>
          <w:rFonts w:hint="eastAsia" w:ascii="仿宋" w:hAnsi="仿宋" w:eastAsia="仿宋" w:cs="仿宋"/>
          <w:strike w:val="0"/>
          <w:dstrike w:val="0"/>
          <w:color w:val="auto"/>
          <w:sz w:val="24"/>
          <w:szCs w:val="24"/>
          <w:highlight w:val="none"/>
          <w:lang w:val="en-US" w:eastAsia="zh-CN"/>
        </w:rPr>
      </w:pPr>
      <w:bookmarkStart w:id="13" w:name="_Toc26901"/>
      <w:bookmarkStart w:id="14" w:name="_Toc27572"/>
      <w:bookmarkStart w:id="15" w:name="_Toc13746"/>
      <w:bookmarkStart w:id="16" w:name="_Toc403569774"/>
      <w:r>
        <w:rPr>
          <w:rFonts w:hint="eastAsia" w:ascii="仿宋" w:hAnsi="仿宋" w:eastAsia="仿宋" w:cs="仿宋"/>
          <w:strike w:val="0"/>
          <w:dstrike w:val="0"/>
          <w:color w:val="auto"/>
          <w:sz w:val="24"/>
          <w:szCs w:val="24"/>
          <w:highlight w:val="none"/>
          <w:lang w:val="en-US" w:eastAsia="zh-CN"/>
        </w:rPr>
        <w:t>（三）报名及招标文件发售</w:t>
      </w:r>
      <w:bookmarkEnd w:id="13"/>
    </w:p>
    <w:p w14:paraId="07732218">
      <w:pPr>
        <w:pStyle w:val="9"/>
        <w:keepNext w:val="0"/>
        <w:keepLines w:val="0"/>
        <w:pageBreakBefore w:val="0"/>
        <w:widowControl w:val="0"/>
        <w:kinsoku/>
        <w:wordWrap/>
        <w:overflowPunct/>
        <w:topLinePunct w:val="0"/>
        <w:autoSpaceDE/>
        <w:autoSpaceDN/>
        <w:bidi w:val="0"/>
        <w:adjustRightInd/>
        <w:snapToGrid/>
        <w:spacing w:after="120" w:line="440" w:lineRule="exact"/>
        <w:ind w:right="-470" w:rightChars="-168" w:firstLine="480" w:firstLineChars="200"/>
        <w:jc w:val="left"/>
        <w:textAlignment w:val="auto"/>
        <w:outlineLvl w:val="1"/>
        <w:rPr>
          <w:rFonts w:hint="eastAsia" w:ascii="仿宋" w:hAnsi="仿宋" w:eastAsia="仿宋" w:cs="仿宋"/>
          <w:color w:val="auto"/>
          <w:sz w:val="24"/>
          <w:szCs w:val="24"/>
          <w:highlight w:val="none"/>
          <w:lang w:val="en-US" w:eastAsia="zh-CN"/>
        </w:rPr>
      </w:pPr>
      <w:bookmarkStart w:id="17" w:name="_Toc8290"/>
      <w:r>
        <w:rPr>
          <w:rFonts w:hint="eastAsia" w:ascii="仿宋" w:hAnsi="仿宋" w:eastAsia="仿宋" w:cs="仿宋"/>
          <w:color w:val="auto"/>
          <w:sz w:val="24"/>
          <w:szCs w:val="24"/>
          <w:highlight w:val="none"/>
          <w:lang w:val="en-US" w:eastAsia="zh-CN"/>
        </w:rPr>
        <w:t>招标文件每套售价300.00元，在报名内网上上传投标文件的的投标人，其投标文件才被接受。招标文件购买费用和投标文件一并递交。</w:t>
      </w:r>
      <w:bookmarkEnd w:id="17"/>
    </w:p>
    <w:bookmarkEnd w:id="14"/>
    <w:bookmarkEnd w:id="15"/>
    <w:p w14:paraId="4B18C717">
      <w:pPr>
        <w:pStyle w:val="9"/>
        <w:keepNext w:val="0"/>
        <w:keepLines w:val="0"/>
        <w:pageBreakBefore w:val="0"/>
        <w:widowControl w:val="0"/>
        <w:kinsoku/>
        <w:wordWrap/>
        <w:overflowPunct/>
        <w:topLinePunct w:val="0"/>
        <w:autoSpaceDE/>
        <w:autoSpaceDN/>
        <w:bidi w:val="0"/>
        <w:adjustRightInd/>
        <w:snapToGrid/>
        <w:spacing w:after="120" w:line="440" w:lineRule="exact"/>
        <w:ind w:right="-470" w:rightChars="-168" w:firstLine="480" w:firstLineChars="200"/>
        <w:jc w:val="left"/>
        <w:textAlignment w:val="auto"/>
        <w:outlineLvl w:val="1"/>
        <w:rPr>
          <w:rFonts w:hint="eastAsia" w:ascii="仿宋" w:hAnsi="仿宋" w:eastAsia="仿宋" w:cs="仿宋"/>
          <w:strike w:val="0"/>
          <w:dstrike w:val="0"/>
          <w:color w:val="auto"/>
          <w:sz w:val="24"/>
          <w:szCs w:val="24"/>
          <w:highlight w:val="none"/>
          <w:lang w:val="en-US" w:eastAsia="zh-CN"/>
        </w:rPr>
      </w:pPr>
      <w:bookmarkStart w:id="18" w:name="_Toc1606"/>
      <w:r>
        <w:rPr>
          <w:rFonts w:hint="eastAsia" w:ascii="仿宋" w:hAnsi="仿宋" w:eastAsia="仿宋" w:cs="仿宋"/>
          <w:strike w:val="0"/>
          <w:dstrike w:val="0"/>
          <w:color w:val="auto"/>
          <w:sz w:val="24"/>
          <w:szCs w:val="24"/>
          <w:highlight w:val="none"/>
          <w:lang w:val="en-US" w:eastAsia="zh-CN"/>
        </w:rPr>
        <w:t>（四）线上报价</w:t>
      </w:r>
    </w:p>
    <w:p w14:paraId="669C7AEE">
      <w:pPr>
        <w:pStyle w:val="9"/>
        <w:keepNext w:val="0"/>
        <w:keepLines w:val="0"/>
        <w:pageBreakBefore w:val="0"/>
        <w:widowControl w:val="0"/>
        <w:kinsoku/>
        <w:wordWrap/>
        <w:overflowPunct/>
        <w:topLinePunct w:val="0"/>
        <w:autoSpaceDE/>
        <w:autoSpaceDN/>
        <w:bidi w:val="0"/>
        <w:adjustRightInd/>
        <w:snapToGrid/>
        <w:spacing w:after="120" w:line="440" w:lineRule="exact"/>
        <w:ind w:right="-470" w:rightChars="-168" w:firstLine="480" w:firstLineChars="200"/>
        <w:jc w:val="left"/>
        <w:textAlignment w:val="auto"/>
        <w:outlineLvl w:val="1"/>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1.线上报价时间：按本项目网上公告规定的报价截止时间为准。</w:t>
      </w:r>
    </w:p>
    <w:p w14:paraId="6F6738A5">
      <w:pPr>
        <w:pStyle w:val="9"/>
        <w:keepNext w:val="0"/>
        <w:keepLines w:val="0"/>
        <w:pageBreakBefore w:val="0"/>
        <w:widowControl w:val="0"/>
        <w:kinsoku/>
        <w:wordWrap/>
        <w:overflowPunct/>
        <w:topLinePunct w:val="0"/>
        <w:autoSpaceDE/>
        <w:autoSpaceDN/>
        <w:bidi w:val="0"/>
        <w:adjustRightInd/>
        <w:snapToGrid/>
        <w:spacing w:after="120" w:line="440" w:lineRule="exact"/>
        <w:ind w:right="-470" w:rightChars="-168" w:firstLine="480" w:firstLineChars="200"/>
        <w:jc w:val="left"/>
        <w:textAlignment w:val="auto"/>
        <w:outlineLvl w:val="1"/>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2.线上报价要求：按本项目规定的时间在行采家（https://www.gec123.com/）进行网上报价，并在规定的时间内上传投标文件电子文档。未在规定时间内报价和上传投标文件电子文档的投标人不具备竞标资格。</w:t>
      </w:r>
    </w:p>
    <w:p w14:paraId="0736C400">
      <w:pPr>
        <w:pStyle w:val="9"/>
        <w:keepNext w:val="0"/>
        <w:keepLines w:val="0"/>
        <w:pageBreakBefore w:val="0"/>
        <w:widowControl w:val="0"/>
        <w:kinsoku/>
        <w:wordWrap/>
        <w:overflowPunct/>
        <w:topLinePunct w:val="0"/>
        <w:autoSpaceDE/>
        <w:autoSpaceDN/>
        <w:bidi w:val="0"/>
        <w:adjustRightInd/>
        <w:snapToGrid/>
        <w:spacing w:after="120" w:line="440" w:lineRule="exact"/>
        <w:ind w:right="-470" w:rightChars="-168" w:firstLine="480" w:firstLineChars="200"/>
        <w:jc w:val="left"/>
        <w:textAlignment w:val="auto"/>
        <w:outlineLvl w:val="1"/>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（五）线下纸质文件的递交</w:t>
      </w:r>
    </w:p>
    <w:p w14:paraId="1E5A05AF">
      <w:pPr>
        <w:pStyle w:val="9"/>
        <w:keepNext w:val="0"/>
        <w:keepLines w:val="0"/>
        <w:pageBreakBefore w:val="0"/>
        <w:widowControl w:val="0"/>
        <w:kinsoku/>
        <w:wordWrap/>
        <w:overflowPunct/>
        <w:topLinePunct w:val="0"/>
        <w:autoSpaceDE/>
        <w:autoSpaceDN/>
        <w:bidi w:val="0"/>
        <w:adjustRightInd/>
        <w:snapToGrid/>
        <w:spacing w:after="120" w:line="440" w:lineRule="exact"/>
        <w:ind w:right="-470" w:rightChars="-168" w:firstLine="480" w:firstLineChars="200"/>
        <w:jc w:val="left"/>
        <w:textAlignment w:val="auto"/>
        <w:outlineLvl w:val="1"/>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1.递交投标文件地点：</w:t>
      </w:r>
      <w:r>
        <w:rPr>
          <w:rFonts w:hint="eastAsia" w:ascii="仿宋" w:hAnsi="仿宋" w:eastAsia="仿宋" w:cs="仿宋"/>
          <w:color w:val="auto"/>
          <w:sz w:val="24"/>
          <w:szCs w:val="24"/>
          <w:highlight w:val="none"/>
          <w:lang w:val="en-US" w:eastAsia="zh-CN"/>
        </w:rPr>
        <w:t>重庆市南岸区江南新城南坪实验幼儿园会议室（具体会议室开标当天询问学校门卫老师）。</w:t>
      </w:r>
    </w:p>
    <w:p w14:paraId="639F1C03">
      <w:pPr>
        <w:pStyle w:val="9"/>
        <w:keepNext w:val="0"/>
        <w:keepLines w:val="0"/>
        <w:pageBreakBefore w:val="0"/>
        <w:widowControl w:val="0"/>
        <w:kinsoku/>
        <w:wordWrap/>
        <w:overflowPunct/>
        <w:topLinePunct w:val="0"/>
        <w:autoSpaceDE/>
        <w:autoSpaceDN/>
        <w:bidi w:val="0"/>
        <w:adjustRightInd/>
        <w:snapToGrid/>
        <w:spacing w:after="120" w:line="440" w:lineRule="exact"/>
        <w:ind w:right="-470" w:rightChars="-168" w:firstLine="480" w:firstLineChars="200"/>
        <w:jc w:val="left"/>
        <w:textAlignment w:val="auto"/>
        <w:outlineLvl w:val="1"/>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2.投标文件递交开始时间：2025年7月1日</w:t>
      </w:r>
      <w:r>
        <w:rPr>
          <w:rFonts w:hint="eastAsia" w:ascii="仿宋" w:hAnsi="仿宋" w:eastAsia="仿宋" w:cs="仿宋"/>
          <w:strike w:val="0"/>
          <w:dstrike w:val="0"/>
          <w:color w:val="auto"/>
          <w:sz w:val="24"/>
          <w:szCs w:val="24"/>
          <w:highlight w:val="none"/>
          <w:lang w:val="en-US" w:eastAsia="zh-CN"/>
        </w:rPr>
        <w:t>北京时间14:00；</w:t>
      </w:r>
    </w:p>
    <w:p w14:paraId="7A3CD2AC">
      <w:pPr>
        <w:pStyle w:val="9"/>
        <w:keepNext w:val="0"/>
        <w:keepLines w:val="0"/>
        <w:pageBreakBefore w:val="0"/>
        <w:widowControl w:val="0"/>
        <w:kinsoku/>
        <w:wordWrap/>
        <w:overflowPunct/>
        <w:topLinePunct w:val="0"/>
        <w:autoSpaceDE/>
        <w:autoSpaceDN/>
        <w:bidi w:val="0"/>
        <w:adjustRightInd/>
        <w:snapToGrid/>
        <w:spacing w:after="120" w:line="440" w:lineRule="exact"/>
        <w:ind w:right="-470" w:rightChars="-168" w:firstLine="480" w:firstLineChars="200"/>
        <w:jc w:val="left"/>
        <w:textAlignment w:val="auto"/>
        <w:outlineLvl w:val="1"/>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投标文件递交截止时间：2025年7月1日北</w:t>
      </w:r>
      <w:r>
        <w:rPr>
          <w:rFonts w:hint="eastAsia" w:ascii="仿宋" w:hAnsi="仿宋" w:eastAsia="仿宋" w:cs="仿宋"/>
          <w:strike w:val="0"/>
          <w:dstrike w:val="0"/>
          <w:color w:val="auto"/>
          <w:sz w:val="24"/>
          <w:szCs w:val="24"/>
          <w:highlight w:val="none"/>
          <w:lang w:val="en-US" w:eastAsia="zh-CN"/>
        </w:rPr>
        <w:t>京时间14:30。</w:t>
      </w:r>
    </w:p>
    <w:p w14:paraId="4F940872">
      <w:pPr>
        <w:pStyle w:val="9"/>
        <w:keepNext w:val="0"/>
        <w:keepLines w:val="0"/>
        <w:pageBreakBefore w:val="0"/>
        <w:widowControl w:val="0"/>
        <w:kinsoku/>
        <w:wordWrap/>
        <w:overflowPunct/>
        <w:topLinePunct w:val="0"/>
        <w:autoSpaceDE/>
        <w:autoSpaceDN/>
        <w:bidi w:val="0"/>
        <w:adjustRightInd/>
        <w:snapToGrid/>
        <w:spacing w:after="120" w:line="440" w:lineRule="exact"/>
        <w:ind w:right="-470" w:rightChars="-168" w:firstLine="480" w:firstLineChars="200"/>
        <w:jc w:val="left"/>
        <w:textAlignment w:val="auto"/>
        <w:outlineLvl w:val="1"/>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3.现场递交纸质投标文件一式三份，其中正本一份，副本两份，副本可为正本的复印件。上传的投标文件电子文档内容应与纸质文件正本一致。如纸质投标文件正本与副本不一致，以正本为准。</w:t>
      </w:r>
    </w:p>
    <w:p w14:paraId="577A87C3">
      <w:pPr>
        <w:pStyle w:val="9"/>
        <w:keepNext w:val="0"/>
        <w:keepLines w:val="0"/>
        <w:pageBreakBefore w:val="0"/>
        <w:widowControl w:val="0"/>
        <w:kinsoku/>
        <w:wordWrap/>
        <w:overflowPunct/>
        <w:topLinePunct w:val="0"/>
        <w:autoSpaceDE/>
        <w:autoSpaceDN/>
        <w:bidi w:val="0"/>
        <w:adjustRightInd/>
        <w:snapToGrid/>
        <w:spacing w:after="120" w:line="440" w:lineRule="exact"/>
        <w:ind w:right="-470" w:rightChars="-168" w:firstLine="480" w:firstLineChars="200"/>
        <w:jc w:val="left"/>
        <w:textAlignment w:val="auto"/>
        <w:outlineLvl w:val="1"/>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4.已参与线上报价的投标人应在规定的时间内现场递交纸质投标文件，否则按无效投标处理。</w:t>
      </w:r>
    </w:p>
    <w:p w14:paraId="68E47DC0">
      <w:pPr>
        <w:pStyle w:val="9"/>
        <w:keepNext w:val="0"/>
        <w:keepLines w:val="0"/>
        <w:pageBreakBefore w:val="0"/>
        <w:widowControl w:val="0"/>
        <w:kinsoku/>
        <w:wordWrap/>
        <w:overflowPunct/>
        <w:topLinePunct w:val="0"/>
        <w:autoSpaceDE/>
        <w:autoSpaceDN/>
        <w:bidi w:val="0"/>
        <w:adjustRightInd/>
        <w:snapToGrid/>
        <w:spacing w:after="120" w:line="440" w:lineRule="exact"/>
        <w:ind w:right="-470" w:rightChars="-168" w:firstLine="480" w:firstLineChars="200"/>
        <w:jc w:val="left"/>
        <w:textAlignment w:val="auto"/>
        <w:outlineLvl w:val="1"/>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（六）开标时间：2025年7月1日14:30</w:t>
      </w:r>
      <w:r>
        <w:rPr>
          <w:rFonts w:hint="eastAsia" w:ascii="仿宋" w:hAnsi="仿宋" w:eastAsia="仿宋" w:cs="仿宋"/>
          <w:strike w:val="0"/>
          <w:dstrike w:val="0"/>
          <w:color w:val="auto"/>
          <w:sz w:val="24"/>
          <w:szCs w:val="24"/>
          <w:highlight w:val="none"/>
          <w:lang w:val="en-US" w:eastAsia="zh-CN"/>
        </w:rPr>
        <w:t>。</w:t>
      </w:r>
    </w:p>
    <w:p w14:paraId="3A384ED8">
      <w:pPr>
        <w:pStyle w:val="9"/>
        <w:keepNext w:val="0"/>
        <w:keepLines w:val="0"/>
        <w:pageBreakBefore w:val="0"/>
        <w:widowControl w:val="0"/>
        <w:kinsoku/>
        <w:wordWrap/>
        <w:overflowPunct/>
        <w:topLinePunct w:val="0"/>
        <w:autoSpaceDE/>
        <w:autoSpaceDN/>
        <w:bidi w:val="0"/>
        <w:adjustRightInd/>
        <w:snapToGrid/>
        <w:spacing w:after="120" w:line="440" w:lineRule="exact"/>
        <w:ind w:right="-470" w:rightChars="-168" w:firstLine="480" w:firstLineChars="200"/>
        <w:jc w:val="left"/>
        <w:textAlignment w:val="auto"/>
        <w:outlineLvl w:val="1"/>
        <w:rPr>
          <w:rFonts w:hint="eastAsia" w:ascii="仿宋" w:hAnsi="仿宋" w:eastAsia="仿宋" w:cs="仿宋"/>
          <w:strike w:val="0"/>
          <w:dstrike w:val="0"/>
          <w:color w:val="auto"/>
          <w:sz w:val="24"/>
          <w:szCs w:val="24"/>
          <w:highlight w:val="none"/>
          <w:lang w:val="en-US" w:eastAsia="zh-CN"/>
        </w:rPr>
      </w:pPr>
      <w:r>
        <w:rPr>
          <w:rFonts w:hint="eastAsia" w:ascii="仿宋" w:hAnsi="仿宋" w:eastAsia="仿宋" w:cs="仿宋"/>
          <w:strike w:val="0"/>
          <w:dstrike w:val="0"/>
          <w:color w:val="auto"/>
          <w:sz w:val="24"/>
          <w:szCs w:val="24"/>
          <w:highlight w:val="none"/>
          <w:lang w:val="en-US" w:eastAsia="zh-CN"/>
        </w:rPr>
        <w:t>（七）逾期送达或者未送达指定地点的投标文件，招标人不予受理。</w:t>
      </w:r>
    </w:p>
    <w:p w14:paraId="59D996F2">
      <w:pPr>
        <w:pStyle w:val="4"/>
        <w:pageBreakBefore w:val="0"/>
        <w:widowControl w:val="0"/>
        <w:kinsoku/>
        <w:wordWrap/>
        <w:overflowPunct/>
        <w:topLinePunct w:val="0"/>
        <w:autoSpaceDE/>
        <w:autoSpaceDN/>
        <w:bidi w:val="0"/>
        <w:adjustRightInd/>
        <w:spacing w:before="0" w:after="0" w:line="440" w:lineRule="exact"/>
        <w:ind w:firstLine="241"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五</w:t>
      </w:r>
      <w:r>
        <w:rPr>
          <w:rFonts w:hint="eastAsia" w:ascii="仿宋" w:hAnsi="仿宋" w:eastAsia="仿宋" w:cs="仿宋"/>
          <w:color w:val="auto"/>
          <w:sz w:val="24"/>
          <w:szCs w:val="24"/>
          <w:highlight w:val="none"/>
        </w:rPr>
        <w:t>、其它有关规定</w:t>
      </w:r>
      <w:bookmarkEnd w:id="16"/>
      <w:bookmarkEnd w:id="18"/>
    </w:p>
    <w:bookmarkEnd w:id="9"/>
    <w:p w14:paraId="4591126E">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（一）单位负责人为同一人或者存在直接控股、管理关系的不同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，不得参加同一合同项（分包）下的政府采购活动，否则均为无效响应。</w:t>
      </w:r>
    </w:p>
    <w:p w14:paraId="71C9E729">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（二）为采购项目提供整体设计、规范编制或者项目管理、监理、检测等服务的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，不得再参加该采购项目的其他采购活动。</w:t>
      </w:r>
    </w:p>
    <w:p w14:paraId="65FAD4D6">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（三）本项目的补遗文件（如果有）一律在重庆市</w:t>
      </w:r>
      <w:r>
        <w:rPr>
          <w:rFonts w:hint="eastAsia" w:ascii="仿宋" w:hAnsi="仿宋" w:eastAsia="仿宋" w:cs="仿宋"/>
          <w:color w:val="auto"/>
          <w:sz w:val="24"/>
          <w:szCs w:val="24"/>
          <w:highlight w:val="none"/>
          <w:lang w:val="en-US" w:eastAsia="zh-CN"/>
        </w:rPr>
        <w:t>行采家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"https://www.gec123.com/" </w:instrText>
      </w:r>
      <w:r>
        <w:rPr>
          <w:rFonts w:hint="eastAsia" w:ascii="仿宋" w:hAnsi="仿宋" w:eastAsia="仿宋" w:cs="仿宋"/>
          <w:color w:val="auto"/>
          <w:sz w:val="24"/>
          <w:szCs w:val="24"/>
          <w:highlight w:val="none"/>
        </w:rPr>
        <w:fldChar w:fldCharType="separate"/>
      </w:r>
      <w:r>
        <w:rPr>
          <w:rStyle w:val="28"/>
          <w:rFonts w:hint="eastAsia" w:ascii="仿宋" w:hAnsi="仿宋" w:eastAsia="仿宋" w:cs="仿宋"/>
          <w:color w:val="auto"/>
          <w:sz w:val="24"/>
          <w:szCs w:val="24"/>
          <w:highlight w:val="none"/>
          <w:lang w:eastAsia="zh-CN"/>
        </w:rPr>
        <w:t>https://www.gec123.com/</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）发布，请各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注意下载；无论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下载与否，均视同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已知晓本项目补遗文件（如果有）的内容。</w:t>
      </w:r>
    </w:p>
    <w:p w14:paraId="4D7BF702">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w:t>
      </w:r>
      <w:r>
        <w:rPr>
          <w:rFonts w:hint="eastAsia" w:ascii="仿宋" w:hAnsi="仿宋" w:eastAsia="仿宋" w:cs="仿宋"/>
          <w:color w:val="auto"/>
          <w:sz w:val="24"/>
          <w:szCs w:val="24"/>
          <w:highlight w:val="none"/>
          <w:lang w:val="en-US" w:eastAsia="zh-CN"/>
        </w:rPr>
        <w:t>投标有关</w:t>
      </w:r>
      <w:r>
        <w:rPr>
          <w:rFonts w:hint="eastAsia" w:ascii="仿宋" w:hAnsi="仿宋" w:eastAsia="仿宋" w:cs="仿宋"/>
          <w:color w:val="auto"/>
          <w:sz w:val="24"/>
          <w:szCs w:val="24"/>
          <w:highlight w:val="none"/>
        </w:rPr>
        <w:t>费用无论</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结果如何，</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参与本项目</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的所有费用均应由</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自行承担。</w:t>
      </w:r>
    </w:p>
    <w:p w14:paraId="1EF50D8C">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（五）本项目不接受联合体参与</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w:t>
      </w:r>
    </w:p>
    <w:p w14:paraId="535F7CE8">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（六）按照《财政部关于在政府采购活动中查询及使用信用记录有关问题的通知》财库〔2016〕125号，</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，将拒绝其参与政府采购活动。</w:t>
      </w:r>
    </w:p>
    <w:p w14:paraId="60011999">
      <w:pPr>
        <w:pStyle w:val="4"/>
        <w:pageBreakBefore w:val="0"/>
        <w:widowControl w:val="0"/>
        <w:kinsoku/>
        <w:wordWrap/>
        <w:overflowPunct/>
        <w:topLinePunct w:val="0"/>
        <w:autoSpaceDE/>
        <w:autoSpaceDN/>
        <w:bidi w:val="0"/>
        <w:adjustRightInd/>
        <w:spacing w:before="0" w:after="0" w:line="440" w:lineRule="exact"/>
        <w:textAlignment w:val="auto"/>
        <w:rPr>
          <w:rFonts w:hint="eastAsia" w:ascii="仿宋" w:hAnsi="仿宋" w:eastAsia="仿宋" w:cs="仿宋"/>
          <w:color w:val="auto"/>
          <w:sz w:val="24"/>
          <w:szCs w:val="24"/>
          <w:highlight w:val="none"/>
        </w:rPr>
      </w:pPr>
      <w:bookmarkStart w:id="19" w:name="_Toc2959"/>
      <w:r>
        <w:rPr>
          <w:rFonts w:hint="eastAsia" w:ascii="仿宋" w:hAnsi="仿宋" w:eastAsia="仿宋" w:cs="仿宋"/>
          <w:color w:val="auto"/>
          <w:sz w:val="24"/>
          <w:szCs w:val="24"/>
          <w:highlight w:val="none"/>
          <w:lang w:eastAsia="zh-CN"/>
        </w:rPr>
        <w:t>六</w:t>
      </w:r>
      <w:r>
        <w:rPr>
          <w:rFonts w:hint="eastAsia" w:ascii="仿宋" w:hAnsi="仿宋" w:eastAsia="仿宋" w:cs="仿宋"/>
          <w:color w:val="auto"/>
          <w:sz w:val="24"/>
          <w:szCs w:val="24"/>
          <w:highlight w:val="none"/>
        </w:rPr>
        <w:t>、联系方式</w:t>
      </w:r>
      <w:bookmarkEnd w:id="19"/>
    </w:p>
    <w:p w14:paraId="6BF3FE9F">
      <w:pPr>
        <w:pageBreakBefore w:val="0"/>
        <w:widowControl w:val="0"/>
        <w:tabs>
          <w:tab w:val="left" w:pos="3480"/>
        </w:tabs>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bookmarkStart w:id="20" w:name="_Toc32633"/>
      <w:bookmarkStart w:id="21" w:name="_Toc24944"/>
      <w:bookmarkStart w:id="22" w:name="_Toc102227313"/>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val="en-US" w:eastAsia="zh-CN"/>
        </w:rPr>
        <w:t>招标人：</w:t>
      </w:r>
      <w:bookmarkEnd w:id="20"/>
      <w:bookmarkEnd w:id="21"/>
      <w:r>
        <w:rPr>
          <w:rFonts w:hint="eastAsia" w:ascii="仿宋" w:hAnsi="仿宋" w:eastAsia="仿宋" w:cs="仿宋"/>
          <w:color w:val="auto"/>
          <w:sz w:val="24"/>
          <w:szCs w:val="24"/>
          <w:highlight w:val="none"/>
          <w:lang w:val="en-US" w:eastAsia="zh-CN"/>
        </w:rPr>
        <w:t>重庆市南岸区江南新城南坪实验幼儿园</w:t>
      </w:r>
    </w:p>
    <w:p w14:paraId="40A3B8E7">
      <w:pPr>
        <w:pageBreakBefore w:val="0"/>
        <w:widowControl w:val="0"/>
        <w:tabs>
          <w:tab w:val="left" w:pos="3480"/>
        </w:tabs>
        <w:kinsoku/>
        <w:wordWrap/>
        <w:overflowPunct/>
        <w:topLinePunct w:val="0"/>
        <w:autoSpaceDE/>
        <w:autoSpaceDN/>
        <w:bidi w:val="0"/>
        <w:adjustRightInd/>
        <w:snapToGrid w:val="0"/>
        <w:spacing w:line="440" w:lineRule="exact"/>
        <w:ind w:firstLine="1200" w:firstLineChars="5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联系人：侯老师</w:t>
      </w:r>
    </w:p>
    <w:p w14:paraId="1D9C5A5A">
      <w:pPr>
        <w:pageBreakBefore w:val="0"/>
        <w:widowControl w:val="0"/>
        <w:tabs>
          <w:tab w:val="left" w:pos="3480"/>
        </w:tabs>
        <w:kinsoku/>
        <w:wordWrap/>
        <w:overflowPunct/>
        <w:topLinePunct w:val="0"/>
        <w:autoSpaceDE/>
        <w:autoSpaceDN/>
        <w:bidi w:val="0"/>
        <w:adjustRightInd/>
        <w:snapToGrid w:val="0"/>
        <w:spacing w:line="440" w:lineRule="exact"/>
        <w:ind w:firstLine="1200" w:firstLineChars="5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  话：</w:t>
      </w:r>
      <w:r>
        <w:rPr>
          <w:rFonts w:hint="eastAsia" w:ascii="仿宋" w:hAnsi="仿宋" w:eastAsia="仿宋" w:cs="仿宋"/>
          <w:bCs/>
          <w:strike w:val="0"/>
          <w:dstrike w:val="0"/>
          <w:color w:val="auto"/>
          <w:sz w:val="24"/>
          <w:highlight w:val="none"/>
          <w:lang w:val="en-US" w:eastAsia="zh-CN"/>
        </w:rPr>
        <w:t>023-62656491</w:t>
      </w:r>
      <w:r>
        <w:rPr>
          <w:rFonts w:hint="eastAsia" w:ascii="仿宋" w:hAnsi="仿宋" w:eastAsia="仿宋" w:cs="仿宋"/>
          <w:color w:val="auto"/>
          <w:sz w:val="24"/>
          <w:szCs w:val="24"/>
          <w:highlight w:val="none"/>
          <w:lang w:val="en-US" w:eastAsia="zh-CN"/>
        </w:rPr>
        <w:t xml:space="preserve">   </w:t>
      </w:r>
    </w:p>
    <w:p w14:paraId="0E92D491">
      <w:pPr>
        <w:pageBreakBefore w:val="0"/>
        <w:widowControl w:val="0"/>
        <w:tabs>
          <w:tab w:val="left" w:pos="3480"/>
        </w:tabs>
        <w:kinsoku/>
        <w:wordWrap/>
        <w:overflowPunct/>
        <w:topLinePunct w:val="0"/>
        <w:autoSpaceDE/>
        <w:autoSpaceDN/>
        <w:bidi w:val="0"/>
        <w:adjustRightInd/>
        <w:snapToGrid w:val="0"/>
        <w:spacing w:line="440" w:lineRule="exact"/>
        <w:ind w:firstLine="1200" w:firstLineChars="5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  址：</w:t>
      </w:r>
      <w:r>
        <w:rPr>
          <w:rFonts w:hint="eastAsia" w:ascii="仿宋" w:hAnsi="仿宋" w:eastAsia="仿宋" w:cs="仿宋"/>
          <w:color w:val="auto"/>
          <w:sz w:val="24"/>
          <w:highlight w:val="none"/>
          <w:lang w:val="en-US" w:eastAsia="zh-CN"/>
        </w:rPr>
        <w:t>重庆市南岸区天文大道7号</w:t>
      </w:r>
    </w:p>
    <w:p w14:paraId="2CA1BD43">
      <w:pPr>
        <w:pageBreakBefore w:val="0"/>
        <w:widowControl w:val="0"/>
        <w:kinsoku/>
        <w:wordWrap/>
        <w:overflowPunct/>
        <w:topLinePunct w:val="0"/>
        <w:autoSpaceDE/>
        <w:autoSpaceDN/>
        <w:bidi w:val="0"/>
        <w:adjustRightInd/>
        <w:snapToGrid w:val="0"/>
        <w:spacing w:line="440" w:lineRule="exact"/>
        <w:ind w:firstLine="480" w:firstLineChars="200"/>
        <w:textAlignment w:val="auto"/>
        <w:outlineLvl w:val="1"/>
        <w:rPr>
          <w:rFonts w:hint="eastAsia" w:ascii="仿宋" w:hAnsi="仿宋" w:eastAsia="仿宋" w:cs="仿宋"/>
          <w:color w:val="auto"/>
          <w:sz w:val="24"/>
          <w:szCs w:val="24"/>
          <w:highlight w:val="none"/>
        </w:rPr>
      </w:pPr>
      <w:bookmarkStart w:id="23" w:name="_Toc27048"/>
      <w:bookmarkStart w:id="24" w:name="_Toc22583"/>
    </w:p>
    <w:p w14:paraId="7BE98AF5">
      <w:pPr>
        <w:pageBreakBefore w:val="0"/>
        <w:widowControl w:val="0"/>
        <w:kinsoku/>
        <w:wordWrap/>
        <w:overflowPunct/>
        <w:topLinePunct w:val="0"/>
        <w:autoSpaceDE/>
        <w:autoSpaceDN/>
        <w:bidi w:val="0"/>
        <w:adjustRightInd/>
        <w:snapToGrid w:val="0"/>
        <w:spacing w:line="440" w:lineRule="exact"/>
        <w:ind w:firstLine="480" w:firstLineChars="200"/>
        <w:textAlignment w:val="auto"/>
        <w:outlineLvl w:val="1"/>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招标代理机构：</w:t>
      </w:r>
      <w:bookmarkEnd w:id="23"/>
      <w:bookmarkEnd w:id="24"/>
      <w:r>
        <w:rPr>
          <w:rFonts w:hint="eastAsia" w:ascii="仿宋" w:hAnsi="仿宋" w:eastAsia="仿宋" w:cs="仿宋"/>
          <w:color w:val="auto"/>
          <w:sz w:val="24"/>
          <w:szCs w:val="24"/>
          <w:highlight w:val="none"/>
          <w:lang w:eastAsia="zh-CN"/>
        </w:rPr>
        <w:t>重庆</w:t>
      </w:r>
      <w:r>
        <w:rPr>
          <w:rFonts w:hint="eastAsia" w:ascii="仿宋" w:hAnsi="仿宋" w:eastAsia="仿宋" w:cs="仿宋"/>
          <w:color w:val="auto"/>
          <w:sz w:val="24"/>
          <w:szCs w:val="24"/>
          <w:highlight w:val="none"/>
          <w:lang w:val="en-US" w:eastAsia="zh-CN"/>
        </w:rPr>
        <w:t>普聚</w:t>
      </w:r>
      <w:r>
        <w:rPr>
          <w:rFonts w:hint="eastAsia" w:ascii="仿宋" w:hAnsi="仿宋" w:eastAsia="仿宋" w:cs="仿宋"/>
          <w:color w:val="auto"/>
          <w:sz w:val="24"/>
          <w:szCs w:val="24"/>
          <w:highlight w:val="none"/>
          <w:lang w:eastAsia="zh-CN"/>
        </w:rPr>
        <w:t>工程咨询有限公司</w:t>
      </w:r>
    </w:p>
    <w:p w14:paraId="3113CA09">
      <w:pPr>
        <w:pageBreakBefore w:val="0"/>
        <w:widowControl w:val="0"/>
        <w:kinsoku/>
        <w:wordWrap/>
        <w:overflowPunct/>
        <w:topLinePunct w:val="0"/>
        <w:autoSpaceDE/>
        <w:autoSpaceDN/>
        <w:bidi w:val="0"/>
        <w:adjustRightInd/>
        <w:snapToGrid w:val="0"/>
        <w:spacing w:line="440" w:lineRule="exact"/>
        <w:ind w:firstLine="1200" w:firstLineChars="500"/>
        <w:textAlignment w:val="auto"/>
        <w:outlineLvl w:val="1"/>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联系人：</w:t>
      </w:r>
      <w:r>
        <w:rPr>
          <w:rFonts w:hint="eastAsia" w:ascii="仿宋" w:hAnsi="仿宋" w:eastAsia="仿宋" w:cs="仿宋"/>
          <w:color w:val="auto"/>
          <w:sz w:val="24"/>
          <w:szCs w:val="24"/>
          <w:highlight w:val="none"/>
          <w:lang w:val="en-US" w:eastAsia="zh-CN"/>
        </w:rPr>
        <w:t>付老师</w:t>
      </w:r>
    </w:p>
    <w:p w14:paraId="74A2C8BD">
      <w:pPr>
        <w:pageBreakBefore w:val="0"/>
        <w:widowControl w:val="0"/>
        <w:kinsoku/>
        <w:wordWrap/>
        <w:overflowPunct/>
        <w:topLinePunct w:val="0"/>
        <w:autoSpaceDE/>
        <w:autoSpaceDN/>
        <w:bidi w:val="0"/>
        <w:adjustRightInd/>
        <w:snapToGrid w:val="0"/>
        <w:spacing w:line="440" w:lineRule="exact"/>
        <w:ind w:firstLine="1200" w:firstLineChars="500"/>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电  话：</w:t>
      </w:r>
      <w:r>
        <w:rPr>
          <w:rFonts w:hint="eastAsia" w:ascii="仿宋" w:hAnsi="仿宋" w:eastAsia="仿宋" w:cs="仿宋"/>
          <w:color w:val="auto"/>
          <w:sz w:val="24"/>
          <w:szCs w:val="24"/>
          <w:highlight w:val="none"/>
          <w:lang w:val="en-US" w:eastAsia="zh-CN"/>
        </w:rPr>
        <w:t>023-62482276</w:t>
      </w:r>
      <w:r>
        <w:rPr>
          <w:rFonts w:hint="eastAsia" w:ascii="仿宋" w:hAnsi="仿宋" w:eastAsia="仿宋" w:cs="仿宋"/>
          <w:color w:val="auto"/>
          <w:sz w:val="24"/>
          <w:szCs w:val="24"/>
          <w:highlight w:val="none"/>
          <w:lang w:eastAsia="zh-CN"/>
        </w:rPr>
        <w:t xml:space="preserve"> </w:t>
      </w:r>
    </w:p>
    <w:p w14:paraId="1C8EC57E">
      <w:pPr>
        <w:pageBreakBefore w:val="0"/>
        <w:widowControl w:val="0"/>
        <w:kinsoku/>
        <w:wordWrap/>
        <w:overflowPunct/>
        <w:topLinePunct w:val="0"/>
        <w:autoSpaceDE/>
        <w:autoSpaceDN/>
        <w:bidi w:val="0"/>
        <w:adjustRightInd/>
        <w:snapToGrid w:val="0"/>
        <w:spacing w:line="440" w:lineRule="exact"/>
        <w:ind w:firstLine="1200" w:firstLineChars="500"/>
        <w:textAlignment w:val="auto"/>
        <w:outlineLvl w:val="1"/>
        <w:rPr>
          <w:rFonts w:hint="eastAsia" w:ascii="仿宋" w:hAnsi="仿宋" w:eastAsia="仿宋" w:cs="仿宋"/>
          <w:color w:val="auto"/>
          <w:sz w:val="24"/>
          <w:szCs w:val="24"/>
          <w:highlight w:val="none"/>
          <w:lang w:eastAsia="zh-CN"/>
        </w:rPr>
        <w:sectPr>
          <w:footerReference r:id="rId10" w:type="default"/>
          <w:pgSz w:w="11907" w:h="16840"/>
          <w:pgMar w:top="1134" w:right="1418" w:bottom="1134" w:left="1418" w:header="397" w:footer="992" w:gutter="0"/>
          <w:pgNumType w:fmt="decimal" w:start="1"/>
          <w:cols w:space="720" w:num="1"/>
          <w:docGrid w:linePitch="312" w:charSpace="0"/>
        </w:sectPr>
      </w:pPr>
      <w:r>
        <w:rPr>
          <w:rFonts w:hint="eastAsia" w:ascii="仿宋" w:hAnsi="仿宋" w:eastAsia="仿宋" w:cs="仿宋"/>
          <w:color w:val="auto"/>
          <w:sz w:val="24"/>
          <w:szCs w:val="24"/>
          <w:highlight w:val="none"/>
          <w:lang w:eastAsia="zh-CN"/>
        </w:rPr>
        <w:t>地  址：</w:t>
      </w:r>
      <w:r>
        <w:rPr>
          <w:rFonts w:hint="eastAsia" w:ascii="仿宋" w:hAnsi="仿宋" w:eastAsia="仿宋" w:cs="仿宋"/>
          <w:color w:val="auto"/>
          <w:sz w:val="24"/>
          <w:szCs w:val="24"/>
          <w:highlight w:val="none"/>
          <w:lang w:val="en-US" w:eastAsia="zh-CN"/>
        </w:rPr>
        <w:t>重庆市南岸区南城大道199号17-2号</w:t>
      </w:r>
    </w:p>
    <w:p w14:paraId="41147C5D">
      <w:pPr>
        <w:pStyle w:val="3"/>
        <w:pageBreakBefore w:val="0"/>
        <w:widowControl w:val="0"/>
        <w:kinsoku/>
        <w:wordWrap/>
        <w:overflowPunct/>
        <w:topLinePunct w:val="0"/>
        <w:autoSpaceDE/>
        <w:autoSpaceDN/>
        <w:bidi w:val="0"/>
        <w:snapToGrid w:val="0"/>
        <w:spacing w:before="0" w:after="0" w:line="440" w:lineRule="exact"/>
        <w:jc w:val="center"/>
        <w:textAlignment w:val="auto"/>
        <w:rPr>
          <w:rFonts w:hint="eastAsia" w:ascii="仿宋" w:hAnsi="仿宋" w:eastAsia="仿宋" w:cs="仿宋"/>
          <w:color w:val="auto"/>
          <w:sz w:val="36"/>
          <w:szCs w:val="28"/>
          <w:highlight w:val="none"/>
          <w:lang w:eastAsia="zh-CN"/>
        </w:rPr>
      </w:pPr>
      <w:bookmarkStart w:id="25" w:name="_Toc18443"/>
      <w:r>
        <w:rPr>
          <w:rFonts w:hint="eastAsia" w:ascii="仿宋" w:hAnsi="仿宋" w:eastAsia="仿宋" w:cs="仿宋"/>
          <w:color w:val="auto"/>
          <w:sz w:val="36"/>
          <w:szCs w:val="28"/>
          <w:highlight w:val="none"/>
        </w:rPr>
        <w:t xml:space="preserve">第二篇  </w:t>
      </w:r>
      <w:r>
        <w:rPr>
          <w:rFonts w:hint="eastAsia" w:ascii="仿宋" w:hAnsi="仿宋" w:eastAsia="仿宋" w:cs="仿宋"/>
          <w:color w:val="auto"/>
          <w:sz w:val="36"/>
          <w:szCs w:val="28"/>
          <w:highlight w:val="none"/>
          <w:lang w:eastAsia="zh-CN"/>
        </w:rPr>
        <w:t>项目</w:t>
      </w:r>
      <w:r>
        <w:rPr>
          <w:rFonts w:hint="eastAsia" w:ascii="仿宋" w:hAnsi="仿宋" w:eastAsia="仿宋" w:cs="仿宋"/>
          <w:color w:val="auto"/>
          <w:sz w:val="36"/>
          <w:szCs w:val="28"/>
          <w:highlight w:val="none"/>
          <w:lang w:val="en-US" w:eastAsia="zh-CN"/>
        </w:rPr>
        <w:t>服务需求</w:t>
      </w:r>
      <w:bookmarkEnd w:id="25"/>
    </w:p>
    <w:p w14:paraId="212BBBF1">
      <w:pPr>
        <w:pStyle w:val="3"/>
        <w:pageBreakBefore w:val="0"/>
        <w:widowControl w:val="0"/>
        <w:kinsoku/>
        <w:wordWrap/>
        <w:overflowPunct/>
        <w:topLinePunct w:val="0"/>
        <w:autoSpaceDE/>
        <w:autoSpaceDN/>
        <w:bidi w:val="0"/>
        <w:adjustRightInd w:val="0"/>
        <w:snapToGrid w:val="0"/>
        <w:spacing w:before="0" w:after="0" w:line="440" w:lineRule="exact"/>
        <w:textAlignment w:val="auto"/>
        <w:rPr>
          <w:rFonts w:hint="eastAsia" w:ascii="仿宋" w:hAnsi="仿宋" w:eastAsia="仿宋" w:cs="仿宋"/>
          <w:color w:val="auto"/>
          <w:sz w:val="24"/>
          <w:szCs w:val="16"/>
          <w:highlight w:val="none"/>
          <w:lang w:val="en-US" w:eastAsia="zh-CN"/>
        </w:rPr>
      </w:pPr>
      <w:bookmarkStart w:id="26" w:name="_Toc16585"/>
      <w:bookmarkStart w:id="27" w:name="_Toc26338"/>
      <w:bookmarkStart w:id="28" w:name="_Toc832"/>
      <w:bookmarkStart w:id="29" w:name="_Toc24430"/>
      <w:bookmarkStart w:id="30" w:name="_Toc1794"/>
      <w:bookmarkStart w:id="31" w:name="_Toc12519"/>
      <w:bookmarkStart w:id="32" w:name="_Toc11641055"/>
      <w:bookmarkStart w:id="33" w:name="_Toc12789059"/>
      <w:r>
        <w:rPr>
          <w:rFonts w:hint="eastAsia" w:ascii="仿宋" w:hAnsi="仿宋" w:eastAsia="仿宋" w:cs="仿宋"/>
          <w:color w:val="auto"/>
          <w:sz w:val="24"/>
          <w:szCs w:val="16"/>
          <w:highlight w:val="none"/>
          <w:lang w:val="en-US" w:eastAsia="zh-CN"/>
        </w:rPr>
        <w:t>一、项目概况</w:t>
      </w:r>
    </w:p>
    <w:p w14:paraId="67856D5C">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（一）基本情况</w:t>
      </w:r>
    </w:p>
    <w:p w14:paraId="09F8B716">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.建设地</w:t>
      </w:r>
      <w:r>
        <w:rPr>
          <w:rFonts w:hint="eastAsia" w:ascii="仿宋" w:hAnsi="仿宋" w:eastAsia="仿宋" w:cs="仿宋"/>
          <w:color w:val="auto"/>
          <w:sz w:val="24"/>
          <w:szCs w:val="24"/>
          <w:highlight w:val="none"/>
          <w:lang w:val="en-US" w:eastAsia="zh-CN"/>
        </w:rPr>
        <w:t>点：重庆市南岸区天文大道7号。</w:t>
      </w:r>
    </w:p>
    <w:p w14:paraId="0F4285A6">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建设内容及规模:该项目改建总面积约1567㎡，建设内容包括草坪修补、动物房及户外活动场地地面铺装、教学楼外围铺设塑木地板、场地外围新建围栏、通风井外墙包防腐木、铺设青石板道路、露台地砖及洗手盆种植箱等设施设备的购置安装等，建设内容详见招标人发布的工程量清单及图纸。</w:t>
      </w:r>
    </w:p>
    <w:p w14:paraId="7175FF73">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（二）招标范围</w:t>
      </w:r>
    </w:p>
    <w:p w14:paraId="363BF061">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具体详见</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提供的工程量清单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图纸</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文件以及</w:t>
      </w:r>
      <w:r>
        <w:rPr>
          <w:rFonts w:hint="eastAsia" w:ascii="仿宋" w:hAnsi="仿宋" w:eastAsia="仿宋" w:cs="仿宋"/>
          <w:color w:val="auto"/>
          <w:sz w:val="24"/>
          <w:szCs w:val="24"/>
          <w:highlight w:val="none"/>
          <w:lang w:val="en-US" w:eastAsia="zh-CN"/>
        </w:rPr>
        <w:t>招标文件</w:t>
      </w:r>
      <w:r>
        <w:rPr>
          <w:rFonts w:hint="eastAsia" w:ascii="仿宋" w:hAnsi="仿宋" w:eastAsia="仿宋" w:cs="仿宋"/>
          <w:color w:val="auto"/>
          <w:sz w:val="24"/>
          <w:szCs w:val="24"/>
          <w:highlight w:val="none"/>
        </w:rPr>
        <w:t>补遗、答疑、澄清中补充的全部工程内容。</w:t>
      </w:r>
    </w:p>
    <w:p w14:paraId="1F72D51D">
      <w:pPr>
        <w:pStyle w:val="3"/>
        <w:pageBreakBefore w:val="0"/>
        <w:widowControl w:val="0"/>
        <w:numPr>
          <w:ilvl w:val="0"/>
          <w:numId w:val="0"/>
        </w:numPr>
        <w:kinsoku/>
        <w:wordWrap/>
        <w:overflowPunct/>
        <w:topLinePunct w:val="0"/>
        <w:autoSpaceDE/>
        <w:autoSpaceDN/>
        <w:bidi w:val="0"/>
        <w:adjustRightInd w:val="0"/>
        <w:snapToGrid w:val="0"/>
        <w:spacing w:before="0" w:after="0" w:line="440" w:lineRule="exact"/>
        <w:ind w:left="0" w:leftChars="0" w:right="0" w:rightChars="0"/>
        <w:textAlignment w:val="auto"/>
        <w:rPr>
          <w:rFonts w:hint="eastAsia" w:ascii="仿宋" w:hAnsi="仿宋" w:eastAsia="仿宋" w:cs="仿宋"/>
          <w:color w:val="auto"/>
          <w:sz w:val="24"/>
          <w:szCs w:val="16"/>
          <w:highlight w:val="none"/>
        </w:rPr>
      </w:pPr>
      <w:r>
        <w:rPr>
          <w:rFonts w:hint="eastAsia" w:ascii="仿宋" w:hAnsi="仿宋" w:eastAsia="仿宋" w:cs="仿宋"/>
          <w:b/>
          <w:color w:val="auto"/>
          <w:kern w:val="2"/>
          <w:sz w:val="24"/>
          <w:szCs w:val="16"/>
          <w:highlight w:val="none"/>
          <w:lang w:val="en-US" w:eastAsia="zh-CN" w:bidi="ar-SA"/>
        </w:rPr>
        <w:t>二、</w:t>
      </w:r>
      <w:r>
        <w:rPr>
          <w:rFonts w:hint="eastAsia" w:ascii="仿宋" w:hAnsi="仿宋" w:eastAsia="仿宋" w:cs="仿宋"/>
          <w:color w:val="auto"/>
          <w:sz w:val="24"/>
          <w:szCs w:val="16"/>
          <w:highlight w:val="none"/>
        </w:rPr>
        <w:t>项目服务需求</w:t>
      </w:r>
    </w:p>
    <w:p w14:paraId="601867F0">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（一）质量要求：符合强制性质量标准，符合国家和重庆市现行有关施工质量验收规范要求，并达到合格标准。</w:t>
      </w:r>
    </w:p>
    <w:p w14:paraId="5CB164E9">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（二）工程量清单</w:t>
      </w:r>
      <w:r>
        <w:rPr>
          <w:rFonts w:hint="eastAsia" w:ascii="仿宋" w:hAnsi="仿宋" w:eastAsia="仿宋" w:cs="仿宋"/>
          <w:color w:val="auto"/>
          <w:sz w:val="24"/>
          <w:szCs w:val="24"/>
          <w:highlight w:val="none"/>
          <w:lang w:val="en-US" w:eastAsia="zh-CN"/>
        </w:rPr>
        <w:t>及图纸</w:t>
      </w:r>
      <w:r>
        <w:rPr>
          <w:rFonts w:hint="eastAsia" w:ascii="仿宋" w:hAnsi="仿宋" w:eastAsia="仿宋" w:cs="仿宋"/>
          <w:color w:val="auto"/>
          <w:sz w:val="24"/>
          <w:szCs w:val="24"/>
          <w:highlight w:val="none"/>
        </w:rPr>
        <w:t>：工程量清单</w:t>
      </w:r>
      <w:r>
        <w:rPr>
          <w:rFonts w:hint="eastAsia" w:ascii="仿宋" w:hAnsi="仿宋" w:eastAsia="仿宋" w:cs="仿宋"/>
          <w:color w:val="auto"/>
          <w:sz w:val="24"/>
          <w:szCs w:val="24"/>
          <w:highlight w:val="none"/>
          <w:lang w:val="en-US" w:eastAsia="zh-CN"/>
        </w:rPr>
        <w:t>及图纸</w:t>
      </w:r>
      <w:r>
        <w:rPr>
          <w:rFonts w:hint="eastAsia" w:ascii="仿宋" w:hAnsi="仿宋" w:eastAsia="仿宋" w:cs="仿宋"/>
          <w:color w:val="auto"/>
          <w:sz w:val="24"/>
          <w:szCs w:val="24"/>
          <w:highlight w:val="none"/>
        </w:rPr>
        <w:t>请</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在重庆市</w:t>
      </w:r>
      <w:r>
        <w:rPr>
          <w:rFonts w:hint="eastAsia" w:ascii="仿宋" w:hAnsi="仿宋" w:eastAsia="仿宋" w:cs="仿宋"/>
          <w:color w:val="auto"/>
          <w:sz w:val="24"/>
          <w:szCs w:val="24"/>
          <w:highlight w:val="none"/>
          <w:lang w:val="en-US" w:eastAsia="zh-CN"/>
        </w:rPr>
        <w:t>行采家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"https://www.gec123.com/" </w:instrText>
      </w:r>
      <w:r>
        <w:rPr>
          <w:rFonts w:hint="eastAsia" w:ascii="仿宋" w:hAnsi="仿宋" w:eastAsia="仿宋" w:cs="仿宋"/>
          <w:color w:val="auto"/>
          <w:sz w:val="24"/>
          <w:szCs w:val="24"/>
          <w:highlight w:val="none"/>
        </w:rPr>
        <w:fldChar w:fldCharType="separate"/>
      </w:r>
      <w:r>
        <w:rPr>
          <w:rStyle w:val="28"/>
          <w:rFonts w:hint="eastAsia" w:ascii="仿宋" w:hAnsi="仿宋" w:eastAsia="仿宋" w:cs="仿宋"/>
          <w:color w:val="auto"/>
          <w:sz w:val="24"/>
          <w:szCs w:val="24"/>
          <w:highlight w:val="none"/>
          <w:lang w:eastAsia="zh-CN"/>
        </w:rPr>
        <w:t>https://www.gec123.com/</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）上自行下载。</w:t>
      </w:r>
    </w:p>
    <w:p w14:paraId="62191BF3">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（三）现场踏勘</w:t>
      </w:r>
    </w:p>
    <w:p w14:paraId="0CE69553">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人不统一组织踏勘项目现场。</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可以在</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递交截止时间之前自行对本项目现场进行踏勘、询问。无论</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是否踏勘过现场，均被视为在</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递交截止时间之前对本项目潜在的风险和义务已完全了解，并在其</w:t>
      </w:r>
      <w:r>
        <w:rPr>
          <w:rFonts w:hint="eastAsia" w:ascii="仿宋" w:hAnsi="仿宋" w:eastAsia="仿宋" w:cs="仿宋"/>
          <w:color w:val="auto"/>
          <w:sz w:val="24"/>
          <w:szCs w:val="24"/>
          <w:highlight w:val="none"/>
          <w:lang w:val="en-US" w:eastAsia="zh-CN"/>
        </w:rPr>
        <w:t>投标文件</w:t>
      </w:r>
      <w:r>
        <w:rPr>
          <w:rFonts w:hint="eastAsia" w:ascii="仿宋" w:hAnsi="仿宋" w:eastAsia="仿宋" w:cs="仿宋"/>
          <w:color w:val="auto"/>
          <w:sz w:val="24"/>
          <w:szCs w:val="24"/>
          <w:highlight w:val="none"/>
        </w:rPr>
        <w:t>中已充分考虑了本项目可能面临的不确定因素可能导致的风险。</w:t>
      </w:r>
    </w:p>
    <w:p w14:paraId="3649B393">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计划工期：</w:t>
      </w:r>
      <w:r>
        <w:rPr>
          <w:rFonts w:hint="eastAsia" w:ascii="仿宋" w:hAnsi="仿宋" w:eastAsia="仿宋" w:cs="仿宋"/>
          <w:color w:val="auto"/>
          <w:sz w:val="24"/>
          <w:szCs w:val="24"/>
          <w:highlight w:val="none"/>
          <w:lang w:val="en-US" w:eastAsia="zh-CN"/>
        </w:rPr>
        <w:t>30日历天</w:t>
      </w:r>
      <w:r>
        <w:rPr>
          <w:rFonts w:hint="eastAsia" w:ascii="仿宋" w:hAnsi="仿宋" w:eastAsia="仿宋" w:cs="仿宋"/>
          <w:color w:val="auto"/>
          <w:sz w:val="24"/>
          <w:szCs w:val="24"/>
          <w:highlight w:val="none"/>
          <w:lang w:eastAsia="zh-CN"/>
        </w:rPr>
        <w:t>。</w:t>
      </w:r>
    </w:p>
    <w:p w14:paraId="2582A1A2">
      <w:pPr>
        <w:pageBreakBefore w:val="0"/>
        <w:widowControl w:val="0"/>
        <w:kinsoku/>
        <w:wordWrap/>
        <w:overflowPunct/>
        <w:topLinePunct w:val="0"/>
        <w:autoSpaceDE/>
        <w:autoSpaceDN/>
        <w:bidi w:val="0"/>
        <w:snapToGrid w:val="0"/>
        <w:spacing w:line="440" w:lineRule="exact"/>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缺陷责任期：2年。</w:t>
      </w:r>
    </w:p>
    <w:p w14:paraId="72B54630">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）分包：本项目不允许分包。</w:t>
      </w:r>
    </w:p>
    <w:p w14:paraId="6EAE2F16">
      <w:pPr>
        <w:pStyle w:val="3"/>
        <w:pageBreakBefore w:val="0"/>
        <w:widowControl w:val="0"/>
        <w:kinsoku/>
        <w:wordWrap/>
        <w:overflowPunct/>
        <w:topLinePunct w:val="0"/>
        <w:autoSpaceDE/>
        <w:autoSpaceDN/>
        <w:bidi w:val="0"/>
        <w:snapToGrid w:val="0"/>
        <w:spacing w:before="0" w:after="0" w:line="440" w:lineRule="exact"/>
        <w:textAlignment w:val="auto"/>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三、质量保证及售后服务</w:t>
      </w:r>
    </w:p>
    <w:p w14:paraId="5E2429B7">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lang w:eastAsia="zh-CN"/>
        </w:rPr>
        <w:t>）工程质量保修期限：满足重庆市建设工程质量监督总站监制《重庆市建设工程质量保修书》等相关要求。工程的质量保修期如下：</w:t>
      </w:r>
    </w:p>
    <w:p w14:paraId="2237B2B6">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基础设施工程、房屋建筑的地基基础工程和主体结构工程，为设计文件规定的该工程的合理使用年限；</w:t>
      </w:r>
    </w:p>
    <w:p w14:paraId="3A0883C7">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屋面防水工程、有防水要求的卫生间、房间和外墙面的防渗漏，为5年；</w:t>
      </w:r>
    </w:p>
    <w:p w14:paraId="653906ED">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供热与供冷系统，为2个采暖期、供冷期；</w:t>
      </w:r>
    </w:p>
    <w:p w14:paraId="67876D5C">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电气管线、给排水管道、设备安装和装修工程，为2年；</w:t>
      </w:r>
    </w:p>
    <w:p w14:paraId="2FF2E2E9">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其他项目保修期限：2年；</w:t>
      </w:r>
    </w:p>
    <w:p w14:paraId="4B4FE131">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lang w:eastAsia="zh-CN"/>
        </w:rPr>
        <w:t>）保修期内，施工质量缺陷的维护及维修（非人为损坏）均为免费。</w:t>
      </w:r>
    </w:p>
    <w:p w14:paraId="29966F09">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lang w:eastAsia="zh-CN"/>
        </w:rPr>
        <w:t>）保修期内，施工质量缺陷维修均为现场服务，由此产生的费用均不再收取。</w:t>
      </w:r>
    </w:p>
    <w:p w14:paraId="3A4CFB91">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lang w:eastAsia="zh-CN"/>
        </w:rPr>
        <w:t>）工程缺陷责任期为</w:t>
      </w:r>
      <w:r>
        <w:rPr>
          <w:rFonts w:hint="eastAsia" w:ascii="仿宋" w:hAnsi="仿宋" w:eastAsia="仿宋" w:cs="仿宋"/>
          <w:color w:val="auto"/>
          <w:sz w:val="24"/>
          <w:szCs w:val="24"/>
          <w:highlight w:val="none"/>
          <w:lang w:val="en-US" w:eastAsia="zh-CN"/>
        </w:rPr>
        <w:t>2年</w:t>
      </w:r>
      <w:r>
        <w:rPr>
          <w:rFonts w:hint="eastAsia" w:ascii="仿宋" w:hAnsi="仿宋" w:eastAsia="仿宋" w:cs="仿宋"/>
          <w:color w:val="auto"/>
          <w:sz w:val="24"/>
          <w:szCs w:val="24"/>
          <w:highlight w:val="none"/>
          <w:lang w:eastAsia="zh-CN"/>
        </w:rPr>
        <w:t>，缺陷责任期自工程通过竣工验收之日起计算。缺陷责任期终止后，招标人应退还剩余的质量保证金。</w:t>
      </w:r>
    </w:p>
    <w:p w14:paraId="5A310EA1">
      <w:pPr>
        <w:pStyle w:val="3"/>
        <w:pageBreakBefore w:val="0"/>
        <w:widowControl w:val="0"/>
        <w:numPr>
          <w:ilvl w:val="0"/>
          <w:numId w:val="0"/>
        </w:numPr>
        <w:kinsoku/>
        <w:wordWrap/>
        <w:overflowPunct/>
        <w:topLinePunct w:val="0"/>
        <w:autoSpaceDE/>
        <w:autoSpaceDN/>
        <w:bidi w:val="0"/>
        <w:adjustRightInd w:val="0"/>
        <w:snapToGrid w:val="0"/>
        <w:spacing w:before="0" w:after="0" w:line="440" w:lineRule="exact"/>
        <w:ind w:left="0" w:leftChars="0" w:right="0" w:rightChars="0"/>
        <w:textAlignment w:val="auto"/>
        <w:rPr>
          <w:rFonts w:hint="eastAsia" w:ascii="仿宋" w:hAnsi="仿宋" w:eastAsia="仿宋" w:cs="仿宋"/>
          <w:color w:val="auto"/>
          <w:sz w:val="24"/>
          <w:szCs w:val="16"/>
          <w:highlight w:val="none"/>
        </w:rPr>
      </w:pPr>
      <w:r>
        <w:rPr>
          <w:rFonts w:hint="eastAsia" w:ascii="仿宋" w:hAnsi="仿宋" w:eastAsia="仿宋" w:cs="仿宋"/>
          <w:b/>
          <w:color w:val="auto"/>
          <w:kern w:val="2"/>
          <w:sz w:val="24"/>
          <w:szCs w:val="16"/>
          <w:highlight w:val="none"/>
          <w:lang w:val="en-US" w:eastAsia="zh-CN" w:bidi="ar-SA"/>
        </w:rPr>
        <w:t>四、</w:t>
      </w:r>
      <w:r>
        <w:rPr>
          <w:rFonts w:hint="eastAsia" w:ascii="仿宋" w:hAnsi="仿宋" w:eastAsia="仿宋" w:cs="仿宋"/>
          <w:color w:val="auto"/>
          <w:sz w:val="24"/>
          <w:szCs w:val="16"/>
          <w:highlight w:val="none"/>
        </w:rPr>
        <w:t>人员要求</w:t>
      </w:r>
    </w:p>
    <w:p w14:paraId="27D0C0E2">
      <w:pPr>
        <w:pageBreakBefore w:val="0"/>
        <w:widowControl w:val="0"/>
        <w:kinsoku/>
        <w:wordWrap/>
        <w:overflowPunct/>
        <w:topLinePunct w:val="0"/>
        <w:autoSpaceDE/>
        <w:autoSpaceDN/>
        <w:bidi w:val="0"/>
        <w:snapToGrid w:val="0"/>
        <w:spacing w:line="44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（一）项目经理（1人）</w:t>
      </w:r>
    </w:p>
    <w:p w14:paraId="0A46410B">
      <w:pPr>
        <w:pageBreakBefore w:val="0"/>
        <w:widowControl w:val="0"/>
        <w:kinsoku/>
        <w:wordWrap/>
        <w:overflowPunct/>
        <w:topLinePunct w:val="0"/>
        <w:autoSpaceDE/>
        <w:autoSpaceDN/>
        <w:bidi w:val="0"/>
        <w:snapToGrid w:val="0"/>
        <w:spacing w:line="440" w:lineRule="exact"/>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拟派的项目经理必须已在</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本单位注册并应具有</w:t>
      </w:r>
      <w:r>
        <w:rPr>
          <w:rFonts w:hint="eastAsia" w:ascii="仿宋" w:hAnsi="仿宋" w:eastAsia="仿宋" w:cs="仿宋"/>
          <w:b/>
          <w:bCs/>
          <w:color w:val="auto"/>
          <w:sz w:val="24"/>
          <w:szCs w:val="24"/>
          <w:highlight w:val="none"/>
          <w:lang w:val="en-US" w:eastAsia="zh-CN"/>
        </w:rPr>
        <w:t>建筑工程</w:t>
      </w:r>
      <w:r>
        <w:rPr>
          <w:rFonts w:hint="eastAsia" w:ascii="仿宋" w:hAnsi="仿宋" w:eastAsia="仿宋" w:cs="仿宋"/>
          <w:b/>
          <w:bCs/>
          <w:color w:val="auto"/>
          <w:sz w:val="24"/>
          <w:szCs w:val="24"/>
          <w:highlight w:val="none"/>
        </w:rPr>
        <w:t>专业贰级</w:t>
      </w:r>
      <w:r>
        <w:rPr>
          <w:rFonts w:hint="eastAsia" w:ascii="仿宋" w:hAnsi="仿宋" w:eastAsia="仿宋" w:cs="仿宋"/>
          <w:color w:val="auto"/>
          <w:sz w:val="24"/>
          <w:szCs w:val="24"/>
          <w:highlight w:val="none"/>
        </w:rPr>
        <w:t>及以上注册建造师执业资格。</w:t>
      </w:r>
    </w:p>
    <w:p w14:paraId="34155332">
      <w:pPr>
        <w:pageBreakBefore w:val="0"/>
        <w:widowControl w:val="0"/>
        <w:kinsoku/>
        <w:wordWrap/>
        <w:overflowPunct/>
        <w:topLinePunct w:val="0"/>
        <w:autoSpaceDE/>
        <w:autoSpaceDN/>
        <w:bidi w:val="0"/>
        <w:snapToGrid w:val="0"/>
        <w:spacing w:line="440" w:lineRule="exact"/>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注：提供拟派项目经理身份证、建造师注册证书，</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本单位为其缴纳的养老保险证明材料</w:t>
      </w:r>
      <w:r>
        <w:rPr>
          <w:rFonts w:hint="eastAsia" w:ascii="仿宋" w:hAnsi="仿宋" w:eastAsia="仿宋" w:cs="仿宋"/>
          <w:color w:val="auto"/>
          <w:sz w:val="24"/>
          <w:szCs w:val="24"/>
          <w:highlight w:val="none"/>
          <w:lang w:eastAsia="zh-CN"/>
        </w:rPr>
        <w:t>扫描件（</w:t>
      </w:r>
      <w:r>
        <w:rPr>
          <w:rFonts w:hint="eastAsia" w:ascii="仿宋" w:hAnsi="仿宋" w:eastAsia="仿宋" w:cs="仿宋"/>
          <w:color w:val="auto"/>
          <w:sz w:val="24"/>
          <w:szCs w:val="24"/>
          <w:highlight w:val="none"/>
          <w:lang w:val="en-US" w:eastAsia="zh-CN"/>
        </w:rPr>
        <w:t>或复印件扫描件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。以上证明材料均需加盖</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w:t>
      </w:r>
    </w:p>
    <w:p w14:paraId="4CA66209">
      <w:pPr>
        <w:pageBreakBefore w:val="0"/>
        <w:widowControl w:val="0"/>
        <w:kinsoku/>
        <w:wordWrap/>
        <w:overflowPunct/>
        <w:topLinePunct w:val="0"/>
        <w:autoSpaceDE/>
        <w:autoSpaceDN/>
        <w:bidi w:val="0"/>
        <w:snapToGrid w:val="0"/>
        <w:spacing w:line="44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（二）项目技术负责人（1人）</w:t>
      </w:r>
    </w:p>
    <w:p w14:paraId="1D45B8DA">
      <w:pPr>
        <w:pageBreakBefore w:val="0"/>
        <w:widowControl w:val="0"/>
        <w:kinsoku/>
        <w:wordWrap/>
        <w:overflowPunct/>
        <w:topLinePunct w:val="0"/>
        <w:autoSpaceDE/>
        <w:autoSpaceDN/>
        <w:bidi w:val="0"/>
        <w:snapToGrid w:val="0"/>
        <w:spacing w:line="440" w:lineRule="exact"/>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拟派的项目技术负责人应具有</w:t>
      </w:r>
      <w:r>
        <w:rPr>
          <w:rFonts w:hint="eastAsia" w:ascii="仿宋" w:hAnsi="仿宋" w:eastAsia="仿宋" w:cs="仿宋"/>
          <w:b/>
          <w:bCs/>
          <w:color w:val="auto"/>
          <w:sz w:val="24"/>
          <w:szCs w:val="24"/>
          <w:highlight w:val="none"/>
        </w:rPr>
        <w:t>工程类中级</w:t>
      </w:r>
      <w:r>
        <w:rPr>
          <w:rFonts w:hint="eastAsia" w:ascii="仿宋" w:hAnsi="仿宋" w:eastAsia="仿宋" w:cs="仿宋"/>
          <w:color w:val="auto"/>
          <w:sz w:val="24"/>
          <w:szCs w:val="24"/>
          <w:highlight w:val="none"/>
        </w:rPr>
        <w:t>及以上职称。</w:t>
      </w:r>
    </w:p>
    <w:p w14:paraId="2F6A343C">
      <w:pPr>
        <w:pageBreakBefore w:val="0"/>
        <w:widowControl w:val="0"/>
        <w:kinsoku/>
        <w:wordWrap/>
        <w:overflowPunct/>
        <w:topLinePunct w:val="0"/>
        <w:autoSpaceDE/>
        <w:autoSpaceDN/>
        <w:bidi w:val="0"/>
        <w:snapToGrid w:val="0"/>
        <w:spacing w:line="440" w:lineRule="exact"/>
        <w:ind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须在投标文件资格审查部分提供拟派技术负责人身份证、职称证、</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本单位为其缴纳的养老保险证明材料</w:t>
      </w:r>
      <w:r>
        <w:rPr>
          <w:rFonts w:hint="eastAsia" w:ascii="仿宋" w:hAnsi="仿宋" w:eastAsia="仿宋" w:cs="仿宋"/>
          <w:color w:val="auto"/>
          <w:sz w:val="24"/>
          <w:szCs w:val="24"/>
          <w:highlight w:val="none"/>
          <w:lang w:eastAsia="zh-CN"/>
        </w:rPr>
        <w:t>扫描件（</w:t>
      </w:r>
      <w:r>
        <w:rPr>
          <w:rFonts w:hint="eastAsia" w:ascii="仿宋" w:hAnsi="仿宋" w:eastAsia="仿宋" w:cs="仿宋"/>
          <w:color w:val="auto"/>
          <w:sz w:val="24"/>
          <w:szCs w:val="24"/>
          <w:highlight w:val="none"/>
          <w:lang w:val="en-US" w:eastAsia="zh-CN"/>
        </w:rPr>
        <w:t>或复印件扫描件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。以上证明材料均需加盖</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w:t>
      </w:r>
    </w:p>
    <w:p w14:paraId="3DD100AF">
      <w:pPr>
        <w:pageBreakBefore w:val="0"/>
        <w:widowControl w:val="0"/>
        <w:kinsoku/>
        <w:wordWrap/>
        <w:overflowPunct/>
        <w:topLinePunct w:val="0"/>
        <w:autoSpaceDE/>
        <w:autoSpaceDN/>
        <w:bidi w:val="0"/>
        <w:snapToGrid w:val="0"/>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（三）主要管理人员</w:t>
      </w:r>
    </w:p>
    <w:p w14:paraId="1922232C">
      <w:pPr>
        <w:pageBreakBefore w:val="0"/>
        <w:widowControl w:val="0"/>
        <w:kinsoku/>
        <w:wordWrap/>
        <w:overflowPunct/>
        <w:topLinePunct w:val="0"/>
        <w:autoSpaceDE/>
        <w:autoSpaceDN/>
        <w:bidi w:val="0"/>
        <w:snapToGrid w:val="0"/>
        <w:spacing w:line="440" w:lineRule="exact"/>
        <w:ind w:firstLine="720"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自行承诺成交后在签订合同之前，须按照主管部门的要求组建施工项目部，配置项目管理班子，出具任命文件。</w:t>
      </w:r>
      <w:r>
        <w:rPr>
          <w:rFonts w:hint="eastAsia" w:ascii="仿宋" w:hAnsi="仿宋" w:eastAsia="仿宋" w:cs="仿宋"/>
          <w:b/>
          <w:bCs/>
          <w:color w:val="auto"/>
          <w:sz w:val="24"/>
          <w:szCs w:val="24"/>
          <w:highlight w:val="none"/>
        </w:rPr>
        <w:t>拟派的项目经理、项目技术负责人未经过</w:t>
      </w:r>
      <w:r>
        <w:rPr>
          <w:rFonts w:hint="eastAsia" w:ascii="仿宋" w:hAnsi="仿宋" w:eastAsia="仿宋" w:cs="仿宋"/>
          <w:b/>
          <w:bCs/>
          <w:color w:val="auto"/>
          <w:sz w:val="24"/>
          <w:szCs w:val="24"/>
          <w:highlight w:val="none"/>
          <w:lang w:eastAsia="zh-CN"/>
        </w:rPr>
        <w:t>招标人</w:t>
      </w:r>
      <w:r>
        <w:rPr>
          <w:rFonts w:hint="eastAsia" w:ascii="仿宋" w:hAnsi="仿宋" w:eastAsia="仿宋" w:cs="仿宋"/>
          <w:b/>
          <w:bCs/>
          <w:color w:val="auto"/>
          <w:sz w:val="24"/>
          <w:szCs w:val="24"/>
          <w:highlight w:val="none"/>
        </w:rPr>
        <w:t>同意，不得变更。</w:t>
      </w:r>
      <w:r>
        <w:rPr>
          <w:rFonts w:hint="eastAsia" w:ascii="仿宋" w:hAnsi="仿宋" w:eastAsia="仿宋" w:cs="仿宋"/>
          <w:color w:val="auto"/>
          <w:sz w:val="24"/>
          <w:szCs w:val="24"/>
          <w:highlight w:val="none"/>
        </w:rPr>
        <w:t>任命文件应当明确施工项目部的职责、岗位设置、人员配备，并书面通知</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。相关岗位管理人员应持有主管部门要求的岗位证书，并提供</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本单位为其缴纳的养老保险证明材料</w:t>
      </w:r>
      <w:r>
        <w:rPr>
          <w:rFonts w:hint="eastAsia" w:ascii="仿宋" w:hAnsi="仿宋" w:eastAsia="仿宋" w:cs="仿宋"/>
          <w:color w:val="auto"/>
          <w:sz w:val="24"/>
          <w:szCs w:val="24"/>
          <w:highlight w:val="none"/>
          <w:lang w:eastAsia="zh-CN"/>
        </w:rPr>
        <w:t>扫描件（</w:t>
      </w:r>
      <w:r>
        <w:rPr>
          <w:rFonts w:hint="eastAsia" w:ascii="仿宋" w:hAnsi="仿宋" w:eastAsia="仿宋" w:cs="仿宋"/>
          <w:color w:val="auto"/>
          <w:sz w:val="24"/>
          <w:szCs w:val="24"/>
          <w:highlight w:val="none"/>
          <w:lang w:val="en-US" w:eastAsia="zh-CN"/>
        </w:rPr>
        <w:t>或复印件扫描件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。成交后不能满足该要求的，</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可取消其</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资格，给</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造成损失的，</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依法承担违约赔偿责任。</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须在</w:t>
      </w:r>
      <w:r>
        <w:rPr>
          <w:rFonts w:hint="eastAsia" w:ascii="仿宋" w:hAnsi="仿宋" w:eastAsia="仿宋" w:cs="仿宋"/>
          <w:b/>
          <w:bCs/>
          <w:color w:val="auto"/>
          <w:sz w:val="24"/>
          <w:szCs w:val="24"/>
          <w:highlight w:val="none"/>
          <w:lang w:eastAsia="zh-CN"/>
        </w:rPr>
        <w:t>投标文件</w:t>
      </w:r>
      <w:r>
        <w:rPr>
          <w:rFonts w:hint="eastAsia" w:ascii="仿宋" w:hAnsi="仿宋" w:eastAsia="仿宋" w:cs="仿宋"/>
          <w:b/>
          <w:bCs/>
          <w:color w:val="auto"/>
          <w:sz w:val="24"/>
          <w:szCs w:val="24"/>
          <w:highlight w:val="none"/>
        </w:rPr>
        <w:t>资格审查部分提供承诺并加盖</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公章（承诺格式自拟）</w:t>
      </w:r>
    </w:p>
    <w:p w14:paraId="52277879">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highlight w:val="none"/>
        </w:rPr>
      </w:pPr>
      <w:r>
        <w:rPr>
          <w:rFonts w:hint="eastAsia" w:ascii="仿宋" w:hAnsi="仿宋" w:eastAsia="仿宋" w:cs="仿宋"/>
          <w:color w:val="auto"/>
          <w:sz w:val="24"/>
          <w:szCs w:val="24"/>
          <w:highlight w:val="none"/>
        </w:rPr>
        <w:t>（四）</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须自拟承诺，承诺严格按照</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人给出的施工图及工程量清单施工，不得擅自增减项，若</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人后期对施工内容调整，</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承诺严格遵守</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人的调整内容；项目经理未经</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人同意不得随意更换。</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须在</w:t>
      </w:r>
      <w:r>
        <w:rPr>
          <w:rFonts w:hint="eastAsia" w:ascii="仿宋" w:hAnsi="仿宋" w:eastAsia="仿宋" w:cs="仿宋"/>
          <w:b/>
          <w:bCs/>
          <w:color w:val="auto"/>
          <w:sz w:val="24"/>
          <w:szCs w:val="24"/>
          <w:highlight w:val="none"/>
          <w:lang w:eastAsia="zh-CN"/>
        </w:rPr>
        <w:t>投标文件</w:t>
      </w:r>
      <w:r>
        <w:rPr>
          <w:rFonts w:hint="eastAsia" w:ascii="仿宋" w:hAnsi="仿宋" w:eastAsia="仿宋" w:cs="仿宋"/>
          <w:b/>
          <w:bCs/>
          <w:color w:val="auto"/>
          <w:sz w:val="24"/>
          <w:szCs w:val="24"/>
          <w:highlight w:val="none"/>
        </w:rPr>
        <w:t>资格审查部分提供承诺并加盖</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公章（承诺格式自拟）</w:t>
      </w:r>
    </w:p>
    <w:p w14:paraId="70DB1D2E">
      <w:pPr>
        <w:pageBreakBefore w:val="0"/>
        <w:widowControl w:val="0"/>
        <w:kinsoku/>
        <w:wordWrap/>
        <w:overflowPunct/>
        <w:topLinePunct w:val="0"/>
        <w:autoSpaceDE/>
        <w:autoSpaceDN/>
        <w:bidi w:val="0"/>
        <w:snapToGrid w:val="0"/>
        <w:spacing w:line="440" w:lineRule="exact"/>
        <w:ind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特别说明：</w:t>
      </w:r>
    </w:p>
    <w:p w14:paraId="65FB5D5F">
      <w:pPr>
        <w:pageBreakBefore w:val="0"/>
        <w:widowControl w:val="0"/>
        <w:kinsoku/>
        <w:wordWrap/>
        <w:overflowPunct/>
        <w:topLinePunct w:val="0"/>
        <w:autoSpaceDE/>
        <w:autoSpaceDN/>
        <w:bidi w:val="0"/>
        <w:snapToGrid w:val="0"/>
        <w:spacing w:line="440" w:lineRule="exact"/>
        <w:ind w:firstLine="720" w:firstLineChars="3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（1）上述要求须提交的相关证明材料均为扫描件（或</w:t>
      </w:r>
      <w:r>
        <w:rPr>
          <w:rFonts w:hint="eastAsia" w:ascii="仿宋" w:hAnsi="仿宋" w:eastAsia="仿宋" w:cs="仿宋"/>
          <w:color w:val="auto"/>
          <w:sz w:val="24"/>
          <w:szCs w:val="24"/>
          <w:highlight w:val="none"/>
          <w:lang w:val="en-US" w:eastAsia="zh-CN"/>
        </w:rPr>
        <w:t>复印件</w:t>
      </w:r>
      <w:r>
        <w:rPr>
          <w:rFonts w:hint="eastAsia" w:ascii="仿宋" w:hAnsi="仿宋" w:eastAsia="仿宋" w:cs="仿宋"/>
          <w:color w:val="auto"/>
          <w:sz w:val="24"/>
          <w:szCs w:val="24"/>
          <w:highlight w:val="none"/>
        </w:rPr>
        <w:t>扫描件均可），扫描件须清晰可辨，有一条不满足，则</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作否决投标处理。</w:t>
      </w:r>
    </w:p>
    <w:p w14:paraId="474FCF3D">
      <w:pPr>
        <w:pageBreakBefore w:val="0"/>
        <w:widowControl w:val="0"/>
        <w:kinsoku/>
        <w:wordWrap/>
        <w:overflowPunct/>
        <w:topLinePunct w:val="0"/>
        <w:autoSpaceDE/>
        <w:autoSpaceDN/>
        <w:bidi w:val="0"/>
        <w:snapToGrid w:val="0"/>
        <w:spacing w:line="440" w:lineRule="exact"/>
        <w:ind w:firstLine="720" w:firstLineChars="3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w:t>
      </w:r>
      <w:r>
        <w:rPr>
          <w:rFonts w:hint="eastAsia" w:ascii="仿宋" w:hAnsi="仿宋" w:eastAsia="仿宋" w:cs="仿宋"/>
          <w:b/>
          <w:bCs/>
          <w:color w:val="auto"/>
          <w:sz w:val="24"/>
          <w:szCs w:val="24"/>
          <w:highlight w:val="none"/>
        </w:rPr>
        <w:t>自行承诺</w:t>
      </w:r>
      <w:r>
        <w:rPr>
          <w:rFonts w:hint="eastAsia" w:ascii="仿宋" w:hAnsi="仿宋" w:eastAsia="仿宋" w:cs="仿宋"/>
          <w:color w:val="auto"/>
          <w:sz w:val="24"/>
          <w:szCs w:val="24"/>
          <w:highlight w:val="none"/>
        </w:rPr>
        <w:t>其提供的上述相关证明材料真实有效，不存在弄虚作假情形（格式自拟）。</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在合同签订前均有权对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提供的资料进行核实，若发现弄虚作假，按相关规定取消其</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资格，并按相关法律法规报监督部门，</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承担因此造成的相关责任并赔偿相应损失</w:t>
      </w:r>
      <w:r>
        <w:rPr>
          <w:rFonts w:hint="eastAsia" w:ascii="仿宋" w:hAnsi="仿宋" w:eastAsia="仿宋" w:cs="仿宋"/>
          <w:b/>
          <w:bCs/>
          <w:color w:val="auto"/>
          <w:sz w:val="24"/>
          <w:szCs w:val="24"/>
          <w:highlight w:val="none"/>
        </w:rPr>
        <w:t>（承诺格式自拟）</w:t>
      </w:r>
      <w:r>
        <w:rPr>
          <w:rFonts w:hint="eastAsia" w:ascii="仿宋" w:hAnsi="仿宋" w:eastAsia="仿宋" w:cs="仿宋"/>
          <w:color w:val="auto"/>
          <w:sz w:val="24"/>
          <w:szCs w:val="24"/>
          <w:highlight w:val="none"/>
        </w:rPr>
        <w:t>。</w:t>
      </w:r>
    </w:p>
    <w:p w14:paraId="446D56EE">
      <w:pPr>
        <w:pageBreakBefore w:val="0"/>
        <w:widowControl w:val="0"/>
        <w:kinsoku/>
        <w:wordWrap/>
        <w:overflowPunct/>
        <w:topLinePunct w:val="0"/>
        <w:autoSpaceDE/>
        <w:autoSpaceDN/>
        <w:bidi w:val="0"/>
        <w:snapToGrid w:val="0"/>
        <w:spacing w:line="440" w:lineRule="exact"/>
        <w:ind w:firstLine="720" w:firstLineChars="3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文件中所要求的人员养老保险证明要求如下：</w:t>
      </w:r>
    </w:p>
    <w:p w14:paraId="38546BD0">
      <w:pPr>
        <w:pageBreakBefore w:val="0"/>
        <w:widowControl w:val="0"/>
        <w:kinsoku/>
        <w:wordWrap/>
        <w:overflowPunct/>
        <w:topLinePunct w:val="0"/>
        <w:autoSpaceDE/>
        <w:autoSpaceDN/>
        <w:bidi w:val="0"/>
        <w:snapToGrid w:val="0"/>
        <w:spacing w:line="440" w:lineRule="exact"/>
        <w:ind w:firstLine="720" w:firstLineChars="3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①企业提供养老保险证明，事业单位提供养老保险证明或行政主管部门在编证明。</w:t>
      </w:r>
    </w:p>
    <w:p w14:paraId="31B1D727">
      <w:pPr>
        <w:pageBreakBefore w:val="0"/>
        <w:widowControl w:val="0"/>
        <w:kinsoku/>
        <w:wordWrap/>
        <w:overflowPunct/>
        <w:topLinePunct w:val="0"/>
        <w:autoSpaceDE/>
        <w:autoSpaceDN/>
        <w:bidi w:val="0"/>
        <w:snapToGrid w:val="0"/>
        <w:spacing w:line="440" w:lineRule="exact"/>
        <w:ind w:firstLine="720" w:firstLineChars="3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②项目经理、项目技术负责人的养老保险证明期限须包含 </w:t>
      </w:r>
      <w:r>
        <w:rPr>
          <w:rFonts w:hint="eastAsia" w:ascii="仿宋" w:hAnsi="仿宋" w:eastAsia="仿宋" w:cs="仿宋"/>
          <w:b/>
          <w:bCs/>
          <w:color w:val="C00000"/>
          <w:sz w:val="24"/>
          <w:szCs w:val="24"/>
          <w:highlight w:val="none"/>
          <w:lang w:val="en-US" w:eastAsia="zh-CN"/>
        </w:rPr>
        <w:t>2025年任意一个月</w:t>
      </w:r>
      <w:r>
        <w:rPr>
          <w:rFonts w:hint="eastAsia" w:ascii="仿宋" w:hAnsi="仿宋" w:eastAsia="仿宋" w:cs="仿宋"/>
          <w:color w:val="auto"/>
          <w:sz w:val="24"/>
          <w:szCs w:val="24"/>
          <w:highlight w:val="none"/>
          <w:lang w:val="en-US" w:eastAsia="zh-CN"/>
        </w:rPr>
        <w:t>，提供的养老保险参保证明须</w:t>
      </w:r>
      <w:r>
        <w:rPr>
          <w:rFonts w:hint="eastAsia" w:ascii="仿宋" w:hAnsi="仿宋" w:eastAsia="仿宋" w:cs="仿宋"/>
          <w:color w:val="auto"/>
          <w:sz w:val="24"/>
          <w:szCs w:val="24"/>
          <w:highlight w:val="none"/>
        </w:rPr>
        <w:t>体现上述人员的姓名、身份证号（或社保号）、单位名称、本单位参保时间（或起始参保时间），并带有社保部门公章或社保部门的有效电子印章。</w:t>
      </w:r>
    </w:p>
    <w:p w14:paraId="592AADB9">
      <w:pPr>
        <w:pageBreakBefore w:val="0"/>
        <w:widowControl w:val="0"/>
        <w:kinsoku/>
        <w:wordWrap/>
        <w:overflowPunct/>
        <w:topLinePunct w:val="0"/>
        <w:autoSpaceDE/>
        <w:autoSpaceDN/>
        <w:bidi w:val="0"/>
        <w:snapToGrid w:val="0"/>
        <w:spacing w:line="440" w:lineRule="exact"/>
        <w:ind w:firstLine="720" w:firstLineChars="3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③投标人</w:t>
      </w:r>
      <w:r>
        <w:rPr>
          <w:rFonts w:hint="eastAsia" w:ascii="仿宋" w:hAnsi="仿宋" w:eastAsia="仿宋" w:cs="仿宋"/>
          <w:color w:val="auto"/>
          <w:sz w:val="24"/>
          <w:szCs w:val="24"/>
          <w:highlight w:val="none"/>
          <w:lang w:eastAsia="zh-CN"/>
        </w:rPr>
        <w:t>成立日期在2025年</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月1日及以后或拟派的项目</w:t>
      </w:r>
      <w:r>
        <w:rPr>
          <w:rFonts w:hint="eastAsia" w:ascii="仿宋" w:hAnsi="仿宋" w:eastAsia="仿宋" w:cs="仿宋"/>
          <w:color w:val="auto"/>
          <w:sz w:val="24"/>
          <w:szCs w:val="24"/>
          <w:highlight w:val="none"/>
          <w:lang w:val="en-US" w:eastAsia="zh-CN"/>
        </w:rPr>
        <w:t>经理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项目技术负责人</w:t>
      </w:r>
      <w:r>
        <w:rPr>
          <w:rFonts w:hint="eastAsia" w:ascii="仿宋" w:hAnsi="仿宋" w:eastAsia="仿宋" w:cs="仿宋"/>
          <w:color w:val="auto"/>
          <w:sz w:val="24"/>
          <w:szCs w:val="24"/>
          <w:highlight w:val="none"/>
          <w:lang w:eastAsia="zh-CN"/>
        </w:rPr>
        <w:t>至</w:t>
      </w:r>
      <w:r>
        <w:rPr>
          <w:rFonts w:hint="eastAsia" w:ascii="仿宋" w:hAnsi="仿宋" w:eastAsia="仿宋" w:cs="仿宋"/>
          <w:color w:val="auto"/>
          <w:sz w:val="24"/>
          <w:szCs w:val="24"/>
          <w:highlight w:val="none"/>
          <w:lang w:val="en-US" w:eastAsia="zh-CN"/>
        </w:rPr>
        <w:t>投标文件</w:t>
      </w:r>
      <w:r>
        <w:rPr>
          <w:rFonts w:hint="eastAsia" w:ascii="仿宋" w:hAnsi="仿宋" w:eastAsia="仿宋" w:cs="仿宋"/>
          <w:color w:val="auto"/>
          <w:sz w:val="24"/>
          <w:szCs w:val="24"/>
          <w:highlight w:val="none"/>
          <w:lang w:eastAsia="zh-CN"/>
        </w:rPr>
        <w:t>递交截止时间入职时间不足1个月，无法提供养老保险证明材料的，可提供</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lang w:eastAsia="zh-CN"/>
        </w:rPr>
        <w:t>与拟派的项目</w:t>
      </w:r>
      <w:r>
        <w:rPr>
          <w:rFonts w:hint="eastAsia" w:ascii="仿宋" w:hAnsi="仿宋" w:eastAsia="仿宋" w:cs="仿宋"/>
          <w:color w:val="auto"/>
          <w:sz w:val="24"/>
          <w:szCs w:val="24"/>
          <w:highlight w:val="none"/>
          <w:lang w:val="en-US" w:eastAsia="zh-CN"/>
        </w:rPr>
        <w:t>负责人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项目技术负责人</w:t>
      </w:r>
      <w:r>
        <w:rPr>
          <w:rFonts w:hint="eastAsia" w:ascii="仿宋" w:hAnsi="仿宋" w:eastAsia="仿宋" w:cs="仿宋"/>
          <w:color w:val="auto"/>
          <w:sz w:val="24"/>
          <w:szCs w:val="24"/>
          <w:highlight w:val="none"/>
          <w:lang w:eastAsia="zh-CN"/>
        </w:rPr>
        <w:t>签订的劳动合同扫描件。</w:t>
      </w:r>
    </w:p>
    <w:p w14:paraId="4B14D268">
      <w:pPr>
        <w:pageBreakBefore w:val="0"/>
        <w:widowControl w:val="0"/>
        <w:kinsoku/>
        <w:wordWrap/>
        <w:overflowPunct/>
        <w:topLinePunct w:val="0"/>
        <w:autoSpaceDE/>
        <w:autoSpaceDN/>
        <w:bidi w:val="0"/>
        <w:snapToGrid w:val="0"/>
        <w:spacing w:line="440" w:lineRule="exact"/>
        <w:jc w:val="left"/>
        <w:textAlignment w:val="auto"/>
        <w:rPr>
          <w:rFonts w:hint="eastAsia" w:ascii="仿宋" w:hAnsi="仿宋" w:eastAsia="仿宋" w:cs="仿宋"/>
          <w:b/>
          <w:bCs/>
          <w:color w:val="auto"/>
          <w:sz w:val="24"/>
          <w:szCs w:val="24"/>
          <w:highlight w:val="none"/>
        </w:rPr>
      </w:pPr>
      <w:bookmarkStart w:id="34" w:name="_Toc2705"/>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rPr>
        <w:t>、安全生产</w:t>
      </w:r>
      <w:bookmarkEnd w:id="34"/>
    </w:p>
    <w:p w14:paraId="71C149F7">
      <w:pPr>
        <w:pageBreakBefore w:val="0"/>
        <w:widowControl w:val="0"/>
        <w:kinsoku/>
        <w:wordWrap/>
        <w:overflowPunct/>
        <w:topLinePunct w:val="0"/>
        <w:autoSpaceDE/>
        <w:autoSpaceDN/>
        <w:bidi w:val="0"/>
        <w:spacing w:line="440" w:lineRule="exact"/>
        <w:ind w:firstLine="470" w:firstLineChars="196"/>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按国家及行业的相关规定做好安全文明施工管理工作，制定严格的安全防护措施，确保安全施工，若因</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原因（包括但不仅限于：①周边环境复杂，工程施工涉及用电安全，由此由</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所引起的漏电导致自身员工伤亡、行人伤亡或财产损失；②</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实施本工程引起的施工降效、施工噪音、施工干扰和需采取的安全保护等相关措施所产生的一切责任、纠纷；③因本工程使用产品材料质量原因导致的火灾等所造成的一切安全事故、责任事故、相应责任和经济损失的任何责任）造成的一切安全事故、责任事故，相应责任和经济损失均由</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自行承担。</w:t>
      </w:r>
      <w:r>
        <w:rPr>
          <w:rFonts w:hint="eastAsia" w:ascii="仿宋" w:hAnsi="仿宋" w:eastAsia="仿宋" w:cs="仿宋"/>
          <w:color w:val="auto"/>
          <w:sz w:val="24"/>
          <w:szCs w:val="24"/>
          <w:highlight w:val="none"/>
        </w:rPr>
        <w:t>由此给</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人造成损失的，</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还应当赔偿。</w:t>
      </w:r>
    </w:p>
    <w:p w14:paraId="61D4123C">
      <w:pPr>
        <w:pageBreakBefore w:val="0"/>
        <w:widowControl w:val="0"/>
        <w:kinsoku/>
        <w:wordWrap/>
        <w:overflowPunct/>
        <w:topLinePunct w:val="0"/>
        <w:autoSpaceDE/>
        <w:autoSpaceDN/>
        <w:bidi w:val="0"/>
        <w:snapToGrid w:val="0"/>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）在施工过程中，</w:t>
      </w:r>
      <w:r>
        <w:rPr>
          <w:rFonts w:hint="eastAsia" w:ascii="仿宋" w:hAnsi="仿宋" w:eastAsia="仿宋" w:cs="仿宋"/>
          <w:color w:val="auto"/>
          <w:sz w:val="24"/>
          <w:szCs w:val="24"/>
          <w:highlight w:val="none"/>
          <w:lang w:val="en-US" w:eastAsia="zh-CN"/>
        </w:rPr>
        <w:t>中标人</w:t>
      </w:r>
      <w:r>
        <w:rPr>
          <w:rFonts w:hint="eastAsia" w:ascii="仿宋" w:hAnsi="仿宋" w:eastAsia="仿宋" w:cs="仿宋"/>
          <w:color w:val="auto"/>
          <w:sz w:val="24"/>
          <w:szCs w:val="24"/>
          <w:highlight w:val="none"/>
        </w:rPr>
        <w:t>须做到安全施工、文明施工，并做好相应的施工安全公告及警戒标识，</w:t>
      </w:r>
      <w:r>
        <w:rPr>
          <w:rFonts w:hint="eastAsia" w:ascii="仿宋" w:hAnsi="仿宋" w:eastAsia="仿宋" w:cs="仿宋"/>
          <w:color w:val="auto"/>
          <w:sz w:val="24"/>
          <w:szCs w:val="24"/>
          <w:highlight w:val="none"/>
          <w:lang w:val="en-US" w:eastAsia="zh-CN"/>
        </w:rPr>
        <w:t>中标人</w:t>
      </w:r>
      <w:r>
        <w:rPr>
          <w:rFonts w:hint="eastAsia" w:ascii="仿宋" w:hAnsi="仿宋" w:eastAsia="仿宋" w:cs="仿宋"/>
          <w:color w:val="auto"/>
          <w:sz w:val="24"/>
          <w:szCs w:val="24"/>
          <w:highlight w:val="none"/>
        </w:rPr>
        <w:t>应当与其施工人员建立劳动关系，承担全部用人用工主体责任。</w:t>
      </w:r>
    </w:p>
    <w:p w14:paraId="25D15830">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）施工中</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必须按照安全文明施工管理规定设置明显的标识标志。</w:t>
      </w:r>
    </w:p>
    <w:p w14:paraId="52E76804">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四</w:t>
      </w:r>
      <w:r>
        <w:rPr>
          <w:rFonts w:hint="eastAsia" w:ascii="仿宋" w:hAnsi="仿宋" w:eastAsia="仿宋" w:cs="仿宋"/>
          <w:color w:val="auto"/>
          <w:sz w:val="24"/>
          <w:highlight w:val="none"/>
          <w:lang w:eastAsia="zh-CN"/>
        </w:rPr>
        <w:t>）中标人</w:t>
      </w:r>
      <w:r>
        <w:rPr>
          <w:rFonts w:hint="eastAsia" w:ascii="仿宋" w:hAnsi="仿宋" w:eastAsia="仿宋" w:cs="仿宋"/>
          <w:color w:val="auto"/>
          <w:sz w:val="24"/>
          <w:highlight w:val="none"/>
        </w:rPr>
        <w:t>应做好文明施工，杜绝野蛮施工，及时做好施工现场的整理、整顿、清洁工作。</w:t>
      </w:r>
    </w:p>
    <w:p w14:paraId="1A169EAA">
      <w:pPr>
        <w:outlineLvl w:val="9"/>
        <w:rPr>
          <w:rFonts w:hint="eastAsia" w:ascii="仿宋" w:hAnsi="仿宋" w:eastAsia="仿宋" w:cs="仿宋"/>
          <w:highlight w:val="none"/>
        </w:rPr>
      </w:pPr>
    </w:p>
    <w:p w14:paraId="2E52A9B6">
      <w:pPr>
        <w:outlineLvl w:val="9"/>
        <w:rPr>
          <w:rFonts w:hint="eastAsia" w:ascii="仿宋" w:hAnsi="仿宋" w:eastAsia="仿宋" w:cs="仿宋"/>
          <w:highlight w:val="none"/>
        </w:rPr>
      </w:pPr>
    </w:p>
    <w:p w14:paraId="65ACDB50">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br w:type="page"/>
      </w:r>
    </w:p>
    <w:p w14:paraId="3F7F41F4">
      <w:pPr>
        <w:pStyle w:val="3"/>
        <w:pageBreakBefore w:val="0"/>
        <w:widowControl w:val="0"/>
        <w:kinsoku/>
        <w:wordWrap/>
        <w:overflowPunct/>
        <w:topLinePunct w:val="0"/>
        <w:autoSpaceDE/>
        <w:autoSpaceDN/>
        <w:bidi w:val="0"/>
        <w:adjustRightInd/>
        <w:spacing w:line="440" w:lineRule="exact"/>
        <w:jc w:val="center"/>
        <w:textAlignment w:val="auto"/>
        <w:rPr>
          <w:rFonts w:hint="eastAsia" w:ascii="仿宋" w:hAnsi="仿宋" w:eastAsia="仿宋" w:cs="仿宋"/>
          <w:color w:val="auto"/>
          <w:sz w:val="36"/>
          <w:szCs w:val="36"/>
          <w:highlight w:val="none"/>
        </w:rPr>
      </w:pPr>
      <w:bookmarkStart w:id="35" w:name="_Toc4743"/>
      <w:r>
        <w:rPr>
          <w:rFonts w:hint="eastAsia" w:ascii="仿宋" w:hAnsi="仿宋" w:eastAsia="仿宋" w:cs="仿宋"/>
          <w:color w:val="auto"/>
          <w:sz w:val="36"/>
          <w:szCs w:val="36"/>
          <w:highlight w:val="none"/>
          <w:lang w:val="en-US" w:eastAsia="zh-CN"/>
        </w:rPr>
        <w:t xml:space="preserve">第三篇  </w:t>
      </w:r>
      <w:bookmarkEnd w:id="26"/>
      <w:bookmarkEnd w:id="27"/>
      <w:bookmarkEnd w:id="28"/>
      <w:bookmarkEnd w:id="29"/>
      <w:bookmarkEnd w:id="30"/>
      <w:bookmarkEnd w:id="31"/>
      <w:r>
        <w:rPr>
          <w:rFonts w:hint="eastAsia" w:ascii="仿宋" w:hAnsi="仿宋" w:eastAsia="仿宋" w:cs="仿宋"/>
          <w:color w:val="auto"/>
          <w:sz w:val="36"/>
          <w:szCs w:val="36"/>
          <w:highlight w:val="none"/>
          <w:lang w:val="en-US" w:eastAsia="zh-CN"/>
        </w:rPr>
        <w:t>项目商务需求</w:t>
      </w:r>
      <w:bookmarkEnd w:id="35"/>
    </w:p>
    <w:bookmarkEnd w:id="22"/>
    <w:bookmarkEnd w:id="32"/>
    <w:bookmarkEnd w:id="33"/>
    <w:p w14:paraId="3D8EABFC">
      <w:pPr>
        <w:pageBreakBefore w:val="0"/>
        <w:widowControl w:val="0"/>
        <w:kinsoku/>
        <w:wordWrap/>
        <w:overflowPunct/>
        <w:topLinePunct w:val="0"/>
        <w:autoSpaceDE/>
        <w:autoSpaceDN/>
        <w:bidi w:val="0"/>
        <w:adjustRightInd/>
        <w:snapToGrid w:val="0"/>
        <w:spacing w:line="440" w:lineRule="exact"/>
        <w:textAlignment w:val="auto"/>
        <w:rPr>
          <w:rFonts w:hint="eastAsia" w:ascii="仿宋" w:hAnsi="仿宋" w:eastAsia="仿宋" w:cs="仿宋"/>
          <w:b/>
          <w:bCs/>
          <w:color w:val="auto"/>
          <w:kern w:val="0"/>
          <w:sz w:val="24"/>
          <w:szCs w:val="24"/>
          <w:highlight w:val="none"/>
          <w:lang w:val="en-US" w:eastAsia="zh-CN"/>
        </w:rPr>
      </w:pPr>
      <w:bookmarkStart w:id="36" w:name="_Toc4837"/>
      <w:bookmarkStart w:id="37" w:name="_Toc525658704"/>
      <w:bookmarkStart w:id="38" w:name="_Toc342913393"/>
      <w:bookmarkStart w:id="39" w:name="_Toc8808"/>
      <w:bookmarkStart w:id="40" w:name="_Toc24569665"/>
      <w:bookmarkStart w:id="41" w:name="_Toc267320051"/>
      <w:bookmarkStart w:id="42" w:name="_Toc102227319"/>
      <w:bookmarkStart w:id="43" w:name="_Toc179714298"/>
      <w:bookmarkStart w:id="44" w:name="_Toc31319"/>
      <w:bookmarkStart w:id="45" w:name="_Toc516231412"/>
      <w:bookmarkStart w:id="46" w:name="_Toc21783685"/>
      <w:r>
        <w:rPr>
          <w:rFonts w:hint="eastAsia" w:ascii="仿宋" w:hAnsi="仿宋" w:eastAsia="仿宋" w:cs="仿宋"/>
          <w:b/>
          <w:bCs/>
          <w:color w:val="auto"/>
          <w:kern w:val="0"/>
          <w:sz w:val="24"/>
          <w:szCs w:val="24"/>
          <w:highlight w:val="none"/>
          <w:lang w:val="en-US" w:eastAsia="zh-CN"/>
        </w:rPr>
        <w:t>一、工期、地点及验收方式</w:t>
      </w:r>
      <w:bookmarkEnd w:id="36"/>
    </w:p>
    <w:bookmarkEnd w:id="37"/>
    <w:bookmarkEnd w:id="38"/>
    <w:bookmarkEnd w:id="39"/>
    <w:bookmarkEnd w:id="40"/>
    <w:bookmarkEnd w:id="41"/>
    <w:bookmarkEnd w:id="42"/>
    <w:bookmarkEnd w:id="43"/>
    <w:bookmarkEnd w:id="44"/>
    <w:bookmarkEnd w:id="45"/>
    <w:p w14:paraId="72166ECF">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bookmarkStart w:id="47" w:name="_Toc267320050"/>
      <w:r>
        <w:rPr>
          <w:rFonts w:hint="eastAsia" w:ascii="仿宋" w:hAnsi="仿宋" w:eastAsia="仿宋" w:cs="仿宋"/>
          <w:color w:val="auto"/>
          <w:kern w:val="0"/>
          <w:sz w:val="24"/>
          <w:szCs w:val="24"/>
          <w:highlight w:val="none"/>
          <w:lang w:val="en-US" w:eastAsia="zh-CN"/>
        </w:rPr>
        <w:t>（一）工期：施工合同签订后30日历天内完成所有施工内容并验收合格。</w:t>
      </w:r>
    </w:p>
    <w:p w14:paraId="49D5548E">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（二）建设地点：</w:t>
      </w:r>
      <w:r>
        <w:rPr>
          <w:rFonts w:hint="eastAsia" w:ascii="仿宋" w:hAnsi="仿宋" w:eastAsia="仿宋" w:cs="仿宋"/>
          <w:color w:val="auto"/>
          <w:sz w:val="24"/>
          <w:szCs w:val="24"/>
          <w:highlight w:val="none"/>
          <w:lang w:val="en-US" w:eastAsia="zh-CN"/>
        </w:rPr>
        <w:t>重庆市南岸区天文大道7号</w:t>
      </w:r>
      <w:r>
        <w:rPr>
          <w:rFonts w:hint="eastAsia" w:ascii="仿宋" w:hAnsi="仿宋" w:eastAsia="仿宋" w:cs="仿宋"/>
          <w:color w:val="auto"/>
          <w:kern w:val="0"/>
          <w:sz w:val="24"/>
          <w:szCs w:val="24"/>
          <w:highlight w:val="none"/>
          <w:lang w:val="en-US" w:eastAsia="zh-CN"/>
        </w:rPr>
        <w:t>。</w:t>
      </w:r>
    </w:p>
    <w:p w14:paraId="76E08FDB">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（三）验收方式</w:t>
      </w:r>
      <w:bookmarkEnd w:id="47"/>
    </w:p>
    <w:p w14:paraId="6A8314B5">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bookmarkStart w:id="48" w:name="_Toc15594"/>
      <w:bookmarkStart w:id="49" w:name="_Toc29345"/>
      <w:bookmarkStart w:id="50" w:name="_Toc8488"/>
      <w:r>
        <w:rPr>
          <w:rFonts w:hint="eastAsia" w:ascii="仿宋" w:hAnsi="仿宋" w:eastAsia="仿宋" w:cs="仿宋"/>
          <w:color w:val="auto"/>
          <w:kern w:val="0"/>
          <w:sz w:val="24"/>
          <w:szCs w:val="24"/>
          <w:highlight w:val="none"/>
          <w:lang w:val="en-US" w:eastAsia="zh-CN"/>
        </w:rPr>
        <w:t>1.设备和材料到货后，中标人应通知招标人现场管理人员</w:t>
      </w:r>
      <w:bookmarkStart w:id="51" w:name="_Hlk50319831"/>
      <w:r>
        <w:rPr>
          <w:rFonts w:hint="eastAsia" w:ascii="仿宋" w:hAnsi="仿宋" w:eastAsia="仿宋" w:cs="仿宋"/>
          <w:color w:val="auto"/>
          <w:kern w:val="0"/>
          <w:sz w:val="24"/>
          <w:szCs w:val="24"/>
          <w:highlight w:val="none"/>
          <w:lang w:val="en-US" w:eastAsia="zh-CN"/>
        </w:rPr>
        <w:t>和工程监理</w:t>
      </w:r>
      <w:bookmarkEnd w:id="51"/>
      <w:r>
        <w:rPr>
          <w:rFonts w:hint="eastAsia" w:ascii="仿宋" w:hAnsi="仿宋" w:eastAsia="仿宋" w:cs="仿宋"/>
          <w:color w:val="auto"/>
          <w:kern w:val="0"/>
          <w:sz w:val="24"/>
          <w:szCs w:val="24"/>
          <w:highlight w:val="none"/>
          <w:lang w:val="en-US" w:eastAsia="zh-CN"/>
        </w:rPr>
        <w:t>人员共同对材料进行验收，货到验收时如与承诺的要求不一致，招标人可拒绝收货，由此造成的一切损失，应由中标人全部承担。设备和材料验收合格后才能进行实施。</w:t>
      </w:r>
    </w:p>
    <w:p w14:paraId="6B9F348A">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中标人必须按照工程设计图纸和施工技术标准施工，不得擅自修改工程设计，不得偷工减料。施工过程应遵照现行国家有关规范进行，按照工程量清单、图纸及有关要求进行检查验收。中标人应保证工程质量，工程用建筑材料须符合国家及行业标准，项目工程符合强制性质量标准，符合国家和重庆市现行有关施工质量验收规范要求，并达到合格标准。</w:t>
      </w:r>
    </w:p>
    <w:p w14:paraId="0315B071">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3.隐蔽工程在隐蔽前，中标人应当通知招标人，以便于招标人验收。</w:t>
      </w:r>
    </w:p>
    <w:p w14:paraId="35A15B14">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4.工程完工后，按国家相关标准验收程序和规程进行验收，招标人代表、工程监理和中标人三方签字确认。验收的相关费用由中标人承担。</w:t>
      </w:r>
    </w:p>
    <w:p w14:paraId="6420A2A0">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5.中标人未达到招标文件的要求，且对招标人造成损失的，由中标人承担一切责任，并赔偿所造成的损失。</w:t>
      </w:r>
    </w:p>
    <w:p w14:paraId="540379D8">
      <w:pPr>
        <w:pStyle w:val="4"/>
        <w:pageBreakBefore w:val="0"/>
        <w:widowControl w:val="0"/>
        <w:kinsoku/>
        <w:wordWrap/>
        <w:overflowPunct/>
        <w:topLinePunct w:val="0"/>
        <w:autoSpaceDE/>
        <w:autoSpaceDN/>
        <w:bidi w:val="0"/>
        <w:adjustRightInd/>
        <w:snapToGrid w:val="0"/>
        <w:spacing w:before="0" w:after="0"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val="en-US" w:eastAsia="zh-CN"/>
        </w:rPr>
        <w:t>计价方式和</w:t>
      </w:r>
      <w:r>
        <w:rPr>
          <w:rFonts w:hint="eastAsia" w:ascii="仿宋" w:hAnsi="仿宋" w:eastAsia="仿宋" w:cs="仿宋"/>
          <w:color w:val="auto"/>
          <w:sz w:val="24"/>
          <w:szCs w:val="24"/>
          <w:highlight w:val="none"/>
        </w:rPr>
        <w:t>报价要求</w:t>
      </w:r>
      <w:bookmarkEnd w:id="48"/>
      <w:bookmarkEnd w:id="49"/>
      <w:bookmarkEnd w:id="50"/>
    </w:p>
    <w:p w14:paraId="5D5EF4B4">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bookmarkStart w:id="52" w:name="_Toc24569666"/>
      <w:bookmarkStart w:id="53" w:name="_Toc8523"/>
      <w:bookmarkStart w:id="54" w:name="_Toc344475121"/>
      <w:bookmarkStart w:id="55" w:name="_Toc20397"/>
      <w:bookmarkStart w:id="56" w:name="_Toc403569791"/>
      <w:bookmarkStart w:id="57" w:name="_Toc31674"/>
      <w:bookmarkStart w:id="58" w:name="_Toc30477"/>
      <w:r>
        <w:rPr>
          <w:rFonts w:hint="eastAsia" w:ascii="仿宋" w:hAnsi="仿宋" w:eastAsia="仿宋" w:cs="仿宋"/>
          <w:color w:val="auto"/>
          <w:kern w:val="0"/>
          <w:sz w:val="24"/>
          <w:szCs w:val="24"/>
          <w:highlight w:val="none"/>
          <w:lang w:val="en-US" w:eastAsia="zh-CN"/>
        </w:rPr>
        <w:t>（一）计价方式：工程量清单计价方式。</w:t>
      </w:r>
    </w:p>
    <w:p w14:paraId="60E4C19B">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bookmarkStart w:id="59" w:name="_Toc13734"/>
      <w:r>
        <w:rPr>
          <w:rFonts w:hint="eastAsia" w:ascii="仿宋" w:hAnsi="仿宋" w:eastAsia="仿宋" w:cs="仿宋"/>
          <w:color w:val="auto"/>
          <w:kern w:val="0"/>
          <w:sz w:val="24"/>
          <w:szCs w:val="24"/>
          <w:highlight w:val="none"/>
          <w:lang w:val="en-US" w:eastAsia="zh-CN"/>
        </w:rPr>
        <w:t>（二）报价要求</w:t>
      </w:r>
      <w:bookmarkEnd w:id="59"/>
    </w:p>
    <w:p w14:paraId="2B6FD966">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cs="宋体" w:asciiTheme="minorEastAsia" w:hAnsiTheme="minorEastAsia" w:eastAsiaTheme="minorEastAsia"/>
          <w:color w:val="auto"/>
          <w:sz w:val="24"/>
          <w:szCs w:val="24"/>
          <w:highlight w:val="none"/>
        </w:rPr>
      </w:pPr>
      <w:r>
        <w:rPr>
          <w:rFonts w:hint="eastAsia" w:ascii="仿宋" w:hAnsi="仿宋" w:eastAsia="仿宋" w:cs="仿宋"/>
          <w:color w:val="auto"/>
          <w:kern w:val="0"/>
          <w:sz w:val="24"/>
          <w:szCs w:val="24"/>
          <w:highlight w:val="none"/>
          <w:lang w:val="en-US" w:eastAsia="zh-CN"/>
        </w:rPr>
        <w:t>本次报价须为人民币报价，投标人以招标文件、工程量清单、国家技术和经济规范及标准为依据，由投标人结合自身实力、市场行情自主合理报价。报价应包括完成招标</w:t>
      </w:r>
      <w:bookmarkStart w:id="60" w:name="_Toc6412"/>
      <w:r>
        <w:rPr>
          <w:rFonts w:hint="eastAsia" w:ascii="仿宋" w:hAnsi="仿宋" w:eastAsia="仿宋" w:cs="仿宋"/>
          <w:color w:val="auto"/>
          <w:kern w:val="0"/>
          <w:sz w:val="24"/>
          <w:szCs w:val="24"/>
          <w:highlight w:val="none"/>
          <w:lang w:val="en-US" w:eastAsia="zh-CN"/>
        </w:rPr>
        <w:t>范围内工程项目的人工费、材料费、机械费、企业管理费、利润、风险费用、已完工程及设备保护费、材料检验试验费、临时保护设施费、建设工程竣工档案编制费、场地（竣工面）清理费（含：垃圾清运）、规费、安全文明施工措施费、税金、政策性文件规定、报建和验收以及施工其间的市场波动风险等所需的所有费用，招标人除此以外不支付其它费用。</w:t>
      </w:r>
    </w:p>
    <w:p w14:paraId="1CC682C9">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（三）报价依据：</w:t>
      </w:r>
      <w:bookmarkEnd w:id="60"/>
    </w:p>
    <w:p w14:paraId="484CD6C3">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1、各投标人以招标文件、工程量清单、周边环境、现场勘查、国家技术和经济规范及标准、《建设项目施工图预算编审规程》（CECA/GC 5-2010）、《建设工程工程量清单计价规范》（GB50500-2013）、《重庆市建设工程工程量清单计价规则》（CQJJGZ-2013）、《重庆市建设工程工程量计算规则》（CQJLGZ-2013）、《重庆市房屋建筑与装饰工程计价定额》（CQJZZSDE-2018）、《重庆市通用安装工程计价定额》（CQAZDE-2018）、《重庆市建设工程费用定额》（CQFYDE-2018） 及相关配套文件的规定，结合自身实力、市场行情自主合理报价。投标报价应包括完成采购范围内工程项目的人工费、材料费、机械费、企业管理费、利润、风险费用、措施费（含安全文明施工费）、规费、税金、并考虑政策性文件规定的费用，以及合同文件中应由中标人承担的所有责任、义务和一般风险等费用，招标人除此以外不支付其它费用。</w:t>
      </w:r>
    </w:p>
    <w:p w14:paraId="611EC67E">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投标人应认真填写工程量清单中所列的本合同各工程子目的单价或总价。投标人没有填入单价或总价的工程子目，招标人将认为该子目的价款已包括在工程量清单其他子目的单价和总价中。投标人在工程量清单中多报的子目和单价或总价招标人将不予接受，并将被视为重大偏差，其投标文件将被否决。投标人须按招标人提供的工程量清单填报价格，不得随意更改工程量清单内的项目编码、项目名称、项目特征、计量单位、工程量（措施项目清单除外），否则作无效响应处理。</w:t>
      </w:r>
    </w:p>
    <w:p w14:paraId="45CCB65A">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3、报价函中的总报价必须与已标价工程量清单总报价一致，否则作无效响应处理。</w:t>
      </w:r>
    </w:p>
    <w:p w14:paraId="64866ACC">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4、安全文明施工费：</w:t>
      </w:r>
    </w:p>
    <w:p w14:paraId="47073E85">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zh-CN" w:eastAsia="zh-CN"/>
        </w:rPr>
      </w:pPr>
      <w:r>
        <w:rPr>
          <w:rFonts w:hint="eastAsia" w:ascii="仿宋" w:hAnsi="仿宋" w:eastAsia="仿宋" w:cs="仿宋"/>
          <w:color w:val="auto"/>
          <w:kern w:val="0"/>
          <w:sz w:val="24"/>
          <w:szCs w:val="24"/>
          <w:highlight w:val="none"/>
          <w:lang w:val="en-US" w:eastAsia="zh-CN"/>
        </w:rPr>
        <w:t>4.1</w:t>
      </w:r>
      <w:r>
        <w:rPr>
          <w:rFonts w:hint="eastAsia" w:ascii="仿宋" w:hAnsi="仿宋" w:eastAsia="仿宋" w:cs="仿宋"/>
          <w:color w:val="auto"/>
          <w:kern w:val="0"/>
          <w:sz w:val="24"/>
          <w:szCs w:val="24"/>
          <w:highlight w:val="none"/>
          <w:lang w:val="zh-CN" w:eastAsia="zh-CN"/>
        </w:rPr>
        <w:t>根据《重庆城乡建设委员会关于印发&lt;重庆市建设工程安全文明施工费计取及使用管理规定&gt;的通知》（渝建发〔2014〕25号）、《重庆市建设工程安全文明施工费计取及使用管理规定（2024版）》（渝建管〔2024〕38号）规定，安全文明施工费由安全施工费、文明施工费、环境保护费及临时设施费组成。</w:t>
      </w:r>
    </w:p>
    <w:p w14:paraId="64105C65">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zh-CN" w:eastAsia="zh-CN"/>
        </w:rPr>
      </w:pPr>
      <w:r>
        <w:rPr>
          <w:rFonts w:hint="eastAsia" w:ascii="仿宋" w:hAnsi="仿宋" w:eastAsia="仿宋" w:cs="仿宋"/>
          <w:color w:val="auto"/>
          <w:kern w:val="0"/>
          <w:sz w:val="24"/>
          <w:szCs w:val="24"/>
          <w:highlight w:val="none"/>
          <w:lang w:val="en-US" w:eastAsia="zh-CN"/>
        </w:rPr>
        <w:t>4.2</w:t>
      </w:r>
      <w:r>
        <w:rPr>
          <w:rFonts w:hint="eastAsia" w:ascii="仿宋" w:hAnsi="仿宋" w:eastAsia="仿宋" w:cs="仿宋"/>
          <w:color w:val="auto"/>
          <w:kern w:val="0"/>
          <w:sz w:val="24"/>
          <w:szCs w:val="24"/>
          <w:highlight w:val="none"/>
          <w:lang w:val="zh-CN" w:eastAsia="zh-CN"/>
        </w:rPr>
        <w:t>本工程安全文明施工费由</w:t>
      </w:r>
      <w:r>
        <w:rPr>
          <w:rFonts w:hint="eastAsia" w:ascii="仿宋" w:hAnsi="仿宋" w:eastAsia="仿宋" w:cs="仿宋"/>
          <w:color w:val="auto"/>
          <w:kern w:val="0"/>
          <w:sz w:val="24"/>
          <w:szCs w:val="24"/>
          <w:highlight w:val="none"/>
          <w:lang w:val="en-US" w:eastAsia="zh-CN"/>
        </w:rPr>
        <w:t>招标人</w:t>
      </w:r>
      <w:r>
        <w:rPr>
          <w:rFonts w:hint="eastAsia" w:ascii="仿宋" w:hAnsi="仿宋" w:eastAsia="仿宋" w:cs="仿宋"/>
          <w:color w:val="auto"/>
          <w:kern w:val="0"/>
          <w:sz w:val="24"/>
          <w:szCs w:val="24"/>
          <w:highlight w:val="none"/>
          <w:lang w:val="zh-CN" w:eastAsia="zh-CN"/>
        </w:rPr>
        <w:t>根据《建设工程工程量清单计价规范》（GB50500-2013）、《重庆市建设工程工程量清单计价规则》（CQJJGZ-2013）、《重庆市城乡建设委员会关于印发&lt;重庆市建设工程安全文明施工费计取及使用管理规定&gt;的通知》（渝建发〔2014〕25号）、《重庆市住房和城乡建设委员会关于调整建设施工现场形象品质提升安全文明施工费计取的通知》（渝建管〔2020〕97号）、《重庆市建设工程费用定额》（CQFYDE-2018）、《重庆市住房和城乡建设委员会关于适用增值税新税率调整建设工程计价依据的通知》（渝建〔2019〕143号）的相关规定和费用标准计算。</w:t>
      </w:r>
    </w:p>
    <w:p w14:paraId="660A17D8">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4.3投标人</w:t>
      </w:r>
      <w:r>
        <w:rPr>
          <w:rFonts w:hint="eastAsia" w:ascii="仿宋" w:hAnsi="仿宋" w:eastAsia="仿宋" w:cs="仿宋"/>
          <w:color w:val="auto"/>
          <w:kern w:val="0"/>
          <w:sz w:val="24"/>
          <w:szCs w:val="24"/>
          <w:highlight w:val="none"/>
          <w:lang w:val="zh-CN" w:eastAsia="zh-CN"/>
        </w:rPr>
        <w:t>的报价中对于</w:t>
      </w:r>
      <w:r>
        <w:rPr>
          <w:rFonts w:hint="eastAsia" w:ascii="仿宋" w:hAnsi="仿宋" w:eastAsia="仿宋" w:cs="仿宋"/>
          <w:color w:val="auto"/>
          <w:kern w:val="0"/>
          <w:sz w:val="24"/>
          <w:szCs w:val="24"/>
          <w:highlight w:val="none"/>
          <w:lang w:val="en-US" w:eastAsia="zh-CN"/>
        </w:rPr>
        <w:t>招标人</w:t>
      </w:r>
      <w:r>
        <w:rPr>
          <w:rFonts w:hint="eastAsia" w:ascii="仿宋" w:hAnsi="仿宋" w:eastAsia="仿宋" w:cs="仿宋"/>
          <w:color w:val="auto"/>
          <w:kern w:val="0"/>
          <w:sz w:val="24"/>
          <w:szCs w:val="24"/>
          <w:highlight w:val="none"/>
          <w:lang w:val="zh-CN" w:eastAsia="zh-CN"/>
        </w:rPr>
        <w:t>给出的安全文明施工费以及暂列金额都不能进行改动，须按照</w:t>
      </w:r>
      <w:r>
        <w:rPr>
          <w:rFonts w:hint="eastAsia" w:ascii="仿宋" w:hAnsi="仿宋" w:eastAsia="仿宋" w:cs="仿宋"/>
          <w:color w:val="auto"/>
          <w:kern w:val="0"/>
          <w:sz w:val="24"/>
          <w:szCs w:val="24"/>
          <w:highlight w:val="none"/>
          <w:lang w:val="en-US" w:eastAsia="zh-CN"/>
        </w:rPr>
        <w:t>招标人</w:t>
      </w:r>
      <w:r>
        <w:rPr>
          <w:rFonts w:hint="eastAsia" w:ascii="仿宋" w:hAnsi="仿宋" w:eastAsia="仿宋" w:cs="仿宋"/>
          <w:color w:val="auto"/>
          <w:kern w:val="0"/>
          <w:sz w:val="24"/>
          <w:szCs w:val="24"/>
          <w:highlight w:val="none"/>
          <w:lang w:val="zh-CN" w:eastAsia="zh-CN"/>
        </w:rPr>
        <w:t>给出的金额报价，否则作否决投标处理。</w:t>
      </w:r>
    </w:p>
    <w:p w14:paraId="2DB598B2">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4.4安全文明施工费的要求与内容、提取支付方法以及违反约定造成损失的赔偿等条款，按照现行规范性要求执行，做到专款专用。</w:t>
      </w:r>
    </w:p>
    <w:p w14:paraId="061A5AED">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本工程所需材料、设备由投标人参照重庆市建设工程造价管理总站发布的《重庆工程造价信息》或工程造价管理机构发布的工程造价信息（2025年第5期《重庆工程造价信息》公布的价格），并结合市场行情及自身实力进行自主报价。材料运输距离由投标人根据自身情况及踏勘现场情况自行确定并考虑在响应报价中。</w:t>
      </w:r>
    </w:p>
    <w:p w14:paraId="4700B0A6">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人工费由投标人按重庆市建设工程造价管理总站发布的《重庆工程造价信息》或工程造价管理机构发布的工程造价信息（《重庆工程造价信息》2025年第1季度）公布的人工价并结合市场行情及自身实力进行自主报价，由各投标人结合市场行情自主测算计入各分部分项综合单价中。</w:t>
      </w:r>
    </w:p>
    <w:p w14:paraId="1CF69AD0">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7、措施项目费：措施项目费清单包括施工组织措施项目清单和施工技术措施项目清单两部分。</w:t>
      </w:r>
    </w:p>
    <w:p w14:paraId="723A401A">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7.1施工组织措施项目清单：投标人结合本工程的实际情况和国家及重庆市相关管理规定自行增减项目，并进行报价。如果漏项或不报价，视为已包含在其他项目清单综合单价内。</w:t>
      </w:r>
    </w:p>
    <w:p w14:paraId="0643B5E5">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7.2施工技术措施项目清单：技术措施清单中以“项”计列的项目，由投标人根据现场踏勘情况及本工程的实际情况结合自身的施工组织设计，以“项”为单位按总价自行报价，一旦成交，不作调整（政府另有规定除外）；技术措施清单中以清单列项（项目编码、项目名称、项目特征、工程内容、工程量及计量单位）的项目，投标人必须按招标人给出的施工技术措施项目清单按单价进行报价，同时不得擅自变改招标人提供的施工技术措施项目清单中的序号、项目编码、项目名称、项目特征、工程内容、工程量及计量单位，否则视为对招标文件不作实质性响应。</w:t>
      </w:r>
    </w:p>
    <w:p w14:paraId="6D7EAD1A">
      <w:pPr>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8、税金：</w:t>
      </w:r>
      <w:r>
        <w:rPr>
          <w:rFonts w:hint="eastAsia" w:ascii="仿宋" w:hAnsi="仿宋" w:eastAsia="仿宋" w:cs="仿宋"/>
          <w:color w:val="auto"/>
          <w:sz w:val="24"/>
          <w:szCs w:val="24"/>
          <w:highlight w:val="none"/>
        </w:rPr>
        <w:t>按</w:t>
      </w:r>
      <w:r>
        <w:rPr>
          <w:rFonts w:hint="eastAsia" w:ascii="仿宋" w:hAnsi="仿宋" w:eastAsia="仿宋" w:cs="仿宋"/>
          <w:color w:val="auto"/>
          <w:sz w:val="24"/>
          <w:szCs w:val="24"/>
          <w:highlight w:val="none"/>
          <w:lang w:val="zh-CN"/>
        </w:rPr>
        <w:t>《重庆市城乡建设委员会关于建筑业营业税改征增值税调整建设工程计价依据的通知》（渝建（2016）35号）、</w:t>
      </w:r>
      <w:r>
        <w:rPr>
          <w:rFonts w:hint="eastAsia" w:ascii="仿宋" w:hAnsi="仿宋" w:eastAsia="仿宋" w:cs="仿宋"/>
          <w:color w:val="auto"/>
          <w:sz w:val="24"/>
          <w:szCs w:val="24"/>
          <w:highlight w:val="none"/>
        </w:rPr>
        <w:t>国家税务总局《关于调整增值税税率的通知》（财税〔2018〕32号）、住房城乡建设部办公厅《关于调整建设工程计价依据增值税税率的通知》（建办标〔2018〕20号）、重庆市城乡建设委员会《关于适用增值税新税率调整建设工程计价依据的通知》（渝建〔2018〕195号）及《关于适用增值税新税率调整建设工程计价依据的通知》（渝建（2019）143号）执行，按增值税一般计税方法结算。</w:t>
      </w:r>
    </w:p>
    <w:p w14:paraId="46894A63">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9、规费：由投标人按国家及重庆市有关规定报价，包含在所报的总价内。</w:t>
      </w:r>
    </w:p>
    <w:p w14:paraId="2852B7E5">
      <w:pPr>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仿宋" w:hAnsi="仿宋" w:eastAsia="仿宋" w:cs="仿宋"/>
          <w:b/>
          <w:bCs/>
          <w:color w:val="C00000"/>
          <w:kern w:val="0"/>
          <w:sz w:val="24"/>
          <w:szCs w:val="24"/>
          <w:highlight w:val="none"/>
          <w:lang w:val="en-US" w:eastAsia="zh-CN"/>
        </w:rPr>
      </w:pPr>
      <w:r>
        <w:rPr>
          <w:rFonts w:hint="eastAsia" w:ascii="仿宋" w:hAnsi="仿宋" w:eastAsia="仿宋" w:cs="仿宋"/>
          <w:b/>
          <w:bCs/>
          <w:color w:val="C00000"/>
          <w:kern w:val="0"/>
          <w:sz w:val="24"/>
          <w:szCs w:val="24"/>
          <w:highlight w:val="none"/>
          <w:lang w:val="en-US" w:eastAsia="zh-CN"/>
        </w:rPr>
        <w:t>10、本工程招标将设置投标总报价最高限价，投标总报价最高限价为290873.15元（大写：贰拾玖万零捌佰柒拾叁元壹角伍分），安全文明施工费暂定金额9990.35元，投标人的投标总报价不得超过投标总报价最高限价，否则视为对招标文件不作实质性响应。</w:t>
      </w:r>
    </w:p>
    <w:p w14:paraId="4C0506BE">
      <w:pPr>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仿宋" w:hAnsi="仿宋" w:eastAsia="仿宋" w:cs="仿宋"/>
          <w:b/>
          <w:bCs/>
          <w:color w:val="C00000"/>
          <w:kern w:val="0"/>
          <w:sz w:val="24"/>
          <w:szCs w:val="24"/>
          <w:highlight w:val="none"/>
          <w:lang w:val="en-US" w:eastAsia="zh-CN"/>
        </w:rPr>
      </w:pPr>
      <w:r>
        <w:rPr>
          <w:rFonts w:hint="eastAsia" w:ascii="仿宋" w:hAnsi="仿宋" w:eastAsia="仿宋" w:cs="仿宋"/>
          <w:b/>
          <w:bCs/>
          <w:color w:val="C00000"/>
          <w:kern w:val="0"/>
          <w:sz w:val="24"/>
          <w:szCs w:val="24"/>
          <w:highlight w:val="none"/>
          <w:lang w:val="en-US" w:eastAsia="zh-CN"/>
        </w:rPr>
        <w:t>本工程招标将设置全部清单综合单价最高限价，全部清单综合单价最高限价详见随本招标文件发出的附件，投标人的每项清单综合单价报价不得超过每项清单综合单价最高限价，否则视为对招标文件不作实质性响应。</w:t>
      </w:r>
    </w:p>
    <w:p w14:paraId="0D9B5396">
      <w:pPr>
        <w:pStyle w:val="9"/>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highlight w:val="none"/>
          <w:lang w:val="en-US" w:eastAsia="zh-CN"/>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采购人在合同签订前将对成交供应商已标价工程量清单进行清标。若发现成交供应商的工程量清单综合单价报价超过磋商时给出的工程量清单综合单价最高限价的，在工程结算时采购人将以发出的工程量清单综合单价最高限价为基础，按照成交供应商所报总报价与本工程的总价最高限价的下浮比例进行同比例下调，成交供应商必须无条件接受，否则按成交供应商违约处理。</w:t>
      </w:r>
    </w:p>
    <w:p w14:paraId="50F5DCC5">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12、招标人在工程量清单中所列出的安全文明施工费、暂列金额（如有）、暂估价（如有）等暂定金额，投标人不得修改，否则视为对招标文件不作实质性响应。</w:t>
      </w:r>
    </w:p>
    <w:p w14:paraId="3AA7897D">
      <w:pPr>
        <w:pStyle w:val="4"/>
        <w:pageBreakBefore w:val="0"/>
        <w:widowControl w:val="0"/>
        <w:kinsoku/>
        <w:wordWrap/>
        <w:overflowPunct/>
        <w:topLinePunct w:val="0"/>
        <w:autoSpaceDE/>
        <w:autoSpaceDN/>
        <w:bidi w:val="0"/>
        <w:adjustRightInd/>
        <w:snapToGrid w:val="0"/>
        <w:spacing w:before="0" w:after="0"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三、履约担保</w:t>
      </w:r>
    </w:p>
    <w:p w14:paraId="32375B64">
      <w:pPr>
        <w:pStyle w:val="13"/>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（一）履约担保的金额：中标合同金额的</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 。</w:t>
      </w:r>
    </w:p>
    <w:p w14:paraId="6A383F09">
      <w:pPr>
        <w:pStyle w:val="13"/>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（二）履约担保的形式：</w:t>
      </w:r>
      <w:r>
        <w:rPr>
          <w:rFonts w:hint="eastAsia" w:ascii="仿宋" w:hAnsi="仿宋" w:eastAsia="仿宋" w:cs="仿宋"/>
          <w:color w:val="auto"/>
          <w:sz w:val="24"/>
          <w:szCs w:val="24"/>
          <w:highlight w:val="none"/>
          <w:lang w:val="en-US" w:eastAsia="zh-CN"/>
        </w:rPr>
        <w:t>转账</w:t>
      </w:r>
      <w:r>
        <w:rPr>
          <w:rFonts w:hint="eastAsia" w:ascii="仿宋" w:hAnsi="仿宋" w:eastAsia="仿宋" w:cs="仿宋"/>
          <w:color w:val="auto"/>
          <w:sz w:val="24"/>
          <w:szCs w:val="24"/>
          <w:highlight w:val="none"/>
        </w:rPr>
        <w:t>或履约保函，履约保函包括银行保函、保证保险和担保保函。</w:t>
      </w:r>
    </w:p>
    <w:p w14:paraId="1440D111">
      <w:pPr>
        <w:pStyle w:val="13"/>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1、采用转账形式缴纳履约担保的，必须从</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的基本账户通过银行转账方式直接划付到</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人提供的银行账户，其中产生的手续费由</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承担。</w:t>
      </w:r>
    </w:p>
    <w:p w14:paraId="2276FC50">
      <w:pPr>
        <w:pStyle w:val="13"/>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2、采用保函形式的，保函必须为不可撤销且见索即付。履约保函必须由合法经营的金融机构、担保机构出具，保函的内容必须符合</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文件和投标承诺的要求。保函的受益人为</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，保函原件交</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保存。</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对所提交的履约保函的真实性、合法性、有效性负责。</w:t>
      </w:r>
    </w:p>
    <w:p w14:paraId="09FE66C5">
      <w:pPr>
        <w:pStyle w:val="13"/>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（三）履约担保的提交时间：</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应当自成交通知书（无论</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领取与否，成交通知书发出时间以成交通知书签发的日期为准）签发后</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日内，向</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提交履约担保，</w:t>
      </w:r>
      <w:r>
        <w:rPr>
          <w:rFonts w:hint="eastAsia" w:ascii="仿宋" w:hAnsi="仿宋" w:eastAsia="仿宋" w:cs="仿宋"/>
          <w:color w:val="auto"/>
          <w:sz w:val="24"/>
          <w:szCs w:val="24"/>
          <w:highlight w:val="none"/>
          <w:lang w:val="en-US" w:eastAsia="zh-CN"/>
        </w:rPr>
        <w:t>主动联系并与</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签订政府采购合同。如</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未按上述要求及时办理，</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有权取消其成交资格</w:t>
      </w:r>
      <w:r>
        <w:rPr>
          <w:rFonts w:hint="eastAsia" w:ascii="仿宋" w:hAnsi="仿宋" w:eastAsia="仿宋" w:cs="仿宋"/>
          <w:color w:val="auto"/>
          <w:sz w:val="24"/>
          <w:szCs w:val="24"/>
          <w:highlight w:val="none"/>
          <w:lang w:eastAsia="zh-CN"/>
        </w:rPr>
        <w:t>并上报政府采购主管部门，不予退还投标保证金或履约保证金，并追究其法律责任。</w:t>
      </w:r>
    </w:p>
    <w:p w14:paraId="0B831E42">
      <w:pPr>
        <w:pStyle w:val="13"/>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bookmarkStart w:id="61" w:name="_Toc13388"/>
      <w:bookmarkStart w:id="62" w:name="_Toc19136"/>
      <w:bookmarkStart w:id="63" w:name="_Toc16641"/>
      <w:r>
        <w:rPr>
          <w:rFonts w:hint="eastAsia" w:ascii="仿宋" w:hAnsi="仿宋" w:eastAsia="仿宋" w:cs="仿宋"/>
          <w:color w:val="auto"/>
          <w:sz w:val="24"/>
          <w:szCs w:val="24"/>
          <w:highlight w:val="none"/>
        </w:rPr>
        <w:t>（四）履约担保的退还时间：工程竣工验收合格后14天内退还。</w:t>
      </w:r>
      <w:bookmarkEnd w:id="61"/>
      <w:bookmarkEnd w:id="62"/>
      <w:bookmarkEnd w:id="63"/>
    </w:p>
    <w:p w14:paraId="6DEE1A2E">
      <w:pPr>
        <w:pageBreakBefore w:val="0"/>
        <w:widowControl w:val="0"/>
        <w:tabs>
          <w:tab w:val="left" w:pos="-280"/>
        </w:tabs>
        <w:kinsoku/>
        <w:wordWrap/>
        <w:overflowPunct/>
        <w:topLinePunct w:val="0"/>
        <w:autoSpaceDE/>
        <w:autoSpaceDN/>
        <w:bidi w:val="0"/>
        <w:adjustRightInd/>
        <w:snapToGrid w:val="0"/>
        <w:spacing w:line="440" w:lineRule="exact"/>
        <w:ind w:left="-115" w:leftChars="-41" w:firstLine="164" w:firstLineChars="68"/>
        <w:textAlignment w:val="auto"/>
        <w:rPr>
          <w:rFonts w:hint="eastAsia" w:ascii="仿宋" w:hAnsi="仿宋" w:eastAsia="仿宋" w:cs="仿宋"/>
          <w:b/>
          <w:bCs/>
          <w:color w:val="auto"/>
          <w:kern w:val="0"/>
          <w:sz w:val="24"/>
          <w:szCs w:val="24"/>
          <w:highlight w:val="none"/>
        </w:rPr>
      </w:pPr>
      <w:bookmarkStart w:id="64" w:name="_Toc500346129"/>
      <w:r>
        <w:rPr>
          <w:rFonts w:hint="eastAsia" w:ascii="仿宋" w:hAnsi="仿宋" w:eastAsia="仿宋" w:cs="仿宋"/>
          <w:b/>
          <w:bCs/>
          <w:color w:val="auto"/>
          <w:kern w:val="0"/>
          <w:sz w:val="24"/>
          <w:szCs w:val="24"/>
          <w:highlight w:val="none"/>
          <w:lang w:val="en-US" w:eastAsia="zh-CN"/>
        </w:rPr>
        <w:t>四</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结算原则</w:t>
      </w:r>
      <w:bookmarkEnd w:id="64"/>
      <w:bookmarkStart w:id="65" w:name="_Toc396501789"/>
    </w:p>
    <w:bookmarkEnd w:id="65"/>
    <w:p w14:paraId="30F61C6B">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结算总价=分部分项工程量清单结算价+工程变更或增减部分结算+措施费（除安全文明施工费）+安全文明施工费+规费+税金+合同约定其它费用。</w:t>
      </w:r>
    </w:p>
    <w:p w14:paraId="0B6DE6A1">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（一）本合同采用固定综合单价合同，综合单价不因工程量的增减（工程量的变化、施工方式的变化）而调整。除非合同另有约定，投标报价的工程量清单中的综合单价均已包含但不限于</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为实施和完成合同工程量清单项目所需的人工费、材料费、机械费、企业管理费、利润、风险费用。</w:t>
      </w:r>
    </w:p>
    <w:p w14:paraId="2903E4ED">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（二）各部分的结算原则如下:</w:t>
      </w:r>
    </w:p>
    <w:p w14:paraId="3059F13D">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1.分部分项工程量清单结算总价:</w:t>
      </w:r>
    </w:p>
    <w:p w14:paraId="1BDB166B">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分部分项工程结算价=综合单价×子项工程量</w:t>
      </w:r>
    </w:p>
    <w:p w14:paraId="777C1000">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综合单价=</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投标报价中分部分项清单中的综合单价</w:t>
      </w:r>
    </w:p>
    <w:p w14:paraId="17FBFF1A">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子项工程量:工程量计算以施工图、设计变更、有效签证资料(签字且盖章)及竣工图作为计算依据，按</w:t>
      </w:r>
      <w:r>
        <w:rPr>
          <w:rFonts w:hint="eastAsia" w:ascii="仿宋" w:hAnsi="仿宋" w:eastAsia="仿宋" w:cs="仿宋"/>
          <w:color w:val="auto"/>
          <w:kern w:val="0"/>
          <w:sz w:val="24"/>
          <w:szCs w:val="24"/>
          <w:highlight w:val="none"/>
          <w:lang w:val="en-US" w:eastAsia="zh-CN"/>
        </w:rPr>
        <w:t>国家技术和经济规范及标准、《建设项目施工图预算编审规程》（CECA/GC 5-2010）、《建设工程工程量清单计价规范》（GB50500-2013）、《重庆市建设工程工程量清单计价规则》（CQJJGZ-2013）、《重庆市建设工程工程量计算规则》（CQJLGZ-2013）、《重庆市房屋建筑与装饰工程计价定额》（CQJZZSDE-2018）、《重庆市通用安装工程计价定额》（CQAZDE-2018）、《重庆市建设工程费用定额》（CQFYDE-2018） 及相关配套文件的规定</w:t>
      </w:r>
      <w:r>
        <w:rPr>
          <w:rFonts w:hint="eastAsia" w:ascii="仿宋" w:hAnsi="仿宋" w:eastAsia="仿宋" w:cs="仿宋"/>
          <w:color w:val="auto"/>
          <w:sz w:val="24"/>
          <w:szCs w:val="24"/>
          <w:highlight w:val="none"/>
          <w:lang w:eastAsia="zh-CN"/>
        </w:rPr>
        <w:t>规定的</w:t>
      </w:r>
      <w:r>
        <w:rPr>
          <w:rFonts w:hint="eastAsia" w:ascii="仿宋" w:hAnsi="仿宋" w:eastAsia="仿宋" w:cs="仿宋"/>
          <w:color w:val="auto"/>
          <w:sz w:val="24"/>
          <w:szCs w:val="24"/>
          <w:highlight w:val="none"/>
        </w:rPr>
        <w:t>计量规则计算的合格工程量作为结算依据。</w:t>
      </w:r>
    </w:p>
    <w:p w14:paraId="67D7E4D7">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2.设计变更、新增项目</w:t>
      </w:r>
    </w:p>
    <w:p w14:paraId="0412DC73">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当发生设计变更或新增项目，</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及监理工程师按照下列计价原则结算：</w:t>
      </w:r>
    </w:p>
    <w:p w14:paraId="173B68D3">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当发生设计变更或新增项，设计变更或新增项按《南岸区政府投资项目管理办法》（南岸府发【2017】29号文）执行，</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及监理工程师按照</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房屋建筑与装饰工程工程量计算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 50</w:t>
      </w:r>
      <w:r>
        <w:rPr>
          <w:rFonts w:hint="eastAsia" w:ascii="仿宋" w:hAnsi="仿宋" w:eastAsia="仿宋" w:cs="仿宋"/>
          <w:color w:val="auto"/>
          <w:sz w:val="24"/>
          <w:szCs w:val="24"/>
          <w:highlight w:val="none"/>
          <w:lang w:val="en-US" w:eastAsia="zh-CN"/>
        </w:rPr>
        <w:t>854</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仿古建筑工程工程量计算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（GB50</w:t>
      </w:r>
      <w:r>
        <w:rPr>
          <w:rFonts w:hint="eastAsia" w:ascii="仿宋" w:hAnsi="仿宋" w:eastAsia="仿宋" w:cs="仿宋"/>
          <w:color w:val="auto"/>
          <w:sz w:val="24"/>
          <w:szCs w:val="24"/>
          <w:highlight w:val="none"/>
          <w:lang w:val="en-US" w:eastAsia="zh-CN"/>
        </w:rPr>
        <w:t>855</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通用安装工程工程量计算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 50</w:t>
      </w:r>
      <w:r>
        <w:rPr>
          <w:rFonts w:hint="eastAsia" w:ascii="仿宋" w:hAnsi="仿宋" w:eastAsia="仿宋" w:cs="仿宋"/>
          <w:color w:val="auto"/>
          <w:sz w:val="24"/>
          <w:szCs w:val="24"/>
          <w:highlight w:val="none"/>
          <w:lang w:val="en-US" w:eastAsia="zh-CN"/>
        </w:rPr>
        <w:t>856</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市政工程工程量计算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 50</w:t>
      </w:r>
      <w:r>
        <w:rPr>
          <w:rFonts w:hint="eastAsia" w:ascii="仿宋" w:hAnsi="仿宋" w:eastAsia="仿宋" w:cs="仿宋"/>
          <w:color w:val="auto"/>
          <w:sz w:val="24"/>
          <w:szCs w:val="24"/>
          <w:highlight w:val="none"/>
          <w:lang w:val="en-US" w:eastAsia="zh-CN"/>
        </w:rPr>
        <w:t>857</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园林绿化工程工程量计算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（GB50</w:t>
      </w:r>
      <w:r>
        <w:rPr>
          <w:rFonts w:hint="eastAsia" w:ascii="仿宋" w:hAnsi="仿宋" w:eastAsia="仿宋" w:cs="仿宋"/>
          <w:color w:val="auto"/>
          <w:sz w:val="24"/>
          <w:szCs w:val="24"/>
          <w:highlight w:val="none"/>
          <w:lang w:val="en-US" w:eastAsia="zh-CN"/>
        </w:rPr>
        <w:t>858</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构筑物工程工程量计算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（GB50</w:t>
      </w:r>
      <w:r>
        <w:rPr>
          <w:rFonts w:hint="eastAsia" w:ascii="仿宋" w:hAnsi="仿宋" w:eastAsia="仿宋" w:cs="仿宋"/>
          <w:color w:val="auto"/>
          <w:sz w:val="24"/>
          <w:szCs w:val="24"/>
          <w:highlight w:val="none"/>
          <w:lang w:val="en-US" w:eastAsia="zh-CN"/>
        </w:rPr>
        <w:t>860</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城市轨道交通工程工程量计算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（GB50</w:t>
      </w:r>
      <w:r>
        <w:rPr>
          <w:rFonts w:hint="eastAsia" w:ascii="仿宋" w:hAnsi="仿宋" w:eastAsia="仿宋" w:cs="仿宋"/>
          <w:color w:val="auto"/>
          <w:sz w:val="24"/>
          <w:szCs w:val="24"/>
          <w:highlight w:val="none"/>
          <w:lang w:val="en-US" w:eastAsia="zh-CN"/>
        </w:rPr>
        <w:t>861</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爆破工程工程量计算规范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（GB50</w:t>
      </w:r>
      <w:r>
        <w:rPr>
          <w:rFonts w:hint="eastAsia" w:ascii="仿宋" w:hAnsi="仿宋" w:eastAsia="仿宋" w:cs="仿宋"/>
          <w:color w:val="auto"/>
          <w:sz w:val="24"/>
          <w:szCs w:val="24"/>
          <w:highlight w:val="none"/>
          <w:lang w:val="en-US" w:eastAsia="zh-CN"/>
        </w:rPr>
        <w:t>862</w:t>
      </w:r>
      <w:r>
        <w:rPr>
          <w:rFonts w:hint="eastAsia" w:ascii="仿宋" w:hAnsi="仿宋" w:eastAsia="仿宋" w:cs="仿宋"/>
          <w:color w:val="auto"/>
          <w:sz w:val="24"/>
          <w:szCs w:val="24"/>
          <w:highlight w:val="none"/>
          <w:lang w:eastAsia="zh-CN"/>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）、《重庆市建设工程工程量计算规则》（</w:t>
      </w:r>
      <w:r>
        <w:rPr>
          <w:rFonts w:hint="eastAsia" w:ascii="仿宋" w:hAnsi="仿宋" w:eastAsia="仿宋" w:cs="仿宋"/>
          <w:color w:val="auto"/>
          <w:sz w:val="24"/>
          <w:szCs w:val="24"/>
          <w:highlight w:val="none"/>
          <w:lang w:val="en-US" w:eastAsia="zh-CN"/>
        </w:rPr>
        <w:t>CQJLGZ</w:t>
      </w:r>
      <w:r>
        <w:rPr>
          <w:rFonts w:hint="eastAsia" w:ascii="仿宋" w:hAnsi="仿宋" w:eastAsia="仿宋" w:cs="仿宋"/>
          <w:color w:val="auto"/>
          <w:sz w:val="24"/>
          <w:szCs w:val="24"/>
          <w:highlight w:val="none"/>
          <w:lang w:eastAsia="zh-CN"/>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《重庆市市政工程计价定额》（CQSZDE-2018）</w:t>
      </w:r>
      <w:r>
        <w:rPr>
          <w:rFonts w:hint="eastAsia" w:ascii="仿宋" w:hAnsi="仿宋" w:eastAsia="仿宋" w:cs="仿宋"/>
          <w:color w:val="auto"/>
          <w:sz w:val="24"/>
          <w:szCs w:val="24"/>
          <w:highlight w:val="none"/>
          <w:lang w:eastAsia="zh-CN"/>
        </w:rPr>
        <w:t>、《重庆市通用安装工程计价定额》（CQAZDE-2018）、《重庆市房屋修缮工程计价定额》（CQXSDE-2018）、《重庆市仿古建筑工程计价定额》（CQFGDE-2018）、《重庆市构筑物工程计价定额》（CQGZWDE-2018）、《重庆市房屋建筑与装饰工程计价定额》（CQJZZSDE-2018）、</w:t>
      </w:r>
      <w:r>
        <w:rPr>
          <w:rFonts w:hint="eastAsia" w:ascii="仿宋" w:hAnsi="仿宋" w:eastAsia="仿宋" w:cs="仿宋"/>
          <w:color w:val="auto"/>
          <w:sz w:val="24"/>
          <w:szCs w:val="24"/>
          <w:highlight w:val="none"/>
          <w:lang w:val="zh-CN" w:eastAsia="zh-CN"/>
        </w:rPr>
        <w:t>《重庆市建设工程费用定额》（</w:t>
      </w:r>
      <w:r>
        <w:rPr>
          <w:rFonts w:hint="eastAsia" w:ascii="仿宋" w:hAnsi="仿宋" w:eastAsia="仿宋" w:cs="仿宋"/>
          <w:color w:val="auto"/>
          <w:sz w:val="24"/>
          <w:szCs w:val="24"/>
          <w:highlight w:val="none"/>
          <w:lang w:val="en-US" w:eastAsia="zh-CN"/>
        </w:rPr>
        <w:t>CQFYDE-2018</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rPr>
        <w:t>、《关于建筑业营业税改征增值税调整建设工程计价依据的通知》（渝建发[2016]35号）和《重庆市城乡建设建设委员会关于适用增值税新税率调整建设工程计价依据的通知》（[2018]195号文）及重庆2018定额规定的计算规则计，并按以下办法计价：</w:t>
      </w:r>
    </w:p>
    <w:p w14:paraId="31DF841A">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A：已标价工程量清单中有适用于变更工作的子目，采用该子目的综合单价。</w:t>
      </w:r>
    </w:p>
    <w:p w14:paraId="33EEF0C8">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已标价工程量清单中无适用于变更工程的子目，但有类似子目的，可在合理范围内参照类似子目的综合单价，对该子目主材的价格进行调整主材调整原则：投标时有的材料按投标价执行，调入时取投标价和开标当期《重庆工程造价信息》公布的信息价的低值，且不偏离市场行情；投标时没有的材料，</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充分结合建筑市场行情核质核价，不高于施工同期《重庆工程造价信息》公布的信息价和背离市场行情，最终以审计审定的结果为准。调整后的综合单价作为类似子目的综合单价（类似子目由招标人确定，投标的人工、主材单价表作为合同附件）。</w:t>
      </w:r>
    </w:p>
    <w:p w14:paraId="28B8E85F">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C：已标价工程量清单中无适用或类似子目的综合单价，结算参照</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房屋建筑与装饰工程工程量计算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 50</w:t>
      </w:r>
      <w:r>
        <w:rPr>
          <w:rFonts w:hint="eastAsia" w:ascii="仿宋" w:hAnsi="仿宋" w:eastAsia="仿宋" w:cs="仿宋"/>
          <w:color w:val="auto"/>
          <w:sz w:val="24"/>
          <w:szCs w:val="24"/>
          <w:highlight w:val="none"/>
          <w:lang w:val="en-US" w:eastAsia="zh-CN"/>
        </w:rPr>
        <w:t>854</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仿古建筑工程工程量计算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（GB50</w:t>
      </w:r>
      <w:r>
        <w:rPr>
          <w:rFonts w:hint="eastAsia" w:ascii="仿宋" w:hAnsi="仿宋" w:eastAsia="仿宋" w:cs="仿宋"/>
          <w:color w:val="auto"/>
          <w:sz w:val="24"/>
          <w:szCs w:val="24"/>
          <w:highlight w:val="none"/>
          <w:lang w:val="en-US" w:eastAsia="zh-CN"/>
        </w:rPr>
        <w:t>855</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通用安装工程工程量计算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 50</w:t>
      </w:r>
      <w:r>
        <w:rPr>
          <w:rFonts w:hint="eastAsia" w:ascii="仿宋" w:hAnsi="仿宋" w:eastAsia="仿宋" w:cs="仿宋"/>
          <w:color w:val="auto"/>
          <w:sz w:val="24"/>
          <w:szCs w:val="24"/>
          <w:highlight w:val="none"/>
          <w:lang w:val="en-US" w:eastAsia="zh-CN"/>
        </w:rPr>
        <w:t>856</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市政工程工程量计算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 50</w:t>
      </w:r>
      <w:r>
        <w:rPr>
          <w:rFonts w:hint="eastAsia" w:ascii="仿宋" w:hAnsi="仿宋" w:eastAsia="仿宋" w:cs="仿宋"/>
          <w:color w:val="auto"/>
          <w:sz w:val="24"/>
          <w:szCs w:val="24"/>
          <w:highlight w:val="none"/>
          <w:lang w:val="en-US" w:eastAsia="zh-CN"/>
        </w:rPr>
        <w:t>857</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园林绿化工程工程量计算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（GB50</w:t>
      </w:r>
      <w:r>
        <w:rPr>
          <w:rFonts w:hint="eastAsia" w:ascii="仿宋" w:hAnsi="仿宋" w:eastAsia="仿宋" w:cs="仿宋"/>
          <w:color w:val="auto"/>
          <w:sz w:val="24"/>
          <w:szCs w:val="24"/>
          <w:highlight w:val="none"/>
          <w:lang w:val="en-US" w:eastAsia="zh-CN"/>
        </w:rPr>
        <w:t>858</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构筑物工程工程量计算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（GB50</w:t>
      </w:r>
      <w:r>
        <w:rPr>
          <w:rFonts w:hint="eastAsia" w:ascii="仿宋" w:hAnsi="仿宋" w:eastAsia="仿宋" w:cs="仿宋"/>
          <w:color w:val="auto"/>
          <w:sz w:val="24"/>
          <w:szCs w:val="24"/>
          <w:highlight w:val="none"/>
          <w:lang w:val="en-US" w:eastAsia="zh-CN"/>
        </w:rPr>
        <w:t>860</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城市轨道交通工程工程量计算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（GB50</w:t>
      </w:r>
      <w:r>
        <w:rPr>
          <w:rFonts w:hint="eastAsia" w:ascii="仿宋" w:hAnsi="仿宋" w:eastAsia="仿宋" w:cs="仿宋"/>
          <w:color w:val="auto"/>
          <w:sz w:val="24"/>
          <w:szCs w:val="24"/>
          <w:highlight w:val="none"/>
          <w:lang w:val="en-US" w:eastAsia="zh-CN"/>
        </w:rPr>
        <w:t>861</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爆破工程工程量计算规范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（GB50</w:t>
      </w:r>
      <w:r>
        <w:rPr>
          <w:rFonts w:hint="eastAsia" w:ascii="仿宋" w:hAnsi="仿宋" w:eastAsia="仿宋" w:cs="仿宋"/>
          <w:color w:val="auto"/>
          <w:sz w:val="24"/>
          <w:szCs w:val="24"/>
          <w:highlight w:val="none"/>
          <w:lang w:val="en-US" w:eastAsia="zh-CN"/>
        </w:rPr>
        <w:t>862</w:t>
      </w:r>
      <w:r>
        <w:rPr>
          <w:rFonts w:hint="eastAsia" w:ascii="仿宋" w:hAnsi="仿宋" w:eastAsia="仿宋" w:cs="仿宋"/>
          <w:color w:val="auto"/>
          <w:sz w:val="24"/>
          <w:szCs w:val="24"/>
          <w:highlight w:val="none"/>
          <w:lang w:eastAsia="zh-CN"/>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）、《重庆市建设工程工程量计算规则》（</w:t>
      </w:r>
      <w:r>
        <w:rPr>
          <w:rFonts w:hint="eastAsia" w:ascii="仿宋" w:hAnsi="仿宋" w:eastAsia="仿宋" w:cs="仿宋"/>
          <w:color w:val="auto"/>
          <w:sz w:val="24"/>
          <w:szCs w:val="24"/>
          <w:highlight w:val="none"/>
          <w:lang w:val="en-US" w:eastAsia="zh-CN"/>
        </w:rPr>
        <w:t>CQJLGZ</w:t>
      </w:r>
      <w:r>
        <w:rPr>
          <w:rFonts w:hint="eastAsia" w:ascii="仿宋" w:hAnsi="仿宋" w:eastAsia="仿宋" w:cs="仿宋"/>
          <w:color w:val="auto"/>
          <w:sz w:val="24"/>
          <w:szCs w:val="24"/>
          <w:highlight w:val="none"/>
          <w:lang w:eastAsia="zh-CN"/>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《重庆市市政工程计价定额》（CQSZDE-2018）</w:t>
      </w:r>
      <w:r>
        <w:rPr>
          <w:rFonts w:hint="eastAsia" w:ascii="仿宋" w:hAnsi="仿宋" w:eastAsia="仿宋" w:cs="仿宋"/>
          <w:color w:val="auto"/>
          <w:sz w:val="24"/>
          <w:szCs w:val="24"/>
          <w:highlight w:val="none"/>
          <w:lang w:eastAsia="zh-CN"/>
        </w:rPr>
        <w:t>、《重庆市通用安装工程计价定额》（CQAZDE-2018）、《重庆市房屋修缮工程计价定额》（CQXSDE-2018）、《重庆市仿古建筑工程计价定额》（CQFGDE-2018）、《重庆市构筑物工程计价定额》（CQGZWDE-2018）、《重庆市房屋建筑与装饰工程计价定额》（CQJZZSDE-2018）、</w:t>
      </w:r>
      <w:r>
        <w:rPr>
          <w:rFonts w:hint="eastAsia" w:ascii="仿宋" w:hAnsi="仿宋" w:eastAsia="仿宋" w:cs="仿宋"/>
          <w:color w:val="auto"/>
          <w:sz w:val="24"/>
          <w:szCs w:val="24"/>
          <w:highlight w:val="none"/>
          <w:lang w:val="zh-CN" w:eastAsia="zh-CN"/>
        </w:rPr>
        <w:t>《重庆市建设工程费用定额》（</w:t>
      </w:r>
      <w:r>
        <w:rPr>
          <w:rFonts w:hint="eastAsia" w:ascii="仿宋" w:hAnsi="仿宋" w:eastAsia="仿宋" w:cs="仿宋"/>
          <w:color w:val="auto"/>
          <w:sz w:val="24"/>
          <w:szCs w:val="24"/>
          <w:highlight w:val="none"/>
          <w:lang w:val="en-US" w:eastAsia="zh-CN"/>
        </w:rPr>
        <w:t>CQFYDE-2018</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rPr>
        <w:t>、《关于建筑业营业税改征增值税调整建设工程计价依据的通知》（渝建发[2016]35号）并结合《重庆市城乡建设建设委员会关于适用增值税新税率调整建设工程计价依据的通知》（[2018]195号文）</w:t>
      </w:r>
      <w:r>
        <w:rPr>
          <w:rFonts w:hint="eastAsia" w:ascii="仿宋" w:hAnsi="仿宋" w:eastAsia="仿宋" w:cs="仿宋"/>
          <w:color w:val="auto"/>
          <w:sz w:val="24"/>
          <w:szCs w:val="24"/>
          <w:highlight w:val="none"/>
          <w:lang w:val="en-US" w:eastAsia="zh-CN"/>
        </w:rPr>
        <w:t>及相关配套文件进行组价并按投标人报价浮动率下浮(人工价差、材料价差、未计价材料、认质核价的设备和材料不参与浮动)，经监理人、跟审单位、发包人审定后执行。</w:t>
      </w:r>
    </w:p>
    <w:p w14:paraId="6789E175">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投标人报价浮动率按下列公式计算:投标人报价浮动率=(1-中标价/最高限价)X100%。</w:t>
      </w:r>
    </w:p>
    <w:p w14:paraId="6DCEC4A3">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其中人工工日、材料单价、施工机械使用费的确定原则：投标时有的材料按投标价执行，其中调入时取投标价和开标当期《重庆工程造价信息》公布的信息价的低值，且不偏离市场行情；投标时没有的材料，</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充分结合建筑市场行情核质核价，不高于施工同期《重庆工程造价信息》公布的信息价和背离市场行情，最终以审计审定的结果为准。调整后的综合单价作为类似子目的综合单价（类似子目由招标人确定，投标的人工、主材单价表作为合同附件）。</w:t>
      </w:r>
    </w:p>
    <w:p w14:paraId="2EF4EBC9">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3.措施项目</w:t>
      </w:r>
    </w:p>
    <w:p w14:paraId="112FB744">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①已标价工程量清单范围内以项为计量单位的措施项目费（安全文明施工费除外）包干使用；不以项为计量单位的措施项目费包干使用。</w:t>
      </w:r>
    </w:p>
    <w:p w14:paraId="49CEE70F">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②工程变更引起施工方案改变使措施项目发生变化的，措施项目费不作调整。</w:t>
      </w:r>
    </w:p>
    <w:p w14:paraId="7993F28F">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安全文明施工费按照《重庆市建设工程安全文明施工费计取及使用管理规定》（渝建发〔2014〕25号）、《重庆市建设工程费用定额》（CQFYDE-2018）、《重庆市城乡建设委员会关于适用增值税新税率调整建设工程计价依据的通知》（渝建〔2019〕143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重庆市</w:t>
      </w:r>
      <w:r>
        <w:rPr>
          <w:rFonts w:hint="eastAsia" w:ascii="仿宋" w:hAnsi="仿宋" w:eastAsia="仿宋" w:cs="仿宋"/>
          <w:color w:val="auto"/>
          <w:sz w:val="24"/>
          <w:szCs w:val="24"/>
          <w:highlight w:val="none"/>
        </w:rPr>
        <w:t>住房和城乡建设委员会关于</w:t>
      </w:r>
      <w:r>
        <w:rPr>
          <w:rFonts w:hint="eastAsia" w:ascii="仿宋" w:hAnsi="仿宋" w:eastAsia="仿宋" w:cs="仿宋"/>
          <w:color w:val="auto"/>
          <w:sz w:val="24"/>
          <w:szCs w:val="24"/>
          <w:highlight w:val="none"/>
          <w:lang w:val="en-US" w:eastAsia="zh-CN"/>
        </w:rPr>
        <w:t>修订发布&lt;重庆市建设工程安全文明施工费计取及使用管理规定&gt;的通知</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渝建管</w:t>
      </w: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38</w:t>
      </w:r>
      <w:r>
        <w:rPr>
          <w:rFonts w:hint="eastAsia" w:ascii="仿宋" w:hAnsi="仿宋" w:eastAsia="仿宋" w:cs="仿宋"/>
          <w:color w:val="auto"/>
          <w:sz w:val="24"/>
          <w:szCs w:val="24"/>
          <w:highlight w:val="none"/>
        </w:rPr>
        <w:t>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的规定进行结算。</w:t>
      </w:r>
    </w:p>
    <w:p w14:paraId="14B9AB45">
      <w:pPr>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4.其他项目：</w:t>
      </w:r>
    </w:p>
    <w:p w14:paraId="05D4E232">
      <w:pPr>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①材料（工程设备）暂估价：按照计量原则约定及对应定额消耗量确定的数量乘以监理人、跟审单位、发包人根据市场行情认质核价确定的价格进行结算。</w:t>
      </w:r>
    </w:p>
    <w:p w14:paraId="5F540CFF">
      <w:pPr>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②本工程采用专业工程暂估价或暂列金额采购的，结算时按实结算。其中以暂列金额采购的施工内容实施与否由</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决定。</w:t>
      </w:r>
    </w:p>
    <w:p w14:paraId="323F58E7">
      <w:pPr>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5.规费：按投标费率结算，若</w:t>
      </w:r>
      <w:r>
        <w:rPr>
          <w:rFonts w:hint="eastAsia" w:ascii="仿宋" w:hAnsi="仿宋" w:eastAsia="仿宋" w:cs="仿宋"/>
          <w:color w:val="auto"/>
          <w:sz w:val="24"/>
          <w:szCs w:val="24"/>
          <w:highlight w:val="none"/>
          <w:lang w:val="en-US" w:eastAsia="zh-CN"/>
        </w:rPr>
        <w:t>中标人</w:t>
      </w:r>
      <w:r>
        <w:rPr>
          <w:rFonts w:hint="eastAsia" w:ascii="仿宋" w:hAnsi="仿宋" w:eastAsia="仿宋" w:cs="仿宋"/>
          <w:color w:val="auto"/>
          <w:sz w:val="24"/>
          <w:szCs w:val="24"/>
          <w:highlight w:val="none"/>
        </w:rPr>
        <w:t>的投标报价中规费费率高于规定费率，则以规定费率结算，若中标人的投标报价中规费费率低于规定费率，则以投标报价中规费费率结算。</w:t>
      </w:r>
    </w:p>
    <w:p w14:paraId="7ED530A9">
      <w:pPr>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6.税金：按</w:t>
      </w:r>
      <w:r>
        <w:rPr>
          <w:rFonts w:hint="eastAsia" w:ascii="仿宋" w:hAnsi="仿宋" w:eastAsia="仿宋" w:cs="仿宋"/>
          <w:color w:val="auto"/>
          <w:sz w:val="24"/>
          <w:szCs w:val="24"/>
          <w:highlight w:val="none"/>
          <w:lang w:val="zh-CN"/>
        </w:rPr>
        <w:t>《重庆市城乡建设委员会关于建筑业营业税改征增值税调整建设工程计价依据的通知》（渝建（2016）35号）、</w:t>
      </w:r>
      <w:r>
        <w:rPr>
          <w:rFonts w:hint="eastAsia" w:ascii="仿宋" w:hAnsi="仿宋" w:eastAsia="仿宋" w:cs="仿宋"/>
          <w:color w:val="auto"/>
          <w:sz w:val="24"/>
          <w:szCs w:val="24"/>
          <w:highlight w:val="none"/>
        </w:rPr>
        <w:t>国家税务总局《关于调整增值税税率的通知》（财税〔2018〕32号）、住房城乡建设部办公厅《关于调整建设工程计价依据增值税税率的通知》（建办标〔2018〕20号）、重庆市城乡建设委员会《关于适用增值税新税率调整建设工程计价依据的通知》（渝建〔2018〕195号）及《关于适用增值税新税率调整建设工程计价依据的通知》（渝建（2019）143号）执行，按增值税一般计税方法结算。</w:t>
      </w:r>
    </w:p>
    <w:p w14:paraId="5B578127">
      <w:pPr>
        <w:pageBreakBefore w:val="0"/>
        <w:widowControl w:val="0"/>
        <w:kinsoku/>
        <w:wordWrap/>
        <w:overflowPunct/>
        <w:topLinePunct w:val="0"/>
        <w:autoSpaceDE/>
        <w:autoSpaceDN/>
        <w:bidi w:val="0"/>
        <w:adjustRightInd/>
        <w:snapToGrid w:val="0"/>
        <w:spacing w:line="440" w:lineRule="exact"/>
        <w:ind w:firstLine="482"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7.本工程的最终结算总价以相关部门或</w:t>
      </w:r>
      <w:r>
        <w:rPr>
          <w:rFonts w:hint="eastAsia" w:ascii="仿宋" w:hAnsi="仿宋" w:eastAsia="仿宋" w:cs="仿宋"/>
          <w:b/>
          <w:bCs/>
          <w:color w:val="auto"/>
          <w:sz w:val="24"/>
          <w:szCs w:val="24"/>
          <w:highlight w:val="none"/>
          <w:lang w:val="en-US" w:eastAsia="zh-CN"/>
        </w:rPr>
        <w:t>第三方</w:t>
      </w:r>
      <w:r>
        <w:rPr>
          <w:rFonts w:hint="eastAsia" w:ascii="仿宋" w:hAnsi="仿宋" w:eastAsia="仿宋" w:cs="仿宋"/>
          <w:b/>
          <w:bCs/>
          <w:color w:val="auto"/>
          <w:sz w:val="24"/>
          <w:szCs w:val="24"/>
          <w:highlight w:val="none"/>
        </w:rPr>
        <w:t>单位审定的金额为准。</w:t>
      </w:r>
    </w:p>
    <w:p w14:paraId="3D40C6B2">
      <w:pPr>
        <w:pageBreakBefore w:val="0"/>
        <w:widowControl w:val="0"/>
        <w:kinsoku/>
        <w:wordWrap/>
        <w:overflowPunct/>
        <w:topLinePunct w:val="0"/>
        <w:autoSpaceDE/>
        <w:autoSpaceDN/>
        <w:bidi w:val="0"/>
        <w:adjustRightInd/>
        <w:snapToGrid w:val="0"/>
        <w:spacing w:line="440" w:lineRule="exact"/>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rPr>
        <w:t>、质量保证及售后服务</w:t>
      </w:r>
      <w:bookmarkEnd w:id="52"/>
      <w:bookmarkEnd w:id="53"/>
      <w:bookmarkEnd w:id="54"/>
      <w:bookmarkEnd w:id="55"/>
      <w:bookmarkEnd w:id="56"/>
      <w:bookmarkEnd w:id="57"/>
      <w:bookmarkEnd w:id="58"/>
    </w:p>
    <w:p w14:paraId="54485372">
      <w:pPr>
        <w:pStyle w:val="13"/>
        <w:spacing w:line="360" w:lineRule="auto"/>
        <w:ind w:firstLine="480" w:firstLineChars="200"/>
        <w:rPr>
          <w:rFonts w:hint="eastAsia" w:ascii="仿宋" w:hAnsi="仿宋" w:eastAsia="仿宋" w:cs="仿宋"/>
          <w:color w:val="auto"/>
          <w:kern w:val="2"/>
          <w:sz w:val="24"/>
          <w:szCs w:val="24"/>
          <w:highlight w:val="none"/>
          <w:lang w:val="en-US" w:eastAsia="zh-CN" w:bidi="ar-SA"/>
        </w:rPr>
      </w:pPr>
      <w:bookmarkStart w:id="66" w:name="_Toc10176"/>
      <w:bookmarkStart w:id="67" w:name="_Toc28250"/>
      <w:bookmarkStart w:id="68" w:name="_Toc19901"/>
      <w:bookmarkStart w:id="69" w:name="_Toc24569667"/>
      <w:r>
        <w:rPr>
          <w:rFonts w:hint="eastAsia" w:ascii="仿宋" w:hAnsi="仿宋" w:eastAsia="仿宋" w:cs="仿宋"/>
          <w:color w:val="auto"/>
          <w:kern w:val="2"/>
          <w:sz w:val="24"/>
          <w:szCs w:val="24"/>
          <w:highlight w:val="none"/>
          <w:lang w:val="en-US" w:eastAsia="zh-CN" w:bidi="ar-SA"/>
        </w:rPr>
        <w:t>（一）质量要求：符合强制性质量标准，符合国家和重庆市现行有关施工质量验收规范要求，并达到合格标准。</w:t>
      </w:r>
    </w:p>
    <w:p w14:paraId="6B700E80">
      <w:pPr>
        <w:pStyle w:val="13"/>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二）工程质保期需满足重庆市建设工程质量监督总站监制《重庆市建设工程质量保修书》、《建设工程质量管理条例》及有关规定，缺陷责任期为两年。期内所有设备和施工质量缺陷所产生的维护及维修（非人为损坏）均为免费。</w:t>
      </w:r>
    </w:p>
    <w:p w14:paraId="447DBE2A">
      <w:pPr>
        <w:pStyle w:val="13"/>
        <w:spacing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（三）期内，所有设备维护和施工质量缺陷维修均为现场服务，由此产生的其它费用均不再收取。</w:t>
      </w:r>
    </w:p>
    <w:p w14:paraId="04BD0BF3">
      <w:pPr>
        <w:pageBreakBefore w:val="0"/>
        <w:widowControl w:val="0"/>
        <w:kinsoku/>
        <w:wordWrap/>
        <w:overflowPunct/>
        <w:topLinePunct w:val="0"/>
        <w:autoSpaceDE/>
        <w:autoSpaceDN/>
        <w:bidi w:val="0"/>
        <w:adjustRightInd/>
        <w:snapToGrid w:val="0"/>
        <w:spacing w:line="440" w:lineRule="exact"/>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六</w:t>
      </w:r>
      <w:r>
        <w:rPr>
          <w:rFonts w:hint="eastAsia" w:ascii="仿宋" w:hAnsi="仿宋" w:eastAsia="仿宋" w:cs="仿宋"/>
          <w:b/>
          <w:bCs/>
          <w:color w:val="auto"/>
          <w:sz w:val="24"/>
          <w:szCs w:val="24"/>
          <w:highlight w:val="none"/>
        </w:rPr>
        <w:t>、付款方式</w:t>
      </w:r>
      <w:bookmarkEnd w:id="66"/>
      <w:bookmarkEnd w:id="67"/>
      <w:bookmarkEnd w:id="68"/>
      <w:bookmarkEnd w:id="69"/>
    </w:p>
    <w:p w14:paraId="5EBD6124">
      <w:pPr>
        <w:pStyle w:val="9"/>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bookmarkStart w:id="70" w:name="_Toc13040"/>
      <w:bookmarkStart w:id="71" w:name="_Toc31427"/>
      <w:bookmarkStart w:id="72" w:name="_Toc4293"/>
      <w:bookmarkStart w:id="73" w:name="_Toc520204758"/>
      <w:bookmarkStart w:id="74" w:name="_Toc12582"/>
      <w:bookmarkStart w:id="75" w:name="_Toc267320052"/>
      <w:bookmarkStart w:id="76" w:name="_Toc24569668"/>
      <w:bookmarkStart w:id="77" w:name="_Toc12794"/>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val="en-US" w:eastAsia="zh-CN"/>
        </w:rPr>
        <w:t>本项目不支付预付款</w:t>
      </w:r>
      <w:r>
        <w:rPr>
          <w:rFonts w:hint="eastAsia" w:ascii="仿宋" w:hAnsi="仿宋" w:eastAsia="仿宋" w:cs="仿宋"/>
          <w:color w:val="auto"/>
          <w:sz w:val="24"/>
          <w:szCs w:val="24"/>
          <w:highlight w:val="none"/>
        </w:rPr>
        <w:t>。</w:t>
      </w:r>
    </w:p>
    <w:p w14:paraId="361D4003">
      <w:pPr>
        <w:pStyle w:val="9"/>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（二）竣工验收合格后，由</w:t>
      </w:r>
      <w:r>
        <w:rPr>
          <w:rFonts w:hint="eastAsia" w:ascii="仿宋" w:hAnsi="仿宋" w:eastAsia="仿宋" w:cs="仿宋"/>
          <w:color w:val="auto"/>
          <w:sz w:val="24"/>
          <w:szCs w:val="24"/>
          <w:highlight w:val="none"/>
          <w:lang w:val="en-US" w:eastAsia="zh-CN"/>
        </w:rPr>
        <w:t>中标人</w:t>
      </w:r>
      <w:r>
        <w:rPr>
          <w:rFonts w:hint="eastAsia" w:ascii="仿宋" w:hAnsi="仿宋" w:eastAsia="仿宋" w:cs="仿宋"/>
          <w:color w:val="auto"/>
          <w:sz w:val="24"/>
          <w:szCs w:val="24"/>
          <w:highlight w:val="none"/>
        </w:rPr>
        <w:t>向</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人提出支付申请，</w:t>
      </w:r>
      <w:r>
        <w:rPr>
          <w:rFonts w:hint="eastAsia" w:ascii="仿宋" w:hAnsi="仿宋" w:eastAsia="仿宋" w:cs="仿宋"/>
          <w:color w:val="auto"/>
          <w:sz w:val="24"/>
          <w:szCs w:val="24"/>
          <w:highlight w:val="none"/>
          <w:lang w:val="en-US" w:eastAsia="zh-CN"/>
        </w:rPr>
        <w:t>招标人</w:t>
      </w:r>
      <w:r>
        <w:rPr>
          <w:rFonts w:hint="eastAsia" w:ascii="仿宋" w:hAnsi="仿宋" w:eastAsia="仿宋" w:cs="仿宋"/>
          <w:color w:val="auto"/>
          <w:sz w:val="24"/>
          <w:szCs w:val="24"/>
          <w:highlight w:val="none"/>
        </w:rPr>
        <w:t>支付至合同总价的</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0%。</w:t>
      </w:r>
    </w:p>
    <w:p w14:paraId="3B7FD9BC">
      <w:pPr>
        <w:pStyle w:val="9"/>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r>
        <w:rPr>
          <w:rFonts w:hint="eastAsia" w:ascii="仿宋" w:hAnsi="仿宋" w:eastAsia="仿宋" w:cs="仿宋"/>
          <w:color w:val="auto"/>
          <w:sz w:val="24"/>
          <w:szCs w:val="24"/>
          <w:highlight w:val="none"/>
          <w:lang w:val="en-US" w:eastAsia="zh-CN"/>
        </w:rPr>
        <w:t>工程经财评中心或第三方审计机构，结算审计后出具审计报告，移交档案资料且通过档案验收后，由中标人向招标人支付结算审定总额的3%作为质保金后，招标人按合同约定支付至结算审定总额的100%。</w:t>
      </w:r>
    </w:p>
    <w:p w14:paraId="7F0A8EDA">
      <w:pPr>
        <w:pStyle w:val="9"/>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w:t>
      </w:r>
      <w:r>
        <w:rPr>
          <w:rFonts w:hint="eastAsia" w:ascii="仿宋" w:hAnsi="仿宋" w:eastAsia="仿宋" w:cs="仿宋"/>
          <w:color w:val="auto"/>
          <w:sz w:val="24"/>
          <w:szCs w:val="24"/>
          <w:highlight w:val="none"/>
          <w:lang w:val="en-US" w:eastAsia="zh-CN"/>
        </w:rPr>
        <w:t>缺陷责任</w:t>
      </w:r>
      <w:r>
        <w:rPr>
          <w:rFonts w:hint="eastAsia" w:ascii="仿宋" w:hAnsi="仿宋" w:eastAsia="仿宋" w:cs="仿宋"/>
          <w:color w:val="auto"/>
          <w:sz w:val="24"/>
          <w:szCs w:val="24"/>
          <w:highlight w:val="none"/>
        </w:rPr>
        <w:t>期2年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缺陷责任期到期后1个月内</w:t>
      </w:r>
      <w:r>
        <w:rPr>
          <w:rFonts w:hint="eastAsia" w:ascii="仿宋" w:hAnsi="仿宋" w:eastAsia="仿宋" w:cs="仿宋"/>
          <w:color w:val="auto"/>
          <w:sz w:val="24"/>
          <w:szCs w:val="24"/>
          <w:highlight w:val="none"/>
          <w:lang w:val="en-US" w:eastAsia="zh-CN"/>
        </w:rPr>
        <w:t>招标人</w:t>
      </w:r>
      <w:r>
        <w:rPr>
          <w:rFonts w:hint="eastAsia" w:ascii="仿宋" w:hAnsi="仿宋" w:eastAsia="仿宋" w:cs="仿宋"/>
          <w:color w:val="auto"/>
          <w:sz w:val="24"/>
          <w:szCs w:val="24"/>
          <w:highlight w:val="none"/>
        </w:rPr>
        <w:t>无息退还质保金。</w:t>
      </w:r>
    </w:p>
    <w:p w14:paraId="480F5B2C">
      <w:pPr>
        <w:pStyle w:val="4"/>
        <w:pageBreakBefore w:val="0"/>
        <w:widowControl w:val="0"/>
        <w:kinsoku/>
        <w:wordWrap/>
        <w:overflowPunct/>
        <w:topLinePunct w:val="0"/>
        <w:autoSpaceDE/>
        <w:autoSpaceDN/>
        <w:bidi w:val="0"/>
        <w:adjustRightInd/>
        <w:snapToGrid w:val="0"/>
        <w:spacing w:before="0" w:after="0" w:line="44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lang w:eastAsia="zh-CN"/>
        </w:rPr>
        <w:t>其他要求</w:t>
      </w:r>
    </w:p>
    <w:p w14:paraId="404947A8">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（一）中标人在项目施工、安装、维护等工作所涉及所有设备产品、主辅材料、施工工艺、项目管理均须符合国家相关技术规范、安全标准和环保要求。以及招标人合理的特有的管理要求。</w:t>
      </w:r>
    </w:p>
    <w:p w14:paraId="7B0ABE9B">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（二）施工及维护过程中不得破坏招标人现有附属建筑物等设施设备，同时应加强招标人现有附属建筑物及成品保护，如因施工造成损坏的，由中标人承担由此造成的一切责任。</w:t>
      </w:r>
    </w:p>
    <w:p w14:paraId="6FF8A76B">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（三）涉及本次项目建设范围内设备（含附属设备、配件）的外观，要与招标人建筑、绿化、景观布局实际等方面要协调统一，招标人有权选择，中标人应予无条件支持配合。</w:t>
      </w:r>
    </w:p>
    <w:p w14:paraId="61F7C728">
      <w:pPr>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（四）</w:t>
      </w:r>
      <w:r>
        <w:rPr>
          <w:rFonts w:hint="eastAsia" w:ascii="仿宋" w:hAnsi="仿宋" w:eastAsia="仿宋" w:cs="仿宋"/>
          <w:color w:val="auto"/>
          <w:sz w:val="24"/>
          <w:highlight w:val="none"/>
          <w:lang w:eastAsia="zh-CN"/>
        </w:rPr>
        <w:t>对于本项目建设内容及相关技术方案、建设方案等均属于保密信息，中标人应予以保密，不透露给任何其他方。</w:t>
      </w:r>
    </w:p>
    <w:bookmarkEnd w:id="70"/>
    <w:bookmarkEnd w:id="71"/>
    <w:bookmarkEnd w:id="72"/>
    <w:bookmarkEnd w:id="73"/>
    <w:bookmarkEnd w:id="74"/>
    <w:bookmarkEnd w:id="75"/>
    <w:bookmarkEnd w:id="76"/>
    <w:bookmarkEnd w:id="77"/>
    <w:p w14:paraId="041EA43A">
      <w:pPr>
        <w:pStyle w:val="4"/>
        <w:pageBreakBefore w:val="0"/>
        <w:widowControl w:val="0"/>
        <w:kinsoku/>
        <w:wordWrap/>
        <w:overflowPunct/>
        <w:topLinePunct w:val="0"/>
        <w:autoSpaceDE/>
        <w:autoSpaceDN/>
        <w:bidi w:val="0"/>
        <w:adjustRightInd/>
        <w:snapToGrid w:val="0"/>
        <w:spacing w:before="0" w:after="0" w:line="440" w:lineRule="exact"/>
        <w:textAlignment w:val="auto"/>
        <w:rPr>
          <w:rFonts w:hint="eastAsia" w:ascii="仿宋" w:hAnsi="仿宋" w:eastAsia="仿宋" w:cs="仿宋"/>
          <w:color w:val="auto"/>
          <w:sz w:val="24"/>
          <w:szCs w:val="24"/>
          <w:highlight w:val="none"/>
        </w:rPr>
      </w:pPr>
      <w:bookmarkStart w:id="78" w:name="_Toc22485"/>
      <w:bookmarkStart w:id="79" w:name="_Toc18376"/>
      <w:bookmarkStart w:id="80" w:name="_Toc16375"/>
      <w:bookmarkStart w:id="81" w:name="_Toc18676"/>
      <w:bookmarkStart w:id="82" w:name="_Toc24569670"/>
      <w:bookmarkStart w:id="83" w:name="_Toc403569795"/>
      <w:bookmarkStart w:id="84" w:name="_Toc729"/>
      <w:bookmarkStart w:id="85" w:name="_Toc344475125"/>
      <w:r>
        <w:rPr>
          <w:rFonts w:hint="eastAsia" w:ascii="仿宋" w:hAnsi="仿宋" w:eastAsia="仿宋" w:cs="仿宋"/>
          <w:color w:val="auto"/>
          <w:sz w:val="24"/>
          <w:szCs w:val="24"/>
          <w:highlight w:val="none"/>
          <w:lang w:val="en-US" w:eastAsia="zh-CN"/>
        </w:rPr>
        <w:t>八</w:t>
      </w:r>
      <w:r>
        <w:rPr>
          <w:rFonts w:hint="eastAsia" w:ascii="仿宋" w:hAnsi="仿宋" w:eastAsia="仿宋" w:cs="仿宋"/>
          <w:color w:val="auto"/>
          <w:sz w:val="24"/>
          <w:szCs w:val="24"/>
          <w:highlight w:val="none"/>
        </w:rPr>
        <w:t>、违约责任</w:t>
      </w:r>
      <w:bookmarkEnd w:id="78"/>
      <w:bookmarkEnd w:id="79"/>
      <w:bookmarkEnd w:id="80"/>
      <w:bookmarkEnd w:id="81"/>
    </w:p>
    <w:p w14:paraId="44EA2CE9">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无正当理由逾期</w:t>
      </w:r>
      <w:r>
        <w:rPr>
          <w:rFonts w:hint="eastAsia" w:ascii="仿宋" w:hAnsi="仿宋" w:eastAsia="仿宋" w:cs="仿宋"/>
          <w:color w:val="auto"/>
          <w:sz w:val="24"/>
          <w:szCs w:val="24"/>
          <w:highlight w:val="none"/>
          <w:lang w:val="en-US" w:eastAsia="zh-CN"/>
        </w:rPr>
        <w:t>竣工</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按要求向</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支付违约金，具体金额由双方协商决定。如</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逾期</w:t>
      </w:r>
      <w:r>
        <w:rPr>
          <w:rFonts w:hint="eastAsia" w:ascii="仿宋" w:hAnsi="仿宋" w:eastAsia="仿宋" w:cs="仿宋"/>
          <w:color w:val="auto"/>
          <w:sz w:val="24"/>
          <w:szCs w:val="24"/>
          <w:highlight w:val="none"/>
          <w:lang w:val="en-US" w:eastAsia="zh-CN"/>
        </w:rPr>
        <w:t>竣工</w:t>
      </w:r>
      <w:r>
        <w:rPr>
          <w:rFonts w:hint="eastAsia" w:ascii="仿宋" w:hAnsi="仿宋" w:eastAsia="仿宋" w:cs="仿宋"/>
          <w:color w:val="auto"/>
          <w:sz w:val="24"/>
          <w:szCs w:val="24"/>
          <w:highlight w:val="none"/>
        </w:rPr>
        <w:t>达10天，</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有权解除合同，</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解除合同的通知自到达</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时生效。</w:t>
      </w:r>
    </w:p>
    <w:p w14:paraId="2024DB05">
      <w:pPr>
        <w:pageBreakBefore w:val="0"/>
        <w:widowControl w:val="0"/>
        <w:numPr>
          <w:ilvl w:val="0"/>
          <w:numId w:val="1"/>
        </w:numPr>
        <w:kinsoku/>
        <w:wordWrap/>
        <w:overflowPunct/>
        <w:topLinePunct w:val="0"/>
        <w:autoSpaceDE/>
        <w:autoSpaceDN/>
        <w:bidi w:val="0"/>
        <w:adjustRightInd/>
        <w:snapToGrid w:val="0"/>
        <w:spacing w:line="440" w:lineRule="exact"/>
        <w:ind w:firstLine="53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所交付的货物不符合本合同规定的，</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有权拒收，</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有权要求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赔偿因此造成的损失。</w:t>
      </w:r>
    </w:p>
    <w:p w14:paraId="38FFDDA6">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无正当理由不得拒收货物、拒付货款。</w:t>
      </w:r>
    </w:p>
    <w:p w14:paraId="37F8ED3D">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sz w:val="24"/>
          <w:szCs w:val="24"/>
          <w:highlight w:val="none"/>
        </w:rPr>
        <w:t>（四）其他违约责任按照《中华人民共和国民法典》、《中华人民共和国产品质量法》等相关条款执行。</w:t>
      </w:r>
    </w:p>
    <w:p w14:paraId="180339A9">
      <w:pPr>
        <w:pStyle w:val="4"/>
        <w:pageBreakBefore w:val="0"/>
        <w:widowControl w:val="0"/>
        <w:kinsoku/>
        <w:wordWrap/>
        <w:overflowPunct/>
        <w:topLinePunct w:val="0"/>
        <w:autoSpaceDE/>
        <w:autoSpaceDN/>
        <w:bidi w:val="0"/>
        <w:adjustRightInd/>
        <w:snapToGrid w:val="0"/>
        <w:spacing w:before="0" w:after="0" w:line="440" w:lineRule="exact"/>
        <w:textAlignment w:val="auto"/>
        <w:rPr>
          <w:rFonts w:hint="eastAsia" w:ascii="仿宋" w:hAnsi="仿宋" w:eastAsia="仿宋" w:cs="仿宋"/>
          <w:color w:val="auto"/>
          <w:sz w:val="24"/>
          <w:szCs w:val="24"/>
          <w:highlight w:val="none"/>
        </w:rPr>
      </w:pPr>
      <w:bookmarkStart w:id="86" w:name="_Toc15269"/>
      <w:bookmarkStart w:id="87" w:name="_Toc25408"/>
      <w:bookmarkStart w:id="88" w:name="_Toc21784"/>
      <w:r>
        <w:rPr>
          <w:rFonts w:hint="eastAsia" w:ascii="仿宋" w:hAnsi="仿宋" w:eastAsia="仿宋" w:cs="仿宋"/>
          <w:color w:val="auto"/>
          <w:sz w:val="24"/>
          <w:szCs w:val="24"/>
          <w:highlight w:val="none"/>
          <w:lang w:val="en-US" w:eastAsia="zh-CN"/>
        </w:rPr>
        <w:t>九</w:t>
      </w:r>
      <w:r>
        <w:rPr>
          <w:rFonts w:hint="eastAsia" w:ascii="仿宋" w:hAnsi="仿宋" w:eastAsia="仿宋" w:cs="仿宋"/>
          <w:color w:val="auto"/>
          <w:sz w:val="24"/>
          <w:szCs w:val="24"/>
          <w:highlight w:val="none"/>
        </w:rPr>
        <w:t>、其他</w:t>
      </w:r>
      <w:bookmarkEnd w:id="82"/>
      <w:bookmarkEnd w:id="83"/>
      <w:bookmarkEnd w:id="84"/>
      <w:bookmarkEnd w:id="86"/>
      <w:bookmarkEnd w:id="87"/>
      <w:bookmarkEnd w:id="88"/>
    </w:p>
    <w:bookmarkEnd w:id="85"/>
    <w:p w14:paraId="096D9633">
      <w:pPr>
        <w:pStyle w:val="13"/>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确定后，由</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和</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按照相关规定和程序办理有关手续，签订合同。</w:t>
      </w:r>
    </w:p>
    <w:p w14:paraId="7C222970">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仿宋" w:hAnsi="仿宋" w:eastAsia="仿宋" w:cs="仿宋"/>
          <w:b/>
          <w:bCs/>
          <w:color w:val="auto"/>
          <w:sz w:val="36"/>
          <w:szCs w:val="28"/>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）其他未尽事宜由供需双方在采购合同中详细约定。</w:t>
      </w:r>
    </w:p>
    <w:p w14:paraId="36267902">
      <w:pPr>
        <w:pStyle w:val="9"/>
        <w:rPr>
          <w:rFonts w:hint="eastAsia" w:ascii="仿宋" w:hAnsi="仿宋" w:eastAsia="仿宋" w:cs="仿宋"/>
          <w:b/>
          <w:bCs/>
          <w:color w:val="auto"/>
          <w:sz w:val="36"/>
          <w:szCs w:val="28"/>
          <w:highlight w:val="none"/>
        </w:rPr>
      </w:pPr>
    </w:p>
    <w:p w14:paraId="44C9C7C8">
      <w:pPr>
        <w:rPr>
          <w:rFonts w:hint="eastAsia" w:ascii="仿宋" w:hAnsi="仿宋" w:eastAsia="仿宋" w:cs="仿宋"/>
          <w:b/>
          <w:bCs/>
          <w:color w:val="auto"/>
          <w:sz w:val="36"/>
          <w:szCs w:val="28"/>
          <w:highlight w:val="none"/>
        </w:rPr>
      </w:pPr>
    </w:p>
    <w:p w14:paraId="074B3C6B">
      <w:pPr>
        <w:rPr>
          <w:rFonts w:hint="eastAsia" w:ascii="仿宋" w:hAnsi="仿宋" w:eastAsia="仿宋" w:cs="仿宋"/>
          <w:color w:val="auto"/>
          <w:sz w:val="36"/>
          <w:szCs w:val="36"/>
          <w:highlight w:val="none"/>
        </w:rPr>
      </w:pPr>
      <w:bookmarkStart w:id="89" w:name="_Toc19698"/>
    </w:p>
    <w:p w14:paraId="15B5FD27">
      <w:pPr>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br w:type="page"/>
      </w:r>
    </w:p>
    <w:p w14:paraId="21F4B2DD">
      <w:pPr>
        <w:pStyle w:val="3"/>
        <w:spacing w:line="360" w:lineRule="auto"/>
        <w:jc w:val="center"/>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 xml:space="preserve">第四篇  </w:t>
      </w:r>
      <w:bookmarkEnd w:id="46"/>
      <w:r>
        <w:rPr>
          <w:rFonts w:hint="eastAsia" w:ascii="仿宋" w:hAnsi="仿宋" w:eastAsia="仿宋" w:cs="仿宋"/>
          <w:color w:val="auto"/>
          <w:sz w:val="36"/>
          <w:szCs w:val="36"/>
          <w:highlight w:val="none"/>
        </w:rPr>
        <w:t>评审程序及方法、评审标准、无效响应和采购终止</w:t>
      </w:r>
      <w:bookmarkEnd w:id="89"/>
    </w:p>
    <w:p w14:paraId="34DFB185">
      <w:pPr>
        <w:pStyle w:val="4"/>
        <w:snapToGrid w:val="0"/>
        <w:spacing w:before="0" w:after="0" w:line="360" w:lineRule="auto"/>
        <w:rPr>
          <w:rFonts w:hint="eastAsia" w:ascii="仿宋" w:hAnsi="仿宋" w:eastAsia="仿宋" w:cs="仿宋"/>
          <w:color w:val="auto"/>
          <w:sz w:val="24"/>
          <w:szCs w:val="24"/>
          <w:highlight w:val="none"/>
        </w:rPr>
      </w:pPr>
      <w:bookmarkStart w:id="90" w:name="_Toc9780"/>
      <w:r>
        <w:rPr>
          <w:rFonts w:hint="eastAsia" w:ascii="仿宋" w:hAnsi="仿宋" w:eastAsia="仿宋" w:cs="仿宋"/>
          <w:color w:val="auto"/>
          <w:sz w:val="24"/>
          <w:szCs w:val="24"/>
          <w:highlight w:val="none"/>
        </w:rPr>
        <w:t>一、评审程序及方法</w:t>
      </w:r>
      <w:bookmarkEnd w:id="90"/>
    </w:p>
    <w:p w14:paraId="6E2117E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（一）按</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规定的评审方式进行，本项目依法组建的</w:t>
      </w: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分别对各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进行综合评分。</w:t>
      </w:r>
    </w:p>
    <w:p w14:paraId="2C67F95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对各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的资格条件、</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的有效性、完整性和响应程度进行审查，各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只有完全符合要求的前提下，才能参与</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w:t>
      </w:r>
    </w:p>
    <w:p w14:paraId="7F69D011">
      <w:pPr>
        <w:snapToGrid w:val="0"/>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1.资格审查。依据法律法规和</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的规定，对</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中的资格证明等进行审查，以确定</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是否具备</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资格。资格性检查资料表如下：</w:t>
      </w:r>
    </w:p>
    <w:tbl>
      <w:tblPr>
        <w:tblStyle w:val="24"/>
        <w:tblW w:w="10316" w:type="dxa"/>
        <w:tblInd w:w="-2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814"/>
        <w:gridCol w:w="2906"/>
        <w:gridCol w:w="5635"/>
      </w:tblGrid>
      <w:tr w14:paraId="1F7F3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61" w:type="dxa"/>
            <w:noWrap w:val="0"/>
            <w:vAlign w:val="center"/>
          </w:tcPr>
          <w:p w14:paraId="3BC3F495">
            <w:pPr>
              <w:snapToGrid w:val="0"/>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3720" w:type="dxa"/>
            <w:gridSpan w:val="2"/>
            <w:noWrap w:val="0"/>
            <w:vAlign w:val="center"/>
          </w:tcPr>
          <w:p w14:paraId="679042F7">
            <w:pPr>
              <w:snapToGrid w:val="0"/>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检查因素</w:t>
            </w:r>
          </w:p>
        </w:tc>
        <w:tc>
          <w:tcPr>
            <w:tcW w:w="5635" w:type="dxa"/>
            <w:noWrap w:val="0"/>
            <w:vAlign w:val="center"/>
          </w:tcPr>
          <w:p w14:paraId="6D23A271">
            <w:pPr>
              <w:snapToGrid w:val="0"/>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检查内容</w:t>
            </w:r>
          </w:p>
        </w:tc>
      </w:tr>
      <w:tr w14:paraId="4C64F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restart"/>
            <w:noWrap w:val="0"/>
            <w:vAlign w:val="center"/>
          </w:tcPr>
          <w:p w14:paraId="293CFDB7">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1"/>
                <w:szCs w:val="21"/>
                <w:highlight w:val="none"/>
              </w:rPr>
              <w:t>（一）</w:t>
            </w:r>
          </w:p>
        </w:tc>
        <w:tc>
          <w:tcPr>
            <w:tcW w:w="814" w:type="dxa"/>
            <w:vMerge w:val="restart"/>
            <w:noWrap w:val="0"/>
            <w:vAlign w:val="center"/>
          </w:tcPr>
          <w:p w14:paraId="503B1AF3">
            <w:pPr>
              <w:snapToGrid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《中华人民共和国政府采购法》第二十二条规定</w:t>
            </w:r>
          </w:p>
        </w:tc>
        <w:tc>
          <w:tcPr>
            <w:tcW w:w="2906" w:type="dxa"/>
            <w:noWrap w:val="0"/>
            <w:vAlign w:val="center"/>
          </w:tcPr>
          <w:p w14:paraId="5C550B06">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tc>
        <w:tc>
          <w:tcPr>
            <w:tcW w:w="5635" w:type="dxa"/>
            <w:noWrap w:val="0"/>
            <w:vAlign w:val="center"/>
          </w:tcPr>
          <w:p w14:paraId="5A1BB439">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法人营业执照（副本）或事业单位法人证书（副本）或个体工商户营业执照或有效的自然人身份证明或社会团体法人登记证书（提供</w:t>
            </w:r>
            <w:r>
              <w:rPr>
                <w:rFonts w:hint="eastAsia" w:ascii="仿宋" w:hAnsi="仿宋" w:eastAsia="仿宋" w:cs="仿宋"/>
                <w:color w:val="auto"/>
                <w:sz w:val="24"/>
                <w:szCs w:val="24"/>
                <w:highlight w:val="none"/>
                <w:lang w:eastAsia="zh-CN"/>
              </w:rPr>
              <w:t>扫描件</w:t>
            </w:r>
            <w:r>
              <w:rPr>
                <w:rFonts w:hint="eastAsia" w:ascii="仿宋" w:hAnsi="仿宋" w:eastAsia="仿宋" w:cs="仿宋"/>
                <w:color w:val="auto"/>
                <w:sz w:val="24"/>
                <w:szCs w:val="24"/>
                <w:highlight w:val="none"/>
              </w:rPr>
              <w:t xml:space="preserve">）。 </w:t>
            </w:r>
          </w:p>
          <w:p w14:paraId="7B411F4A">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法定代表人身份证明和法定代表人授权代表委托书。</w:t>
            </w:r>
          </w:p>
        </w:tc>
      </w:tr>
      <w:tr w14:paraId="62A55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1" w:type="dxa"/>
            <w:vMerge w:val="continue"/>
            <w:noWrap w:val="0"/>
            <w:vAlign w:val="center"/>
          </w:tcPr>
          <w:p w14:paraId="62C04162">
            <w:pPr>
              <w:snapToGrid w:val="0"/>
              <w:spacing w:line="360" w:lineRule="auto"/>
              <w:jc w:val="center"/>
              <w:rPr>
                <w:rFonts w:hint="eastAsia" w:ascii="仿宋" w:hAnsi="仿宋" w:eastAsia="仿宋" w:cs="仿宋"/>
                <w:color w:val="auto"/>
                <w:sz w:val="24"/>
                <w:szCs w:val="24"/>
                <w:highlight w:val="none"/>
              </w:rPr>
            </w:pPr>
          </w:p>
        </w:tc>
        <w:tc>
          <w:tcPr>
            <w:tcW w:w="814" w:type="dxa"/>
            <w:vMerge w:val="continue"/>
            <w:noWrap w:val="0"/>
            <w:vAlign w:val="center"/>
          </w:tcPr>
          <w:p w14:paraId="23E484F2">
            <w:pPr>
              <w:snapToGrid w:val="0"/>
              <w:spacing w:line="360" w:lineRule="auto"/>
              <w:rPr>
                <w:rFonts w:hint="eastAsia" w:ascii="仿宋" w:hAnsi="仿宋" w:eastAsia="仿宋" w:cs="仿宋"/>
                <w:color w:val="auto"/>
                <w:sz w:val="24"/>
                <w:szCs w:val="24"/>
                <w:highlight w:val="none"/>
                <w:lang w:val="zh-CN"/>
              </w:rPr>
            </w:pPr>
          </w:p>
        </w:tc>
        <w:tc>
          <w:tcPr>
            <w:tcW w:w="2906" w:type="dxa"/>
            <w:noWrap w:val="0"/>
            <w:vAlign w:val="center"/>
          </w:tcPr>
          <w:p w14:paraId="6BAB07C5">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（2）</w:t>
            </w:r>
            <w:r>
              <w:rPr>
                <w:rFonts w:hint="eastAsia" w:ascii="仿宋" w:hAnsi="仿宋" w:eastAsia="仿宋" w:cs="仿宋"/>
                <w:color w:val="auto"/>
                <w:sz w:val="24"/>
                <w:szCs w:val="24"/>
                <w:highlight w:val="none"/>
              </w:rPr>
              <w:t>具有良好的商业信誉和健全的财务会计制度</w:t>
            </w:r>
          </w:p>
        </w:tc>
        <w:tc>
          <w:tcPr>
            <w:tcW w:w="5635" w:type="dxa"/>
            <w:vMerge w:val="restart"/>
            <w:noWrap w:val="0"/>
            <w:vAlign w:val="center"/>
          </w:tcPr>
          <w:p w14:paraId="7C8A7C46">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提供基本资格条件承诺函</w:t>
            </w:r>
            <w:r>
              <w:rPr>
                <w:rFonts w:hint="eastAsia" w:ascii="仿宋" w:hAnsi="仿宋" w:eastAsia="仿宋" w:cs="仿宋"/>
                <w:b/>
                <w:bCs/>
                <w:color w:val="auto"/>
                <w:sz w:val="24"/>
                <w:szCs w:val="24"/>
                <w:highlight w:val="none"/>
              </w:rPr>
              <w:t>（格式详见第七篇）</w:t>
            </w:r>
          </w:p>
        </w:tc>
      </w:tr>
      <w:tr w14:paraId="233ED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noWrap w:val="0"/>
            <w:vAlign w:val="center"/>
          </w:tcPr>
          <w:p w14:paraId="6DE15674">
            <w:pPr>
              <w:snapToGrid w:val="0"/>
              <w:spacing w:line="360" w:lineRule="auto"/>
              <w:jc w:val="center"/>
              <w:rPr>
                <w:rFonts w:hint="eastAsia" w:ascii="仿宋" w:hAnsi="仿宋" w:eastAsia="仿宋" w:cs="仿宋"/>
                <w:color w:val="auto"/>
                <w:sz w:val="24"/>
                <w:szCs w:val="24"/>
                <w:highlight w:val="none"/>
              </w:rPr>
            </w:pPr>
          </w:p>
        </w:tc>
        <w:tc>
          <w:tcPr>
            <w:tcW w:w="814" w:type="dxa"/>
            <w:vMerge w:val="continue"/>
            <w:noWrap w:val="0"/>
            <w:vAlign w:val="center"/>
          </w:tcPr>
          <w:p w14:paraId="0CDA7904">
            <w:pPr>
              <w:snapToGrid w:val="0"/>
              <w:spacing w:line="360" w:lineRule="auto"/>
              <w:rPr>
                <w:rFonts w:hint="eastAsia" w:ascii="仿宋" w:hAnsi="仿宋" w:eastAsia="仿宋" w:cs="仿宋"/>
                <w:color w:val="auto"/>
                <w:sz w:val="24"/>
                <w:szCs w:val="24"/>
                <w:highlight w:val="none"/>
                <w:lang w:val="zh-CN"/>
              </w:rPr>
            </w:pPr>
          </w:p>
        </w:tc>
        <w:tc>
          <w:tcPr>
            <w:tcW w:w="2906" w:type="dxa"/>
            <w:noWrap w:val="0"/>
            <w:vAlign w:val="center"/>
          </w:tcPr>
          <w:p w14:paraId="6FB832E4">
            <w:pPr>
              <w:snapToGrid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（3）具有履行合同所必需的设备和专业技术能力</w:t>
            </w:r>
          </w:p>
        </w:tc>
        <w:tc>
          <w:tcPr>
            <w:tcW w:w="5635" w:type="dxa"/>
            <w:vMerge w:val="continue"/>
            <w:noWrap w:val="0"/>
            <w:vAlign w:val="center"/>
          </w:tcPr>
          <w:p w14:paraId="2D5213DE">
            <w:pPr>
              <w:snapToGrid w:val="0"/>
              <w:spacing w:line="360" w:lineRule="auto"/>
              <w:rPr>
                <w:rFonts w:hint="eastAsia" w:ascii="仿宋" w:hAnsi="仿宋" w:eastAsia="仿宋" w:cs="仿宋"/>
                <w:color w:val="auto"/>
                <w:sz w:val="24"/>
                <w:szCs w:val="24"/>
                <w:highlight w:val="none"/>
              </w:rPr>
            </w:pPr>
          </w:p>
        </w:tc>
      </w:tr>
      <w:tr w14:paraId="0EF78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961" w:type="dxa"/>
            <w:vMerge w:val="continue"/>
            <w:noWrap w:val="0"/>
            <w:vAlign w:val="center"/>
          </w:tcPr>
          <w:p w14:paraId="6B18DE2F">
            <w:pPr>
              <w:snapToGrid w:val="0"/>
              <w:spacing w:line="360" w:lineRule="auto"/>
              <w:jc w:val="center"/>
              <w:rPr>
                <w:rFonts w:hint="eastAsia" w:ascii="仿宋" w:hAnsi="仿宋" w:eastAsia="仿宋" w:cs="仿宋"/>
                <w:color w:val="auto"/>
                <w:sz w:val="24"/>
                <w:szCs w:val="24"/>
                <w:highlight w:val="none"/>
              </w:rPr>
            </w:pPr>
          </w:p>
        </w:tc>
        <w:tc>
          <w:tcPr>
            <w:tcW w:w="814" w:type="dxa"/>
            <w:vMerge w:val="continue"/>
            <w:noWrap w:val="0"/>
            <w:vAlign w:val="center"/>
          </w:tcPr>
          <w:p w14:paraId="4A1A71B5">
            <w:pPr>
              <w:snapToGrid w:val="0"/>
              <w:spacing w:line="360" w:lineRule="auto"/>
              <w:rPr>
                <w:rFonts w:hint="eastAsia" w:ascii="仿宋" w:hAnsi="仿宋" w:eastAsia="仿宋" w:cs="仿宋"/>
                <w:color w:val="auto"/>
                <w:sz w:val="24"/>
                <w:szCs w:val="24"/>
                <w:highlight w:val="none"/>
                <w:lang w:val="zh-CN"/>
              </w:rPr>
            </w:pPr>
          </w:p>
        </w:tc>
        <w:tc>
          <w:tcPr>
            <w:tcW w:w="2906" w:type="dxa"/>
            <w:noWrap w:val="0"/>
            <w:vAlign w:val="center"/>
          </w:tcPr>
          <w:p w14:paraId="3C2CDED8">
            <w:pPr>
              <w:snapToGrid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（4）有依法缴纳税收和社会保障金的良好记录</w:t>
            </w:r>
          </w:p>
        </w:tc>
        <w:tc>
          <w:tcPr>
            <w:tcW w:w="5635" w:type="dxa"/>
            <w:vMerge w:val="continue"/>
            <w:noWrap w:val="0"/>
            <w:vAlign w:val="center"/>
          </w:tcPr>
          <w:p w14:paraId="0F2DB3DE">
            <w:pPr>
              <w:snapToGrid w:val="0"/>
              <w:spacing w:line="360" w:lineRule="auto"/>
              <w:rPr>
                <w:rFonts w:hint="eastAsia" w:ascii="仿宋" w:hAnsi="仿宋" w:eastAsia="仿宋" w:cs="仿宋"/>
                <w:color w:val="auto"/>
                <w:sz w:val="24"/>
                <w:szCs w:val="24"/>
                <w:highlight w:val="none"/>
              </w:rPr>
            </w:pPr>
          </w:p>
        </w:tc>
      </w:tr>
      <w:tr w14:paraId="1D6BC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noWrap w:val="0"/>
            <w:vAlign w:val="center"/>
          </w:tcPr>
          <w:p w14:paraId="7A9304F4">
            <w:pPr>
              <w:snapToGrid w:val="0"/>
              <w:spacing w:line="360" w:lineRule="auto"/>
              <w:jc w:val="center"/>
              <w:rPr>
                <w:rFonts w:hint="eastAsia" w:ascii="仿宋" w:hAnsi="仿宋" w:eastAsia="仿宋" w:cs="仿宋"/>
                <w:color w:val="auto"/>
                <w:sz w:val="24"/>
                <w:szCs w:val="24"/>
                <w:highlight w:val="none"/>
              </w:rPr>
            </w:pPr>
          </w:p>
        </w:tc>
        <w:tc>
          <w:tcPr>
            <w:tcW w:w="814" w:type="dxa"/>
            <w:vMerge w:val="continue"/>
            <w:noWrap w:val="0"/>
            <w:vAlign w:val="center"/>
          </w:tcPr>
          <w:p w14:paraId="0B564716">
            <w:pPr>
              <w:snapToGrid w:val="0"/>
              <w:spacing w:line="360" w:lineRule="auto"/>
              <w:rPr>
                <w:rFonts w:hint="eastAsia" w:ascii="仿宋" w:hAnsi="仿宋" w:eastAsia="仿宋" w:cs="仿宋"/>
                <w:color w:val="auto"/>
                <w:sz w:val="24"/>
                <w:szCs w:val="24"/>
                <w:highlight w:val="none"/>
                <w:lang w:val="zh-CN"/>
              </w:rPr>
            </w:pPr>
          </w:p>
        </w:tc>
        <w:tc>
          <w:tcPr>
            <w:tcW w:w="2906" w:type="dxa"/>
            <w:noWrap w:val="0"/>
            <w:vAlign w:val="center"/>
          </w:tcPr>
          <w:p w14:paraId="62BC33D5">
            <w:pPr>
              <w:snapToGrid w:val="0"/>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（5）参加政府采购活动前三年内，在经营活动中没有重大违法记录（注</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eq \o\ac(○,1)</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w:t>
            </w:r>
          </w:p>
        </w:tc>
        <w:tc>
          <w:tcPr>
            <w:tcW w:w="5635" w:type="dxa"/>
            <w:vMerge w:val="continue"/>
            <w:noWrap w:val="0"/>
            <w:vAlign w:val="center"/>
          </w:tcPr>
          <w:p w14:paraId="03C3C5D8">
            <w:pPr>
              <w:spacing w:line="360" w:lineRule="auto"/>
              <w:rPr>
                <w:rFonts w:hint="eastAsia" w:ascii="仿宋" w:hAnsi="仿宋" w:eastAsia="仿宋" w:cs="仿宋"/>
                <w:color w:val="auto"/>
                <w:sz w:val="24"/>
                <w:szCs w:val="24"/>
                <w:highlight w:val="none"/>
              </w:rPr>
            </w:pPr>
          </w:p>
        </w:tc>
      </w:tr>
      <w:tr w14:paraId="45613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vMerge w:val="continue"/>
            <w:noWrap w:val="0"/>
            <w:vAlign w:val="center"/>
          </w:tcPr>
          <w:p w14:paraId="58B4C14D">
            <w:pPr>
              <w:snapToGrid w:val="0"/>
              <w:spacing w:line="360" w:lineRule="auto"/>
              <w:jc w:val="center"/>
              <w:rPr>
                <w:rFonts w:hint="eastAsia" w:ascii="仿宋" w:hAnsi="仿宋" w:eastAsia="仿宋" w:cs="仿宋"/>
                <w:color w:val="auto"/>
                <w:sz w:val="24"/>
                <w:szCs w:val="24"/>
                <w:highlight w:val="none"/>
              </w:rPr>
            </w:pPr>
          </w:p>
        </w:tc>
        <w:tc>
          <w:tcPr>
            <w:tcW w:w="814" w:type="dxa"/>
            <w:vMerge w:val="continue"/>
            <w:noWrap w:val="0"/>
            <w:vAlign w:val="center"/>
          </w:tcPr>
          <w:p w14:paraId="558D9394">
            <w:pPr>
              <w:snapToGrid w:val="0"/>
              <w:spacing w:line="360" w:lineRule="auto"/>
              <w:rPr>
                <w:rFonts w:hint="eastAsia" w:ascii="仿宋" w:hAnsi="仿宋" w:eastAsia="仿宋" w:cs="仿宋"/>
                <w:color w:val="auto"/>
                <w:sz w:val="24"/>
                <w:szCs w:val="24"/>
                <w:highlight w:val="none"/>
                <w:lang w:val="zh-CN"/>
              </w:rPr>
            </w:pPr>
          </w:p>
        </w:tc>
        <w:tc>
          <w:tcPr>
            <w:tcW w:w="2906" w:type="dxa"/>
            <w:noWrap w:val="0"/>
            <w:vAlign w:val="center"/>
          </w:tcPr>
          <w:p w14:paraId="3F8A6BD1">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（6）法律、行政法规规定的其他条件</w:t>
            </w:r>
          </w:p>
        </w:tc>
        <w:tc>
          <w:tcPr>
            <w:tcW w:w="5635" w:type="dxa"/>
            <w:vMerge w:val="continue"/>
            <w:noWrap w:val="0"/>
            <w:vAlign w:val="center"/>
          </w:tcPr>
          <w:p w14:paraId="577B1922">
            <w:pPr>
              <w:snapToGrid w:val="0"/>
              <w:spacing w:line="360" w:lineRule="auto"/>
              <w:rPr>
                <w:rFonts w:hint="eastAsia" w:ascii="仿宋" w:hAnsi="仿宋" w:eastAsia="仿宋" w:cs="仿宋"/>
                <w:color w:val="auto"/>
                <w:sz w:val="24"/>
                <w:szCs w:val="24"/>
                <w:highlight w:val="none"/>
              </w:rPr>
            </w:pPr>
          </w:p>
        </w:tc>
      </w:tr>
      <w:tr w14:paraId="3F79E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61" w:type="dxa"/>
            <w:noWrap w:val="0"/>
            <w:vAlign w:val="center"/>
          </w:tcPr>
          <w:p w14:paraId="5E3DD3B2">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p>
        </w:tc>
        <w:tc>
          <w:tcPr>
            <w:tcW w:w="3720" w:type="dxa"/>
            <w:gridSpan w:val="2"/>
            <w:noWrap w:val="0"/>
            <w:vAlign w:val="center"/>
          </w:tcPr>
          <w:p w14:paraId="2EAA0793">
            <w:pPr>
              <w:snapToGrid w:val="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特定资格要求</w:t>
            </w:r>
          </w:p>
        </w:tc>
        <w:tc>
          <w:tcPr>
            <w:tcW w:w="5635" w:type="dxa"/>
            <w:noWrap w:val="0"/>
            <w:vAlign w:val="center"/>
          </w:tcPr>
          <w:p w14:paraId="4A2C10D2">
            <w:pPr>
              <w:snapToGrid w:val="0"/>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按第一篇“三、</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资格条件 （</w:t>
            </w:r>
            <w:r>
              <w:rPr>
                <w:rFonts w:hint="eastAsia" w:ascii="仿宋" w:hAnsi="仿宋" w:eastAsia="仿宋" w:cs="仿宋"/>
                <w:color w:val="auto"/>
                <w:sz w:val="24"/>
                <w:szCs w:val="24"/>
                <w:highlight w:val="none"/>
                <w:lang w:eastAsia="zh-CN"/>
              </w:rPr>
              <w:t>二</w:t>
            </w:r>
            <w:r>
              <w:rPr>
                <w:rFonts w:hint="eastAsia" w:ascii="仿宋" w:hAnsi="仿宋" w:eastAsia="仿宋" w:cs="仿宋"/>
                <w:color w:val="auto"/>
                <w:sz w:val="24"/>
                <w:szCs w:val="24"/>
                <w:highlight w:val="none"/>
              </w:rPr>
              <w:t>）本项目的特定资格要求”的要求提交（如果有）。</w:t>
            </w:r>
          </w:p>
        </w:tc>
      </w:tr>
    </w:tbl>
    <w:p w14:paraId="57C63BDB">
      <w:pPr>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w:t>
      </w:r>
    </w:p>
    <w:p w14:paraId="70245BF2">
      <w:pPr>
        <w:snapToGrid w:val="0"/>
        <w:spacing w:line="360" w:lineRule="auto"/>
        <w:ind w:firstLine="44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2"/>
          <w:szCs w:val="22"/>
          <w:highlight w:val="none"/>
        </w:rPr>
        <w:fldChar w:fldCharType="begin"/>
      </w:r>
      <w:r>
        <w:rPr>
          <w:rFonts w:hint="eastAsia" w:ascii="仿宋" w:hAnsi="仿宋" w:eastAsia="仿宋" w:cs="仿宋"/>
          <w:color w:val="auto"/>
          <w:kern w:val="0"/>
          <w:sz w:val="22"/>
          <w:szCs w:val="22"/>
          <w:highlight w:val="none"/>
        </w:rPr>
        <w:instrText xml:space="preserve">eq \o\ac(</w:instrText>
      </w:r>
      <w:r>
        <w:rPr>
          <w:rFonts w:hint="eastAsia" w:ascii="仿宋" w:hAnsi="仿宋" w:eastAsia="仿宋" w:cs="仿宋"/>
          <w:color w:val="auto"/>
          <w:kern w:val="0"/>
          <w:position w:val="-4"/>
          <w:sz w:val="33"/>
          <w:szCs w:val="22"/>
          <w:highlight w:val="none"/>
        </w:rPr>
        <w:instrText xml:space="preserve">○</w:instrText>
      </w:r>
      <w:r>
        <w:rPr>
          <w:rFonts w:hint="eastAsia" w:ascii="仿宋" w:hAnsi="仿宋" w:eastAsia="仿宋" w:cs="仿宋"/>
          <w:color w:val="auto"/>
          <w:kern w:val="0"/>
          <w:sz w:val="22"/>
          <w:szCs w:val="22"/>
          <w:highlight w:val="none"/>
        </w:rPr>
        <w:instrText xml:space="preserve">,1)</w:instrText>
      </w:r>
      <w:r>
        <w:rPr>
          <w:rFonts w:hint="eastAsia" w:ascii="仿宋" w:hAnsi="仿宋" w:eastAsia="仿宋" w:cs="仿宋"/>
          <w:color w:val="auto"/>
          <w:kern w:val="0"/>
          <w:sz w:val="22"/>
          <w:szCs w:val="22"/>
          <w:highlight w:val="none"/>
        </w:rPr>
        <w:fldChar w:fldCharType="end"/>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按“多证合一”登记制度办理营业执照的，组织机构代码证、税务登记证（副本）和社会保险登记证以</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所提供的营业执照（副本）</w:t>
      </w:r>
      <w:r>
        <w:rPr>
          <w:rFonts w:hint="eastAsia" w:ascii="仿宋" w:hAnsi="仿宋" w:eastAsia="仿宋" w:cs="仿宋"/>
          <w:color w:val="auto"/>
          <w:kern w:val="0"/>
          <w:sz w:val="24"/>
          <w:szCs w:val="24"/>
          <w:highlight w:val="none"/>
          <w:lang w:eastAsia="zh-CN"/>
        </w:rPr>
        <w:t>扫描件</w:t>
      </w:r>
      <w:r>
        <w:rPr>
          <w:rFonts w:hint="eastAsia" w:ascii="仿宋" w:hAnsi="仿宋" w:eastAsia="仿宋" w:cs="仿宋"/>
          <w:color w:val="auto"/>
          <w:kern w:val="0"/>
          <w:sz w:val="24"/>
          <w:szCs w:val="24"/>
          <w:highlight w:val="none"/>
        </w:rPr>
        <w:t>为准。</w:t>
      </w:r>
    </w:p>
    <w:p w14:paraId="05E0198F">
      <w:pPr>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②根据《中华人民共和国政府采购法实施条例》第十九条“参加政府采购活动前三年内，在经营活动中没有重大违法记录”中“重大违法记录”，是指</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p>
    <w:p w14:paraId="5B4BD525">
      <w:pPr>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2.符合性审查</w:t>
      </w:r>
    </w:p>
    <w:p w14:paraId="6E372F3C">
      <w:pPr>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对符合资格的</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的</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进行符合性审查，以确定其是否满足</w:t>
      </w:r>
      <w:r>
        <w:rPr>
          <w:rFonts w:hint="eastAsia" w:ascii="仿宋" w:hAnsi="仿宋" w:eastAsia="仿宋" w:cs="仿宋"/>
          <w:color w:val="auto"/>
          <w:kern w:val="0"/>
          <w:sz w:val="24"/>
          <w:szCs w:val="24"/>
          <w:highlight w:val="none"/>
          <w:lang w:eastAsia="zh-CN"/>
        </w:rPr>
        <w:t>招标文件</w:t>
      </w:r>
      <w:r>
        <w:rPr>
          <w:rFonts w:hint="eastAsia" w:ascii="仿宋" w:hAnsi="仿宋" w:eastAsia="仿宋" w:cs="仿宋"/>
          <w:color w:val="auto"/>
          <w:kern w:val="0"/>
          <w:sz w:val="24"/>
          <w:szCs w:val="24"/>
          <w:highlight w:val="none"/>
        </w:rPr>
        <w:t>的实质性要求。符合性审查资料表如下：</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1528"/>
        <w:gridCol w:w="2608"/>
        <w:gridCol w:w="4968"/>
      </w:tblGrid>
      <w:tr w14:paraId="4ACC3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24" w:type="dxa"/>
            <w:noWrap w:val="0"/>
            <w:vAlign w:val="center"/>
          </w:tcPr>
          <w:p w14:paraId="6E8FF268">
            <w:pPr>
              <w:spacing w:line="360" w:lineRule="auto"/>
              <w:jc w:val="center"/>
              <w:rPr>
                <w:rFonts w:hint="eastAsia" w:ascii="仿宋" w:hAnsi="仿宋" w:eastAsia="仿宋" w:cs="仿宋"/>
                <w:b/>
                <w:color w:val="auto"/>
                <w:kern w:val="0"/>
                <w:sz w:val="24"/>
                <w:szCs w:val="24"/>
                <w:highlight w:val="none"/>
              </w:rPr>
            </w:pPr>
            <w:bookmarkStart w:id="91" w:name="_Toc80104349"/>
            <w:r>
              <w:rPr>
                <w:rFonts w:hint="eastAsia" w:ascii="仿宋" w:hAnsi="仿宋" w:eastAsia="仿宋" w:cs="仿宋"/>
                <w:b/>
                <w:color w:val="auto"/>
                <w:kern w:val="0"/>
                <w:sz w:val="24"/>
                <w:szCs w:val="24"/>
                <w:highlight w:val="none"/>
              </w:rPr>
              <w:t>序号</w:t>
            </w:r>
          </w:p>
        </w:tc>
        <w:tc>
          <w:tcPr>
            <w:tcW w:w="4136" w:type="dxa"/>
            <w:gridSpan w:val="2"/>
            <w:noWrap w:val="0"/>
            <w:vAlign w:val="center"/>
          </w:tcPr>
          <w:p w14:paraId="1C5FE8D0">
            <w:pPr>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评审因素</w:t>
            </w:r>
          </w:p>
        </w:tc>
        <w:tc>
          <w:tcPr>
            <w:tcW w:w="4968" w:type="dxa"/>
            <w:noWrap w:val="0"/>
            <w:vAlign w:val="center"/>
          </w:tcPr>
          <w:p w14:paraId="2A036DCE">
            <w:pPr>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评审标准</w:t>
            </w:r>
          </w:p>
        </w:tc>
      </w:tr>
      <w:tr w14:paraId="299A2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24" w:type="dxa"/>
            <w:vMerge w:val="restart"/>
            <w:noWrap w:val="0"/>
            <w:vAlign w:val="center"/>
          </w:tcPr>
          <w:p w14:paraId="543834D7">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528" w:type="dxa"/>
            <w:vMerge w:val="restart"/>
            <w:noWrap w:val="0"/>
            <w:vAlign w:val="center"/>
          </w:tcPr>
          <w:p w14:paraId="1310FDF7">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有效性审查</w:t>
            </w:r>
          </w:p>
        </w:tc>
        <w:tc>
          <w:tcPr>
            <w:tcW w:w="2608" w:type="dxa"/>
            <w:noWrap w:val="0"/>
            <w:vAlign w:val="center"/>
          </w:tcPr>
          <w:p w14:paraId="1BB8FFC4">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签署或盖章</w:t>
            </w:r>
          </w:p>
        </w:tc>
        <w:tc>
          <w:tcPr>
            <w:tcW w:w="4968" w:type="dxa"/>
            <w:noWrap w:val="0"/>
            <w:vAlign w:val="center"/>
          </w:tcPr>
          <w:p w14:paraId="6136BF47">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按</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“第七篇</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格式要求”要求签署或盖章。</w:t>
            </w:r>
          </w:p>
        </w:tc>
      </w:tr>
      <w:tr w14:paraId="58C0F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24" w:type="dxa"/>
            <w:vMerge w:val="continue"/>
            <w:noWrap w:val="0"/>
            <w:vAlign w:val="center"/>
          </w:tcPr>
          <w:p w14:paraId="71D6ABF1">
            <w:pPr>
              <w:spacing w:line="360" w:lineRule="auto"/>
              <w:jc w:val="center"/>
              <w:rPr>
                <w:rFonts w:hint="eastAsia" w:ascii="仿宋" w:hAnsi="仿宋" w:eastAsia="仿宋" w:cs="仿宋"/>
                <w:color w:val="auto"/>
                <w:kern w:val="0"/>
                <w:sz w:val="24"/>
                <w:szCs w:val="24"/>
                <w:highlight w:val="none"/>
              </w:rPr>
            </w:pPr>
          </w:p>
        </w:tc>
        <w:tc>
          <w:tcPr>
            <w:tcW w:w="1528" w:type="dxa"/>
            <w:vMerge w:val="continue"/>
            <w:noWrap w:val="0"/>
            <w:vAlign w:val="center"/>
          </w:tcPr>
          <w:p w14:paraId="2B7C2A18">
            <w:pPr>
              <w:spacing w:line="360" w:lineRule="auto"/>
              <w:rPr>
                <w:rFonts w:hint="eastAsia" w:ascii="仿宋" w:hAnsi="仿宋" w:eastAsia="仿宋" w:cs="仿宋"/>
                <w:color w:val="auto"/>
                <w:kern w:val="0"/>
                <w:sz w:val="24"/>
                <w:szCs w:val="24"/>
                <w:highlight w:val="none"/>
              </w:rPr>
            </w:pPr>
          </w:p>
        </w:tc>
        <w:tc>
          <w:tcPr>
            <w:tcW w:w="2608" w:type="dxa"/>
            <w:noWrap w:val="0"/>
            <w:vAlign w:val="center"/>
          </w:tcPr>
          <w:p w14:paraId="123A51C2">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法定代表人身份证明及授权委托书</w:t>
            </w:r>
          </w:p>
        </w:tc>
        <w:tc>
          <w:tcPr>
            <w:tcW w:w="4968" w:type="dxa"/>
            <w:noWrap w:val="0"/>
            <w:vAlign w:val="center"/>
          </w:tcPr>
          <w:p w14:paraId="5663B90B">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法定代表人身份证明及授权委托书有效，符合</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规定的格式，签署或盖章齐全。</w:t>
            </w:r>
          </w:p>
        </w:tc>
      </w:tr>
      <w:tr w14:paraId="5458F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524" w:type="dxa"/>
            <w:vMerge w:val="continue"/>
            <w:noWrap w:val="0"/>
            <w:vAlign w:val="center"/>
          </w:tcPr>
          <w:p w14:paraId="274BCA7E">
            <w:pPr>
              <w:spacing w:line="360" w:lineRule="auto"/>
              <w:jc w:val="center"/>
              <w:rPr>
                <w:rFonts w:hint="eastAsia" w:ascii="仿宋" w:hAnsi="仿宋" w:eastAsia="仿宋" w:cs="仿宋"/>
                <w:color w:val="auto"/>
                <w:kern w:val="0"/>
                <w:sz w:val="24"/>
                <w:szCs w:val="24"/>
                <w:highlight w:val="none"/>
              </w:rPr>
            </w:pPr>
          </w:p>
        </w:tc>
        <w:tc>
          <w:tcPr>
            <w:tcW w:w="1528" w:type="dxa"/>
            <w:vMerge w:val="continue"/>
            <w:noWrap w:val="0"/>
            <w:vAlign w:val="center"/>
          </w:tcPr>
          <w:p w14:paraId="529F4D2B">
            <w:pPr>
              <w:spacing w:line="360" w:lineRule="auto"/>
              <w:rPr>
                <w:rFonts w:hint="eastAsia" w:ascii="仿宋" w:hAnsi="仿宋" w:eastAsia="仿宋" w:cs="仿宋"/>
                <w:color w:val="auto"/>
                <w:kern w:val="0"/>
                <w:sz w:val="24"/>
                <w:szCs w:val="24"/>
                <w:highlight w:val="none"/>
              </w:rPr>
            </w:pPr>
          </w:p>
        </w:tc>
        <w:tc>
          <w:tcPr>
            <w:tcW w:w="2608" w:type="dxa"/>
            <w:noWrap w:val="0"/>
            <w:vAlign w:val="center"/>
          </w:tcPr>
          <w:p w14:paraId="205DB420">
            <w:pPr>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zh-CN"/>
              </w:rPr>
              <w:t>方案</w:t>
            </w:r>
          </w:p>
        </w:tc>
        <w:tc>
          <w:tcPr>
            <w:tcW w:w="4968" w:type="dxa"/>
            <w:noWrap w:val="0"/>
            <w:vAlign w:val="center"/>
          </w:tcPr>
          <w:p w14:paraId="7B60D801">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zh-CN"/>
              </w:rPr>
              <w:t>每个包只能有一个</w:t>
            </w:r>
            <w:r>
              <w:rPr>
                <w:rFonts w:hint="eastAsia" w:ascii="仿宋" w:hAnsi="仿宋" w:eastAsia="仿宋" w:cs="仿宋"/>
                <w:color w:val="auto"/>
                <w:sz w:val="24"/>
                <w:szCs w:val="24"/>
                <w:highlight w:val="none"/>
              </w:rPr>
              <w:t>响应</w:t>
            </w:r>
            <w:r>
              <w:rPr>
                <w:rFonts w:hint="eastAsia" w:ascii="仿宋" w:hAnsi="仿宋" w:eastAsia="仿宋" w:cs="仿宋"/>
                <w:color w:val="auto"/>
                <w:sz w:val="24"/>
                <w:szCs w:val="24"/>
                <w:highlight w:val="none"/>
                <w:lang w:val="zh-CN"/>
              </w:rPr>
              <w:t>方案。</w:t>
            </w:r>
          </w:p>
        </w:tc>
      </w:tr>
      <w:tr w14:paraId="56573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24" w:type="dxa"/>
            <w:vMerge w:val="continue"/>
            <w:noWrap w:val="0"/>
            <w:vAlign w:val="center"/>
          </w:tcPr>
          <w:p w14:paraId="690C0E56">
            <w:pPr>
              <w:spacing w:line="360" w:lineRule="auto"/>
              <w:jc w:val="center"/>
              <w:rPr>
                <w:rFonts w:hint="eastAsia" w:ascii="仿宋" w:hAnsi="仿宋" w:eastAsia="仿宋" w:cs="仿宋"/>
                <w:color w:val="auto"/>
                <w:kern w:val="0"/>
                <w:sz w:val="24"/>
                <w:szCs w:val="24"/>
                <w:highlight w:val="none"/>
              </w:rPr>
            </w:pPr>
          </w:p>
        </w:tc>
        <w:tc>
          <w:tcPr>
            <w:tcW w:w="1528" w:type="dxa"/>
            <w:vMerge w:val="continue"/>
            <w:noWrap w:val="0"/>
            <w:vAlign w:val="center"/>
          </w:tcPr>
          <w:p w14:paraId="430FAFF6">
            <w:pPr>
              <w:spacing w:line="360" w:lineRule="auto"/>
              <w:rPr>
                <w:rFonts w:hint="eastAsia" w:ascii="仿宋" w:hAnsi="仿宋" w:eastAsia="仿宋" w:cs="仿宋"/>
                <w:color w:val="auto"/>
                <w:kern w:val="0"/>
                <w:sz w:val="24"/>
                <w:szCs w:val="24"/>
                <w:highlight w:val="none"/>
              </w:rPr>
            </w:pPr>
          </w:p>
        </w:tc>
        <w:tc>
          <w:tcPr>
            <w:tcW w:w="2608" w:type="dxa"/>
            <w:noWrap w:val="0"/>
            <w:vAlign w:val="center"/>
          </w:tcPr>
          <w:p w14:paraId="1C9C2CF2">
            <w:pPr>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报价唯一</w:t>
            </w:r>
          </w:p>
        </w:tc>
        <w:tc>
          <w:tcPr>
            <w:tcW w:w="4968" w:type="dxa"/>
            <w:noWrap w:val="0"/>
            <w:vAlign w:val="center"/>
          </w:tcPr>
          <w:p w14:paraId="02FACC2A">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只能有一个有效报价，不得提交选择性报价。</w:t>
            </w:r>
          </w:p>
        </w:tc>
      </w:tr>
      <w:tr w14:paraId="27956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24" w:type="dxa"/>
            <w:noWrap w:val="0"/>
            <w:vAlign w:val="center"/>
          </w:tcPr>
          <w:p w14:paraId="495FDBB5">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528" w:type="dxa"/>
            <w:noWrap w:val="0"/>
            <w:vAlign w:val="center"/>
          </w:tcPr>
          <w:p w14:paraId="28512A68">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完整性审查</w:t>
            </w:r>
          </w:p>
        </w:tc>
        <w:tc>
          <w:tcPr>
            <w:tcW w:w="2608" w:type="dxa"/>
            <w:noWrap w:val="0"/>
            <w:vAlign w:val="center"/>
          </w:tcPr>
          <w:p w14:paraId="5EFF1483">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lang w:val="zh-CN"/>
              </w:rPr>
              <w:t>文件份数</w:t>
            </w:r>
          </w:p>
        </w:tc>
        <w:tc>
          <w:tcPr>
            <w:tcW w:w="4968" w:type="dxa"/>
            <w:noWrap w:val="0"/>
            <w:vAlign w:val="center"/>
          </w:tcPr>
          <w:p w14:paraId="68A03BAD">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lang w:val="zh-CN"/>
              </w:rPr>
              <w:t>文件数量符合</w:t>
            </w:r>
            <w:r>
              <w:rPr>
                <w:rFonts w:hint="eastAsia" w:ascii="仿宋" w:hAnsi="仿宋" w:eastAsia="仿宋" w:cs="仿宋"/>
                <w:color w:val="auto"/>
                <w:kern w:val="0"/>
                <w:sz w:val="24"/>
                <w:szCs w:val="24"/>
                <w:highlight w:val="none"/>
                <w:lang w:eastAsia="zh-CN"/>
              </w:rPr>
              <w:t>招标文件</w:t>
            </w:r>
            <w:r>
              <w:rPr>
                <w:rFonts w:hint="eastAsia" w:ascii="仿宋" w:hAnsi="仿宋" w:eastAsia="仿宋" w:cs="仿宋"/>
                <w:color w:val="auto"/>
                <w:sz w:val="24"/>
                <w:szCs w:val="24"/>
                <w:highlight w:val="none"/>
                <w:lang w:val="zh-CN"/>
              </w:rPr>
              <w:t>要求。</w:t>
            </w:r>
          </w:p>
        </w:tc>
      </w:tr>
      <w:tr w14:paraId="5388E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524" w:type="dxa"/>
            <w:vMerge w:val="restart"/>
            <w:noWrap w:val="0"/>
            <w:vAlign w:val="center"/>
          </w:tcPr>
          <w:p w14:paraId="1713AFA4">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1528" w:type="dxa"/>
            <w:vMerge w:val="restart"/>
            <w:noWrap w:val="0"/>
            <w:vAlign w:val="center"/>
          </w:tcPr>
          <w:p w14:paraId="47327A89">
            <w:pPr>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kern w:val="0"/>
                <w:sz w:val="24"/>
                <w:szCs w:val="24"/>
                <w:highlight w:val="none"/>
              </w:rPr>
              <w:t>的响应程度审查</w:t>
            </w:r>
          </w:p>
        </w:tc>
        <w:tc>
          <w:tcPr>
            <w:tcW w:w="2608" w:type="dxa"/>
            <w:noWrap w:val="0"/>
            <w:vAlign w:val="center"/>
          </w:tcPr>
          <w:p w14:paraId="00046A03">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投标</w:t>
            </w:r>
            <w:r>
              <w:rPr>
                <w:rFonts w:hint="eastAsia" w:ascii="仿宋" w:hAnsi="仿宋" w:eastAsia="仿宋" w:cs="仿宋"/>
                <w:color w:val="auto"/>
                <w:kern w:val="0"/>
                <w:sz w:val="24"/>
                <w:szCs w:val="24"/>
                <w:highlight w:val="none"/>
              </w:rPr>
              <w:t>文件内容</w:t>
            </w:r>
          </w:p>
        </w:tc>
        <w:tc>
          <w:tcPr>
            <w:tcW w:w="4968" w:type="dxa"/>
            <w:noWrap w:val="0"/>
            <w:vAlign w:val="center"/>
          </w:tcPr>
          <w:p w14:paraId="435C97C4">
            <w:pPr>
              <w:pStyle w:val="14"/>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对</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kern w:val="0"/>
                <w:sz w:val="24"/>
                <w:szCs w:val="24"/>
                <w:highlight w:val="none"/>
              </w:rPr>
              <w:t>第二篇、第三篇</w:t>
            </w:r>
            <w:r>
              <w:rPr>
                <w:rFonts w:hint="eastAsia" w:ascii="仿宋" w:hAnsi="仿宋" w:eastAsia="仿宋" w:cs="仿宋"/>
                <w:color w:val="auto"/>
                <w:kern w:val="0"/>
                <w:sz w:val="24"/>
                <w:szCs w:val="24"/>
                <w:highlight w:val="none"/>
                <w:lang w:val="en-US" w:eastAsia="zh-CN"/>
              </w:rPr>
              <w:t>的全部</w:t>
            </w:r>
            <w:r>
              <w:rPr>
                <w:rFonts w:hint="eastAsia" w:ascii="仿宋" w:hAnsi="仿宋" w:eastAsia="仿宋" w:cs="仿宋"/>
                <w:color w:val="auto"/>
                <w:sz w:val="24"/>
                <w:szCs w:val="24"/>
                <w:highlight w:val="none"/>
              </w:rPr>
              <w:t>内容作出实质性响应。</w:t>
            </w:r>
          </w:p>
        </w:tc>
      </w:tr>
      <w:tr w14:paraId="3FEEA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4" w:type="dxa"/>
            <w:vMerge w:val="continue"/>
            <w:noWrap w:val="0"/>
            <w:vAlign w:val="center"/>
          </w:tcPr>
          <w:p w14:paraId="1E11BDB6">
            <w:pPr>
              <w:spacing w:line="360" w:lineRule="auto"/>
              <w:jc w:val="center"/>
              <w:rPr>
                <w:rFonts w:hint="eastAsia" w:ascii="仿宋" w:hAnsi="仿宋" w:eastAsia="仿宋" w:cs="仿宋"/>
                <w:color w:val="auto"/>
                <w:kern w:val="0"/>
                <w:sz w:val="24"/>
                <w:szCs w:val="24"/>
                <w:highlight w:val="none"/>
              </w:rPr>
            </w:pPr>
          </w:p>
        </w:tc>
        <w:tc>
          <w:tcPr>
            <w:tcW w:w="1528" w:type="dxa"/>
            <w:vMerge w:val="continue"/>
            <w:noWrap w:val="0"/>
            <w:vAlign w:val="center"/>
          </w:tcPr>
          <w:p w14:paraId="57599387">
            <w:pPr>
              <w:spacing w:line="360" w:lineRule="auto"/>
              <w:rPr>
                <w:rFonts w:hint="eastAsia" w:ascii="仿宋" w:hAnsi="仿宋" w:eastAsia="仿宋" w:cs="仿宋"/>
                <w:color w:val="auto"/>
                <w:sz w:val="24"/>
                <w:szCs w:val="24"/>
                <w:highlight w:val="none"/>
                <w:lang w:val="zh-CN"/>
              </w:rPr>
            </w:pPr>
          </w:p>
        </w:tc>
        <w:tc>
          <w:tcPr>
            <w:tcW w:w="2608" w:type="dxa"/>
            <w:noWrap w:val="0"/>
            <w:vAlign w:val="center"/>
          </w:tcPr>
          <w:p w14:paraId="4D9B4280">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投标</w:t>
            </w:r>
            <w:r>
              <w:rPr>
                <w:rFonts w:hint="eastAsia" w:ascii="仿宋" w:hAnsi="仿宋" w:eastAsia="仿宋" w:cs="仿宋"/>
                <w:color w:val="auto"/>
                <w:kern w:val="0"/>
                <w:sz w:val="24"/>
                <w:szCs w:val="24"/>
                <w:highlight w:val="none"/>
              </w:rPr>
              <w:t>有效期</w:t>
            </w:r>
          </w:p>
        </w:tc>
        <w:tc>
          <w:tcPr>
            <w:tcW w:w="4968" w:type="dxa"/>
            <w:noWrap w:val="0"/>
            <w:vAlign w:val="center"/>
          </w:tcPr>
          <w:p w14:paraId="364A8C01">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及有关承诺文件有效期为提交</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截止时间起90天。</w:t>
            </w:r>
          </w:p>
        </w:tc>
      </w:tr>
    </w:tbl>
    <w:p w14:paraId="0D005BF9">
      <w:pPr>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在对</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的有效性、完整性和响应程度进行审查时，可以要求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中含义不明确、同类问题表述不一致或者有明显文字和计算错误的内容等作出必要的澄清、说明或者更正。</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的澄清、说明或者更正不得超出</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的范围或者改变</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的实质性内容。</w:t>
      </w:r>
    </w:p>
    <w:p w14:paraId="5D94FD3A">
      <w:pPr>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要求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澄清、说明或者更正</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应当以书面形式作出。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的澄清、说明或者更正应当由法定代表人（或其授权代表）或自然人（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为自然人）签署或者加盖公章。由授权代表签署的，应当附法定代表人授权书。</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为自然人的，应当由本人签署并附身份证明。</w:t>
      </w:r>
    </w:p>
    <w:p w14:paraId="6E16E505">
      <w:pPr>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过程中</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的任何一方不得向他人透露与</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有关的技术资料、价格或其他信息。</w:t>
      </w:r>
    </w:p>
    <w:p w14:paraId="14EB35DE">
      <w:pPr>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过程中，</w:t>
      </w: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可以根据</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和</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情况实质性变动采购需求中的服务、商务要求以及合同草案条款，但不得变动</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中的其他内容。实质性变动的内容，须经</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代表确认。对</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出的实质性变动是</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的有效组成部分，</w:t>
      </w: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应当及时以书面形式同时通知所有参加</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w:t>
      </w:r>
    </w:p>
    <w:p w14:paraId="696F2311">
      <w:pPr>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（5）本项目采用综合评分法进行评分。综合评分法，是指</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满足</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全部实质性要求且按照评审因素的量化指标评审得分最高的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的评审方法。</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总得分为价格、技术、商务等评定因素分别按照相应权重值计算分项得分后相加，满分为100分。（详见评审标准）。</w:t>
      </w:r>
    </w:p>
    <w:p w14:paraId="7063F068">
      <w:pPr>
        <w:snapToGrid w:val="0"/>
        <w:spacing w:line="360" w:lineRule="auto"/>
        <w:ind w:firstLine="240" w:firstLineChars="100"/>
        <w:rPr>
          <w:rFonts w:hint="eastAsia" w:ascii="仿宋" w:hAnsi="仿宋" w:eastAsia="仿宋" w:cs="仿宋"/>
          <w:color w:val="auto"/>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各成员独立对每个</w:t>
      </w:r>
      <w:r>
        <w:rPr>
          <w:rFonts w:hint="eastAsia" w:ascii="仿宋" w:hAnsi="仿宋" w:eastAsia="仿宋" w:cs="仿宋"/>
          <w:color w:val="auto"/>
          <w:sz w:val="24"/>
          <w:szCs w:val="24"/>
          <w:highlight w:val="none"/>
          <w:lang w:val="en-US" w:eastAsia="zh-CN"/>
        </w:rPr>
        <w:t>满足招标文件</w:t>
      </w:r>
      <w:r>
        <w:rPr>
          <w:rFonts w:hint="eastAsia" w:ascii="仿宋" w:hAnsi="仿宋" w:eastAsia="仿宋" w:cs="仿宋"/>
          <w:color w:val="auto"/>
          <w:sz w:val="24"/>
          <w:szCs w:val="24"/>
          <w:highlight w:val="none"/>
        </w:rPr>
        <w:t>实质性</w:t>
      </w:r>
      <w:r>
        <w:rPr>
          <w:rFonts w:hint="eastAsia" w:ascii="仿宋" w:hAnsi="仿宋" w:eastAsia="仿宋" w:cs="仿宋"/>
          <w:color w:val="auto"/>
          <w:sz w:val="24"/>
          <w:szCs w:val="24"/>
          <w:highlight w:val="none"/>
          <w:lang w:val="en-US" w:eastAsia="zh-CN"/>
        </w:rPr>
        <w:t>要求的投标</w:t>
      </w:r>
      <w:r>
        <w:rPr>
          <w:rFonts w:hint="eastAsia" w:ascii="仿宋" w:hAnsi="仿宋" w:eastAsia="仿宋" w:cs="仿宋"/>
          <w:color w:val="auto"/>
          <w:sz w:val="24"/>
          <w:szCs w:val="24"/>
          <w:highlight w:val="none"/>
        </w:rPr>
        <w:t>文件进行评价、打分，然后汇总每个</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每项评分因素的得分，并根据综合评分情况按照评审得分由高到低顺序推荐3名及以上</w:t>
      </w:r>
      <w:r>
        <w:rPr>
          <w:rFonts w:hint="eastAsia" w:ascii="仿宋" w:hAnsi="仿宋" w:eastAsia="仿宋" w:cs="仿宋"/>
          <w:color w:val="auto"/>
          <w:sz w:val="24"/>
          <w:szCs w:val="24"/>
          <w:highlight w:val="none"/>
          <w:lang w:eastAsia="zh-CN"/>
        </w:rPr>
        <w:t>中标候选人</w:t>
      </w:r>
      <w:r>
        <w:rPr>
          <w:rFonts w:hint="eastAsia" w:ascii="仿宋" w:hAnsi="仿宋" w:eastAsia="仿宋" w:cs="仿宋"/>
          <w:color w:val="auto"/>
          <w:sz w:val="24"/>
          <w:szCs w:val="24"/>
          <w:highlight w:val="none"/>
        </w:rPr>
        <w:t>，并编写评审报告。若</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的评审得分相同的，按照报价由低到高的顺序排列推荐。评审得分且报价相同的，按照服务指标优劣顺序排列推荐。</w:t>
      </w:r>
    </w:p>
    <w:tbl>
      <w:tblPr>
        <w:tblStyle w:val="24"/>
        <w:tblpPr w:leftFromText="180" w:rightFromText="180" w:vertAnchor="text" w:horzAnchor="page" w:tblpXSpec="center" w:tblpY="443"/>
        <w:tblOverlap w:val="never"/>
        <w:tblW w:w="106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1259"/>
        <w:gridCol w:w="1130"/>
        <w:gridCol w:w="5537"/>
        <w:gridCol w:w="1961"/>
      </w:tblGrid>
      <w:tr w14:paraId="1E1E5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87" w:type="dxa"/>
            <w:noWrap w:val="0"/>
            <w:vAlign w:val="center"/>
          </w:tcPr>
          <w:p w14:paraId="61667F5B">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rPr>
            </w:pPr>
            <w:bookmarkStart w:id="92" w:name="_Toc14187"/>
            <w:bookmarkStart w:id="93" w:name="_Toc1961"/>
            <w:bookmarkStart w:id="94" w:name="_Toc17411"/>
            <w:r>
              <w:rPr>
                <w:rFonts w:hint="eastAsia" w:ascii="仿宋" w:hAnsi="仿宋" w:eastAsia="仿宋" w:cs="仿宋"/>
                <w:color w:val="auto"/>
                <w:sz w:val="22"/>
                <w:szCs w:val="22"/>
                <w:highlight w:val="none"/>
              </w:rPr>
              <w:t>序号</w:t>
            </w:r>
          </w:p>
        </w:tc>
        <w:tc>
          <w:tcPr>
            <w:tcW w:w="1259" w:type="dxa"/>
            <w:noWrap w:val="0"/>
            <w:vAlign w:val="center"/>
          </w:tcPr>
          <w:p w14:paraId="5F57B676">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评分因素及权值</w:t>
            </w:r>
          </w:p>
        </w:tc>
        <w:tc>
          <w:tcPr>
            <w:tcW w:w="1130" w:type="dxa"/>
            <w:noWrap w:val="0"/>
            <w:vAlign w:val="center"/>
          </w:tcPr>
          <w:p w14:paraId="1A38EC4A">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分值</w:t>
            </w:r>
          </w:p>
        </w:tc>
        <w:tc>
          <w:tcPr>
            <w:tcW w:w="5537" w:type="dxa"/>
            <w:noWrap w:val="0"/>
            <w:vAlign w:val="center"/>
          </w:tcPr>
          <w:p w14:paraId="3B16D321">
            <w:pPr>
              <w:keepNext w:val="0"/>
              <w:keepLines w:val="0"/>
              <w:pageBreakBefore w:val="0"/>
              <w:widowControl/>
              <w:kinsoku/>
              <w:wordWrap w:val="0"/>
              <w:overflowPunct/>
              <w:topLinePunct w:val="0"/>
              <w:autoSpaceDE/>
              <w:autoSpaceDN/>
              <w:bidi w:val="0"/>
              <w:adjustRightInd/>
              <w:snapToGrid w:val="0"/>
              <w:spacing w:line="312" w:lineRule="auto"/>
              <w:ind w:firstLine="440" w:firstLineChars="20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评分标准</w:t>
            </w:r>
          </w:p>
        </w:tc>
        <w:tc>
          <w:tcPr>
            <w:tcW w:w="1961" w:type="dxa"/>
            <w:noWrap w:val="0"/>
            <w:vAlign w:val="center"/>
          </w:tcPr>
          <w:p w14:paraId="7C73F0E0">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备注</w:t>
            </w:r>
          </w:p>
        </w:tc>
      </w:tr>
      <w:tr w14:paraId="5A769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787" w:type="dxa"/>
            <w:noWrap w:val="0"/>
            <w:vAlign w:val="center"/>
          </w:tcPr>
          <w:p w14:paraId="5596BAE6">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p>
        </w:tc>
        <w:tc>
          <w:tcPr>
            <w:tcW w:w="1259" w:type="dxa"/>
            <w:noWrap w:val="0"/>
            <w:vAlign w:val="center"/>
          </w:tcPr>
          <w:p w14:paraId="44CA58F5">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投标报价</w:t>
            </w:r>
          </w:p>
          <w:p w14:paraId="69C2F708">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0%）</w:t>
            </w:r>
          </w:p>
        </w:tc>
        <w:tc>
          <w:tcPr>
            <w:tcW w:w="1130" w:type="dxa"/>
            <w:noWrap w:val="0"/>
            <w:vAlign w:val="center"/>
          </w:tcPr>
          <w:p w14:paraId="4712D5DE">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0分</w:t>
            </w:r>
          </w:p>
        </w:tc>
        <w:tc>
          <w:tcPr>
            <w:tcW w:w="5537" w:type="dxa"/>
            <w:noWrap w:val="0"/>
            <w:vAlign w:val="center"/>
          </w:tcPr>
          <w:p w14:paraId="62726613">
            <w:pPr>
              <w:keepNext w:val="0"/>
              <w:keepLines w:val="0"/>
              <w:pageBreakBefore w:val="0"/>
              <w:widowControl/>
              <w:kinsoku/>
              <w:wordWrap w:val="0"/>
              <w:overflowPunct/>
              <w:topLinePunct w:val="0"/>
              <w:autoSpaceDE/>
              <w:autoSpaceDN/>
              <w:bidi w:val="0"/>
              <w:adjustRightInd/>
              <w:snapToGrid w:val="0"/>
              <w:spacing w:line="312" w:lineRule="auto"/>
              <w:ind w:firstLine="440" w:firstLineChars="20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有效的投标报价中最低价为评审基准价，其价格分为满分。其他</w:t>
            </w:r>
            <w:r>
              <w:rPr>
                <w:rFonts w:hint="eastAsia" w:ascii="仿宋" w:hAnsi="仿宋" w:eastAsia="仿宋" w:cs="仿宋"/>
                <w:color w:val="auto"/>
                <w:sz w:val="22"/>
                <w:szCs w:val="22"/>
                <w:highlight w:val="none"/>
                <w:lang w:eastAsia="zh-CN"/>
              </w:rPr>
              <w:t>投标人</w:t>
            </w:r>
            <w:r>
              <w:rPr>
                <w:rFonts w:hint="eastAsia" w:ascii="仿宋" w:hAnsi="仿宋" w:eastAsia="仿宋" w:cs="仿宋"/>
                <w:color w:val="auto"/>
                <w:sz w:val="22"/>
                <w:szCs w:val="22"/>
                <w:highlight w:val="none"/>
              </w:rPr>
              <w:t>的价格分统一按照下列公式计算：</w:t>
            </w:r>
          </w:p>
          <w:p w14:paraId="1510188E">
            <w:pPr>
              <w:keepNext w:val="0"/>
              <w:keepLines w:val="0"/>
              <w:pageBreakBefore w:val="0"/>
              <w:widowControl/>
              <w:kinsoku/>
              <w:wordWrap w:val="0"/>
              <w:overflowPunct/>
              <w:topLinePunct w:val="0"/>
              <w:autoSpaceDE/>
              <w:autoSpaceDN/>
              <w:bidi w:val="0"/>
              <w:adjustRightInd/>
              <w:snapToGrid w:val="0"/>
              <w:spacing w:line="312" w:lineRule="auto"/>
              <w:ind w:firstLine="440" w:firstLineChars="20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投标报价得分＝（评标基准价/投标报价）×价格权重×100。</w:t>
            </w:r>
          </w:p>
        </w:tc>
        <w:tc>
          <w:tcPr>
            <w:tcW w:w="1961" w:type="dxa"/>
            <w:noWrap w:val="0"/>
            <w:vAlign w:val="center"/>
          </w:tcPr>
          <w:p w14:paraId="24A9032B">
            <w:pPr>
              <w:keepNext w:val="0"/>
              <w:keepLines w:val="0"/>
              <w:pageBreakBefore w:val="0"/>
              <w:widowControl/>
              <w:kinsoku/>
              <w:wordWrap w:val="0"/>
              <w:overflowPunct/>
              <w:topLinePunct w:val="0"/>
              <w:autoSpaceDE/>
              <w:autoSpaceDN/>
              <w:bidi w:val="0"/>
              <w:adjustRightInd/>
              <w:snapToGrid w:val="0"/>
              <w:spacing w:line="312" w:lineRule="auto"/>
              <w:ind w:firstLine="220" w:firstLineChars="100"/>
              <w:jc w:val="left"/>
              <w:textAlignment w:val="auto"/>
              <w:rPr>
                <w:rFonts w:hint="eastAsia" w:ascii="仿宋" w:hAnsi="仿宋" w:eastAsia="仿宋" w:cs="仿宋"/>
                <w:color w:val="auto"/>
                <w:sz w:val="22"/>
                <w:szCs w:val="22"/>
                <w:highlight w:val="none"/>
                <w:lang w:eastAsia="zh-CN"/>
              </w:rPr>
            </w:pPr>
          </w:p>
        </w:tc>
      </w:tr>
      <w:tr w14:paraId="0E004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787" w:type="dxa"/>
            <w:vMerge w:val="restart"/>
            <w:noWrap w:val="0"/>
            <w:vAlign w:val="center"/>
          </w:tcPr>
          <w:p w14:paraId="420C9169">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w:t>
            </w:r>
          </w:p>
        </w:tc>
        <w:tc>
          <w:tcPr>
            <w:tcW w:w="1259" w:type="dxa"/>
            <w:vMerge w:val="restart"/>
            <w:noWrap w:val="0"/>
            <w:vAlign w:val="center"/>
          </w:tcPr>
          <w:p w14:paraId="5D9AA2F1">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技术部分（</w:t>
            </w:r>
            <w:r>
              <w:rPr>
                <w:rFonts w:hint="eastAsia" w:ascii="仿宋" w:hAnsi="仿宋" w:eastAsia="仿宋" w:cs="仿宋"/>
                <w:color w:val="auto"/>
                <w:sz w:val="22"/>
                <w:szCs w:val="22"/>
                <w:highlight w:val="none"/>
                <w:lang w:val="en-US" w:eastAsia="zh-CN"/>
              </w:rPr>
              <w:t>60%</w:t>
            </w:r>
            <w:r>
              <w:rPr>
                <w:rFonts w:hint="eastAsia" w:ascii="仿宋" w:hAnsi="仿宋" w:eastAsia="仿宋" w:cs="仿宋"/>
                <w:color w:val="auto"/>
                <w:sz w:val="22"/>
                <w:szCs w:val="22"/>
                <w:highlight w:val="none"/>
                <w:lang w:eastAsia="zh-CN"/>
              </w:rPr>
              <w:t>）</w:t>
            </w:r>
          </w:p>
        </w:tc>
        <w:tc>
          <w:tcPr>
            <w:tcW w:w="1130" w:type="dxa"/>
            <w:noWrap w:val="0"/>
            <w:vAlign w:val="center"/>
          </w:tcPr>
          <w:p w14:paraId="01A2FFBD">
            <w:pPr>
              <w:pStyle w:val="9"/>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FF"/>
                <w:sz w:val="21"/>
                <w:szCs w:val="21"/>
                <w:highlight w:val="none"/>
              </w:rPr>
            </w:pPr>
            <w:r>
              <w:rPr>
                <w:rFonts w:hint="eastAsia" w:ascii="仿宋" w:hAnsi="仿宋" w:eastAsia="仿宋" w:cs="仿宋"/>
                <w:color w:val="0000FF"/>
                <w:sz w:val="21"/>
                <w:szCs w:val="21"/>
                <w:highlight w:val="none"/>
              </w:rPr>
              <w:t>施工方案与技术</w:t>
            </w:r>
          </w:p>
          <w:p w14:paraId="46D86B7A">
            <w:pPr>
              <w:pStyle w:val="9"/>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FF"/>
                <w:sz w:val="21"/>
                <w:szCs w:val="21"/>
                <w:highlight w:val="none"/>
              </w:rPr>
            </w:pPr>
            <w:r>
              <w:rPr>
                <w:rFonts w:hint="eastAsia" w:ascii="仿宋" w:hAnsi="仿宋" w:eastAsia="仿宋" w:cs="仿宋"/>
                <w:color w:val="0000FF"/>
                <w:sz w:val="21"/>
                <w:szCs w:val="21"/>
                <w:highlight w:val="none"/>
              </w:rPr>
              <w:t>措施</w:t>
            </w:r>
          </w:p>
          <w:p w14:paraId="4B5AC803">
            <w:pPr>
              <w:pStyle w:val="9"/>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0000FF"/>
                <w:sz w:val="21"/>
                <w:szCs w:val="21"/>
                <w:highlight w:val="none"/>
                <w:lang w:eastAsia="zh-CN"/>
              </w:rPr>
              <w:t>（</w:t>
            </w:r>
            <w:r>
              <w:rPr>
                <w:rFonts w:hint="eastAsia" w:ascii="仿宋" w:hAnsi="仿宋" w:eastAsia="仿宋" w:cs="仿宋"/>
                <w:color w:val="0000FF"/>
                <w:sz w:val="21"/>
                <w:szCs w:val="21"/>
                <w:highlight w:val="none"/>
                <w:lang w:val="en-US" w:eastAsia="zh-CN"/>
              </w:rPr>
              <w:t>15分</w:t>
            </w:r>
            <w:r>
              <w:rPr>
                <w:rFonts w:hint="eastAsia" w:ascii="仿宋" w:hAnsi="仿宋" w:eastAsia="仿宋" w:cs="仿宋"/>
                <w:color w:val="0000FF"/>
                <w:sz w:val="21"/>
                <w:szCs w:val="21"/>
                <w:highlight w:val="none"/>
                <w:lang w:eastAsia="zh-CN"/>
              </w:rPr>
              <w:t>）</w:t>
            </w:r>
          </w:p>
        </w:tc>
        <w:tc>
          <w:tcPr>
            <w:tcW w:w="5537" w:type="dxa"/>
            <w:noWrap w:val="0"/>
            <w:vAlign w:val="center"/>
          </w:tcPr>
          <w:p w14:paraId="17A14762">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仿宋" w:hAnsi="仿宋" w:eastAsia="仿宋" w:cs="仿宋"/>
                <w:color w:val="0000FF"/>
                <w:sz w:val="21"/>
                <w:szCs w:val="21"/>
                <w:highlight w:val="none"/>
                <w:lang w:val="en-US" w:eastAsia="zh-CN"/>
              </w:rPr>
            </w:pPr>
            <w:r>
              <w:rPr>
                <w:rFonts w:hint="eastAsia" w:ascii="仿宋" w:hAnsi="仿宋" w:eastAsia="仿宋" w:cs="仿宋"/>
                <w:color w:val="0000FF"/>
                <w:sz w:val="21"/>
                <w:szCs w:val="21"/>
                <w:highlight w:val="none"/>
              </w:rPr>
              <w:t>根据</w:t>
            </w:r>
            <w:r>
              <w:rPr>
                <w:rFonts w:hint="eastAsia" w:ascii="仿宋" w:hAnsi="仿宋" w:eastAsia="仿宋" w:cs="仿宋"/>
                <w:color w:val="0000FF"/>
                <w:sz w:val="21"/>
                <w:szCs w:val="21"/>
                <w:highlight w:val="none"/>
                <w:lang w:val="en-US" w:eastAsia="zh-CN"/>
              </w:rPr>
              <w:t>投标人提供的施工方案进行评分，内容包括但不限于：</w:t>
            </w:r>
            <w:r>
              <w:rPr>
                <w:rFonts w:hint="eastAsia" w:ascii="仿宋" w:hAnsi="仿宋" w:eastAsia="仿宋" w:cs="仿宋"/>
                <w:color w:val="0000FF"/>
                <w:sz w:val="21"/>
                <w:szCs w:val="21"/>
                <w:highlight w:val="none"/>
              </w:rPr>
              <w:t>施工组织设计、施工技术关键点</w:t>
            </w:r>
            <w:r>
              <w:rPr>
                <w:rFonts w:hint="eastAsia" w:ascii="仿宋" w:hAnsi="仿宋" w:eastAsia="仿宋" w:cs="仿宋"/>
                <w:color w:val="0000FF"/>
                <w:sz w:val="21"/>
                <w:szCs w:val="21"/>
                <w:highlight w:val="none"/>
                <w:lang w:val="en-US" w:eastAsia="zh-CN"/>
              </w:rPr>
              <w:t>、</w:t>
            </w:r>
            <w:r>
              <w:rPr>
                <w:rFonts w:hint="eastAsia" w:ascii="仿宋" w:hAnsi="仿宋" w:eastAsia="仿宋" w:cs="仿宋"/>
                <w:color w:val="0000FF"/>
                <w:sz w:val="21"/>
                <w:szCs w:val="21"/>
                <w:highlight w:val="none"/>
              </w:rPr>
              <w:t>施工重</w:t>
            </w:r>
            <w:r>
              <w:rPr>
                <w:rFonts w:hint="eastAsia" w:ascii="仿宋" w:hAnsi="仿宋" w:eastAsia="仿宋" w:cs="仿宋"/>
                <w:color w:val="0000FF"/>
                <w:sz w:val="21"/>
                <w:szCs w:val="21"/>
                <w:highlight w:val="none"/>
                <w:lang w:val="en-US" w:eastAsia="zh-CN"/>
              </w:rPr>
              <w:t>难点等内容。</w:t>
            </w:r>
          </w:p>
          <w:p w14:paraId="53B94B2C">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仿宋" w:hAnsi="仿宋" w:eastAsia="仿宋" w:cs="仿宋"/>
                <w:color w:val="0000FF"/>
                <w:sz w:val="21"/>
                <w:szCs w:val="21"/>
                <w:highlight w:val="none"/>
                <w:lang w:val="en-US" w:eastAsia="zh-CN"/>
              </w:rPr>
            </w:pPr>
            <w:r>
              <w:rPr>
                <w:rFonts w:hint="eastAsia" w:ascii="仿宋" w:hAnsi="仿宋" w:eastAsia="仿宋" w:cs="仿宋"/>
                <w:color w:val="0000FF"/>
                <w:sz w:val="21"/>
                <w:szCs w:val="21"/>
                <w:highlight w:val="none"/>
                <w:lang w:val="en-US" w:eastAsia="zh-CN"/>
              </w:rPr>
              <w:t>方案内容不存在瑕疵，得15分；</w:t>
            </w:r>
          </w:p>
          <w:p w14:paraId="051AB947">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仿宋" w:hAnsi="仿宋" w:eastAsia="仿宋" w:cs="仿宋"/>
                <w:color w:val="0000FF"/>
                <w:sz w:val="21"/>
                <w:szCs w:val="21"/>
                <w:highlight w:val="none"/>
                <w:lang w:val="en-US" w:eastAsia="zh-CN"/>
              </w:rPr>
            </w:pPr>
            <w:r>
              <w:rPr>
                <w:rFonts w:hint="eastAsia" w:ascii="仿宋" w:hAnsi="仿宋" w:eastAsia="仿宋" w:cs="仿宋"/>
                <w:color w:val="0000FF"/>
                <w:sz w:val="21"/>
                <w:szCs w:val="21"/>
                <w:highlight w:val="none"/>
                <w:lang w:val="en-US" w:eastAsia="zh-CN"/>
              </w:rPr>
              <w:t>方案内容存在1处瑕疵，得11分；</w:t>
            </w:r>
          </w:p>
          <w:p w14:paraId="14B1E0F5">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仿宋" w:hAnsi="仿宋" w:eastAsia="仿宋" w:cs="仿宋"/>
                <w:color w:val="0000FF"/>
                <w:sz w:val="21"/>
                <w:szCs w:val="21"/>
                <w:highlight w:val="none"/>
                <w:lang w:val="en-US" w:eastAsia="zh-CN"/>
              </w:rPr>
            </w:pPr>
            <w:r>
              <w:rPr>
                <w:rFonts w:hint="eastAsia" w:ascii="仿宋" w:hAnsi="仿宋" w:eastAsia="仿宋" w:cs="仿宋"/>
                <w:color w:val="0000FF"/>
                <w:sz w:val="21"/>
                <w:szCs w:val="21"/>
                <w:highlight w:val="none"/>
                <w:lang w:val="en-US" w:eastAsia="zh-CN"/>
              </w:rPr>
              <w:t>方案内容存在2处瑕疵，得7分；</w:t>
            </w:r>
          </w:p>
          <w:p w14:paraId="5D9E7ED3">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仿宋" w:hAnsi="仿宋" w:eastAsia="仿宋" w:cs="仿宋"/>
                <w:color w:val="0000FF"/>
                <w:sz w:val="21"/>
                <w:szCs w:val="21"/>
                <w:highlight w:val="none"/>
                <w:lang w:val="en-US" w:eastAsia="zh-CN"/>
              </w:rPr>
            </w:pPr>
            <w:r>
              <w:rPr>
                <w:rFonts w:hint="eastAsia" w:ascii="仿宋" w:hAnsi="仿宋" w:eastAsia="仿宋" w:cs="仿宋"/>
                <w:color w:val="0000FF"/>
                <w:sz w:val="21"/>
                <w:szCs w:val="21"/>
                <w:highlight w:val="none"/>
                <w:lang w:val="en-US" w:eastAsia="zh-CN"/>
              </w:rPr>
              <w:t>方案内容存在3处瑕疵，得4分；</w:t>
            </w:r>
          </w:p>
          <w:p w14:paraId="2E1C02A1">
            <w:pPr>
              <w:pStyle w:val="9"/>
              <w:keepNext w:val="0"/>
              <w:keepLines w:val="0"/>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0000FF"/>
                <w:sz w:val="21"/>
                <w:szCs w:val="21"/>
                <w:highlight w:val="none"/>
                <w:lang w:val="en-US" w:eastAsia="zh-CN"/>
              </w:rPr>
              <w:t>方案内容存在4处及以上瑕疵或未提供方案得0分。</w:t>
            </w:r>
          </w:p>
        </w:tc>
        <w:tc>
          <w:tcPr>
            <w:tcW w:w="1961" w:type="dxa"/>
            <w:vMerge w:val="restart"/>
            <w:noWrap w:val="0"/>
            <w:vAlign w:val="center"/>
          </w:tcPr>
          <w:p w14:paraId="306FBC4A">
            <w:pPr>
              <w:keepNext w:val="0"/>
              <w:keepLines w:val="0"/>
              <w:pageBreakBefore w:val="0"/>
              <w:widowControl/>
              <w:kinsoku/>
              <w:wordWrap w:val="0"/>
              <w:overflowPunct/>
              <w:topLinePunct w:val="0"/>
              <w:autoSpaceDE/>
              <w:autoSpaceDN/>
              <w:bidi w:val="0"/>
              <w:adjustRightInd/>
              <w:snapToGrid w:val="0"/>
              <w:spacing w:line="312" w:lineRule="auto"/>
              <w:ind w:firstLine="220" w:firstLineChars="10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技术部分原则上不超过</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00页。</w:t>
            </w:r>
          </w:p>
          <w:p w14:paraId="4DF0A27D">
            <w:pPr>
              <w:keepNext w:val="0"/>
              <w:keepLines w:val="0"/>
              <w:pageBreakBefore w:val="0"/>
              <w:widowControl/>
              <w:kinsoku/>
              <w:wordWrap w:val="0"/>
              <w:overflowPunct/>
              <w:topLinePunct w:val="0"/>
              <w:autoSpaceDE/>
              <w:autoSpaceDN/>
              <w:bidi w:val="0"/>
              <w:adjustRightInd/>
              <w:snapToGrid w:val="0"/>
              <w:spacing w:line="312" w:lineRule="auto"/>
              <w:ind w:firstLine="220" w:firstLineChars="10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技术方案格式由</w:t>
            </w:r>
            <w:r>
              <w:rPr>
                <w:rFonts w:hint="eastAsia" w:ascii="仿宋" w:hAnsi="仿宋" w:eastAsia="仿宋" w:cs="仿宋"/>
                <w:color w:val="auto"/>
                <w:sz w:val="22"/>
                <w:szCs w:val="22"/>
                <w:highlight w:val="none"/>
                <w:lang w:eastAsia="zh-CN"/>
              </w:rPr>
              <w:t>投标人</w:t>
            </w:r>
            <w:r>
              <w:rPr>
                <w:rFonts w:hint="eastAsia" w:ascii="仿宋" w:hAnsi="仿宋" w:eastAsia="仿宋" w:cs="仿宋"/>
                <w:color w:val="auto"/>
                <w:sz w:val="22"/>
                <w:szCs w:val="22"/>
                <w:highlight w:val="none"/>
              </w:rPr>
              <w:t>自拟。</w:t>
            </w:r>
          </w:p>
          <w:p w14:paraId="456EA1EE">
            <w:pPr>
              <w:keepNext w:val="0"/>
              <w:keepLines w:val="0"/>
              <w:pageBreakBefore w:val="0"/>
              <w:widowControl/>
              <w:kinsoku/>
              <w:wordWrap w:val="0"/>
              <w:overflowPunct/>
              <w:topLinePunct w:val="0"/>
              <w:autoSpaceDE/>
              <w:autoSpaceDN/>
              <w:bidi w:val="0"/>
              <w:adjustRightInd/>
              <w:snapToGrid w:val="0"/>
              <w:spacing w:line="312" w:lineRule="auto"/>
              <w:ind w:firstLine="220" w:firstLineChars="100"/>
              <w:jc w:val="left"/>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3、评标委员会</w:t>
            </w:r>
            <w:r>
              <w:rPr>
                <w:rFonts w:hint="eastAsia" w:ascii="仿宋" w:hAnsi="仿宋" w:eastAsia="仿宋" w:cs="仿宋"/>
                <w:color w:val="auto"/>
                <w:sz w:val="22"/>
                <w:szCs w:val="22"/>
                <w:highlight w:val="none"/>
              </w:rPr>
              <w:t>根据</w:t>
            </w:r>
            <w:r>
              <w:rPr>
                <w:rFonts w:hint="eastAsia" w:ascii="仿宋" w:hAnsi="仿宋" w:eastAsia="仿宋" w:cs="仿宋"/>
                <w:color w:val="auto"/>
                <w:sz w:val="22"/>
                <w:szCs w:val="22"/>
                <w:highlight w:val="none"/>
                <w:lang w:val="en-US" w:eastAsia="zh-CN"/>
              </w:rPr>
              <w:t>投标人</w:t>
            </w:r>
            <w:r>
              <w:rPr>
                <w:rFonts w:hint="eastAsia" w:ascii="仿宋" w:hAnsi="仿宋" w:eastAsia="仿宋" w:cs="仿宋"/>
                <w:color w:val="auto"/>
                <w:sz w:val="22"/>
                <w:szCs w:val="22"/>
                <w:highlight w:val="none"/>
              </w:rPr>
              <w:t>提供的技术方案比较，独立评审打分。</w:t>
            </w:r>
            <w:r>
              <w:rPr>
                <w:rFonts w:hint="eastAsia" w:ascii="仿宋" w:hAnsi="仿宋" w:eastAsia="仿宋" w:cs="仿宋"/>
                <w:color w:val="auto"/>
                <w:sz w:val="22"/>
                <w:szCs w:val="22"/>
                <w:highlight w:val="none"/>
                <w:lang w:val="en-US" w:eastAsia="zh-CN"/>
              </w:rPr>
              <w:t>投标人</w:t>
            </w:r>
            <w:r>
              <w:rPr>
                <w:rFonts w:hint="eastAsia" w:ascii="仿宋" w:hAnsi="仿宋" w:eastAsia="仿宋" w:cs="仿宋"/>
                <w:color w:val="auto"/>
                <w:sz w:val="22"/>
                <w:szCs w:val="22"/>
                <w:highlight w:val="none"/>
              </w:rPr>
              <w:t>的技术部分最后得分为各</w:t>
            </w:r>
            <w:r>
              <w:rPr>
                <w:rFonts w:hint="eastAsia" w:ascii="仿宋" w:hAnsi="仿宋" w:eastAsia="仿宋" w:cs="仿宋"/>
                <w:color w:val="auto"/>
                <w:sz w:val="22"/>
                <w:szCs w:val="22"/>
                <w:highlight w:val="none"/>
                <w:lang w:val="en-US" w:eastAsia="zh-CN"/>
              </w:rPr>
              <w:t>评标委员会</w:t>
            </w:r>
            <w:r>
              <w:rPr>
                <w:rFonts w:hint="eastAsia" w:ascii="仿宋" w:hAnsi="仿宋" w:eastAsia="仿宋" w:cs="仿宋"/>
                <w:color w:val="auto"/>
                <w:sz w:val="22"/>
                <w:szCs w:val="22"/>
                <w:highlight w:val="none"/>
              </w:rPr>
              <w:t>成员的平均分。（按四舍五入法保留两位小数）</w:t>
            </w:r>
          </w:p>
        </w:tc>
      </w:tr>
      <w:tr w14:paraId="7541B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4" w:hRule="atLeast"/>
          <w:jc w:val="center"/>
        </w:trPr>
        <w:tc>
          <w:tcPr>
            <w:tcW w:w="787" w:type="dxa"/>
            <w:vMerge w:val="continue"/>
            <w:noWrap w:val="0"/>
            <w:vAlign w:val="center"/>
          </w:tcPr>
          <w:p w14:paraId="6B761C18">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rPr>
            </w:pPr>
          </w:p>
        </w:tc>
        <w:tc>
          <w:tcPr>
            <w:tcW w:w="1259" w:type="dxa"/>
            <w:vMerge w:val="continue"/>
            <w:noWrap w:val="0"/>
            <w:vAlign w:val="center"/>
          </w:tcPr>
          <w:p w14:paraId="6B2F46B9">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rPr>
            </w:pPr>
          </w:p>
        </w:tc>
        <w:tc>
          <w:tcPr>
            <w:tcW w:w="1130" w:type="dxa"/>
            <w:noWrap w:val="0"/>
            <w:vAlign w:val="center"/>
          </w:tcPr>
          <w:p w14:paraId="489E6612">
            <w:pPr>
              <w:keepNext w:val="0"/>
              <w:keepLines w:val="0"/>
              <w:pageBreakBefore w:val="0"/>
              <w:tabs>
                <w:tab w:val="left" w:pos="1875"/>
              </w:tabs>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FF"/>
                <w:sz w:val="21"/>
                <w:szCs w:val="21"/>
                <w:highlight w:val="none"/>
              </w:rPr>
            </w:pPr>
            <w:r>
              <w:rPr>
                <w:rFonts w:hint="eastAsia" w:ascii="仿宋" w:hAnsi="仿宋" w:eastAsia="仿宋" w:cs="仿宋"/>
                <w:color w:val="0000FF"/>
                <w:sz w:val="21"/>
                <w:szCs w:val="21"/>
                <w:highlight w:val="none"/>
              </w:rPr>
              <w:t>质量管理体系与</w:t>
            </w:r>
          </w:p>
          <w:p w14:paraId="508B403B">
            <w:pPr>
              <w:keepNext w:val="0"/>
              <w:keepLines w:val="0"/>
              <w:pageBreakBefore w:val="0"/>
              <w:tabs>
                <w:tab w:val="left" w:pos="1875"/>
              </w:tabs>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FF"/>
                <w:sz w:val="21"/>
                <w:szCs w:val="21"/>
                <w:highlight w:val="none"/>
              </w:rPr>
            </w:pPr>
            <w:r>
              <w:rPr>
                <w:rFonts w:hint="eastAsia" w:ascii="仿宋" w:hAnsi="仿宋" w:eastAsia="仿宋" w:cs="仿宋"/>
                <w:color w:val="0000FF"/>
                <w:sz w:val="21"/>
                <w:szCs w:val="21"/>
                <w:highlight w:val="none"/>
              </w:rPr>
              <w:t>措施</w:t>
            </w:r>
          </w:p>
          <w:p w14:paraId="36437F92">
            <w:pPr>
              <w:keepNext w:val="0"/>
              <w:keepLines w:val="0"/>
              <w:pageBreakBefore w:val="0"/>
              <w:tabs>
                <w:tab w:val="left" w:pos="1875"/>
              </w:tabs>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0000FF"/>
                <w:sz w:val="21"/>
                <w:szCs w:val="21"/>
                <w:highlight w:val="none"/>
              </w:rPr>
              <w:t>（</w:t>
            </w:r>
            <w:r>
              <w:rPr>
                <w:rFonts w:hint="eastAsia" w:ascii="仿宋" w:hAnsi="仿宋" w:eastAsia="仿宋" w:cs="仿宋"/>
                <w:color w:val="0000FF"/>
                <w:sz w:val="21"/>
                <w:szCs w:val="21"/>
                <w:highlight w:val="none"/>
                <w:lang w:val="en-US" w:eastAsia="zh-CN"/>
              </w:rPr>
              <w:t>15</w:t>
            </w:r>
            <w:r>
              <w:rPr>
                <w:rFonts w:hint="eastAsia" w:ascii="仿宋" w:hAnsi="仿宋" w:eastAsia="仿宋" w:cs="仿宋"/>
                <w:color w:val="0000FF"/>
                <w:sz w:val="21"/>
                <w:szCs w:val="21"/>
                <w:highlight w:val="none"/>
              </w:rPr>
              <w:t>分）</w:t>
            </w:r>
          </w:p>
        </w:tc>
        <w:tc>
          <w:tcPr>
            <w:tcW w:w="5537" w:type="dxa"/>
            <w:noWrap w:val="0"/>
            <w:vAlign w:val="center"/>
          </w:tcPr>
          <w:p w14:paraId="11E2DE2E">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仿宋" w:hAnsi="仿宋" w:eastAsia="仿宋" w:cs="仿宋"/>
                <w:color w:val="0000FF"/>
                <w:sz w:val="21"/>
                <w:szCs w:val="21"/>
                <w:highlight w:val="none"/>
                <w:lang w:val="en-US" w:eastAsia="zh-CN"/>
              </w:rPr>
            </w:pPr>
            <w:r>
              <w:rPr>
                <w:rFonts w:hint="eastAsia" w:ascii="仿宋" w:hAnsi="仿宋" w:eastAsia="仿宋" w:cs="仿宋"/>
                <w:color w:val="0000FF"/>
                <w:sz w:val="21"/>
                <w:szCs w:val="21"/>
                <w:highlight w:val="none"/>
                <w:lang w:val="en-US" w:eastAsia="zh-CN"/>
              </w:rPr>
              <w:t>根据投标人提供的质量管理体系进行评分，内容包括但不限于：</w:t>
            </w:r>
            <w:r>
              <w:rPr>
                <w:rFonts w:hint="eastAsia" w:ascii="仿宋" w:hAnsi="仿宋" w:eastAsia="仿宋" w:cs="仿宋"/>
                <w:color w:val="0000FF"/>
                <w:sz w:val="21"/>
                <w:szCs w:val="21"/>
                <w:highlight w:val="none"/>
              </w:rPr>
              <w:t>施工质量保证体系</w:t>
            </w:r>
            <w:r>
              <w:rPr>
                <w:rFonts w:hint="eastAsia" w:ascii="仿宋" w:hAnsi="仿宋" w:eastAsia="仿宋" w:cs="仿宋"/>
                <w:color w:val="0000FF"/>
                <w:sz w:val="21"/>
                <w:szCs w:val="21"/>
                <w:highlight w:val="none"/>
                <w:lang w:eastAsia="zh-CN"/>
              </w:rPr>
              <w:t>、</w:t>
            </w:r>
            <w:r>
              <w:rPr>
                <w:rFonts w:hint="eastAsia" w:ascii="仿宋" w:hAnsi="仿宋" w:eastAsia="仿宋" w:cs="仿宋"/>
                <w:color w:val="0000FF"/>
                <w:sz w:val="21"/>
                <w:szCs w:val="21"/>
                <w:highlight w:val="none"/>
              </w:rPr>
              <w:t>质量检查监督机构</w:t>
            </w:r>
            <w:r>
              <w:rPr>
                <w:rFonts w:hint="eastAsia" w:ascii="仿宋" w:hAnsi="仿宋" w:eastAsia="仿宋" w:cs="仿宋"/>
                <w:color w:val="0000FF"/>
                <w:sz w:val="21"/>
                <w:szCs w:val="21"/>
                <w:highlight w:val="none"/>
                <w:lang w:eastAsia="zh-CN"/>
              </w:rPr>
              <w:t>、</w:t>
            </w:r>
            <w:r>
              <w:rPr>
                <w:rFonts w:hint="eastAsia" w:ascii="仿宋" w:hAnsi="仿宋" w:eastAsia="仿宋" w:cs="仿宋"/>
                <w:color w:val="0000FF"/>
                <w:sz w:val="21"/>
                <w:szCs w:val="21"/>
                <w:highlight w:val="none"/>
              </w:rPr>
              <w:t>有效的控制措施和手段</w:t>
            </w:r>
            <w:r>
              <w:rPr>
                <w:rFonts w:hint="eastAsia" w:ascii="仿宋" w:hAnsi="仿宋" w:eastAsia="仿宋" w:cs="仿宋"/>
                <w:color w:val="0000FF"/>
                <w:sz w:val="21"/>
                <w:szCs w:val="21"/>
                <w:highlight w:val="none"/>
                <w:lang w:val="en-US" w:eastAsia="zh-CN"/>
              </w:rPr>
              <w:t>等内容。</w:t>
            </w:r>
          </w:p>
          <w:p w14:paraId="1C09D44E">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仿宋" w:hAnsi="仿宋" w:eastAsia="仿宋" w:cs="仿宋"/>
                <w:color w:val="0000FF"/>
                <w:sz w:val="21"/>
                <w:szCs w:val="21"/>
                <w:highlight w:val="none"/>
                <w:lang w:val="en-US" w:eastAsia="zh-CN"/>
              </w:rPr>
            </w:pPr>
            <w:r>
              <w:rPr>
                <w:rFonts w:hint="eastAsia" w:ascii="仿宋" w:hAnsi="仿宋" w:eastAsia="仿宋" w:cs="仿宋"/>
                <w:color w:val="0000FF"/>
                <w:sz w:val="21"/>
                <w:szCs w:val="21"/>
                <w:highlight w:val="none"/>
                <w:lang w:val="en-US" w:eastAsia="zh-CN"/>
              </w:rPr>
              <w:t>方案内容不存在瑕疵，得15分；</w:t>
            </w:r>
          </w:p>
          <w:p w14:paraId="7B894E80">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仿宋" w:hAnsi="仿宋" w:eastAsia="仿宋" w:cs="仿宋"/>
                <w:color w:val="0000FF"/>
                <w:sz w:val="21"/>
                <w:szCs w:val="21"/>
                <w:highlight w:val="none"/>
                <w:lang w:val="en-US" w:eastAsia="zh-CN"/>
              </w:rPr>
            </w:pPr>
            <w:r>
              <w:rPr>
                <w:rFonts w:hint="eastAsia" w:ascii="仿宋" w:hAnsi="仿宋" w:eastAsia="仿宋" w:cs="仿宋"/>
                <w:color w:val="0000FF"/>
                <w:sz w:val="21"/>
                <w:szCs w:val="21"/>
                <w:highlight w:val="none"/>
                <w:lang w:val="en-US" w:eastAsia="zh-CN"/>
              </w:rPr>
              <w:t>方案内容存在1处瑕疵，得11分；</w:t>
            </w:r>
          </w:p>
          <w:p w14:paraId="56D6D528">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仿宋" w:hAnsi="仿宋" w:eastAsia="仿宋" w:cs="仿宋"/>
                <w:color w:val="0000FF"/>
                <w:sz w:val="21"/>
                <w:szCs w:val="21"/>
                <w:highlight w:val="none"/>
                <w:lang w:val="en-US" w:eastAsia="zh-CN"/>
              </w:rPr>
            </w:pPr>
            <w:r>
              <w:rPr>
                <w:rFonts w:hint="eastAsia" w:ascii="仿宋" w:hAnsi="仿宋" w:eastAsia="仿宋" w:cs="仿宋"/>
                <w:color w:val="0000FF"/>
                <w:sz w:val="21"/>
                <w:szCs w:val="21"/>
                <w:highlight w:val="none"/>
                <w:lang w:val="en-US" w:eastAsia="zh-CN"/>
              </w:rPr>
              <w:t>方案内容存在2处瑕疵，得7分；</w:t>
            </w:r>
          </w:p>
          <w:p w14:paraId="1DBAEB4F">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仿宋" w:hAnsi="仿宋" w:eastAsia="仿宋" w:cs="仿宋"/>
                <w:color w:val="0000FF"/>
                <w:sz w:val="21"/>
                <w:szCs w:val="21"/>
                <w:highlight w:val="none"/>
                <w:lang w:val="en-US" w:eastAsia="zh-CN"/>
              </w:rPr>
            </w:pPr>
            <w:r>
              <w:rPr>
                <w:rFonts w:hint="eastAsia" w:ascii="仿宋" w:hAnsi="仿宋" w:eastAsia="仿宋" w:cs="仿宋"/>
                <w:color w:val="0000FF"/>
                <w:sz w:val="21"/>
                <w:szCs w:val="21"/>
                <w:highlight w:val="none"/>
                <w:lang w:val="en-US" w:eastAsia="zh-CN"/>
              </w:rPr>
              <w:t>方案内容存在3处瑕疵，得4分；</w:t>
            </w:r>
          </w:p>
          <w:p w14:paraId="773903B8">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0000FF"/>
                <w:sz w:val="21"/>
                <w:szCs w:val="21"/>
                <w:highlight w:val="none"/>
                <w:lang w:val="en-US" w:eastAsia="zh-CN"/>
              </w:rPr>
              <w:t>方案内容存在4处及以上瑕疵或未提供方案得0分。</w:t>
            </w:r>
          </w:p>
        </w:tc>
        <w:tc>
          <w:tcPr>
            <w:tcW w:w="1961" w:type="dxa"/>
            <w:vMerge w:val="continue"/>
            <w:noWrap w:val="0"/>
            <w:vAlign w:val="center"/>
          </w:tcPr>
          <w:p w14:paraId="1240474A">
            <w:pPr>
              <w:keepNext w:val="0"/>
              <w:keepLines w:val="0"/>
              <w:pageBreakBefore w:val="0"/>
              <w:widowControl/>
              <w:kinsoku/>
              <w:wordWrap w:val="0"/>
              <w:overflowPunct/>
              <w:topLinePunct w:val="0"/>
              <w:autoSpaceDE/>
              <w:autoSpaceDN/>
              <w:bidi w:val="0"/>
              <w:adjustRightInd/>
              <w:snapToGrid w:val="0"/>
              <w:spacing w:line="312" w:lineRule="auto"/>
              <w:ind w:firstLine="440" w:firstLineChars="200"/>
              <w:jc w:val="left"/>
              <w:textAlignment w:val="auto"/>
              <w:rPr>
                <w:rFonts w:hint="eastAsia" w:ascii="仿宋" w:hAnsi="仿宋" w:eastAsia="仿宋" w:cs="仿宋"/>
                <w:color w:val="auto"/>
                <w:sz w:val="22"/>
                <w:szCs w:val="22"/>
                <w:highlight w:val="none"/>
                <w:lang w:val="en-US" w:eastAsia="zh-CN"/>
              </w:rPr>
            </w:pPr>
          </w:p>
        </w:tc>
      </w:tr>
      <w:tr w14:paraId="5110B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3" w:hRule="atLeast"/>
          <w:jc w:val="center"/>
        </w:trPr>
        <w:tc>
          <w:tcPr>
            <w:tcW w:w="787" w:type="dxa"/>
            <w:vMerge w:val="continue"/>
            <w:noWrap w:val="0"/>
            <w:vAlign w:val="center"/>
          </w:tcPr>
          <w:p w14:paraId="6F692413">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rPr>
            </w:pPr>
          </w:p>
        </w:tc>
        <w:tc>
          <w:tcPr>
            <w:tcW w:w="1259" w:type="dxa"/>
            <w:vMerge w:val="continue"/>
            <w:noWrap w:val="0"/>
            <w:vAlign w:val="center"/>
          </w:tcPr>
          <w:p w14:paraId="0D663CE1">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rPr>
            </w:pPr>
          </w:p>
        </w:tc>
        <w:tc>
          <w:tcPr>
            <w:tcW w:w="1130" w:type="dxa"/>
            <w:noWrap w:val="0"/>
            <w:vAlign w:val="center"/>
          </w:tcPr>
          <w:p w14:paraId="6C817177">
            <w:pPr>
              <w:pStyle w:val="9"/>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FF"/>
                <w:sz w:val="21"/>
                <w:szCs w:val="21"/>
                <w:highlight w:val="none"/>
              </w:rPr>
            </w:pPr>
            <w:r>
              <w:rPr>
                <w:rFonts w:hint="eastAsia" w:ascii="仿宋" w:hAnsi="仿宋" w:eastAsia="仿宋" w:cs="仿宋"/>
                <w:color w:val="0000FF"/>
                <w:sz w:val="21"/>
                <w:szCs w:val="21"/>
                <w:highlight w:val="none"/>
              </w:rPr>
              <w:t>安全</w:t>
            </w:r>
          </w:p>
          <w:p w14:paraId="3C67B15C">
            <w:pPr>
              <w:pStyle w:val="9"/>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FF"/>
                <w:sz w:val="21"/>
                <w:szCs w:val="21"/>
                <w:highlight w:val="none"/>
              </w:rPr>
            </w:pPr>
            <w:r>
              <w:rPr>
                <w:rFonts w:hint="eastAsia" w:ascii="仿宋" w:hAnsi="仿宋" w:eastAsia="仿宋" w:cs="仿宋"/>
                <w:color w:val="0000FF"/>
                <w:sz w:val="21"/>
                <w:szCs w:val="21"/>
                <w:highlight w:val="none"/>
              </w:rPr>
              <w:t>管理</w:t>
            </w:r>
          </w:p>
          <w:p w14:paraId="7DF996EC">
            <w:pPr>
              <w:pStyle w:val="9"/>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FF"/>
                <w:sz w:val="21"/>
                <w:szCs w:val="21"/>
                <w:highlight w:val="none"/>
              </w:rPr>
            </w:pPr>
            <w:r>
              <w:rPr>
                <w:rFonts w:hint="eastAsia" w:ascii="仿宋" w:hAnsi="仿宋" w:eastAsia="仿宋" w:cs="仿宋"/>
                <w:color w:val="0000FF"/>
                <w:sz w:val="21"/>
                <w:szCs w:val="21"/>
                <w:highlight w:val="none"/>
              </w:rPr>
              <w:t>体系</w:t>
            </w:r>
          </w:p>
          <w:p w14:paraId="3F36FF0F">
            <w:pPr>
              <w:pStyle w:val="9"/>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FF"/>
                <w:sz w:val="21"/>
                <w:szCs w:val="21"/>
                <w:highlight w:val="none"/>
              </w:rPr>
            </w:pPr>
            <w:r>
              <w:rPr>
                <w:rFonts w:hint="eastAsia" w:ascii="仿宋" w:hAnsi="仿宋" w:eastAsia="仿宋" w:cs="仿宋"/>
                <w:color w:val="0000FF"/>
                <w:sz w:val="21"/>
                <w:szCs w:val="21"/>
                <w:highlight w:val="none"/>
              </w:rPr>
              <w:t>与</w:t>
            </w:r>
          </w:p>
          <w:p w14:paraId="08FB73D4">
            <w:pPr>
              <w:pStyle w:val="9"/>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FF"/>
                <w:sz w:val="21"/>
                <w:szCs w:val="21"/>
                <w:highlight w:val="none"/>
              </w:rPr>
            </w:pPr>
            <w:r>
              <w:rPr>
                <w:rFonts w:hint="eastAsia" w:ascii="仿宋" w:hAnsi="仿宋" w:eastAsia="仿宋" w:cs="仿宋"/>
                <w:color w:val="0000FF"/>
                <w:sz w:val="21"/>
                <w:szCs w:val="21"/>
                <w:highlight w:val="none"/>
              </w:rPr>
              <w:t>措施</w:t>
            </w:r>
          </w:p>
          <w:p w14:paraId="61873EFA">
            <w:pPr>
              <w:pStyle w:val="9"/>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0000FF"/>
                <w:sz w:val="21"/>
                <w:szCs w:val="21"/>
                <w:highlight w:val="none"/>
              </w:rPr>
              <w:t>（1</w:t>
            </w:r>
            <w:r>
              <w:rPr>
                <w:rFonts w:hint="eastAsia" w:ascii="仿宋" w:hAnsi="仿宋" w:eastAsia="仿宋" w:cs="仿宋"/>
                <w:color w:val="0000FF"/>
                <w:sz w:val="21"/>
                <w:szCs w:val="21"/>
                <w:highlight w:val="none"/>
                <w:lang w:val="en-US" w:eastAsia="zh-CN"/>
              </w:rPr>
              <w:t>5</w:t>
            </w:r>
            <w:r>
              <w:rPr>
                <w:rFonts w:hint="eastAsia" w:ascii="仿宋" w:hAnsi="仿宋" w:eastAsia="仿宋" w:cs="仿宋"/>
                <w:color w:val="0000FF"/>
                <w:sz w:val="21"/>
                <w:szCs w:val="21"/>
                <w:highlight w:val="none"/>
              </w:rPr>
              <w:t>分）</w:t>
            </w:r>
          </w:p>
        </w:tc>
        <w:tc>
          <w:tcPr>
            <w:tcW w:w="5537" w:type="dxa"/>
            <w:noWrap w:val="0"/>
            <w:vAlign w:val="center"/>
          </w:tcPr>
          <w:p w14:paraId="35EC1798">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仿宋" w:hAnsi="仿宋" w:eastAsia="仿宋" w:cs="仿宋"/>
                <w:color w:val="0000FF"/>
                <w:sz w:val="21"/>
                <w:szCs w:val="21"/>
                <w:highlight w:val="none"/>
                <w:lang w:val="en-US" w:eastAsia="zh-CN"/>
              </w:rPr>
            </w:pPr>
            <w:r>
              <w:rPr>
                <w:rFonts w:hint="eastAsia" w:ascii="仿宋" w:hAnsi="仿宋" w:eastAsia="仿宋" w:cs="仿宋"/>
                <w:color w:val="0000FF"/>
                <w:sz w:val="21"/>
                <w:szCs w:val="21"/>
                <w:highlight w:val="none"/>
                <w:lang w:val="en-US" w:eastAsia="zh-CN"/>
              </w:rPr>
              <w:t>根据投标人提供的安全管理体系进行评分，内容包括但不限于：施工安全保障体系、施工现场管理人员安全生产职责、施工安全保证目标、针对工程特点和周边环境，确定危险源并制定具体的防护措施等内容。</w:t>
            </w:r>
          </w:p>
          <w:p w14:paraId="32735086">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仿宋" w:hAnsi="仿宋" w:eastAsia="仿宋" w:cs="仿宋"/>
                <w:color w:val="0000FF"/>
                <w:sz w:val="21"/>
                <w:szCs w:val="21"/>
                <w:highlight w:val="none"/>
                <w:lang w:val="en-US" w:eastAsia="zh-CN"/>
              </w:rPr>
            </w:pPr>
            <w:r>
              <w:rPr>
                <w:rFonts w:hint="eastAsia" w:ascii="仿宋" w:hAnsi="仿宋" w:eastAsia="仿宋" w:cs="仿宋"/>
                <w:color w:val="0000FF"/>
                <w:sz w:val="21"/>
                <w:szCs w:val="21"/>
                <w:highlight w:val="none"/>
                <w:lang w:val="en-US" w:eastAsia="zh-CN"/>
              </w:rPr>
              <w:t>方案内容不存在瑕疵，得15分；</w:t>
            </w:r>
          </w:p>
          <w:p w14:paraId="2C9120F5">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仿宋" w:hAnsi="仿宋" w:eastAsia="仿宋" w:cs="仿宋"/>
                <w:color w:val="0000FF"/>
                <w:sz w:val="21"/>
                <w:szCs w:val="21"/>
                <w:highlight w:val="none"/>
                <w:lang w:val="en-US" w:eastAsia="zh-CN"/>
              </w:rPr>
            </w:pPr>
            <w:r>
              <w:rPr>
                <w:rFonts w:hint="eastAsia" w:ascii="仿宋" w:hAnsi="仿宋" w:eastAsia="仿宋" w:cs="仿宋"/>
                <w:color w:val="0000FF"/>
                <w:sz w:val="21"/>
                <w:szCs w:val="21"/>
                <w:highlight w:val="none"/>
                <w:lang w:val="en-US" w:eastAsia="zh-CN"/>
              </w:rPr>
              <w:t>方案内容存在1处瑕疵，得11分；</w:t>
            </w:r>
          </w:p>
          <w:p w14:paraId="305F955F">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仿宋" w:hAnsi="仿宋" w:eastAsia="仿宋" w:cs="仿宋"/>
                <w:color w:val="0000FF"/>
                <w:sz w:val="21"/>
                <w:szCs w:val="21"/>
                <w:highlight w:val="none"/>
                <w:lang w:val="en-US" w:eastAsia="zh-CN"/>
              </w:rPr>
            </w:pPr>
            <w:r>
              <w:rPr>
                <w:rFonts w:hint="eastAsia" w:ascii="仿宋" w:hAnsi="仿宋" w:eastAsia="仿宋" w:cs="仿宋"/>
                <w:color w:val="0000FF"/>
                <w:sz w:val="21"/>
                <w:szCs w:val="21"/>
                <w:highlight w:val="none"/>
                <w:lang w:val="en-US" w:eastAsia="zh-CN"/>
              </w:rPr>
              <w:t>方案内容存在2处瑕疵，得7分；</w:t>
            </w:r>
          </w:p>
          <w:p w14:paraId="4FD0049F">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仿宋" w:hAnsi="仿宋" w:eastAsia="仿宋" w:cs="仿宋"/>
                <w:color w:val="0000FF"/>
                <w:sz w:val="21"/>
                <w:szCs w:val="21"/>
                <w:highlight w:val="none"/>
                <w:lang w:val="en-US" w:eastAsia="zh-CN"/>
              </w:rPr>
            </w:pPr>
            <w:r>
              <w:rPr>
                <w:rFonts w:hint="eastAsia" w:ascii="仿宋" w:hAnsi="仿宋" w:eastAsia="仿宋" w:cs="仿宋"/>
                <w:color w:val="0000FF"/>
                <w:sz w:val="21"/>
                <w:szCs w:val="21"/>
                <w:highlight w:val="none"/>
                <w:lang w:val="en-US" w:eastAsia="zh-CN"/>
              </w:rPr>
              <w:t>方案内容存在3处瑕疵，得4分；</w:t>
            </w:r>
          </w:p>
          <w:p w14:paraId="7D3DD0A2">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0000FF"/>
                <w:sz w:val="21"/>
                <w:szCs w:val="21"/>
                <w:highlight w:val="none"/>
                <w:lang w:val="en-US" w:eastAsia="zh-CN"/>
              </w:rPr>
              <w:t>方案内容存在4处及以上瑕疵或未提供方案得0分。</w:t>
            </w:r>
          </w:p>
        </w:tc>
        <w:tc>
          <w:tcPr>
            <w:tcW w:w="1961" w:type="dxa"/>
            <w:vMerge w:val="continue"/>
            <w:noWrap w:val="0"/>
            <w:vAlign w:val="center"/>
          </w:tcPr>
          <w:p w14:paraId="40DC2803">
            <w:pPr>
              <w:keepNext w:val="0"/>
              <w:keepLines w:val="0"/>
              <w:pageBreakBefore w:val="0"/>
              <w:widowControl/>
              <w:kinsoku/>
              <w:wordWrap w:val="0"/>
              <w:overflowPunct/>
              <w:topLinePunct w:val="0"/>
              <w:autoSpaceDE/>
              <w:autoSpaceDN/>
              <w:bidi w:val="0"/>
              <w:adjustRightInd/>
              <w:snapToGrid w:val="0"/>
              <w:spacing w:line="312" w:lineRule="auto"/>
              <w:ind w:firstLine="440" w:firstLineChars="200"/>
              <w:jc w:val="left"/>
              <w:textAlignment w:val="auto"/>
              <w:rPr>
                <w:rFonts w:hint="eastAsia" w:ascii="仿宋" w:hAnsi="仿宋" w:eastAsia="仿宋" w:cs="仿宋"/>
                <w:color w:val="auto"/>
                <w:sz w:val="22"/>
                <w:szCs w:val="22"/>
                <w:highlight w:val="none"/>
                <w:lang w:val="en-US" w:eastAsia="zh-CN"/>
              </w:rPr>
            </w:pPr>
          </w:p>
        </w:tc>
      </w:tr>
      <w:tr w14:paraId="1974E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4" w:hRule="atLeast"/>
          <w:jc w:val="center"/>
        </w:trPr>
        <w:tc>
          <w:tcPr>
            <w:tcW w:w="787" w:type="dxa"/>
            <w:vMerge w:val="continue"/>
            <w:noWrap w:val="0"/>
            <w:vAlign w:val="center"/>
          </w:tcPr>
          <w:p w14:paraId="551AACAE">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rPr>
            </w:pPr>
          </w:p>
        </w:tc>
        <w:tc>
          <w:tcPr>
            <w:tcW w:w="1259" w:type="dxa"/>
            <w:vMerge w:val="continue"/>
            <w:noWrap w:val="0"/>
            <w:vAlign w:val="center"/>
          </w:tcPr>
          <w:p w14:paraId="7652D045">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rPr>
            </w:pPr>
          </w:p>
        </w:tc>
        <w:tc>
          <w:tcPr>
            <w:tcW w:w="1130" w:type="dxa"/>
            <w:noWrap w:val="0"/>
            <w:vAlign w:val="center"/>
          </w:tcPr>
          <w:p w14:paraId="11E5DCD5">
            <w:pPr>
              <w:pStyle w:val="9"/>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FF"/>
                <w:sz w:val="21"/>
                <w:szCs w:val="21"/>
                <w:highlight w:val="none"/>
              </w:rPr>
            </w:pPr>
            <w:r>
              <w:rPr>
                <w:rFonts w:hint="eastAsia" w:ascii="仿宋" w:hAnsi="仿宋" w:eastAsia="仿宋" w:cs="仿宋"/>
                <w:color w:val="0000FF"/>
                <w:sz w:val="21"/>
                <w:szCs w:val="21"/>
                <w:highlight w:val="none"/>
              </w:rPr>
              <w:t>工程</w:t>
            </w:r>
          </w:p>
          <w:p w14:paraId="1E0AD7D4">
            <w:pPr>
              <w:pStyle w:val="9"/>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FF"/>
                <w:sz w:val="21"/>
                <w:szCs w:val="21"/>
                <w:highlight w:val="none"/>
              </w:rPr>
            </w:pPr>
            <w:r>
              <w:rPr>
                <w:rFonts w:hint="eastAsia" w:ascii="仿宋" w:hAnsi="仿宋" w:eastAsia="仿宋" w:cs="仿宋"/>
                <w:color w:val="0000FF"/>
                <w:sz w:val="21"/>
                <w:szCs w:val="21"/>
                <w:highlight w:val="none"/>
              </w:rPr>
              <w:t>进度</w:t>
            </w:r>
          </w:p>
          <w:p w14:paraId="09B135CD">
            <w:pPr>
              <w:pStyle w:val="9"/>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FF"/>
                <w:sz w:val="21"/>
                <w:szCs w:val="21"/>
                <w:highlight w:val="none"/>
              </w:rPr>
            </w:pPr>
            <w:r>
              <w:rPr>
                <w:rFonts w:hint="eastAsia" w:ascii="仿宋" w:hAnsi="仿宋" w:eastAsia="仿宋" w:cs="仿宋"/>
                <w:color w:val="0000FF"/>
                <w:sz w:val="21"/>
                <w:szCs w:val="21"/>
                <w:highlight w:val="none"/>
              </w:rPr>
              <w:t>计划</w:t>
            </w:r>
          </w:p>
          <w:p w14:paraId="41F27ECA">
            <w:pPr>
              <w:pStyle w:val="9"/>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FF"/>
                <w:sz w:val="21"/>
                <w:szCs w:val="21"/>
                <w:highlight w:val="none"/>
              </w:rPr>
            </w:pPr>
            <w:r>
              <w:rPr>
                <w:rFonts w:hint="eastAsia" w:ascii="仿宋" w:hAnsi="仿宋" w:eastAsia="仿宋" w:cs="仿宋"/>
                <w:color w:val="0000FF"/>
                <w:sz w:val="21"/>
                <w:szCs w:val="21"/>
                <w:highlight w:val="none"/>
              </w:rPr>
              <w:t>与</w:t>
            </w:r>
          </w:p>
          <w:p w14:paraId="70222ED7">
            <w:pPr>
              <w:pStyle w:val="9"/>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FF"/>
                <w:sz w:val="21"/>
                <w:szCs w:val="21"/>
                <w:highlight w:val="none"/>
              </w:rPr>
            </w:pPr>
            <w:r>
              <w:rPr>
                <w:rFonts w:hint="eastAsia" w:ascii="仿宋" w:hAnsi="仿宋" w:eastAsia="仿宋" w:cs="仿宋"/>
                <w:color w:val="0000FF"/>
                <w:sz w:val="21"/>
                <w:szCs w:val="21"/>
                <w:highlight w:val="none"/>
              </w:rPr>
              <w:t>措施</w:t>
            </w:r>
          </w:p>
          <w:p w14:paraId="714EE6B9">
            <w:pPr>
              <w:pStyle w:val="9"/>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0000FF"/>
                <w:sz w:val="21"/>
                <w:szCs w:val="21"/>
                <w:highlight w:val="none"/>
              </w:rPr>
              <w:t>（</w:t>
            </w:r>
            <w:r>
              <w:rPr>
                <w:rFonts w:hint="eastAsia" w:ascii="仿宋" w:hAnsi="仿宋" w:eastAsia="仿宋" w:cs="仿宋"/>
                <w:color w:val="0000FF"/>
                <w:sz w:val="21"/>
                <w:szCs w:val="21"/>
                <w:highlight w:val="none"/>
                <w:lang w:val="en-US" w:eastAsia="zh-CN"/>
              </w:rPr>
              <w:t>15</w:t>
            </w:r>
            <w:r>
              <w:rPr>
                <w:rFonts w:hint="eastAsia" w:ascii="仿宋" w:hAnsi="仿宋" w:eastAsia="仿宋" w:cs="仿宋"/>
                <w:color w:val="0000FF"/>
                <w:sz w:val="21"/>
                <w:szCs w:val="21"/>
                <w:highlight w:val="none"/>
              </w:rPr>
              <w:t>分）</w:t>
            </w:r>
          </w:p>
        </w:tc>
        <w:tc>
          <w:tcPr>
            <w:tcW w:w="5537" w:type="dxa"/>
            <w:noWrap w:val="0"/>
            <w:vAlign w:val="center"/>
          </w:tcPr>
          <w:p w14:paraId="25E730F2">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仿宋" w:hAnsi="仿宋" w:eastAsia="仿宋" w:cs="仿宋"/>
                <w:color w:val="0000FF"/>
                <w:sz w:val="21"/>
                <w:szCs w:val="21"/>
                <w:highlight w:val="none"/>
                <w:lang w:val="en-US" w:eastAsia="zh-CN"/>
              </w:rPr>
            </w:pPr>
            <w:r>
              <w:rPr>
                <w:rFonts w:hint="eastAsia" w:ascii="仿宋" w:hAnsi="仿宋" w:eastAsia="仿宋" w:cs="仿宋"/>
                <w:color w:val="0000FF"/>
                <w:sz w:val="21"/>
                <w:szCs w:val="21"/>
                <w:highlight w:val="none"/>
                <w:lang w:val="en-US" w:eastAsia="zh-CN"/>
              </w:rPr>
              <w:t>根据投标人提供的工程进度计划进行评分，内容包括但不限于：</w:t>
            </w:r>
            <w:r>
              <w:rPr>
                <w:rFonts w:hint="eastAsia" w:ascii="仿宋" w:hAnsi="仿宋" w:eastAsia="仿宋" w:cs="仿宋"/>
                <w:color w:val="0000FF"/>
                <w:sz w:val="21"/>
                <w:szCs w:val="21"/>
                <w:highlight w:val="none"/>
              </w:rPr>
              <w:t>进度控制计划、赶工方案</w:t>
            </w:r>
            <w:r>
              <w:rPr>
                <w:rFonts w:hint="eastAsia" w:ascii="仿宋" w:hAnsi="仿宋" w:eastAsia="仿宋" w:cs="仿宋"/>
                <w:color w:val="0000FF"/>
                <w:sz w:val="21"/>
                <w:szCs w:val="21"/>
                <w:highlight w:val="none"/>
                <w:lang w:val="en-US" w:eastAsia="zh-CN"/>
              </w:rPr>
              <w:t>等内容。</w:t>
            </w:r>
          </w:p>
          <w:p w14:paraId="2C88FA8E">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仿宋" w:hAnsi="仿宋" w:eastAsia="仿宋" w:cs="仿宋"/>
                <w:color w:val="0000FF"/>
                <w:sz w:val="21"/>
                <w:szCs w:val="21"/>
                <w:highlight w:val="none"/>
                <w:lang w:val="en-US" w:eastAsia="zh-CN"/>
              </w:rPr>
            </w:pPr>
            <w:r>
              <w:rPr>
                <w:rFonts w:hint="eastAsia" w:ascii="仿宋" w:hAnsi="仿宋" w:eastAsia="仿宋" w:cs="仿宋"/>
                <w:color w:val="0000FF"/>
                <w:sz w:val="21"/>
                <w:szCs w:val="21"/>
                <w:highlight w:val="none"/>
                <w:lang w:val="en-US" w:eastAsia="zh-CN"/>
              </w:rPr>
              <w:t>方案内容不存在瑕疵，得15分；</w:t>
            </w:r>
          </w:p>
          <w:p w14:paraId="7173F593">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仿宋" w:hAnsi="仿宋" w:eastAsia="仿宋" w:cs="仿宋"/>
                <w:color w:val="0000FF"/>
                <w:sz w:val="21"/>
                <w:szCs w:val="21"/>
                <w:highlight w:val="none"/>
                <w:lang w:val="en-US" w:eastAsia="zh-CN"/>
              </w:rPr>
            </w:pPr>
            <w:r>
              <w:rPr>
                <w:rFonts w:hint="eastAsia" w:ascii="仿宋" w:hAnsi="仿宋" w:eastAsia="仿宋" w:cs="仿宋"/>
                <w:color w:val="0000FF"/>
                <w:sz w:val="21"/>
                <w:szCs w:val="21"/>
                <w:highlight w:val="none"/>
                <w:lang w:val="en-US" w:eastAsia="zh-CN"/>
              </w:rPr>
              <w:t>方案内容存在1处瑕疵，得11分；</w:t>
            </w:r>
          </w:p>
          <w:p w14:paraId="490859DF">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仿宋" w:hAnsi="仿宋" w:eastAsia="仿宋" w:cs="仿宋"/>
                <w:color w:val="0000FF"/>
                <w:sz w:val="21"/>
                <w:szCs w:val="21"/>
                <w:highlight w:val="none"/>
                <w:lang w:val="en-US" w:eastAsia="zh-CN"/>
              </w:rPr>
            </w:pPr>
            <w:r>
              <w:rPr>
                <w:rFonts w:hint="eastAsia" w:ascii="仿宋" w:hAnsi="仿宋" w:eastAsia="仿宋" w:cs="仿宋"/>
                <w:color w:val="0000FF"/>
                <w:sz w:val="21"/>
                <w:szCs w:val="21"/>
                <w:highlight w:val="none"/>
                <w:lang w:val="en-US" w:eastAsia="zh-CN"/>
              </w:rPr>
              <w:t>方案内容存在2处瑕疵，得7分；</w:t>
            </w:r>
          </w:p>
          <w:p w14:paraId="6A25E3CE">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仿宋" w:hAnsi="仿宋" w:eastAsia="仿宋" w:cs="仿宋"/>
                <w:color w:val="0000FF"/>
                <w:sz w:val="21"/>
                <w:szCs w:val="21"/>
                <w:highlight w:val="none"/>
                <w:lang w:val="en-US" w:eastAsia="zh-CN"/>
              </w:rPr>
            </w:pPr>
            <w:r>
              <w:rPr>
                <w:rFonts w:hint="eastAsia" w:ascii="仿宋" w:hAnsi="仿宋" w:eastAsia="仿宋" w:cs="仿宋"/>
                <w:color w:val="0000FF"/>
                <w:sz w:val="21"/>
                <w:szCs w:val="21"/>
                <w:highlight w:val="none"/>
                <w:lang w:val="en-US" w:eastAsia="zh-CN"/>
              </w:rPr>
              <w:t>方案内容存在3处瑕疵，得4分；</w:t>
            </w:r>
          </w:p>
          <w:p w14:paraId="1E801DCB">
            <w:pPr>
              <w:keepNext w:val="0"/>
              <w:keepLines w:val="0"/>
              <w:pageBreakBefore w:val="0"/>
              <w:kinsoku/>
              <w:wordWrap/>
              <w:overflowPunct/>
              <w:topLinePunct w:val="0"/>
              <w:autoSpaceDE/>
              <w:autoSpaceDN/>
              <w:bidi w:val="0"/>
              <w:adjustRightInd/>
              <w:snapToGrid/>
              <w:spacing w:line="320" w:lineRule="exact"/>
              <w:ind w:firstLine="210" w:firstLineChars="10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0000FF"/>
                <w:sz w:val="21"/>
                <w:szCs w:val="21"/>
                <w:highlight w:val="none"/>
                <w:lang w:val="en-US" w:eastAsia="zh-CN"/>
              </w:rPr>
              <w:t>方案内容存在4处及以上瑕疵或未提供方案得0分。</w:t>
            </w:r>
          </w:p>
        </w:tc>
        <w:tc>
          <w:tcPr>
            <w:tcW w:w="1961" w:type="dxa"/>
            <w:vMerge w:val="continue"/>
            <w:noWrap w:val="0"/>
            <w:vAlign w:val="center"/>
          </w:tcPr>
          <w:p w14:paraId="473ABDDB">
            <w:pPr>
              <w:keepNext w:val="0"/>
              <w:keepLines w:val="0"/>
              <w:pageBreakBefore w:val="0"/>
              <w:widowControl/>
              <w:kinsoku/>
              <w:wordWrap w:val="0"/>
              <w:overflowPunct/>
              <w:topLinePunct w:val="0"/>
              <w:autoSpaceDE/>
              <w:autoSpaceDN/>
              <w:bidi w:val="0"/>
              <w:adjustRightInd/>
              <w:snapToGrid w:val="0"/>
              <w:spacing w:line="312" w:lineRule="auto"/>
              <w:ind w:firstLine="440" w:firstLineChars="200"/>
              <w:jc w:val="left"/>
              <w:textAlignment w:val="auto"/>
              <w:rPr>
                <w:rFonts w:hint="eastAsia" w:ascii="仿宋" w:hAnsi="仿宋" w:eastAsia="仿宋" w:cs="仿宋"/>
                <w:color w:val="auto"/>
                <w:sz w:val="22"/>
                <w:szCs w:val="22"/>
                <w:highlight w:val="none"/>
                <w:lang w:val="en-US" w:eastAsia="zh-CN"/>
              </w:rPr>
            </w:pPr>
          </w:p>
        </w:tc>
      </w:tr>
      <w:tr w14:paraId="4F2F6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9" w:hRule="atLeast"/>
          <w:jc w:val="center"/>
        </w:trPr>
        <w:tc>
          <w:tcPr>
            <w:tcW w:w="10674" w:type="dxa"/>
            <w:gridSpan w:val="5"/>
            <w:noWrap w:val="0"/>
            <w:vAlign w:val="center"/>
          </w:tcPr>
          <w:p w14:paraId="462D3F1B">
            <w:pPr>
              <w:keepNext w:val="0"/>
              <w:keepLines w:val="0"/>
              <w:pageBreakBefore w:val="0"/>
              <w:widowControl/>
              <w:kinsoku/>
              <w:overflowPunct/>
              <w:topLinePunct w:val="0"/>
              <w:autoSpaceDE/>
              <w:autoSpaceDN/>
              <w:bidi w:val="0"/>
              <w:adjustRightInd/>
              <w:snapToGrid w:val="0"/>
              <w:spacing w:line="312" w:lineRule="auto"/>
              <w:jc w:val="left"/>
              <w:textAlignment w:val="auto"/>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bidi="ar-SA"/>
              </w:rPr>
              <w:t>注：本项内容中所称的“瑕疵”：</w:t>
            </w:r>
          </w:p>
          <w:p w14:paraId="1F1C28FB">
            <w:pPr>
              <w:keepNext w:val="0"/>
              <w:keepLines w:val="0"/>
              <w:pageBreakBefore w:val="0"/>
              <w:widowControl/>
              <w:kinsoku/>
              <w:overflowPunct/>
              <w:topLinePunct w:val="0"/>
              <w:autoSpaceDE/>
              <w:autoSpaceDN/>
              <w:bidi w:val="0"/>
              <w:adjustRightInd/>
              <w:snapToGrid w:val="0"/>
              <w:spacing w:line="312" w:lineRule="auto"/>
              <w:jc w:val="left"/>
              <w:textAlignment w:val="auto"/>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bidi="ar-SA"/>
              </w:rPr>
              <w:t>①内容表述不完整或缺少关键分析点；</w:t>
            </w:r>
          </w:p>
          <w:p w14:paraId="2AF06C5B">
            <w:pPr>
              <w:keepNext w:val="0"/>
              <w:keepLines w:val="0"/>
              <w:pageBreakBefore w:val="0"/>
              <w:widowControl/>
              <w:kinsoku/>
              <w:overflowPunct/>
              <w:topLinePunct w:val="0"/>
              <w:autoSpaceDE/>
              <w:autoSpaceDN/>
              <w:bidi w:val="0"/>
              <w:adjustRightInd/>
              <w:snapToGrid w:val="0"/>
              <w:spacing w:line="312" w:lineRule="auto"/>
              <w:jc w:val="left"/>
              <w:textAlignment w:val="auto"/>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bidi="ar-SA"/>
              </w:rPr>
              <w:t>②计划及措施不科学合理方案；</w:t>
            </w:r>
          </w:p>
          <w:p w14:paraId="41173BD9">
            <w:pPr>
              <w:keepNext w:val="0"/>
              <w:keepLines w:val="0"/>
              <w:pageBreakBefore w:val="0"/>
              <w:widowControl/>
              <w:kinsoku/>
              <w:overflowPunct/>
              <w:topLinePunct w:val="0"/>
              <w:autoSpaceDE/>
              <w:autoSpaceDN/>
              <w:bidi w:val="0"/>
              <w:adjustRightInd/>
              <w:snapToGrid w:val="0"/>
              <w:spacing w:line="312" w:lineRule="auto"/>
              <w:jc w:val="left"/>
              <w:textAlignment w:val="auto"/>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bidi="ar-SA"/>
              </w:rPr>
              <w:t>③内容表述前后矛盾、无连贯性、内容存在逻辑漏洞；</w:t>
            </w:r>
          </w:p>
          <w:p w14:paraId="0367FE49">
            <w:pPr>
              <w:keepNext w:val="0"/>
              <w:keepLines w:val="0"/>
              <w:pageBreakBefore w:val="0"/>
              <w:widowControl/>
              <w:kinsoku/>
              <w:overflowPunct/>
              <w:topLinePunct w:val="0"/>
              <w:autoSpaceDE/>
              <w:autoSpaceDN/>
              <w:bidi w:val="0"/>
              <w:adjustRightInd/>
              <w:snapToGrid w:val="0"/>
              <w:spacing w:line="312" w:lineRule="auto"/>
              <w:jc w:val="left"/>
              <w:textAlignment w:val="auto"/>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bidi="ar-SA"/>
              </w:rPr>
              <w:t>④常识性错误；</w:t>
            </w:r>
          </w:p>
          <w:p w14:paraId="7CD1357C">
            <w:pPr>
              <w:keepNext w:val="0"/>
              <w:keepLines w:val="0"/>
              <w:pageBreakBefore w:val="0"/>
              <w:widowControl/>
              <w:kinsoku/>
              <w:overflowPunct/>
              <w:topLinePunct w:val="0"/>
              <w:autoSpaceDE/>
              <w:autoSpaceDN/>
              <w:bidi w:val="0"/>
              <w:adjustRightInd/>
              <w:snapToGrid w:val="0"/>
              <w:spacing w:line="312" w:lineRule="auto"/>
              <w:jc w:val="left"/>
              <w:textAlignment w:val="auto"/>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bidi="ar-SA"/>
              </w:rPr>
              <w:t>⑤技术措施保障安排并不适用本项目特性或非专门针对本项目制定；</w:t>
            </w:r>
          </w:p>
          <w:p w14:paraId="57A7CEC1">
            <w:pPr>
              <w:keepNext w:val="0"/>
              <w:keepLines w:val="0"/>
              <w:pageBreakBefore w:val="0"/>
              <w:widowControl/>
              <w:kinsoku/>
              <w:overflowPunct/>
              <w:topLinePunct w:val="0"/>
              <w:autoSpaceDE/>
              <w:autoSpaceDN/>
              <w:bidi w:val="0"/>
              <w:adjustRightInd/>
              <w:snapToGrid w:val="0"/>
              <w:spacing w:line="312" w:lineRule="auto"/>
              <w:jc w:val="left"/>
              <w:textAlignment w:val="auto"/>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bidi="ar-SA"/>
              </w:rPr>
              <w:t>⑥方案中提出的措施举措不利于本项目目标的实现；</w:t>
            </w:r>
          </w:p>
          <w:p w14:paraId="72D47EEE">
            <w:pPr>
              <w:keepNext w:val="0"/>
              <w:keepLines w:val="0"/>
              <w:pageBreakBefore w:val="0"/>
              <w:widowControl/>
              <w:kinsoku/>
              <w:overflowPunct/>
              <w:topLinePunct w:val="0"/>
              <w:autoSpaceDE/>
              <w:autoSpaceDN/>
              <w:bidi w:val="0"/>
              <w:adjustRightInd/>
              <w:snapToGrid w:val="0"/>
              <w:spacing w:line="312" w:lineRule="auto"/>
              <w:jc w:val="left"/>
              <w:textAlignment w:val="auto"/>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bidi="ar-SA"/>
              </w:rPr>
              <w:t>⑦现有技术条件下不可能实现采购目标；</w:t>
            </w:r>
          </w:p>
          <w:p w14:paraId="5F0E67C2">
            <w:pPr>
              <w:keepNext w:val="0"/>
              <w:keepLines w:val="0"/>
              <w:pageBreakBefore w:val="0"/>
              <w:widowControl/>
              <w:kinsoku/>
              <w:wordWrap w:val="0"/>
              <w:overflowPunct/>
              <w:topLinePunct w:val="0"/>
              <w:autoSpaceDE/>
              <w:autoSpaceDN/>
              <w:bidi w:val="0"/>
              <w:adjustRightInd/>
              <w:snapToGrid w:val="0"/>
              <w:spacing w:line="312" w:lineRule="auto"/>
              <w:ind w:firstLine="440" w:firstLineChars="200"/>
              <w:jc w:val="lef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kern w:val="0"/>
                <w:sz w:val="22"/>
                <w:szCs w:val="22"/>
                <w:highlight w:val="none"/>
                <w:lang w:val="en-US" w:eastAsia="zh-CN" w:bidi="ar-SA"/>
              </w:rPr>
              <w:t>上述任意一种情形为1处瑕疵。</w:t>
            </w:r>
          </w:p>
        </w:tc>
      </w:tr>
      <w:tr w14:paraId="43E00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787" w:type="dxa"/>
            <w:noWrap w:val="0"/>
            <w:vAlign w:val="center"/>
          </w:tcPr>
          <w:p w14:paraId="550DCE06">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w:t>
            </w:r>
          </w:p>
        </w:tc>
        <w:tc>
          <w:tcPr>
            <w:tcW w:w="1259" w:type="dxa"/>
            <w:noWrap w:val="0"/>
            <w:vAlign w:val="center"/>
          </w:tcPr>
          <w:p w14:paraId="770B50CD">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商务部分</w:t>
            </w:r>
          </w:p>
          <w:p w14:paraId="39C29383">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（10%）</w:t>
            </w:r>
          </w:p>
        </w:tc>
        <w:tc>
          <w:tcPr>
            <w:tcW w:w="1130" w:type="dxa"/>
            <w:noWrap w:val="0"/>
            <w:vAlign w:val="center"/>
          </w:tcPr>
          <w:p w14:paraId="3AD20984">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业绩</w:t>
            </w:r>
          </w:p>
          <w:p w14:paraId="4E599021">
            <w:pPr>
              <w:keepNext w:val="0"/>
              <w:keepLines w:val="0"/>
              <w:pageBreakBefore w:val="0"/>
              <w:widowControl/>
              <w:kinsoku/>
              <w:wordWrap w:val="0"/>
              <w:overflowPunct/>
              <w:topLinePunct w:val="0"/>
              <w:autoSpaceDE/>
              <w:autoSpaceDN/>
              <w:bidi w:val="0"/>
              <w:adjustRightInd/>
              <w:snapToGrid w:val="0"/>
              <w:spacing w:line="312" w:lineRule="auto"/>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（10分）</w:t>
            </w:r>
          </w:p>
        </w:tc>
        <w:tc>
          <w:tcPr>
            <w:tcW w:w="5537" w:type="dxa"/>
            <w:noWrap w:val="0"/>
            <w:vAlign w:val="center"/>
          </w:tcPr>
          <w:p w14:paraId="01B1A5F0">
            <w:pPr>
              <w:keepNext w:val="0"/>
              <w:keepLines w:val="0"/>
              <w:pageBreakBefore w:val="0"/>
              <w:widowControl/>
              <w:kinsoku/>
              <w:wordWrap w:val="0"/>
              <w:overflowPunct/>
              <w:topLinePunct w:val="0"/>
              <w:autoSpaceDE/>
              <w:autoSpaceDN/>
              <w:bidi w:val="0"/>
              <w:adjustRightInd/>
              <w:snapToGrid w:val="0"/>
              <w:spacing w:line="312" w:lineRule="auto"/>
              <w:ind w:firstLine="440" w:firstLineChars="200"/>
              <w:jc w:val="lef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2022年1月1日（以合同签订时间为准）以来，投标人具备建筑工程或装饰装修工程施工业绩的，每提供1个得5分，本项最多得10分。</w:t>
            </w:r>
          </w:p>
        </w:tc>
        <w:tc>
          <w:tcPr>
            <w:tcW w:w="1961" w:type="dxa"/>
            <w:noWrap w:val="0"/>
            <w:vAlign w:val="center"/>
          </w:tcPr>
          <w:p w14:paraId="46FE5891">
            <w:pPr>
              <w:keepNext w:val="0"/>
              <w:keepLines w:val="0"/>
              <w:pageBreakBefore w:val="0"/>
              <w:widowControl/>
              <w:kinsoku/>
              <w:wordWrap w:val="0"/>
              <w:overflowPunct/>
              <w:topLinePunct w:val="0"/>
              <w:autoSpaceDE/>
              <w:autoSpaceDN/>
              <w:bidi w:val="0"/>
              <w:adjustRightInd/>
              <w:snapToGrid w:val="0"/>
              <w:spacing w:line="312" w:lineRule="auto"/>
              <w:ind w:firstLine="220" w:firstLineChars="100"/>
              <w:jc w:val="lef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提供业绩的合同协议书扫描件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或复印件扫描件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2"/>
                <w:szCs w:val="22"/>
                <w:highlight w:val="none"/>
                <w:lang w:val="en-US" w:eastAsia="zh-CN"/>
              </w:rPr>
              <w:t>并加盖投标人公章。</w:t>
            </w:r>
          </w:p>
        </w:tc>
      </w:tr>
    </w:tbl>
    <w:p w14:paraId="0811BA2F">
      <w:pPr>
        <w:pStyle w:val="4"/>
        <w:snapToGrid w:val="0"/>
        <w:spacing w:before="0" w:after="0" w:line="360" w:lineRule="auto"/>
        <w:rPr>
          <w:rFonts w:hint="eastAsia" w:ascii="仿宋" w:hAnsi="仿宋" w:eastAsia="仿宋" w:cs="仿宋"/>
          <w:color w:val="auto"/>
          <w:highlight w:val="none"/>
        </w:rPr>
      </w:pPr>
      <w:r>
        <w:rPr>
          <w:rFonts w:hint="eastAsia" w:ascii="仿宋" w:hAnsi="仿宋" w:eastAsia="仿宋" w:cs="仿宋"/>
          <w:color w:val="auto"/>
          <w:sz w:val="24"/>
          <w:szCs w:val="24"/>
          <w:highlight w:val="none"/>
        </w:rPr>
        <w:t>二、评审标准</w:t>
      </w:r>
      <w:bookmarkEnd w:id="92"/>
      <w:bookmarkEnd w:id="93"/>
      <w:bookmarkEnd w:id="94"/>
    </w:p>
    <w:bookmarkEnd w:id="91"/>
    <w:p w14:paraId="359C4DAC">
      <w:pPr>
        <w:snapToGrid w:val="0"/>
        <w:spacing w:line="360" w:lineRule="auto"/>
        <w:ind w:firstLine="465"/>
        <w:rPr>
          <w:rFonts w:hint="eastAsia" w:ascii="仿宋" w:hAnsi="仿宋" w:eastAsia="仿宋" w:cs="仿宋"/>
          <w:color w:val="auto"/>
          <w:highlight w:val="none"/>
        </w:rPr>
      </w:pPr>
      <w:bookmarkStart w:id="95" w:name="_Toc17078"/>
      <w:r>
        <w:rPr>
          <w:rFonts w:hint="eastAsia" w:ascii="仿宋" w:hAnsi="仿宋" w:eastAsia="仿宋" w:cs="仿宋"/>
          <w:color w:val="auto"/>
          <w:sz w:val="24"/>
          <w:szCs w:val="24"/>
          <w:highlight w:val="none"/>
        </w:rPr>
        <w:t>说明：评标委员会认为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的报价明显低于其他通过符合性审查</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的报价，有可能影响产品质量或者不能诚信履约的，应当要求其在评标现场合理的时间内提供书面说明，必要时提交相关证明材料；</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不能证明其报价合理性的，评标委员会应当将其作为无效投标处理。</w:t>
      </w:r>
    </w:p>
    <w:p w14:paraId="6D11C5E1">
      <w:pPr>
        <w:pStyle w:val="4"/>
        <w:snapToGrid w:val="0"/>
        <w:spacing w:before="0" w:after="0" w:line="360" w:lineRule="auto"/>
        <w:rPr>
          <w:rFonts w:hint="eastAsia" w:ascii="仿宋" w:hAnsi="仿宋" w:eastAsia="仿宋" w:cs="仿宋"/>
          <w:color w:val="auto"/>
          <w:sz w:val="24"/>
          <w:szCs w:val="24"/>
          <w:highlight w:val="none"/>
        </w:rPr>
      </w:pPr>
      <w:bookmarkStart w:id="96" w:name="_Toc20096"/>
      <w:r>
        <w:rPr>
          <w:rFonts w:hint="eastAsia" w:ascii="仿宋" w:hAnsi="仿宋" w:eastAsia="仿宋" w:cs="仿宋"/>
          <w:color w:val="auto"/>
          <w:sz w:val="24"/>
          <w:szCs w:val="24"/>
          <w:highlight w:val="none"/>
        </w:rPr>
        <w:t>三、无效响应</w:t>
      </w:r>
      <w:bookmarkEnd w:id="95"/>
      <w:bookmarkEnd w:id="96"/>
    </w:p>
    <w:p w14:paraId="6AF613A6">
      <w:pPr>
        <w:tabs>
          <w:tab w:val="left" w:pos="703"/>
        </w:tabs>
        <w:spacing w:line="360" w:lineRule="auto"/>
        <w:ind w:firstLine="480" w:firstLineChars="200"/>
        <w:rPr>
          <w:rFonts w:hint="eastAsia" w:ascii="仿宋" w:hAnsi="仿宋" w:eastAsia="仿宋" w:cs="仿宋"/>
          <w:color w:val="auto"/>
          <w:sz w:val="24"/>
          <w:szCs w:val="24"/>
          <w:highlight w:val="none"/>
        </w:rPr>
      </w:pPr>
      <w:bookmarkStart w:id="97" w:name="_Toc27033"/>
      <w:bookmarkStart w:id="98" w:name="_Toc9808"/>
      <w:bookmarkStart w:id="99" w:name="_Toc22128"/>
      <w:bookmarkStart w:id="100" w:name="_Toc4550"/>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发生以下条款情况之一者，其</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作无效响应处理：</w:t>
      </w:r>
    </w:p>
    <w:p w14:paraId="23D20CDB">
      <w:pPr>
        <w:tabs>
          <w:tab w:val="left" w:pos="703"/>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未通过资格性检查或</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未通过符合性检查的；</w:t>
      </w:r>
    </w:p>
    <w:p w14:paraId="1139299F">
      <w:pPr>
        <w:tabs>
          <w:tab w:val="left" w:pos="703"/>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所提交的</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不按第七篇“</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格式要求”规定签字、盖章；</w:t>
      </w:r>
    </w:p>
    <w:p w14:paraId="522A5864">
      <w:pPr>
        <w:tabs>
          <w:tab w:val="left" w:pos="703"/>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的报价超过采购预算或最高限价的；</w:t>
      </w:r>
    </w:p>
    <w:p w14:paraId="18CFE110">
      <w:pPr>
        <w:tabs>
          <w:tab w:val="left" w:pos="703"/>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（四）单位负责人为同一人或者存在直接控股、管理关系的不同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，参加同一合同项下的政府采购活动的；</w:t>
      </w:r>
    </w:p>
    <w:p w14:paraId="4D3DB822">
      <w:pPr>
        <w:tabs>
          <w:tab w:val="left" w:pos="703"/>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（五）为采购项目提供整体设计、规范编制或者项目管理、监理、检测等服务的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再参加本项目的采购活动的；</w:t>
      </w:r>
    </w:p>
    <w:p w14:paraId="5B32CD64">
      <w:pPr>
        <w:tabs>
          <w:tab w:val="left" w:pos="703"/>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w:t>
      </w:r>
      <w:r>
        <w:rPr>
          <w:rFonts w:hint="eastAsia" w:ascii="仿宋" w:hAnsi="仿宋" w:eastAsia="仿宋" w:cs="仿宋"/>
          <w:color w:val="auto"/>
          <w:sz w:val="24"/>
          <w:szCs w:val="24"/>
          <w:highlight w:val="none"/>
          <w:lang w:eastAsia="zh-CN"/>
        </w:rPr>
        <w:t>投标人投标文件</w:t>
      </w:r>
      <w:r>
        <w:rPr>
          <w:rFonts w:hint="eastAsia" w:ascii="仿宋" w:hAnsi="仿宋" w:eastAsia="仿宋" w:cs="仿宋"/>
          <w:color w:val="auto"/>
          <w:sz w:val="24"/>
          <w:szCs w:val="24"/>
          <w:highlight w:val="none"/>
        </w:rPr>
        <w:t>内容有与国家现行法律法规相违背的内容，或附有</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无法接受的条件；</w:t>
      </w:r>
    </w:p>
    <w:p w14:paraId="3A2CBAB4">
      <w:pPr>
        <w:tabs>
          <w:tab w:val="left" w:pos="703"/>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（七）同一合同项（分包）下的货物，制造商参与</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的，再委托代理商参与</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的；</w:t>
      </w:r>
    </w:p>
    <w:p w14:paraId="387346F3">
      <w:pPr>
        <w:tabs>
          <w:tab w:val="left" w:pos="703"/>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以联合体形式参与</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的；</w:t>
      </w:r>
    </w:p>
    <w:p w14:paraId="464B5582">
      <w:pPr>
        <w:tabs>
          <w:tab w:val="left" w:pos="703"/>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进行合同分包的；</w:t>
      </w:r>
    </w:p>
    <w:p w14:paraId="10035A17">
      <w:pPr>
        <w:tabs>
          <w:tab w:val="left" w:pos="703"/>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（十）法律法规和</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规定的其他无效响应情形；</w:t>
      </w:r>
    </w:p>
    <w:p w14:paraId="49A67591">
      <w:pPr>
        <w:tabs>
          <w:tab w:val="left" w:pos="703"/>
        </w:tabs>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szCs w:val="24"/>
          <w:highlight w:val="none"/>
        </w:rPr>
        <w:t>（十一）</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被列入失信被执行人、重大税收违法案件当事人名单、政府采购严重违法失信行为记录名单及其他不符合《中华人民共和国政府采购法》第二十二条规定条件的。</w:t>
      </w:r>
    </w:p>
    <w:p w14:paraId="6E34F945">
      <w:pPr>
        <w:pStyle w:val="4"/>
        <w:snapToGrid w:val="0"/>
        <w:spacing w:before="0" w:after="0" w:line="360" w:lineRule="auto"/>
        <w:rPr>
          <w:rFonts w:hint="eastAsia" w:ascii="仿宋" w:hAnsi="仿宋" w:eastAsia="仿宋" w:cs="仿宋"/>
          <w:color w:val="auto"/>
          <w:sz w:val="28"/>
          <w:szCs w:val="28"/>
          <w:highlight w:val="none"/>
        </w:rPr>
      </w:pPr>
      <w:bookmarkStart w:id="101" w:name="_Toc1028"/>
      <w:r>
        <w:rPr>
          <w:rFonts w:hint="eastAsia" w:ascii="仿宋" w:hAnsi="仿宋" w:eastAsia="仿宋" w:cs="仿宋"/>
          <w:color w:val="auto"/>
          <w:sz w:val="24"/>
          <w:szCs w:val="24"/>
          <w:highlight w:val="none"/>
        </w:rPr>
        <w:t>四、采购终止</w:t>
      </w:r>
      <w:bookmarkEnd w:id="97"/>
      <w:bookmarkEnd w:id="98"/>
      <w:bookmarkEnd w:id="99"/>
      <w:bookmarkEnd w:id="100"/>
      <w:bookmarkEnd w:id="101"/>
    </w:p>
    <w:p w14:paraId="3D82708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出现下列情形之一的，</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或者</w:t>
      </w:r>
      <w:r>
        <w:rPr>
          <w:rFonts w:hint="eastAsia" w:ascii="仿宋" w:hAnsi="仿宋" w:eastAsia="仿宋" w:cs="仿宋"/>
          <w:color w:val="auto"/>
          <w:sz w:val="24"/>
          <w:szCs w:val="24"/>
          <w:highlight w:val="none"/>
          <w:lang w:eastAsia="zh-CN"/>
        </w:rPr>
        <w:t>招标代理机构</w:t>
      </w:r>
      <w:r>
        <w:rPr>
          <w:rFonts w:hint="eastAsia" w:ascii="仿宋" w:hAnsi="仿宋" w:eastAsia="仿宋" w:cs="仿宋"/>
          <w:color w:val="auto"/>
          <w:sz w:val="24"/>
          <w:szCs w:val="24"/>
          <w:highlight w:val="none"/>
        </w:rPr>
        <w:t>应当终止本次采购活动，发布项目终止公告并说明原因，重新开展采购活动：</w:t>
      </w:r>
    </w:p>
    <w:p w14:paraId="5683AE6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（一）因情况变化，不再符合规定的</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采购采购方式适用情形的；</w:t>
      </w:r>
    </w:p>
    <w:p w14:paraId="3FEFDD80">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（二）出现影响采购公正的违法、违规行为的；</w:t>
      </w:r>
    </w:p>
    <w:p w14:paraId="0E942E2D">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（三）因重大变故，采购任务取消的；</w:t>
      </w:r>
    </w:p>
    <w:p w14:paraId="1206BDB5">
      <w:pPr>
        <w:snapToGrid w:val="0"/>
        <w:spacing w:line="360" w:lineRule="auto"/>
        <w:ind w:firstLine="480" w:firstLineChars="200"/>
        <w:jc w:val="center"/>
        <w:rPr>
          <w:rFonts w:hint="eastAsia" w:ascii="仿宋" w:hAnsi="仿宋" w:eastAsia="仿宋" w:cs="仿宋"/>
          <w:color w:val="auto"/>
          <w:sz w:val="40"/>
          <w:szCs w:val="32"/>
          <w:highlight w:val="none"/>
        </w:rPr>
      </w:pPr>
      <w:r>
        <w:rPr>
          <w:rFonts w:hint="eastAsia" w:ascii="仿宋" w:hAnsi="仿宋" w:eastAsia="仿宋" w:cs="仿宋"/>
          <w:color w:val="auto"/>
          <w:sz w:val="24"/>
          <w:szCs w:val="24"/>
          <w:highlight w:val="none"/>
        </w:rPr>
        <w:t>（四）在采购过程中符合要求的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或者报价未超过采购预算的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不足3家的。</w:t>
      </w:r>
      <w:bookmarkStart w:id="102" w:name="_Toc21783690"/>
      <w:r>
        <w:rPr>
          <w:rFonts w:hint="eastAsia" w:ascii="仿宋" w:hAnsi="仿宋" w:eastAsia="仿宋" w:cs="仿宋"/>
          <w:color w:val="auto"/>
          <w:sz w:val="40"/>
          <w:szCs w:val="32"/>
          <w:highlight w:val="none"/>
        </w:rPr>
        <w:br w:type="page"/>
      </w:r>
      <w:bookmarkStart w:id="103" w:name="_Toc8803"/>
      <w:r>
        <w:rPr>
          <w:rFonts w:hint="eastAsia" w:ascii="仿宋" w:hAnsi="仿宋" w:eastAsia="仿宋" w:cs="仿宋"/>
          <w:b/>
          <w:bCs/>
          <w:color w:val="auto"/>
          <w:sz w:val="36"/>
          <w:szCs w:val="28"/>
          <w:highlight w:val="none"/>
        </w:rPr>
        <w:t xml:space="preserve">第五篇  </w:t>
      </w:r>
      <w:r>
        <w:rPr>
          <w:rFonts w:hint="eastAsia" w:ascii="仿宋" w:hAnsi="仿宋" w:eastAsia="仿宋" w:cs="仿宋"/>
          <w:b/>
          <w:bCs/>
          <w:color w:val="auto"/>
          <w:sz w:val="36"/>
          <w:szCs w:val="28"/>
          <w:highlight w:val="none"/>
          <w:lang w:eastAsia="zh-CN"/>
        </w:rPr>
        <w:t>投标人</w:t>
      </w:r>
      <w:r>
        <w:rPr>
          <w:rFonts w:hint="eastAsia" w:ascii="仿宋" w:hAnsi="仿宋" w:eastAsia="仿宋" w:cs="仿宋"/>
          <w:b/>
          <w:bCs/>
          <w:color w:val="auto"/>
          <w:sz w:val="36"/>
          <w:szCs w:val="28"/>
          <w:highlight w:val="none"/>
        </w:rPr>
        <w:t>须知</w:t>
      </w:r>
      <w:bookmarkEnd w:id="102"/>
      <w:bookmarkEnd w:id="103"/>
    </w:p>
    <w:p w14:paraId="3F95D3DE">
      <w:pPr>
        <w:pStyle w:val="4"/>
        <w:snapToGrid w:val="0"/>
        <w:spacing w:before="0" w:after="0" w:line="360" w:lineRule="auto"/>
        <w:rPr>
          <w:rFonts w:hint="eastAsia" w:ascii="仿宋" w:hAnsi="仿宋" w:eastAsia="仿宋" w:cs="仿宋"/>
          <w:color w:val="auto"/>
          <w:sz w:val="24"/>
          <w:szCs w:val="24"/>
          <w:highlight w:val="none"/>
        </w:rPr>
      </w:pPr>
      <w:bookmarkStart w:id="104" w:name="_Toc952"/>
      <w:bookmarkStart w:id="105" w:name="_Toc53751346"/>
      <w:bookmarkStart w:id="106" w:name="_Toc342913389"/>
      <w:bookmarkStart w:id="107" w:name="_Toc15608"/>
      <w:bookmarkStart w:id="108" w:name="_Toc80104359"/>
      <w:bookmarkStart w:id="109" w:name="_Toc507411003"/>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费用</w:t>
      </w:r>
      <w:bookmarkEnd w:id="104"/>
      <w:bookmarkEnd w:id="105"/>
      <w:bookmarkEnd w:id="106"/>
      <w:bookmarkEnd w:id="107"/>
    </w:p>
    <w:p w14:paraId="6C9050F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参与</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应承担其编制</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与递交</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所涉及的一切费用，不论结果如何，</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和</w:t>
      </w:r>
      <w:r>
        <w:rPr>
          <w:rFonts w:hint="eastAsia" w:ascii="仿宋" w:hAnsi="仿宋" w:eastAsia="仿宋" w:cs="仿宋"/>
          <w:color w:val="auto"/>
          <w:sz w:val="24"/>
          <w:szCs w:val="24"/>
          <w:highlight w:val="none"/>
          <w:lang w:eastAsia="zh-CN"/>
        </w:rPr>
        <w:t>招标代理机构</w:t>
      </w:r>
      <w:r>
        <w:rPr>
          <w:rFonts w:hint="eastAsia" w:ascii="仿宋" w:hAnsi="仿宋" w:eastAsia="仿宋" w:cs="仿宋"/>
          <w:color w:val="auto"/>
          <w:sz w:val="24"/>
          <w:szCs w:val="24"/>
          <w:highlight w:val="none"/>
        </w:rPr>
        <w:t>在任何情况下无义务也无责任承担这些费用。</w:t>
      </w:r>
    </w:p>
    <w:p w14:paraId="77B2C272">
      <w:pPr>
        <w:pStyle w:val="4"/>
        <w:snapToGrid w:val="0"/>
        <w:spacing w:before="0" w:after="0" w:line="360" w:lineRule="auto"/>
        <w:rPr>
          <w:rFonts w:hint="eastAsia" w:ascii="仿宋" w:hAnsi="仿宋" w:eastAsia="仿宋" w:cs="仿宋"/>
          <w:color w:val="auto"/>
          <w:sz w:val="24"/>
          <w:szCs w:val="24"/>
          <w:highlight w:val="none"/>
          <w:lang w:eastAsia="zh-CN"/>
        </w:rPr>
      </w:pPr>
      <w:bookmarkStart w:id="110" w:name="_Toc53751347"/>
      <w:bookmarkStart w:id="111" w:name="_Toc342913391"/>
      <w:bookmarkStart w:id="112" w:name="_Toc13521"/>
      <w:bookmarkStart w:id="113" w:name="_Toc4017"/>
      <w:r>
        <w:rPr>
          <w:rFonts w:hint="eastAsia" w:ascii="仿宋" w:hAnsi="仿宋" w:eastAsia="仿宋" w:cs="仿宋"/>
          <w:color w:val="auto"/>
          <w:sz w:val="24"/>
          <w:szCs w:val="24"/>
          <w:highlight w:val="none"/>
        </w:rPr>
        <w:t>二、</w:t>
      </w:r>
      <w:bookmarkEnd w:id="110"/>
      <w:bookmarkEnd w:id="111"/>
      <w:bookmarkEnd w:id="112"/>
      <w:bookmarkEnd w:id="113"/>
      <w:r>
        <w:rPr>
          <w:rFonts w:hint="eastAsia" w:ascii="仿宋" w:hAnsi="仿宋" w:eastAsia="仿宋" w:cs="仿宋"/>
          <w:color w:val="auto"/>
          <w:sz w:val="24"/>
          <w:szCs w:val="24"/>
          <w:highlight w:val="none"/>
          <w:lang w:eastAsia="zh-CN"/>
        </w:rPr>
        <w:t>招标文件</w:t>
      </w:r>
    </w:p>
    <w:p w14:paraId="0A37453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由</w:t>
      </w:r>
      <w:r>
        <w:rPr>
          <w:rFonts w:hint="eastAsia" w:ascii="仿宋" w:hAnsi="仿宋" w:eastAsia="仿宋" w:cs="仿宋"/>
          <w:color w:val="auto"/>
          <w:sz w:val="24"/>
          <w:szCs w:val="24"/>
          <w:highlight w:val="none"/>
          <w:lang w:val="en-US" w:eastAsia="zh-CN"/>
        </w:rPr>
        <w:t>招标公告</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lang w:val="en-US" w:eastAsia="zh-CN"/>
        </w:rPr>
        <w:t>服务需求</w:t>
      </w:r>
      <w:r>
        <w:rPr>
          <w:rFonts w:hint="eastAsia" w:ascii="仿宋" w:hAnsi="仿宋" w:eastAsia="仿宋" w:cs="仿宋"/>
          <w:color w:val="auto"/>
          <w:sz w:val="24"/>
          <w:szCs w:val="24"/>
          <w:highlight w:val="none"/>
        </w:rPr>
        <w:t>、项目商务需求、评审程序及方法、评审标准、无效响应条款和采购终止、</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须知</w:t>
      </w:r>
      <w:r>
        <w:rPr>
          <w:rFonts w:hint="eastAsia" w:ascii="仿宋" w:hAnsi="仿宋" w:eastAsia="仿宋" w:cs="仿宋"/>
          <w:bCs/>
          <w:color w:val="auto"/>
          <w:sz w:val="24"/>
          <w:szCs w:val="24"/>
          <w:highlight w:val="none"/>
        </w:rPr>
        <w:t>、合同草案条款、</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编制要求七部分组成。</w:t>
      </w:r>
    </w:p>
    <w:p w14:paraId="1AE04E8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eastAsia="zh-CN"/>
        </w:rPr>
        <w:t>招标代理机构</w:t>
      </w:r>
      <w:r>
        <w:rPr>
          <w:rFonts w:hint="eastAsia" w:ascii="仿宋" w:hAnsi="仿宋" w:eastAsia="仿宋" w:cs="仿宋"/>
          <w:color w:val="auto"/>
          <w:sz w:val="24"/>
          <w:szCs w:val="24"/>
          <w:highlight w:val="none"/>
        </w:rPr>
        <w:t>）所作的一切有效的书面通知、修改及补充，都是</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不可分割的部分。</w:t>
      </w:r>
    </w:p>
    <w:p w14:paraId="03764107">
      <w:pPr>
        <w:spacing w:line="360" w:lineRule="auto"/>
        <w:ind w:firstLine="480" w:firstLineChars="200"/>
        <w:rPr>
          <w:rFonts w:hint="eastAsia" w:ascii="仿宋" w:hAnsi="仿宋" w:eastAsia="仿宋" w:cs="仿宋"/>
          <w:color w:val="auto"/>
          <w:sz w:val="24"/>
          <w:szCs w:val="24"/>
          <w:highlight w:val="none"/>
        </w:rPr>
      </w:pPr>
      <w:bookmarkStart w:id="114" w:name="_Toc318159160"/>
      <w:bookmarkStart w:id="115" w:name="_Toc318166429"/>
      <w:bookmarkStart w:id="116" w:name="_Toc318159349"/>
      <w:bookmarkStart w:id="117" w:name="_Toc318159780"/>
      <w:r>
        <w:rPr>
          <w:rFonts w:hint="eastAsia" w:ascii="仿宋" w:hAnsi="仿宋" w:eastAsia="仿宋" w:cs="仿宋"/>
          <w:color w:val="auto"/>
          <w:sz w:val="24"/>
          <w:szCs w:val="24"/>
          <w:highlight w:val="none"/>
        </w:rPr>
        <w:t>（三）评审的依据为</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和</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（含有效的书面承诺）。</w:t>
      </w: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判断</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的响应，仅基于</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本身而不靠外部证据。</w:t>
      </w:r>
    </w:p>
    <w:bookmarkEnd w:id="114"/>
    <w:bookmarkEnd w:id="115"/>
    <w:bookmarkEnd w:id="116"/>
    <w:bookmarkEnd w:id="117"/>
    <w:p w14:paraId="76571958">
      <w:pPr>
        <w:pStyle w:val="4"/>
        <w:snapToGrid w:val="0"/>
        <w:spacing w:before="0" w:after="0" w:line="360" w:lineRule="auto"/>
        <w:rPr>
          <w:rFonts w:hint="eastAsia" w:ascii="仿宋" w:hAnsi="仿宋" w:eastAsia="仿宋" w:cs="仿宋"/>
          <w:color w:val="auto"/>
          <w:sz w:val="24"/>
          <w:szCs w:val="24"/>
          <w:highlight w:val="none"/>
        </w:rPr>
      </w:pPr>
      <w:bookmarkStart w:id="118" w:name="_Toc342913392"/>
      <w:bookmarkStart w:id="119" w:name="_Toc179714297"/>
      <w:bookmarkStart w:id="120" w:name="_Toc27179"/>
      <w:bookmarkStart w:id="121" w:name="_Toc15467"/>
      <w:bookmarkStart w:id="122" w:name="_Toc53751348"/>
      <w:bookmarkStart w:id="123" w:name="_Toc102227318"/>
      <w:r>
        <w:rPr>
          <w:rFonts w:hint="eastAsia" w:ascii="仿宋" w:hAnsi="仿宋" w:eastAsia="仿宋" w:cs="仿宋"/>
          <w:color w:val="auto"/>
          <w:sz w:val="24"/>
          <w:szCs w:val="24"/>
          <w:highlight w:val="none"/>
        </w:rPr>
        <w:t>三、</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要求</w:t>
      </w:r>
      <w:bookmarkEnd w:id="118"/>
      <w:bookmarkEnd w:id="119"/>
      <w:bookmarkEnd w:id="120"/>
      <w:bookmarkEnd w:id="121"/>
      <w:bookmarkEnd w:id="122"/>
      <w:bookmarkEnd w:id="123"/>
    </w:p>
    <w:p w14:paraId="07027594">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投标文件</w:t>
      </w:r>
    </w:p>
    <w:p w14:paraId="3365F662">
      <w:pPr>
        <w:spacing w:line="360" w:lineRule="auto"/>
        <w:ind w:firstLine="480" w:firstLineChars="200"/>
        <w:rPr>
          <w:rFonts w:hint="eastAsia" w:ascii="仿宋" w:hAnsi="仿宋" w:eastAsia="仿宋" w:cs="仿宋"/>
          <w:color w:val="auto"/>
          <w:sz w:val="24"/>
          <w:szCs w:val="24"/>
          <w:highlight w:val="none"/>
        </w:rPr>
      </w:pPr>
      <w:bookmarkStart w:id="124" w:name="_Toc18010"/>
      <w:bookmarkStart w:id="125" w:name="_Toc53751349"/>
      <w:bookmarkStart w:id="126" w:name="_Toc7867"/>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应当按照</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的要求编制</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，并对</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提出的要求和条件作出实质性响应，</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原则上采用软面订本，同时应编制完整的页码、目录。</w:t>
      </w:r>
    </w:p>
    <w:p w14:paraId="0942660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组成</w:t>
      </w:r>
    </w:p>
    <w:p w14:paraId="461DACD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由第七篇“</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编制要求”规定的部分和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所作的一切有效补充、修改和承诺等文件组成，</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应按照第七篇“</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编制要求”规定的目录顺序组织编写和装订，也可在基本格式基础上对表格进行扩展，未规定格式的由</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自定格式。</w:t>
      </w:r>
    </w:p>
    <w:p w14:paraId="6F45BB0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（二）联合体</w:t>
      </w:r>
    </w:p>
    <w:p w14:paraId="56DDB78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本项目不接受以联合体形式参与</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w:t>
      </w:r>
    </w:p>
    <w:p w14:paraId="125C044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有效期</w:t>
      </w:r>
    </w:p>
    <w:p w14:paraId="4FDD6FB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及有关承诺文件有效期为提交</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截止时间起90天。</w:t>
      </w:r>
    </w:p>
    <w:p w14:paraId="2E1C4F7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四</w:t>
      </w:r>
      <w:r>
        <w:rPr>
          <w:rFonts w:hint="eastAsia" w:ascii="仿宋" w:hAnsi="仿宋" w:eastAsia="仿宋" w:cs="仿宋"/>
          <w:color w:val="auto"/>
          <w:sz w:val="24"/>
          <w:szCs w:val="24"/>
          <w:highlight w:val="none"/>
        </w:rPr>
        <w:t>）修正错误</w:t>
      </w:r>
    </w:p>
    <w:p w14:paraId="57B0790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1.若</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所递交的</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的价格出现大写金额和小写金额不一致的错误，以大写金额修正为准。</w:t>
      </w:r>
    </w:p>
    <w:p w14:paraId="6E33E46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评审委员会</w:t>
      </w:r>
      <w:r>
        <w:rPr>
          <w:rFonts w:hint="eastAsia" w:ascii="仿宋" w:hAnsi="仿宋" w:eastAsia="仿宋" w:cs="仿宋"/>
          <w:color w:val="auto"/>
          <w:sz w:val="24"/>
          <w:szCs w:val="24"/>
          <w:highlight w:val="none"/>
        </w:rPr>
        <w:t>按上述修正错误的原则及方法修正</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同意并签字确认后，修正后的报价对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具有约束作用。如果</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不接受修正后的价格，将失去成为成交</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的资格。</w:t>
      </w:r>
    </w:p>
    <w:p w14:paraId="79DFA61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五</w:t>
      </w:r>
      <w:r>
        <w:rPr>
          <w:rFonts w:hint="eastAsia" w:ascii="仿宋" w:hAnsi="仿宋" w:eastAsia="仿宋" w:cs="仿宋"/>
          <w:color w:val="auto"/>
          <w:sz w:val="24"/>
          <w:szCs w:val="24"/>
          <w:highlight w:val="none"/>
        </w:rPr>
        <w:t>）提交纸质</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的份数和签署</w:t>
      </w:r>
    </w:p>
    <w:p w14:paraId="101AA02C">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1.投标人须在线上上传盖章后的投标文件电子文档一份。</w:t>
      </w:r>
    </w:p>
    <w:p w14:paraId="782F2796">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2.投标人须在现场递交纸质投标文件一式三份，其中正本一份，副本两份，副本可为正本的复印件。投标文件电子文档内容应与纸质文件正本、副本一致。</w:t>
      </w:r>
    </w:p>
    <w:p w14:paraId="42F17B1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六</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的递交</w:t>
      </w:r>
    </w:p>
    <w:p w14:paraId="7D5F55FA">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lang w:val="en-US" w:eastAsia="zh-CN"/>
        </w:rPr>
        <w:t>的正本、副本均应密封送达投标地点，应在封套上注明项目名称、投标人名称。若正本、副本分别进行密封的，还应在封套上注明“正本”、“副本”字样。</w:t>
      </w:r>
    </w:p>
    <w:p w14:paraId="31D3771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七</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参与人员</w:t>
      </w:r>
    </w:p>
    <w:p w14:paraId="483F1E5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各个</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可派1名代表参与</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，应为法定代表人或具有法定代表人授权委托书的授权代表。</w:t>
      </w:r>
    </w:p>
    <w:p w14:paraId="4708728D">
      <w:pPr>
        <w:pStyle w:val="4"/>
        <w:snapToGrid w:val="0"/>
        <w:spacing w:before="0"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的确认和变更</w:t>
      </w:r>
      <w:bookmarkEnd w:id="124"/>
      <w:bookmarkEnd w:id="125"/>
      <w:bookmarkEnd w:id="126"/>
    </w:p>
    <w:p w14:paraId="3AACBBE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的确认</w:t>
      </w:r>
    </w:p>
    <w:p w14:paraId="48DD152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招标代理机构</w:t>
      </w:r>
      <w:r>
        <w:rPr>
          <w:rFonts w:hint="eastAsia" w:ascii="仿宋" w:hAnsi="仿宋" w:eastAsia="仿宋" w:cs="仿宋"/>
          <w:color w:val="auto"/>
          <w:sz w:val="24"/>
          <w:szCs w:val="24"/>
          <w:highlight w:val="none"/>
        </w:rPr>
        <w:t>应当在评审结束后2个工作日内将评审报告送</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确认。</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应当在收到评审报告后5个工作日内，从评审报告提出的</w:t>
      </w:r>
      <w:r>
        <w:rPr>
          <w:rFonts w:hint="eastAsia" w:ascii="仿宋" w:hAnsi="仿宋" w:eastAsia="仿宋" w:cs="仿宋"/>
          <w:color w:val="auto"/>
          <w:sz w:val="24"/>
          <w:szCs w:val="24"/>
          <w:highlight w:val="none"/>
          <w:lang w:eastAsia="zh-CN"/>
        </w:rPr>
        <w:t>中标候选人</w:t>
      </w:r>
      <w:r>
        <w:rPr>
          <w:rFonts w:hint="eastAsia" w:ascii="仿宋" w:hAnsi="仿宋" w:eastAsia="仿宋" w:cs="仿宋"/>
          <w:color w:val="auto"/>
          <w:sz w:val="24"/>
          <w:szCs w:val="24"/>
          <w:highlight w:val="none"/>
        </w:rPr>
        <w:t>中，按照排序由高到低的原则确定</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，也可以书面授权</w:t>
      </w: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直接确定</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逾期未确定</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且不提出异议的，视为确定评审报告提出的排序第一的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w:t>
      </w:r>
    </w:p>
    <w:p w14:paraId="02F3787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的变更</w:t>
      </w:r>
    </w:p>
    <w:p w14:paraId="7D1C7E48">
      <w:pPr>
        <w:spacing w:line="360" w:lineRule="auto"/>
        <w:ind w:firstLine="480" w:firstLineChars="200"/>
        <w:rPr>
          <w:rFonts w:hint="eastAsia" w:ascii="仿宋" w:hAnsi="仿宋" w:eastAsia="仿宋" w:cs="仿宋"/>
          <w:color w:val="auto"/>
          <w:sz w:val="24"/>
          <w:szCs w:val="24"/>
          <w:highlight w:val="none"/>
        </w:rPr>
      </w:pPr>
      <w:bookmarkStart w:id="127" w:name="_Toc342913395"/>
      <w:bookmarkStart w:id="128" w:name="_Toc102227321"/>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拒绝与</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签订合同的，</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可以按照评标报告推荐的</w:t>
      </w:r>
      <w:r>
        <w:rPr>
          <w:rFonts w:hint="eastAsia" w:ascii="仿宋" w:hAnsi="仿宋" w:eastAsia="仿宋" w:cs="仿宋"/>
          <w:color w:val="auto"/>
          <w:sz w:val="24"/>
          <w:szCs w:val="24"/>
          <w:highlight w:val="none"/>
          <w:lang w:eastAsia="zh-CN"/>
        </w:rPr>
        <w:t>中标候选人</w:t>
      </w:r>
      <w:r>
        <w:rPr>
          <w:rFonts w:hint="eastAsia" w:ascii="仿宋" w:hAnsi="仿宋" w:eastAsia="仿宋" w:cs="仿宋"/>
          <w:color w:val="auto"/>
          <w:sz w:val="24"/>
          <w:szCs w:val="24"/>
          <w:highlight w:val="none"/>
        </w:rPr>
        <w:t>顺序，确定排名下一位的候选人为</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，也可以重新开展政府采购活动。</w:t>
      </w:r>
    </w:p>
    <w:p w14:paraId="19E6797B">
      <w:pPr>
        <w:pStyle w:val="4"/>
        <w:snapToGrid w:val="0"/>
        <w:spacing w:before="0" w:after="0" w:line="360" w:lineRule="auto"/>
        <w:rPr>
          <w:rFonts w:hint="eastAsia" w:ascii="仿宋" w:hAnsi="仿宋" w:eastAsia="仿宋" w:cs="仿宋"/>
          <w:color w:val="auto"/>
          <w:sz w:val="24"/>
          <w:szCs w:val="24"/>
          <w:highlight w:val="none"/>
        </w:rPr>
      </w:pPr>
      <w:bookmarkStart w:id="129" w:name="_Toc15298"/>
      <w:bookmarkStart w:id="130" w:name="_Toc14208"/>
      <w:bookmarkStart w:id="131" w:name="_Toc53751350"/>
      <w:r>
        <w:rPr>
          <w:rFonts w:hint="eastAsia" w:ascii="仿宋" w:hAnsi="仿宋" w:eastAsia="仿宋" w:cs="仿宋"/>
          <w:color w:val="auto"/>
          <w:sz w:val="24"/>
          <w:szCs w:val="24"/>
          <w:highlight w:val="none"/>
        </w:rPr>
        <w:t>五、成交通知</w:t>
      </w:r>
      <w:bookmarkEnd w:id="127"/>
      <w:bookmarkEnd w:id="128"/>
      <w:bookmarkEnd w:id="129"/>
      <w:bookmarkEnd w:id="130"/>
      <w:bookmarkEnd w:id="131"/>
    </w:p>
    <w:p w14:paraId="1E710A5D">
      <w:pPr>
        <w:pageBreakBefore w:val="0"/>
        <w:kinsoku/>
        <w:wordWrap/>
        <w:overflowPunct/>
        <w:topLinePunct w:val="0"/>
        <w:bidi w:val="0"/>
        <w:spacing w:line="360" w:lineRule="auto"/>
        <w:ind w:firstLine="480"/>
        <w:rPr>
          <w:rFonts w:hint="eastAsia" w:ascii="仿宋" w:hAnsi="仿宋" w:eastAsia="仿宋" w:cs="仿宋"/>
          <w:color w:val="auto"/>
          <w:sz w:val="24"/>
          <w:highlight w:val="none"/>
        </w:rPr>
      </w:pPr>
      <w:bookmarkStart w:id="132" w:name="_Toc638"/>
      <w:bookmarkStart w:id="133" w:name="_Toc53751351"/>
      <w:r>
        <w:rPr>
          <w:rFonts w:hint="eastAsia" w:ascii="仿宋" w:hAnsi="仿宋" w:eastAsia="仿宋" w:cs="仿宋"/>
          <w:color w:val="auto"/>
          <w:sz w:val="24"/>
          <w:highlight w:val="none"/>
          <w:lang w:eastAsia="zh-CN"/>
        </w:rPr>
        <w:t>（一）中标人</w:t>
      </w:r>
      <w:r>
        <w:rPr>
          <w:rFonts w:hint="eastAsia" w:ascii="仿宋" w:hAnsi="仿宋" w:eastAsia="仿宋" w:cs="仿宋"/>
          <w:color w:val="auto"/>
          <w:sz w:val="24"/>
          <w:highlight w:val="none"/>
        </w:rPr>
        <w:t>确定后，</w:t>
      </w:r>
      <w:r>
        <w:rPr>
          <w:rFonts w:hint="eastAsia" w:ascii="仿宋" w:hAnsi="仿宋" w:eastAsia="仿宋" w:cs="仿宋"/>
          <w:color w:val="auto"/>
          <w:sz w:val="24"/>
          <w:highlight w:val="none"/>
          <w:lang w:eastAsia="zh-CN"/>
        </w:rPr>
        <w:t>招标代理机构</w:t>
      </w:r>
      <w:r>
        <w:rPr>
          <w:rFonts w:hint="eastAsia" w:ascii="仿宋" w:hAnsi="仿宋" w:eastAsia="仿宋" w:cs="仿宋"/>
          <w:color w:val="auto"/>
          <w:sz w:val="24"/>
          <w:highlight w:val="none"/>
        </w:rPr>
        <w:t>将在“行采家”网上发布</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结果公示，公示期为</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日。</w:t>
      </w:r>
    </w:p>
    <w:p w14:paraId="67105955">
      <w:pPr>
        <w:pageBreakBefore w:val="0"/>
        <w:kinsoku/>
        <w:wordWrap/>
        <w:overflowPunct/>
        <w:topLinePunct w:val="0"/>
        <w:bidi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（二）</w:t>
      </w:r>
      <w:r>
        <w:rPr>
          <w:rFonts w:hint="eastAsia" w:ascii="仿宋" w:hAnsi="仿宋" w:eastAsia="仿宋" w:cs="仿宋"/>
          <w:color w:val="auto"/>
          <w:sz w:val="24"/>
          <w:highlight w:val="none"/>
        </w:rPr>
        <w:t>公示期结束没有收到在本次</w:t>
      </w:r>
      <w:r>
        <w:rPr>
          <w:rFonts w:hint="eastAsia" w:ascii="仿宋" w:hAnsi="仿宋" w:eastAsia="仿宋" w:cs="仿宋"/>
          <w:color w:val="auto"/>
          <w:sz w:val="24"/>
          <w:highlight w:val="none"/>
          <w:lang w:val="en-US" w:eastAsia="zh-CN"/>
        </w:rPr>
        <w:t>招标</w:t>
      </w:r>
      <w:r>
        <w:rPr>
          <w:rFonts w:hint="eastAsia" w:ascii="仿宋" w:hAnsi="仿宋" w:eastAsia="仿宋" w:cs="仿宋"/>
          <w:color w:val="auto"/>
          <w:sz w:val="24"/>
          <w:highlight w:val="none"/>
        </w:rPr>
        <w:t>过程中有违法行为投诉或相关质疑、或投诉质疑不成立的，</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将按规定发出</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通知书。</w:t>
      </w:r>
    </w:p>
    <w:p w14:paraId="6AFFF794">
      <w:pPr>
        <w:pageBreakBefore w:val="0"/>
        <w:kinsoku/>
        <w:wordWrap/>
        <w:overflowPunct/>
        <w:topLinePunct w:val="0"/>
        <w:bidi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（三）</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通知书》将作为签订合同的依据。</w:t>
      </w:r>
    </w:p>
    <w:p w14:paraId="2368B62B">
      <w:pPr>
        <w:pageBreakBefore w:val="0"/>
        <w:kinsoku/>
        <w:wordWrap/>
        <w:overflowPunct/>
        <w:topLinePunct w:val="0"/>
        <w:bidi w:val="0"/>
        <w:spacing w:line="360" w:lineRule="auto"/>
        <w:ind w:firstLine="480"/>
        <w:rPr>
          <w:rFonts w:hint="eastAsia" w:ascii="仿宋" w:hAnsi="仿宋" w:eastAsia="仿宋" w:cs="仿宋"/>
          <w:color w:val="auto"/>
          <w:highlight w:val="none"/>
        </w:rPr>
      </w:pPr>
      <w:r>
        <w:rPr>
          <w:rFonts w:hint="eastAsia" w:ascii="仿宋" w:hAnsi="仿宋" w:eastAsia="仿宋" w:cs="仿宋"/>
          <w:color w:val="auto"/>
          <w:sz w:val="24"/>
          <w:highlight w:val="none"/>
          <w:lang w:eastAsia="zh-CN"/>
        </w:rPr>
        <w:t>（四）</w:t>
      </w:r>
      <w:r>
        <w:rPr>
          <w:rFonts w:hint="eastAsia" w:ascii="仿宋" w:hAnsi="仿宋" w:eastAsia="仿宋" w:cs="仿宋"/>
          <w:color w:val="auto"/>
          <w:sz w:val="24"/>
          <w:highlight w:val="none"/>
        </w:rPr>
        <w:t>如有</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结果提出质疑的，在质疑处理完毕后发出</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通知书。</w:t>
      </w:r>
    </w:p>
    <w:p w14:paraId="54ECE72D">
      <w:pPr>
        <w:pStyle w:val="4"/>
        <w:snapToGrid w:val="0"/>
        <w:spacing w:before="0" w:after="0" w:line="360" w:lineRule="auto"/>
        <w:rPr>
          <w:rFonts w:hint="eastAsia" w:ascii="仿宋" w:hAnsi="仿宋" w:eastAsia="仿宋" w:cs="仿宋"/>
          <w:color w:val="auto"/>
          <w:sz w:val="24"/>
          <w:szCs w:val="24"/>
          <w:highlight w:val="none"/>
        </w:rPr>
      </w:pPr>
      <w:bookmarkStart w:id="134" w:name="_Toc416"/>
      <w:r>
        <w:rPr>
          <w:rFonts w:hint="eastAsia" w:ascii="仿宋" w:hAnsi="仿宋" w:eastAsia="仿宋" w:cs="仿宋"/>
          <w:color w:val="auto"/>
          <w:sz w:val="24"/>
          <w:szCs w:val="24"/>
          <w:highlight w:val="none"/>
        </w:rPr>
        <w:t>六、关于质疑和投诉</w:t>
      </w:r>
      <w:bookmarkEnd w:id="132"/>
      <w:bookmarkEnd w:id="133"/>
      <w:bookmarkEnd w:id="134"/>
    </w:p>
    <w:p w14:paraId="77D7ED58">
      <w:pPr>
        <w:pageBreakBefore w:val="0"/>
        <w:kinsoku/>
        <w:wordWrap/>
        <w:overflowPunct/>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（一）</w:t>
      </w:r>
      <w:r>
        <w:rPr>
          <w:rFonts w:hint="eastAsia" w:ascii="仿宋" w:hAnsi="仿宋" w:eastAsia="仿宋" w:cs="仿宋"/>
          <w:color w:val="auto"/>
          <w:sz w:val="24"/>
          <w:highlight w:val="none"/>
        </w:rPr>
        <w:t>质疑内容、时限</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结果有异议的，应当在</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结果公示期内以书面形式向</w:t>
      </w: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提出质疑，并附相关证明材料。</w:t>
      </w:r>
    </w:p>
    <w:p w14:paraId="121389E3">
      <w:pPr>
        <w:pageBreakBefore w:val="0"/>
        <w:kinsoku/>
        <w:wordWrap/>
        <w:overflowPunct/>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（二）</w:t>
      </w:r>
      <w:r>
        <w:rPr>
          <w:rFonts w:hint="eastAsia" w:ascii="仿宋" w:hAnsi="仿宋" w:eastAsia="仿宋" w:cs="仿宋"/>
          <w:color w:val="auto"/>
          <w:sz w:val="24"/>
          <w:highlight w:val="none"/>
        </w:rPr>
        <w:t>质疑答复</w:t>
      </w:r>
    </w:p>
    <w:p w14:paraId="6ACA5BAC">
      <w:pPr>
        <w:pageBreakBefore w:val="0"/>
        <w:kinsoku/>
        <w:wordWrap/>
        <w:overflowPunct/>
        <w:topLinePunct w:val="0"/>
        <w:bidi w:val="0"/>
        <w:spacing w:line="360" w:lineRule="auto"/>
        <w:ind w:left="545" w:leftChars="170" w:hanging="69" w:hangingChars="2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招标人</w:t>
      </w:r>
      <w:r>
        <w:rPr>
          <w:rFonts w:hint="eastAsia" w:ascii="仿宋" w:hAnsi="仿宋" w:eastAsia="仿宋" w:cs="仿宋"/>
          <w:color w:val="auto"/>
          <w:sz w:val="24"/>
          <w:highlight w:val="none"/>
        </w:rPr>
        <w:t>在收到</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书面质疑后七个工作日内，对质疑内容作出答复</w:t>
      </w:r>
      <w:r>
        <w:rPr>
          <w:rFonts w:hint="eastAsia" w:ascii="仿宋" w:hAnsi="仿宋" w:eastAsia="仿宋" w:cs="仿宋"/>
          <w:color w:val="auto"/>
          <w:sz w:val="24"/>
          <w:highlight w:val="none"/>
          <w:lang w:eastAsia="zh-CN"/>
        </w:rPr>
        <w:t>。</w:t>
      </w:r>
    </w:p>
    <w:p w14:paraId="6D56E4F8">
      <w:pPr>
        <w:pageBreakBefore w:val="0"/>
        <w:kinsoku/>
        <w:wordWrap/>
        <w:overflowPunct/>
        <w:topLinePunct w:val="0"/>
        <w:bidi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不予受理或暂缓受理</w:t>
      </w:r>
    </w:p>
    <w:p w14:paraId="4C1F4503">
      <w:pPr>
        <w:pageBreakBefore w:val="0"/>
        <w:kinsoku/>
        <w:wordWrap/>
        <w:overflowPunct/>
        <w:topLinePunct w:val="0"/>
        <w:bidi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质疑有下列情形之一的，不予受理：</w:t>
      </w:r>
    </w:p>
    <w:p w14:paraId="5A37EEA4">
      <w:pPr>
        <w:pageBreakBefore w:val="0"/>
        <w:kinsoku/>
        <w:wordWrap/>
        <w:overflowPunct/>
        <w:topLinePunct w:val="0"/>
        <w:bidi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1.1质疑</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参与了</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活动后，再对</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内容提出质疑的；</w:t>
      </w:r>
    </w:p>
    <w:p w14:paraId="019187CD">
      <w:pPr>
        <w:pageBreakBefore w:val="0"/>
        <w:kinsoku/>
        <w:wordWrap/>
        <w:overflowPunct/>
        <w:topLinePunct w:val="0"/>
        <w:bidi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1.2质疑超过有效期的；</w:t>
      </w:r>
    </w:p>
    <w:p w14:paraId="1143C9C0">
      <w:pPr>
        <w:pageBreakBefore w:val="0"/>
        <w:kinsoku/>
        <w:wordWrap/>
        <w:overflowPunct/>
        <w:topLinePunct w:val="0"/>
        <w:bidi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1.3对同一事项重复质疑的。</w:t>
      </w:r>
    </w:p>
    <w:p w14:paraId="0254409C">
      <w:pPr>
        <w:pageBreakBefore w:val="0"/>
        <w:kinsoku/>
        <w:wordWrap/>
        <w:overflowPunct/>
        <w:topLinePunct w:val="0"/>
        <w:bidi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质疑有下列情形之一的，应暂不受理并告知</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补充材料。</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及时补充材料的，应予受理；逾期未补充的，不予受理：</w:t>
      </w:r>
    </w:p>
    <w:p w14:paraId="17A6067A">
      <w:pPr>
        <w:pageBreakBefore w:val="0"/>
        <w:kinsoku/>
        <w:wordWrap/>
        <w:overflowPunct/>
        <w:topLinePunct w:val="0"/>
        <w:bidi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2.1质疑书格式和内容不符合国家或重庆市相关规定的；</w:t>
      </w:r>
    </w:p>
    <w:p w14:paraId="26E73FAB">
      <w:pPr>
        <w:pageBreakBefore w:val="0"/>
        <w:kinsoku/>
        <w:wordWrap/>
        <w:overflowPunct/>
        <w:topLinePunct w:val="0"/>
        <w:bidi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2.2质疑书提供的依据或证明材料不全的；</w:t>
      </w:r>
    </w:p>
    <w:p w14:paraId="51F4D051">
      <w:pPr>
        <w:pageBreakBefore w:val="0"/>
        <w:kinsoku/>
        <w:wordWrap/>
        <w:overflowPunct/>
        <w:topLinePunct w:val="0"/>
        <w:bidi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2.3质疑书副本数量不足的。</w:t>
      </w:r>
    </w:p>
    <w:p w14:paraId="4D9C2D59">
      <w:pPr>
        <w:pStyle w:val="4"/>
        <w:snapToGrid w:val="0"/>
        <w:spacing w:before="0" w:after="0" w:line="360" w:lineRule="auto"/>
        <w:rPr>
          <w:rFonts w:hint="eastAsia" w:ascii="仿宋" w:hAnsi="仿宋" w:eastAsia="仿宋" w:cs="仿宋"/>
          <w:color w:val="auto"/>
          <w:sz w:val="24"/>
          <w:szCs w:val="24"/>
          <w:highlight w:val="none"/>
        </w:rPr>
      </w:pPr>
      <w:bookmarkStart w:id="135" w:name="_Toc24251"/>
      <w:r>
        <w:rPr>
          <w:rFonts w:hint="eastAsia" w:ascii="仿宋" w:hAnsi="仿宋" w:eastAsia="仿宋" w:cs="仿宋"/>
          <w:color w:val="auto"/>
          <w:sz w:val="24"/>
          <w:szCs w:val="24"/>
          <w:highlight w:val="none"/>
        </w:rPr>
        <w:t>七、</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代理服务费</w:t>
      </w:r>
      <w:bookmarkEnd w:id="108"/>
      <w:bookmarkEnd w:id="109"/>
      <w:bookmarkEnd w:id="135"/>
    </w:p>
    <w:p w14:paraId="7125222A">
      <w:pPr>
        <w:pStyle w:val="4"/>
        <w:snapToGrid w:val="0"/>
        <w:spacing w:before="0" w:after="0" w:line="360" w:lineRule="auto"/>
        <w:ind w:firstLine="482" w:firstLineChars="200"/>
        <w:rPr>
          <w:rFonts w:hint="default" w:ascii="仿宋" w:hAnsi="仿宋" w:eastAsia="仿宋" w:cs="仿宋"/>
          <w:color w:val="auto"/>
          <w:sz w:val="24"/>
          <w:szCs w:val="24"/>
          <w:highlight w:val="none"/>
          <w:lang w:val="en-US" w:eastAsia="zh-CN"/>
        </w:rPr>
      </w:pPr>
      <w:bookmarkStart w:id="136" w:name="_Toc6265"/>
      <w:bookmarkStart w:id="137" w:name="_Toc21783697"/>
      <w:r>
        <w:rPr>
          <w:rFonts w:hint="eastAsia" w:ascii="仿宋" w:hAnsi="仿宋" w:eastAsia="仿宋" w:cs="仿宋"/>
          <w:color w:val="auto"/>
          <w:sz w:val="24"/>
          <w:szCs w:val="24"/>
          <w:highlight w:val="none"/>
          <w:lang w:val="en-US" w:eastAsia="zh-CN"/>
        </w:rPr>
        <w:t>本项目招标代理费由招标人支付。</w:t>
      </w:r>
    </w:p>
    <w:p w14:paraId="1B16536B">
      <w:pPr>
        <w:pStyle w:val="4"/>
        <w:snapToGrid w:val="0"/>
        <w:spacing w:before="0"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八、签订合同</w:t>
      </w:r>
      <w:bookmarkEnd w:id="136"/>
      <w:bookmarkEnd w:id="137"/>
    </w:p>
    <w:p w14:paraId="01826B25">
      <w:pPr>
        <w:snapToGrid w:val="0"/>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应当自成交通知书发出之日起二十日内，按照</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和</w:t>
      </w:r>
      <w:r>
        <w:rPr>
          <w:rFonts w:hint="eastAsia" w:ascii="仿宋" w:hAnsi="仿宋" w:eastAsia="仿宋" w:cs="仿宋"/>
          <w:color w:val="auto"/>
          <w:sz w:val="24"/>
          <w:szCs w:val="24"/>
          <w:highlight w:val="none"/>
          <w:lang w:eastAsia="zh-CN"/>
        </w:rPr>
        <w:t>中标人投标文件</w:t>
      </w:r>
      <w:r>
        <w:rPr>
          <w:rFonts w:hint="eastAsia" w:ascii="仿宋" w:hAnsi="仿宋" w:eastAsia="仿宋" w:cs="仿宋"/>
          <w:color w:val="auto"/>
          <w:sz w:val="24"/>
          <w:szCs w:val="24"/>
          <w:highlight w:val="none"/>
        </w:rPr>
        <w:t>的约定，与</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签订书面合同。所签订的合同不得对</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作实质性修改。</w:t>
      </w:r>
    </w:p>
    <w:p w14:paraId="5EE016A2">
      <w:pPr>
        <w:snapToGrid w:val="0"/>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及补遗文件等，均为签订政府采购合同的依据。</w:t>
      </w:r>
    </w:p>
    <w:p w14:paraId="75688D0A">
      <w:pPr>
        <w:snapToGrid w:val="0"/>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（三）合同生效条款由供需双方约定，法律、行政法规规定应当办理批准、登记等手续后生效的合同，依照其规定。</w:t>
      </w:r>
      <w:bookmarkStart w:id="138" w:name="_Toc21783699"/>
    </w:p>
    <w:bookmarkEnd w:id="138"/>
    <w:p w14:paraId="7FCCE9EB">
      <w:pPr>
        <w:pStyle w:val="3"/>
        <w:spacing w:line="360" w:lineRule="auto"/>
        <w:jc w:val="center"/>
        <w:rPr>
          <w:rFonts w:hint="eastAsia" w:ascii="仿宋" w:hAnsi="仿宋" w:eastAsia="仿宋" w:cs="仿宋"/>
          <w:color w:val="auto"/>
          <w:kern w:val="0"/>
          <w:sz w:val="24"/>
          <w:szCs w:val="24"/>
          <w:highlight w:val="none"/>
        </w:rPr>
      </w:pPr>
      <w:bookmarkStart w:id="139" w:name="_Toc88569292"/>
      <w:bookmarkStart w:id="140" w:name="_Toc12789072"/>
      <w:r>
        <w:rPr>
          <w:rFonts w:hint="eastAsia" w:ascii="仿宋" w:hAnsi="仿宋" w:eastAsia="仿宋" w:cs="仿宋"/>
          <w:color w:val="auto"/>
          <w:sz w:val="36"/>
          <w:szCs w:val="30"/>
          <w:highlight w:val="none"/>
        </w:rPr>
        <w:br w:type="page"/>
      </w:r>
      <w:bookmarkStart w:id="141" w:name="_Toc8319"/>
      <w:r>
        <w:rPr>
          <w:rFonts w:hint="eastAsia" w:ascii="仿宋" w:hAnsi="仿宋" w:eastAsia="仿宋" w:cs="仿宋"/>
          <w:color w:val="auto"/>
          <w:sz w:val="36"/>
          <w:szCs w:val="30"/>
          <w:highlight w:val="none"/>
        </w:rPr>
        <w:t>第六篇  合同草案条款</w:t>
      </w:r>
      <w:bookmarkEnd w:id="139"/>
      <w:bookmarkEnd w:id="141"/>
    </w:p>
    <w:p w14:paraId="19542EEE">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注：（以下合同格式为通用版本，合同格式的最终版以签订合同时</w:t>
      </w:r>
      <w:r>
        <w:rPr>
          <w:rFonts w:hint="eastAsia" w:ascii="仿宋" w:hAnsi="仿宋" w:eastAsia="仿宋" w:cs="仿宋"/>
          <w:bCs/>
          <w:color w:val="auto"/>
          <w:sz w:val="24"/>
          <w:szCs w:val="24"/>
          <w:highlight w:val="none"/>
          <w:lang w:eastAsia="zh-CN"/>
        </w:rPr>
        <w:t>招标人</w:t>
      </w:r>
      <w:r>
        <w:rPr>
          <w:rFonts w:hint="eastAsia" w:ascii="仿宋" w:hAnsi="仿宋" w:eastAsia="仿宋" w:cs="仿宋"/>
          <w:bCs/>
          <w:color w:val="auto"/>
          <w:sz w:val="24"/>
          <w:szCs w:val="24"/>
          <w:highlight w:val="none"/>
        </w:rPr>
        <w:t>提供的版本为准）</w:t>
      </w:r>
      <w:bookmarkStart w:id="142" w:name="_Toc424558729"/>
      <w:bookmarkStart w:id="143" w:name="_Toc57820637"/>
      <w:bookmarkStart w:id="144" w:name="_Toc152042547"/>
      <w:bookmarkStart w:id="145" w:name="_Toc534185765"/>
      <w:bookmarkStart w:id="146" w:name="_Toc509390697"/>
      <w:bookmarkStart w:id="147" w:name="_Toc152045768"/>
      <w:bookmarkStart w:id="148" w:name="_Toc424558369"/>
      <w:bookmarkStart w:id="149" w:name="_Toc509218786"/>
      <w:bookmarkStart w:id="150" w:name="_Toc509390696"/>
      <w:bookmarkStart w:id="151" w:name="_Toc240180916"/>
      <w:bookmarkStart w:id="152" w:name="_Toc424558368"/>
      <w:bookmarkStart w:id="153" w:name="_Toc335223531"/>
      <w:bookmarkStart w:id="154" w:name="_Toc467164257"/>
      <w:bookmarkStart w:id="155" w:name="_Toc467164258"/>
      <w:bookmarkStart w:id="156" w:name="_Toc240180917"/>
      <w:bookmarkStart w:id="157" w:name="_Toc424558728"/>
      <w:bookmarkStart w:id="158" w:name="_Toc144974827"/>
      <w:bookmarkStart w:id="159" w:name="_Toc335223532"/>
      <w:bookmarkStart w:id="160" w:name="_Toc32387"/>
      <w:bookmarkStart w:id="161" w:name="_Toc351203494"/>
    </w:p>
    <w:p w14:paraId="3B7442C9">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14:paraId="3044CB34">
      <w:pPr>
        <w:pageBreakBefore w:val="0"/>
        <w:widowControl/>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发包人（简称甲方）：</w:t>
      </w:r>
      <w:r>
        <w:rPr>
          <w:rFonts w:hint="eastAsia" w:ascii="仿宋" w:hAnsi="仿宋" w:eastAsia="仿宋" w:cs="仿宋"/>
          <w:b/>
          <w:bCs/>
          <w:color w:val="auto"/>
          <w:sz w:val="24"/>
          <w:szCs w:val="24"/>
          <w:highlight w:val="none"/>
          <w:u w:val="single"/>
        </w:rPr>
        <w:t xml:space="preserve">                   </w:t>
      </w:r>
    </w:p>
    <w:p w14:paraId="49E0CC5A">
      <w:pPr>
        <w:pageBreakBefore w:val="0"/>
        <w:widowControl/>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承包人（简称乙方）：</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rPr>
        <w:t xml:space="preserve">     </w:t>
      </w:r>
      <w:r>
        <w:rPr>
          <w:rFonts w:hint="eastAsia" w:ascii="仿宋" w:hAnsi="仿宋" w:eastAsia="仿宋" w:cs="仿宋"/>
          <w:color w:val="auto"/>
          <w:sz w:val="24"/>
          <w:szCs w:val="24"/>
          <w:highlight w:val="none"/>
        </w:rPr>
        <w:t xml:space="preserve"> </w:t>
      </w:r>
    </w:p>
    <w:p w14:paraId="2AC35B8A">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依照《中华人民共和国民法典》及其他有关法律、行政法规、遵循平等、自愿、公平和诚实信用的原则，甲、乙双方就</w:t>
      </w:r>
      <w:r>
        <w:rPr>
          <w:rFonts w:hint="eastAsia" w:ascii="仿宋" w:hAnsi="仿宋" w:eastAsia="仿宋" w:cs="仿宋"/>
          <w:color w:val="auto"/>
          <w:sz w:val="24"/>
          <w:szCs w:val="24"/>
          <w:highlight w:val="none"/>
          <w:u w:val="single"/>
          <w:lang w:val="en-US" w:eastAsia="zh-CN"/>
        </w:rPr>
        <w:t>重庆市南岸区江南新城南坪实验幼儿园户外场地改建工程（第二次）</w:t>
      </w:r>
      <w:r>
        <w:rPr>
          <w:rFonts w:hint="eastAsia" w:ascii="仿宋" w:hAnsi="仿宋" w:eastAsia="仿宋" w:cs="仿宋"/>
          <w:color w:val="auto"/>
          <w:sz w:val="24"/>
          <w:szCs w:val="24"/>
          <w:highlight w:val="none"/>
        </w:rPr>
        <w:t>，经过充分协商、并明确双方权利和义务，商达成以下合同协议条款。</w:t>
      </w:r>
    </w:p>
    <w:p w14:paraId="0A3E88CD">
      <w:pPr>
        <w:pageBreakBefore w:val="0"/>
        <w:widowControl/>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一、工程概况</w:t>
      </w:r>
    </w:p>
    <w:p w14:paraId="21B0E040">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1．工程名称：</w:t>
      </w:r>
      <w:r>
        <w:rPr>
          <w:rFonts w:hint="eastAsia" w:ascii="仿宋" w:hAnsi="仿宋" w:eastAsia="仿宋" w:cs="仿宋"/>
          <w:color w:val="auto"/>
          <w:sz w:val="24"/>
          <w:szCs w:val="24"/>
          <w:highlight w:val="none"/>
          <w:u w:val="single"/>
          <w:lang w:val="en-US" w:eastAsia="zh-CN"/>
        </w:rPr>
        <w:t>重庆市南岸区江南新城南坪实验幼儿园户外场地改建工程（第二次）</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w:t>
      </w:r>
    </w:p>
    <w:p w14:paraId="4EB7A2C3">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2．工程地点：</w:t>
      </w:r>
      <w:r>
        <w:rPr>
          <w:rFonts w:hint="eastAsia" w:ascii="仿宋" w:hAnsi="仿宋" w:eastAsia="仿宋" w:cs="仿宋"/>
          <w:color w:val="auto"/>
          <w:sz w:val="24"/>
          <w:szCs w:val="24"/>
          <w:highlight w:val="none"/>
          <w:u w:val="single"/>
          <w:lang w:val="en-US" w:eastAsia="zh-CN"/>
        </w:rPr>
        <w:t xml:space="preserve">重庆市南岸区天文大道7号。 </w:t>
      </w:r>
      <w:r>
        <w:rPr>
          <w:rFonts w:hint="eastAsia" w:ascii="仿宋" w:hAnsi="仿宋" w:eastAsia="仿宋" w:cs="仿宋"/>
          <w:color w:val="auto"/>
          <w:sz w:val="24"/>
          <w:szCs w:val="24"/>
          <w:highlight w:val="none"/>
        </w:rPr>
        <w:t xml:space="preserve"> </w:t>
      </w:r>
    </w:p>
    <w:p w14:paraId="583B0924">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u w:val="single"/>
          <w:lang w:val="en-US"/>
        </w:rPr>
      </w:pPr>
      <w:r>
        <w:rPr>
          <w:rFonts w:hint="eastAsia" w:ascii="仿宋" w:hAnsi="仿宋" w:eastAsia="仿宋" w:cs="仿宋"/>
          <w:color w:val="auto"/>
          <w:sz w:val="24"/>
          <w:szCs w:val="24"/>
          <w:highlight w:val="none"/>
        </w:rPr>
        <w:t>3．资金来源：</w:t>
      </w:r>
      <w:r>
        <w:rPr>
          <w:rFonts w:hint="eastAsia" w:ascii="仿宋" w:hAnsi="仿宋" w:eastAsia="仿宋" w:cs="仿宋"/>
          <w:color w:val="auto"/>
          <w:sz w:val="24"/>
          <w:szCs w:val="24"/>
          <w:highlight w:val="none"/>
          <w:u w:val="single"/>
          <w:lang w:val="en-US" w:eastAsia="zh-CN"/>
        </w:rPr>
        <w:t>自筹资金。</w:t>
      </w:r>
    </w:p>
    <w:p w14:paraId="7EAED963">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工程内容：</w:t>
      </w:r>
      <w:r>
        <w:rPr>
          <w:rFonts w:hint="eastAsia" w:ascii="仿宋" w:hAnsi="仿宋" w:eastAsia="仿宋" w:cs="仿宋"/>
          <w:color w:val="auto"/>
          <w:sz w:val="24"/>
          <w:szCs w:val="24"/>
          <w:highlight w:val="none"/>
          <w:u w:val="single"/>
          <w:lang w:val="en-US" w:eastAsia="zh-CN"/>
        </w:rPr>
        <w:t>该项目改建总面积约1567㎡，建设内容包括草坪修补、动物房及外活动场地地面铺装、教学楼外围铺设塑木地板、场地外围新建围栏、通风井外墙包防腐木、铺设青石板道路、露台地砖及洗手盆种植箱等设施设备的购置安装。</w:t>
      </w:r>
    </w:p>
    <w:p w14:paraId="2389752E">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6.工程承包范围：</w:t>
      </w:r>
      <w:r>
        <w:rPr>
          <w:rFonts w:hint="eastAsia" w:ascii="仿宋" w:hAnsi="仿宋" w:eastAsia="仿宋" w:cs="仿宋"/>
          <w:color w:val="auto"/>
          <w:sz w:val="24"/>
          <w:szCs w:val="24"/>
          <w:highlight w:val="none"/>
          <w:u w:val="single"/>
          <w:lang w:val="en-US" w:eastAsia="zh-CN"/>
        </w:rPr>
        <w:t>具体详见招标人提供的工程量清单、招标文件以及招标文件补遗、答疑、澄清中补充的全部工程内容</w:t>
      </w:r>
      <w:r>
        <w:rPr>
          <w:rFonts w:hint="eastAsia" w:ascii="仿宋" w:hAnsi="仿宋" w:eastAsia="仿宋" w:cs="仿宋"/>
          <w:color w:val="auto"/>
          <w:sz w:val="24"/>
          <w:szCs w:val="24"/>
          <w:highlight w:val="none"/>
        </w:rPr>
        <w:t>。</w:t>
      </w:r>
    </w:p>
    <w:p w14:paraId="1317BA4D">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7．质量要求：符合强制性质量标准，符合国家和重庆市现行有关施工质量验收规范要求，并达到合格标准。</w:t>
      </w:r>
    </w:p>
    <w:p w14:paraId="6914F424">
      <w:pPr>
        <w:pStyle w:val="5"/>
        <w:keepNext/>
        <w:keepLines/>
        <w:pageBreakBefore w:val="0"/>
        <w:kinsoku/>
        <w:wordWrap/>
        <w:overflowPunct/>
        <w:topLinePunct w:val="0"/>
        <w:autoSpaceDE/>
        <w:autoSpaceDN/>
        <w:bidi w:val="0"/>
        <w:adjustRightInd/>
        <w:snapToGrid/>
        <w:spacing w:before="120" w:after="120" w:line="440" w:lineRule="exact"/>
        <w:ind w:firstLine="480" w:firstLineChars="200"/>
        <w:jc w:val="both"/>
        <w:textAlignment w:val="auto"/>
        <w:rPr>
          <w:rFonts w:hint="eastAsia" w:ascii="仿宋" w:hAnsi="仿宋" w:eastAsia="仿宋" w:cs="仿宋"/>
          <w:color w:val="auto"/>
          <w:kern w:val="2"/>
          <w:szCs w:val="24"/>
          <w:highlight w:val="none"/>
        </w:rPr>
      </w:pPr>
      <w:bookmarkStart w:id="162" w:name="_Toc532377167"/>
      <w:bookmarkStart w:id="163" w:name="_Toc532375574"/>
      <w:bookmarkStart w:id="164" w:name="_Toc351203482"/>
      <w:r>
        <w:rPr>
          <w:rFonts w:hint="eastAsia" w:ascii="仿宋" w:hAnsi="仿宋" w:eastAsia="仿宋" w:cs="仿宋"/>
          <w:color w:val="auto"/>
          <w:kern w:val="2"/>
          <w:szCs w:val="24"/>
          <w:highlight w:val="none"/>
        </w:rPr>
        <w:t>二、合同工期</w:t>
      </w:r>
      <w:bookmarkEnd w:id="162"/>
      <w:bookmarkEnd w:id="163"/>
      <w:bookmarkEnd w:id="164"/>
    </w:p>
    <w:p w14:paraId="2BE817C8">
      <w:pPr>
        <w:pStyle w:val="5"/>
        <w:keepNext/>
        <w:keepLines/>
        <w:pageBreakBefore w:val="0"/>
        <w:kinsoku/>
        <w:wordWrap/>
        <w:overflowPunct/>
        <w:topLinePunct w:val="0"/>
        <w:autoSpaceDE/>
        <w:autoSpaceDN/>
        <w:bidi w:val="0"/>
        <w:adjustRightInd/>
        <w:snapToGrid/>
        <w:spacing w:before="120" w:after="120" w:line="440" w:lineRule="exact"/>
        <w:ind w:firstLine="480" w:firstLineChars="200"/>
        <w:jc w:val="both"/>
        <w:textAlignment w:val="auto"/>
        <w:rPr>
          <w:rFonts w:hint="eastAsia" w:ascii="仿宋" w:hAnsi="仿宋" w:eastAsia="仿宋" w:cs="仿宋"/>
          <w:color w:val="auto"/>
          <w:highlight w:val="none"/>
        </w:rPr>
      </w:pPr>
      <w:r>
        <w:rPr>
          <w:rFonts w:hint="eastAsia" w:ascii="仿宋" w:hAnsi="仿宋" w:eastAsia="仿宋" w:cs="仿宋"/>
          <w:color w:val="auto"/>
          <w:highlight w:val="none"/>
        </w:rPr>
        <w:t>合同工期：</w:t>
      </w:r>
      <w:r>
        <w:rPr>
          <w:rFonts w:hint="eastAsia" w:ascii="仿宋" w:hAnsi="仿宋" w:eastAsia="仿宋" w:cs="仿宋"/>
          <w:color w:val="auto"/>
          <w:highlight w:val="none"/>
          <w:u w:val="single"/>
          <w:lang w:val="en-US" w:eastAsia="zh-CN"/>
        </w:rPr>
        <w:t xml:space="preserve"> 30日历天</w:t>
      </w:r>
      <w:r>
        <w:rPr>
          <w:rFonts w:hint="eastAsia" w:ascii="仿宋" w:hAnsi="仿宋" w:eastAsia="仿宋" w:cs="仿宋"/>
          <w:color w:val="auto"/>
          <w:highlight w:val="none"/>
        </w:rPr>
        <w:t>。</w:t>
      </w:r>
    </w:p>
    <w:p w14:paraId="262A6202">
      <w:pPr>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计划开工日期：</w:t>
      </w:r>
      <w:r>
        <w:rPr>
          <w:rFonts w:hint="eastAsia" w:ascii="仿宋" w:hAnsi="仿宋" w:eastAsia="仿宋" w:cs="仿宋"/>
          <w:bCs/>
          <w:color w:val="auto"/>
          <w:sz w:val="24"/>
          <w:highlight w:val="none"/>
          <w:u w:val="single"/>
        </w:rPr>
        <w:t></w:t>
      </w:r>
      <w:r>
        <w:rPr>
          <w:rFonts w:hint="eastAsia" w:ascii="仿宋" w:hAnsi="仿宋" w:eastAsia="仿宋" w:cs="仿宋"/>
          <w:bCs/>
          <w:color w:val="auto"/>
          <w:sz w:val="24"/>
          <w:highlight w:val="none"/>
        </w:rPr>
        <w:t>年</w:t>
      </w:r>
      <w:r>
        <w:rPr>
          <w:rFonts w:hint="eastAsia" w:ascii="仿宋" w:hAnsi="仿宋" w:eastAsia="仿宋" w:cs="仿宋"/>
          <w:bCs/>
          <w:color w:val="auto"/>
          <w:sz w:val="24"/>
          <w:highlight w:val="none"/>
          <w:u w:val="single"/>
        </w:rPr>
        <w:t></w:t>
      </w:r>
      <w:r>
        <w:rPr>
          <w:rFonts w:hint="eastAsia" w:ascii="仿宋" w:hAnsi="仿宋" w:eastAsia="仿宋" w:cs="仿宋"/>
          <w:bCs/>
          <w:color w:val="auto"/>
          <w:sz w:val="24"/>
          <w:highlight w:val="none"/>
        </w:rPr>
        <w:t>月</w:t>
      </w:r>
      <w:r>
        <w:rPr>
          <w:rFonts w:hint="eastAsia" w:ascii="仿宋" w:hAnsi="仿宋" w:eastAsia="仿宋" w:cs="仿宋"/>
          <w:bCs/>
          <w:color w:val="auto"/>
          <w:sz w:val="24"/>
          <w:highlight w:val="none"/>
          <w:u w:val="single"/>
        </w:rPr>
        <w:t></w:t>
      </w:r>
      <w:r>
        <w:rPr>
          <w:rFonts w:hint="eastAsia" w:ascii="仿宋" w:hAnsi="仿宋" w:eastAsia="仿宋" w:cs="仿宋"/>
          <w:bCs/>
          <w:color w:val="auto"/>
          <w:sz w:val="24"/>
          <w:highlight w:val="none"/>
        </w:rPr>
        <w:t>日，实际开工日期以监理工程师签发的工程开工通知明确的开工日期为准。</w:t>
      </w:r>
    </w:p>
    <w:p w14:paraId="32269DA1">
      <w:pPr>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计划竣工日期：</w:t>
      </w:r>
      <w:r>
        <w:rPr>
          <w:rFonts w:hint="eastAsia" w:ascii="仿宋" w:hAnsi="仿宋" w:eastAsia="仿宋" w:cs="仿宋"/>
          <w:bCs/>
          <w:color w:val="auto"/>
          <w:sz w:val="24"/>
          <w:highlight w:val="none"/>
          <w:u w:val="single"/>
        </w:rPr>
        <w:t></w:t>
      </w:r>
      <w:r>
        <w:rPr>
          <w:rFonts w:hint="eastAsia" w:ascii="仿宋" w:hAnsi="仿宋" w:eastAsia="仿宋" w:cs="仿宋"/>
          <w:bCs/>
          <w:color w:val="auto"/>
          <w:sz w:val="24"/>
          <w:highlight w:val="none"/>
        </w:rPr>
        <w:t>年</w:t>
      </w:r>
      <w:r>
        <w:rPr>
          <w:rFonts w:hint="eastAsia" w:ascii="仿宋" w:hAnsi="仿宋" w:eastAsia="仿宋" w:cs="仿宋"/>
          <w:bCs/>
          <w:color w:val="auto"/>
          <w:sz w:val="24"/>
          <w:highlight w:val="none"/>
          <w:u w:val="single"/>
        </w:rPr>
        <w:t></w:t>
      </w:r>
      <w:r>
        <w:rPr>
          <w:rFonts w:hint="eastAsia" w:ascii="仿宋" w:hAnsi="仿宋" w:eastAsia="仿宋" w:cs="仿宋"/>
          <w:bCs/>
          <w:color w:val="auto"/>
          <w:sz w:val="24"/>
          <w:highlight w:val="none"/>
        </w:rPr>
        <w:t>月</w:t>
      </w:r>
      <w:r>
        <w:rPr>
          <w:rFonts w:hint="eastAsia" w:ascii="仿宋" w:hAnsi="仿宋" w:eastAsia="仿宋" w:cs="仿宋"/>
          <w:bCs/>
          <w:color w:val="auto"/>
          <w:sz w:val="24"/>
          <w:highlight w:val="none"/>
          <w:u w:val="single"/>
        </w:rPr>
        <w:t></w:t>
      </w:r>
      <w:r>
        <w:rPr>
          <w:rFonts w:hint="eastAsia" w:ascii="仿宋" w:hAnsi="仿宋" w:eastAsia="仿宋" w:cs="仿宋"/>
          <w:bCs/>
          <w:color w:val="auto"/>
          <w:sz w:val="24"/>
          <w:highlight w:val="none"/>
        </w:rPr>
        <w:t>日，实际竣工日期以工程竣工验收合格之日为准。</w:t>
      </w:r>
    </w:p>
    <w:p w14:paraId="76D9538E">
      <w:pPr>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highlight w:val="none"/>
        </w:rPr>
        <w:t>工期总日历天数</w:t>
      </w:r>
      <w:r>
        <w:rPr>
          <w:rFonts w:hint="eastAsia" w:ascii="仿宋" w:hAnsi="仿宋" w:eastAsia="仿宋" w:cs="仿宋"/>
          <w:bCs/>
          <w:color w:val="auto"/>
          <w:sz w:val="24"/>
          <w:highlight w:val="none"/>
          <w:u w:val="single"/>
        </w:rPr>
        <w:t></w:t>
      </w:r>
      <w:r>
        <w:rPr>
          <w:rFonts w:hint="eastAsia" w:ascii="仿宋" w:hAnsi="仿宋" w:eastAsia="仿宋" w:cs="仿宋"/>
          <w:bCs/>
          <w:color w:val="auto"/>
          <w:sz w:val="24"/>
          <w:highlight w:val="none"/>
        </w:rPr>
        <w:t>天。工期总日历天数与根据前述计划开竣工日期计算的工期天数不一</w:t>
      </w:r>
      <w:r>
        <w:rPr>
          <w:rFonts w:hint="eastAsia" w:ascii="仿宋" w:hAnsi="仿宋" w:eastAsia="仿宋" w:cs="仿宋"/>
          <w:color w:val="auto"/>
          <w:sz w:val="24"/>
          <w:highlight w:val="none"/>
        </w:rPr>
        <w:t>致的，以工期总日历天数为准。</w:t>
      </w:r>
    </w:p>
    <w:p w14:paraId="0998D32E">
      <w:pPr>
        <w:pStyle w:val="5"/>
        <w:keepNext/>
        <w:keepLines/>
        <w:pageBreakBefore w:val="0"/>
        <w:kinsoku/>
        <w:wordWrap/>
        <w:overflowPunct/>
        <w:topLinePunct w:val="0"/>
        <w:autoSpaceDE/>
        <w:autoSpaceDN/>
        <w:bidi w:val="0"/>
        <w:adjustRightInd/>
        <w:snapToGrid/>
        <w:spacing w:before="120" w:after="120" w:line="440" w:lineRule="exact"/>
        <w:ind w:firstLine="480" w:firstLineChars="200"/>
        <w:jc w:val="both"/>
        <w:textAlignment w:val="auto"/>
        <w:rPr>
          <w:rFonts w:hint="eastAsia" w:ascii="仿宋" w:hAnsi="仿宋" w:eastAsia="仿宋" w:cs="仿宋"/>
          <w:color w:val="auto"/>
          <w:kern w:val="2"/>
          <w:szCs w:val="24"/>
          <w:highlight w:val="none"/>
        </w:rPr>
      </w:pPr>
      <w:bookmarkStart w:id="165" w:name="_Toc532377168"/>
      <w:bookmarkStart w:id="166" w:name="_Toc532375575"/>
      <w:bookmarkStart w:id="167" w:name="_Toc351203483"/>
      <w:r>
        <w:rPr>
          <w:rFonts w:hint="eastAsia" w:ascii="仿宋" w:hAnsi="仿宋" w:eastAsia="仿宋" w:cs="仿宋"/>
          <w:color w:val="auto"/>
          <w:kern w:val="2"/>
          <w:szCs w:val="24"/>
          <w:highlight w:val="none"/>
        </w:rPr>
        <w:t>三、质量标准</w:t>
      </w:r>
      <w:bookmarkEnd w:id="165"/>
      <w:bookmarkEnd w:id="166"/>
      <w:bookmarkEnd w:id="167"/>
    </w:p>
    <w:p w14:paraId="60E37750">
      <w:pPr>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工程质量符合强制性质量标准，</w:t>
      </w:r>
      <w:r>
        <w:rPr>
          <w:rFonts w:hint="eastAsia" w:ascii="仿宋" w:hAnsi="仿宋" w:eastAsia="仿宋" w:cs="仿宋"/>
          <w:color w:val="auto"/>
          <w:sz w:val="24"/>
          <w:highlight w:val="none"/>
          <w:u w:val="single"/>
        </w:rPr>
        <w:t>符合国家和重庆市现行有关施工质量验收规范要求，并达到合格</w:t>
      </w:r>
      <w:r>
        <w:rPr>
          <w:rFonts w:hint="eastAsia" w:ascii="仿宋" w:hAnsi="仿宋" w:eastAsia="仿宋" w:cs="仿宋"/>
          <w:color w:val="auto"/>
          <w:sz w:val="24"/>
          <w:highlight w:val="none"/>
        </w:rPr>
        <w:t>标准。</w:t>
      </w:r>
    </w:p>
    <w:p w14:paraId="1CB8B29D">
      <w:pPr>
        <w:pStyle w:val="5"/>
        <w:keepNext/>
        <w:keepLines/>
        <w:pageBreakBefore w:val="0"/>
        <w:kinsoku/>
        <w:wordWrap/>
        <w:overflowPunct/>
        <w:topLinePunct w:val="0"/>
        <w:autoSpaceDE/>
        <w:autoSpaceDN/>
        <w:bidi w:val="0"/>
        <w:adjustRightInd/>
        <w:snapToGrid/>
        <w:spacing w:before="120" w:after="120" w:line="440" w:lineRule="exact"/>
        <w:ind w:firstLine="480" w:firstLineChars="200"/>
        <w:jc w:val="both"/>
        <w:textAlignment w:val="auto"/>
        <w:rPr>
          <w:rFonts w:hint="eastAsia" w:ascii="仿宋" w:hAnsi="仿宋" w:eastAsia="仿宋" w:cs="仿宋"/>
          <w:color w:val="auto"/>
          <w:kern w:val="2"/>
          <w:szCs w:val="24"/>
          <w:highlight w:val="none"/>
        </w:rPr>
      </w:pPr>
      <w:bookmarkStart w:id="168" w:name="_Toc351203485"/>
      <w:bookmarkStart w:id="169" w:name="_Toc532377170"/>
      <w:bookmarkStart w:id="170" w:name="_Toc532375577"/>
      <w:r>
        <w:rPr>
          <w:rFonts w:hint="eastAsia" w:ascii="仿宋" w:hAnsi="仿宋" w:eastAsia="仿宋" w:cs="仿宋"/>
          <w:color w:val="auto"/>
          <w:kern w:val="2"/>
          <w:szCs w:val="24"/>
          <w:highlight w:val="none"/>
        </w:rPr>
        <w:t>四、</w:t>
      </w:r>
      <w:bookmarkEnd w:id="168"/>
      <w:r>
        <w:rPr>
          <w:rFonts w:hint="eastAsia" w:ascii="仿宋" w:hAnsi="仿宋" w:eastAsia="仿宋" w:cs="仿宋"/>
          <w:color w:val="auto"/>
          <w:kern w:val="2"/>
          <w:szCs w:val="24"/>
          <w:highlight w:val="none"/>
        </w:rPr>
        <w:t>项目经理及技术负责人</w:t>
      </w:r>
      <w:bookmarkEnd w:id="169"/>
      <w:bookmarkEnd w:id="170"/>
    </w:p>
    <w:p w14:paraId="732405E5">
      <w:pPr>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中承诺的项目经理：</w:t>
      </w:r>
    </w:p>
    <w:p w14:paraId="48F8E429">
      <w:pPr>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31304CF3">
      <w:pPr>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0EE3D78F">
      <w:pPr>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建造师注册证书号：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20161BE8">
      <w:pPr>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中承诺的技术负责人：</w:t>
      </w:r>
    </w:p>
    <w:p w14:paraId="133BD318">
      <w:pPr>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04067C70">
      <w:pPr>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60D6AD47">
      <w:pPr>
        <w:pStyle w:val="9"/>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highlight w:val="none"/>
        </w:rPr>
      </w:pPr>
      <w:r>
        <w:rPr>
          <w:rFonts w:hint="eastAsia" w:ascii="仿宋" w:hAnsi="仿宋" w:eastAsia="仿宋" w:cs="仿宋"/>
          <w:color w:val="auto"/>
          <w:sz w:val="24"/>
          <w:szCs w:val="24"/>
          <w:highlight w:val="none"/>
        </w:rPr>
        <w:t xml:space="preserve">    证书名称及号码：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050BCAE1">
      <w:pPr>
        <w:pStyle w:val="5"/>
        <w:keepNext/>
        <w:keepLines/>
        <w:pageBreakBefore w:val="0"/>
        <w:kinsoku/>
        <w:wordWrap/>
        <w:overflowPunct/>
        <w:topLinePunct w:val="0"/>
        <w:autoSpaceDE/>
        <w:autoSpaceDN/>
        <w:bidi w:val="0"/>
        <w:adjustRightInd/>
        <w:snapToGrid/>
        <w:spacing w:before="120" w:after="120" w:line="440" w:lineRule="exact"/>
        <w:ind w:firstLine="480" w:firstLineChars="200"/>
        <w:jc w:val="both"/>
        <w:textAlignment w:val="auto"/>
        <w:rPr>
          <w:rFonts w:hint="eastAsia" w:ascii="仿宋" w:hAnsi="仿宋" w:eastAsia="仿宋" w:cs="仿宋"/>
          <w:color w:val="auto"/>
          <w:kern w:val="2"/>
          <w:szCs w:val="24"/>
          <w:highlight w:val="none"/>
        </w:rPr>
      </w:pPr>
      <w:bookmarkStart w:id="171" w:name="_Toc532377169"/>
      <w:bookmarkStart w:id="172" w:name="_Toc532375576"/>
      <w:bookmarkStart w:id="173" w:name="_Toc351203484"/>
      <w:r>
        <w:rPr>
          <w:rFonts w:hint="eastAsia" w:ascii="仿宋" w:hAnsi="仿宋" w:eastAsia="仿宋" w:cs="仿宋"/>
          <w:color w:val="auto"/>
          <w:kern w:val="2"/>
          <w:szCs w:val="24"/>
          <w:highlight w:val="none"/>
        </w:rPr>
        <w:t>五、签约合同价与合同价格形式</w:t>
      </w:r>
      <w:bookmarkEnd w:id="171"/>
      <w:bookmarkEnd w:id="172"/>
      <w:bookmarkEnd w:id="173"/>
      <w:r>
        <w:rPr>
          <w:rFonts w:hint="eastAsia" w:ascii="仿宋" w:hAnsi="仿宋" w:eastAsia="仿宋" w:cs="仿宋"/>
          <w:color w:val="auto"/>
          <w:kern w:val="2"/>
          <w:szCs w:val="24"/>
          <w:highlight w:val="none"/>
        </w:rPr>
        <w:tab/>
      </w:r>
    </w:p>
    <w:p w14:paraId="03072300">
      <w:pPr>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1.签约合同价为：</w:t>
      </w:r>
    </w:p>
    <w:p w14:paraId="40EFD217">
      <w:pPr>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p>
    <w:p w14:paraId="3F3AEC67">
      <w:pPr>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2.合同价格形式：</w:t>
      </w:r>
      <w:r>
        <w:rPr>
          <w:rFonts w:hint="eastAsia" w:ascii="仿宋" w:hAnsi="仿宋" w:eastAsia="仿宋" w:cs="仿宋"/>
          <w:color w:val="auto"/>
          <w:sz w:val="24"/>
          <w:szCs w:val="24"/>
          <w:highlight w:val="none"/>
          <w:u w:val="single"/>
        </w:rPr>
        <w:t xml:space="preserve">   固定综合单价合同  </w:t>
      </w:r>
      <w:r>
        <w:rPr>
          <w:rFonts w:hint="eastAsia" w:ascii="仿宋" w:hAnsi="仿宋" w:eastAsia="仿宋" w:cs="仿宋"/>
          <w:color w:val="auto"/>
          <w:sz w:val="24"/>
          <w:szCs w:val="24"/>
          <w:highlight w:val="none"/>
        </w:rPr>
        <w:t>。</w:t>
      </w:r>
    </w:p>
    <w:p w14:paraId="67D276D3">
      <w:pPr>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六、付款方式</w:t>
      </w:r>
    </w:p>
    <w:p w14:paraId="5CA06400">
      <w:pPr>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（一）本项目不支付预付款，竣工验收合格后，由中标人向招标人提出支付申请，招标人支付至合同总价的80%。</w:t>
      </w:r>
    </w:p>
    <w:p w14:paraId="0F67422D">
      <w:pPr>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（二）工程经财评中心结算审计后出具审计报告，移交档案资料且通过档案验收后，按合同约定支付至结算审定总额的97%，剩余3%作为质保金，缺陷责任期2年。</w:t>
      </w:r>
    </w:p>
    <w:p w14:paraId="1B24B151">
      <w:pPr>
        <w:pStyle w:val="13"/>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（三）缺陷责任期到期后1个月内招标人无息退还质保金。</w:t>
      </w:r>
    </w:p>
    <w:p w14:paraId="7F386C6F">
      <w:pPr>
        <w:pStyle w:val="13"/>
        <w:pageBreakBefore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七、履约担保</w:t>
      </w:r>
    </w:p>
    <w:p w14:paraId="753D8733">
      <w:pPr>
        <w:pStyle w:val="13"/>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（一）履约担保的金额：中标合同金额的</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 。</w:t>
      </w:r>
    </w:p>
    <w:p w14:paraId="3DC1B63F">
      <w:pPr>
        <w:pStyle w:val="13"/>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（二）履约担保的形式：</w:t>
      </w:r>
      <w:r>
        <w:rPr>
          <w:rFonts w:hint="eastAsia" w:ascii="仿宋" w:hAnsi="仿宋" w:eastAsia="仿宋" w:cs="仿宋"/>
          <w:color w:val="auto"/>
          <w:sz w:val="24"/>
          <w:szCs w:val="24"/>
          <w:highlight w:val="none"/>
          <w:lang w:val="en-US" w:eastAsia="zh-CN"/>
        </w:rPr>
        <w:t>转账</w:t>
      </w:r>
      <w:r>
        <w:rPr>
          <w:rFonts w:hint="eastAsia" w:ascii="仿宋" w:hAnsi="仿宋" w:eastAsia="仿宋" w:cs="仿宋"/>
          <w:color w:val="auto"/>
          <w:sz w:val="24"/>
          <w:szCs w:val="24"/>
          <w:highlight w:val="none"/>
        </w:rPr>
        <w:t>或履约保函，履约保函包括银行保函、保证保险和担保保函。</w:t>
      </w:r>
    </w:p>
    <w:p w14:paraId="034784C4">
      <w:pPr>
        <w:pStyle w:val="13"/>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1、采用转账形式缴纳履约担保的，必须从</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的基本账户通过银行转账方式直接划付到</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提供的银行账户，其中产生的手续费由</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承担。</w:t>
      </w:r>
    </w:p>
    <w:p w14:paraId="20EFBEF5">
      <w:pPr>
        <w:pStyle w:val="13"/>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2、采用保函形式的，保函必须为不可撤销且见索即付。履约保函必须由合法经营的金融机构、担保机构出具，保函的内容必须符合</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文件和投标承诺的要求。保函的受益人为</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，保函原件交</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保存。</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对所提交的履约保函的真实性、合法性、有效性负责。</w:t>
      </w:r>
    </w:p>
    <w:p w14:paraId="6C96D867">
      <w:pPr>
        <w:pStyle w:val="13"/>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（三）履约担保的提交时间：</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应当自成交通知书（无论</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领取与否，成交通知书发出时间以成交通知书签发的日期为准）签发后</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日内，向</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提交履约担保，</w:t>
      </w:r>
      <w:r>
        <w:rPr>
          <w:rFonts w:hint="eastAsia" w:ascii="仿宋" w:hAnsi="仿宋" w:eastAsia="仿宋" w:cs="仿宋"/>
          <w:color w:val="auto"/>
          <w:sz w:val="24"/>
          <w:szCs w:val="24"/>
          <w:highlight w:val="none"/>
          <w:lang w:val="en-US" w:eastAsia="zh-CN"/>
        </w:rPr>
        <w:t>主动联系并与甲方</w:t>
      </w:r>
      <w:r>
        <w:rPr>
          <w:rFonts w:hint="eastAsia" w:ascii="仿宋" w:hAnsi="仿宋" w:eastAsia="仿宋" w:cs="仿宋"/>
          <w:color w:val="auto"/>
          <w:sz w:val="24"/>
          <w:szCs w:val="24"/>
          <w:highlight w:val="none"/>
        </w:rPr>
        <w:t>签订</w:t>
      </w:r>
      <w:r>
        <w:rPr>
          <w:rFonts w:hint="eastAsia" w:ascii="仿宋" w:hAnsi="仿宋" w:eastAsia="仿宋" w:cs="仿宋"/>
          <w:color w:val="auto"/>
          <w:sz w:val="24"/>
          <w:szCs w:val="24"/>
          <w:highlight w:val="none"/>
          <w:lang w:val="en-US" w:eastAsia="zh-CN"/>
        </w:rPr>
        <w:t>施工</w:t>
      </w:r>
      <w:r>
        <w:rPr>
          <w:rFonts w:hint="eastAsia" w:ascii="仿宋" w:hAnsi="仿宋" w:eastAsia="仿宋" w:cs="仿宋"/>
          <w:color w:val="auto"/>
          <w:sz w:val="24"/>
          <w:szCs w:val="24"/>
          <w:highlight w:val="none"/>
        </w:rPr>
        <w:t>合同。如</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未按上述要求及时办理，</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有权取消其成交资格</w:t>
      </w:r>
      <w:r>
        <w:rPr>
          <w:rFonts w:hint="eastAsia" w:ascii="仿宋" w:hAnsi="仿宋" w:eastAsia="仿宋" w:cs="仿宋"/>
          <w:color w:val="auto"/>
          <w:sz w:val="24"/>
          <w:szCs w:val="24"/>
          <w:highlight w:val="none"/>
          <w:lang w:eastAsia="zh-CN"/>
        </w:rPr>
        <w:t>并上报政府采购主管部门，并追究其法律责任。</w:t>
      </w:r>
    </w:p>
    <w:p w14:paraId="61160FBB">
      <w:pPr>
        <w:pStyle w:val="13"/>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i w:val="0"/>
          <w:iCs w:val="0"/>
          <w:color w:val="auto"/>
          <w:kern w:val="2"/>
          <w:sz w:val="24"/>
          <w:szCs w:val="24"/>
          <w:highlight w:val="none"/>
          <w:lang w:val="en-US" w:eastAsia="zh-CN" w:bidi="ar-SA"/>
        </w:rPr>
      </w:pPr>
      <w:r>
        <w:rPr>
          <w:rFonts w:hint="eastAsia" w:ascii="仿宋" w:hAnsi="仿宋" w:eastAsia="仿宋" w:cs="仿宋"/>
          <w:color w:val="auto"/>
          <w:sz w:val="24"/>
          <w:szCs w:val="24"/>
          <w:highlight w:val="none"/>
        </w:rPr>
        <w:t>（四）履约担保的退还时间：工程竣工验收合格后14天内退还。</w:t>
      </w:r>
    </w:p>
    <w:p w14:paraId="5303D0AD">
      <w:pPr>
        <w:pageBreakBefore w:val="0"/>
        <w:widowControl/>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八、结算原则</w:t>
      </w:r>
    </w:p>
    <w:p w14:paraId="69CDD8E6">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结算总价=分部分项工程量清单结算价+工程变更或增减部分结算+措施费（除安全文明施工费）+安全文明施工费+规费+税金+合同约定其它费用。</w:t>
      </w:r>
    </w:p>
    <w:p w14:paraId="3466BE54">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（一）本合同采用固定综合单价合同，综合单价不因工程量的增减（工程量的变化、施工方式的变化）而调整。除非合同另有约定，投标报价的工程量清单中的综合单价均已包含但不限于</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为实施和完成合同工程量清单项目所需的人工费、材料费、机械费、企业管理费、利润、风险费用。</w:t>
      </w:r>
    </w:p>
    <w:p w14:paraId="6762155F">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（二）各部分的结算原则如下:</w:t>
      </w:r>
    </w:p>
    <w:p w14:paraId="311174C1">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1.分部分项工程量清单结算总价:</w:t>
      </w:r>
    </w:p>
    <w:p w14:paraId="0124290C">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分部分项工程结算价=综合单价×子项工程量</w:t>
      </w:r>
    </w:p>
    <w:p w14:paraId="080903B2">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综合单价=</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投标报价中分部分项清单中的综合单价</w:t>
      </w:r>
    </w:p>
    <w:p w14:paraId="15DBDD15">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子项工程量:工程量计算以施工图、设计变更、有效签证资料(签字且盖章)及竣工图作为计算依据，按</w:t>
      </w:r>
      <w:r>
        <w:rPr>
          <w:rFonts w:hint="eastAsia" w:ascii="仿宋" w:hAnsi="仿宋" w:eastAsia="仿宋" w:cs="仿宋"/>
          <w:color w:val="auto"/>
          <w:kern w:val="0"/>
          <w:sz w:val="24"/>
          <w:szCs w:val="24"/>
          <w:highlight w:val="none"/>
          <w:lang w:val="en-US" w:eastAsia="zh-CN"/>
        </w:rPr>
        <w:t>国家技术和经济规范及标准、《建设项目施工图预算编审规程》（CECA/GC 5-2010）、《建设工程工程量清单计价规范》（GB50500-2013）、《重庆市建设工程工程量清单计价规则》（CQJJGZ-2013）、《重庆市建设工程工程量计算规则》（CQJLGZ-2013）、《重庆市房屋建筑与装饰工程计价定额》（CQJZZSDE-2018）、《重庆市通用安装工程计价定额》（CQAZDE-2018）、《重庆市建设工程费用定额》（CQFYDE-2018） 及相关配套文件的规定</w:t>
      </w:r>
      <w:r>
        <w:rPr>
          <w:rFonts w:hint="eastAsia" w:ascii="仿宋" w:hAnsi="仿宋" w:eastAsia="仿宋" w:cs="仿宋"/>
          <w:color w:val="auto"/>
          <w:sz w:val="24"/>
          <w:szCs w:val="24"/>
          <w:highlight w:val="none"/>
          <w:lang w:eastAsia="zh-CN"/>
        </w:rPr>
        <w:t>规定的</w:t>
      </w:r>
      <w:r>
        <w:rPr>
          <w:rFonts w:hint="eastAsia" w:ascii="仿宋" w:hAnsi="仿宋" w:eastAsia="仿宋" w:cs="仿宋"/>
          <w:color w:val="auto"/>
          <w:sz w:val="24"/>
          <w:szCs w:val="24"/>
          <w:highlight w:val="none"/>
        </w:rPr>
        <w:t>计量规则计算的合格工程量作为结算依据。</w:t>
      </w:r>
    </w:p>
    <w:p w14:paraId="44A12404">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2.设计变更、新增项目</w:t>
      </w:r>
    </w:p>
    <w:p w14:paraId="4BB48944">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当发生设计变更或新增项目，</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及监理工程师按照下列计价原则结算：</w:t>
      </w:r>
    </w:p>
    <w:p w14:paraId="10F7B0B4">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当发生设计变更或新增项，设计变更或新增项按《南岸区政府投资项目管理办法》（南岸府发【2017】29号文）执行，</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及监理工程师按照</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房屋建筑与装饰工程工程量计算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 50</w:t>
      </w:r>
      <w:r>
        <w:rPr>
          <w:rFonts w:hint="eastAsia" w:ascii="仿宋" w:hAnsi="仿宋" w:eastAsia="仿宋" w:cs="仿宋"/>
          <w:color w:val="auto"/>
          <w:sz w:val="24"/>
          <w:szCs w:val="24"/>
          <w:highlight w:val="none"/>
          <w:lang w:val="en-US" w:eastAsia="zh-CN"/>
        </w:rPr>
        <w:t>854</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仿古建筑工程工程量计算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（GB50</w:t>
      </w:r>
      <w:r>
        <w:rPr>
          <w:rFonts w:hint="eastAsia" w:ascii="仿宋" w:hAnsi="仿宋" w:eastAsia="仿宋" w:cs="仿宋"/>
          <w:color w:val="auto"/>
          <w:sz w:val="24"/>
          <w:szCs w:val="24"/>
          <w:highlight w:val="none"/>
          <w:lang w:val="en-US" w:eastAsia="zh-CN"/>
        </w:rPr>
        <w:t>855</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通用安装工程工程量计算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 50</w:t>
      </w:r>
      <w:r>
        <w:rPr>
          <w:rFonts w:hint="eastAsia" w:ascii="仿宋" w:hAnsi="仿宋" w:eastAsia="仿宋" w:cs="仿宋"/>
          <w:color w:val="auto"/>
          <w:sz w:val="24"/>
          <w:szCs w:val="24"/>
          <w:highlight w:val="none"/>
          <w:lang w:val="en-US" w:eastAsia="zh-CN"/>
        </w:rPr>
        <w:t>856</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市政工程工程量计算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 50</w:t>
      </w:r>
      <w:r>
        <w:rPr>
          <w:rFonts w:hint="eastAsia" w:ascii="仿宋" w:hAnsi="仿宋" w:eastAsia="仿宋" w:cs="仿宋"/>
          <w:color w:val="auto"/>
          <w:sz w:val="24"/>
          <w:szCs w:val="24"/>
          <w:highlight w:val="none"/>
          <w:lang w:val="en-US" w:eastAsia="zh-CN"/>
        </w:rPr>
        <w:t>857</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园林绿化工程工程量计算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（GB50</w:t>
      </w:r>
      <w:r>
        <w:rPr>
          <w:rFonts w:hint="eastAsia" w:ascii="仿宋" w:hAnsi="仿宋" w:eastAsia="仿宋" w:cs="仿宋"/>
          <w:color w:val="auto"/>
          <w:sz w:val="24"/>
          <w:szCs w:val="24"/>
          <w:highlight w:val="none"/>
          <w:lang w:val="en-US" w:eastAsia="zh-CN"/>
        </w:rPr>
        <w:t>858</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构筑物工程工程量计算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（GB50</w:t>
      </w:r>
      <w:r>
        <w:rPr>
          <w:rFonts w:hint="eastAsia" w:ascii="仿宋" w:hAnsi="仿宋" w:eastAsia="仿宋" w:cs="仿宋"/>
          <w:color w:val="auto"/>
          <w:sz w:val="24"/>
          <w:szCs w:val="24"/>
          <w:highlight w:val="none"/>
          <w:lang w:val="en-US" w:eastAsia="zh-CN"/>
        </w:rPr>
        <w:t>860</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城市轨道交通工程工程量计算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（GB50</w:t>
      </w:r>
      <w:r>
        <w:rPr>
          <w:rFonts w:hint="eastAsia" w:ascii="仿宋" w:hAnsi="仿宋" w:eastAsia="仿宋" w:cs="仿宋"/>
          <w:color w:val="auto"/>
          <w:sz w:val="24"/>
          <w:szCs w:val="24"/>
          <w:highlight w:val="none"/>
          <w:lang w:val="en-US" w:eastAsia="zh-CN"/>
        </w:rPr>
        <w:t>861</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爆破工程工程量计算规范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（GB50</w:t>
      </w:r>
      <w:r>
        <w:rPr>
          <w:rFonts w:hint="eastAsia" w:ascii="仿宋" w:hAnsi="仿宋" w:eastAsia="仿宋" w:cs="仿宋"/>
          <w:color w:val="auto"/>
          <w:sz w:val="24"/>
          <w:szCs w:val="24"/>
          <w:highlight w:val="none"/>
          <w:lang w:val="en-US" w:eastAsia="zh-CN"/>
        </w:rPr>
        <w:t>862</w:t>
      </w:r>
      <w:r>
        <w:rPr>
          <w:rFonts w:hint="eastAsia" w:ascii="仿宋" w:hAnsi="仿宋" w:eastAsia="仿宋" w:cs="仿宋"/>
          <w:color w:val="auto"/>
          <w:sz w:val="24"/>
          <w:szCs w:val="24"/>
          <w:highlight w:val="none"/>
          <w:lang w:eastAsia="zh-CN"/>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）、《重庆市建设工程工程量计算规则》（</w:t>
      </w:r>
      <w:r>
        <w:rPr>
          <w:rFonts w:hint="eastAsia" w:ascii="仿宋" w:hAnsi="仿宋" w:eastAsia="仿宋" w:cs="仿宋"/>
          <w:color w:val="auto"/>
          <w:sz w:val="24"/>
          <w:szCs w:val="24"/>
          <w:highlight w:val="none"/>
          <w:lang w:val="en-US" w:eastAsia="zh-CN"/>
        </w:rPr>
        <w:t>CQJLGZ</w:t>
      </w:r>
      <w:r>
        <w:rPr>
          <w:rFonts w:hint="eastAsia" w:ascii="仿宋" w:hAnsi="仿宋" w:eastAsia="仿宋" w:cs="仿宋"/>
          <w:color w:val="auto"/>
          <w:sz w:val="24"/>
          <w:szCs w:val="24"/>
          <w:highlight w:val="none"/>
          <w:lang w:eastAsia="zh-CN"/>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《重庆市市政工程计价定额》（CQSZDE-2018）</w:t>
      </w:r>
      <w:r>
        <w:rPr>
          <w:rFonts w:hint="eastAsia" w:ascii="仿宋" w:hAnsi="仿宋" w:eastAsia="仿宋" w:cs="仿宋"/>
          <w:color w:val="auto"/>
          <w:sz w:val="24"/>
          <w:szCs w:val="24"/>
          <w:highlight w:val="none"/>
          <w:lang w:eastAsia="zh-CN"/>
        </w:rPr>
        <w:t>、《重庆市通用安装工程计价定额》（CQAZDE-2018）、《重庆市房屋修缮工程计价定额》（CQXSDE-2018）、《重庆市仿古建筑工程计价定额》（CQFGDE-2018）、《重庆市构筑物工程计价定额》（CQGZWDE-2018）、《重庆市房屋建筑与装饰工程计价定额》（CQJZZSDE-2018）、</w:t>
      </w:r>
      <w:r>
        <w:rPr>
          <w:rFonts w:hint="eastAsia" w:ascii="仿宋" w:hAnsi="仿宋" w:eastAsia="仿宋" w:cs="仿宋"/>
          <w:color w:val="auto"/>
          <w:sz w:val="24"/>
          <w:szCs w:val="24"/>
          <w:highlight w:val="none"/>
          <w:lang w:val="zh-CN" w:eastAsia="zh-CN"/>
        </w:rPr>
        <w:t>《重庆市建设工程费用定额》（</w:t>
      </w:r>
      <w:r>
        <w:rPr>
          <w:rFonts w:hint="eastAsia" w:ascii="仿宋" w:hAnsi="仿宋" w:eastAsia="仿宋" w:cs="仿宋"/>
          <w:color w:val="auto"/>
          <w:sz w:val="24"/>
          <w:szCs w:val="24"/>
          <w:highlight w:val="none"/>
          <w:lang w:val="en-US" w:eastAsia="zh-CN"/>
        </w:rPr>
        <w:t>CQFYDE-2018</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rPr>
        <w:t>、《关于建筑业营业税改征增值税调整建设工程计价依据的通知》（渝建发[2016]35号）和《重庆市城乡建设建设委员会关于适用增值税新税率调整建设工程计价依据的通知》（[2018]195号文）及重庆2018定额规定的计算规则计，并按以下办法计价：</w:t>
      </w:r>
    </w:p>
    <w:p w14:paraId="6E6F14D7">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A：已标价工程量清单中有适用于变更工作的子目，采用该子目的综合单价。</w:t>
      </w:r>
    </w:p>
    <w:p w14:paraId="4DE64072">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已标价工程量清单中无适用于变更工程的子目，但有类似子目的，可在合理范围内参照类似子目的综合单价，对该子目主材的价格进行调整主材调整原则：投标时有的材料按投标价执行，调入时取投标价和开标当期《重庆工程造价信息》公布的信息价的低值，且不偏离市场行情；投标时没有的材料，</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充分结合建筑市场行情核质核价，不高于施工同期《重庆工程造价信息》公布的信息价和背离市场行情，最终以审计审定的结果为准。调整后的综合单价作为类似子目的综合单价（类似子目由招标人确定，投标的人工、主材单价表作为合同附件）。</w:t>
      </w:r>
    </w:p>
    <w:p w14:paraId="21B95D46">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C：已标价工程量清单中无适用或类似子目的综合单价，结算参照</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房屋建筑与装饰工程工程量计算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 50</w:t>
      </w:r>
      <w:r>
        <w:rPr>
          <w:rFonts w:hint="eastAsia" w:ascii="仿宋" w:hAnsi="仿宋" w:eastAsia="仿宋" w:cs="仿宋"/>
          <w:color w:val="auto"/>
          <w:sz w:val="24"/>
          <w:szCs w:val="24"/>
          <w:highlight w:val="none"/>
          <w:lang w:val="en-US" w:eastAsia="zh-CN"/>
        </w:rPr>
        <w:t>854</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仿古建筑工程工程量计算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（GB50</w:t>
      </w:r>
      <w:r>
        <w:rPr>
          <w:rFonts w:hint="eastAsia" w:ascii="仿宋" w:hAnsi="仿宋" w:eastAsia="仿宋" w:cs="仿宋"/>
          <w:color w:val="auto"/>
          <w:sz w:val="24"/>
          <w:szCs w:val="24"/>
          <w:highlight w:val="none"/>
          <w:lang w:val="en-US" w:eastAsia="zh-CN"/>
        </w:rPr>
        <w:t>855</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通用安装工程工程量计算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 50</w:t>
      </w:r>
      <w:r>
        <w:rPr>
          <w:rFonts w:hint="eastAsia" w:ascii="仿宋" w:hAnsi="仿宋" w:eastAsia="仿宋" w:cs="仿宋"/>
          <w:color w:val="auto"/>
          <w:sz w:val="24"/>
          <w:szCs w:val="24"/>
          <w:highlight w:val="none"/>
          <w:lang w:val="en-US" w:eastAsia="zh-CN"/>
        </w:rPr>
        <w:t>856</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市政工程工程量计算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 50</w:t>
      </w:r>
      <w:r>
        <w:rPr>
          <w:rFonts w:hint="eastAsia" w:ascii="仿宋" w:hAnsi="仿宋" w:eastAsia="仿宋" w:cs="仿宋"/>
          <w:color w:val="auto"/>
          <w:sz w:val="24"/>
          <w:szCs w:val="24"/>
          <w:highlight w:val="none"/>
          <w:lang w:val="en-US" w:eastAsia="zh-CN"/>
        </w:rPr>
        <w:t>857</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园林绿化工程工程量计算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（GB50</w:t>
      </w:r>
      <w:r>
        <w:rPr>
          <w:rFonts w:hint="eastAsia" w:ascii="仿宋" w:hAnsi="仿宋" w:eastAsia="仿宋" w:cs="仿宋"/>
          <w:color w:val="auto"/>
          <w:sz w:val="24"/>
          <w:szCs w:val="24"/>
          <w:highlight w:val="none"/>
          <w:lang w:val="en-US" w:eastAsia="zh-CN"/>
        </w:rPr>
        <w:t>858</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构筑物工程工程量计算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（GB50</w:t>
      </w:r>
      <w:r>
        <w:rPr>
          <w:rFonts w:hint="eastAsia" w:ascii="仿宋" w:hAnsi="仿宋" w:eastAsia="仿宋" w:cs="仿宋"/>
          <w:color w:val="auto"/>
          <w:sz w:val="24"/>
          <w:szCs w:val="24"/>
          <w:highlight w:val="none"/>
          <w:lang w:val="en-US" w:eastAsia="zh-CN"/>
        </w:rPr>
        <w:t>860</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城市轨道交通工程工程量计算</w:t>
      </w:r>
      <w:r>
        <w:rPr>
          <w:rFonts w:hint="eastAsia" w:ascii="仿宋" w:hAnsi="仿宋" w:eastAsia="仿宋" w:cs="仿宋"/>
          <w:color w:val="auto"/>
          <w:sz w:val="24"/>
          <w:szCs w:val="24"/>
          <w:highlight w:val="none"/>
        </w:rPr>
        <w:t>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（GB50</w:t>
      </w:r>
      <w:r>
        <w:rPr>
          <w:rFonts w:hint="eastAsia" w:ascii="仿宋" w:hAnsi="仿宋" w:eastAsia="仿宋" w:cs="仿宋"/>
          <w:color w:val="auto"/>
          <w:sz w:val="24"/>
          <w:szCs w:val="24"/>
          <w:highlight w:val="none"/>
          <w:lang w:val="en-US" w:eastAsia="zh-CN"/>
        </w:rPr>
        <w:t>861</w:t>
      </w:r>
      <w:r>
        <w:rPr>
          <w:rFonts w:hint="eastAsia" w:ascii="仿宋" w:hAnsi="仿宋" w:eastAsia="仿宋" w:cs="仿宋"/>
          <w:color w:val="auto"/>
          <w:sz w:val="24"/>
          <w:szCs w:val="24"/>
          <w:highlight w:val="none"/>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爆破工程工程量计算规范</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（GB50</w:t>
      </w:r>
      <w:r>
        <w:rPr>
          <w:rFonts w:hint="eastAsia" w:ascii="仿宋" w:hAnsi="仿宋" w:eastAsia="仿宋" w:cs="仿宋"/>
          <w:color w:val="auto"/>
          <w:sz w:val="24"/>
          <w:szCs w:val="24"/>
          <w:highlight w:val="none"/>
          <w:lang w:val="en-US" w:eastAsia="zh-CN"/>
        </w:rPr>
        <w:t>862</w:t>
      </w:r>
      <w:r>
        <w:rPr>
          <w:rFonts w:hint="eastAsia" w:ascii="仿宋" w:hAnsi="仿宋" w:eastAsia="仿宋" w:cs="仿宋"/>
          <w:color w:val="auto"/>
          <w:sz w:val="24"/>
          <w:szCs w:val="24"/>
          <w:highlight w:val="none"/>
          <w:lang w:eastAsia="zh-CN"/>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）、《重庆市建设工程工程量计算规则》（</w:t>
      </w:r>
      <w:r>
        <w:rPr>
          <w:rFonts w:hint="eastAsia" w:ascii="仿宋" w:hAnsi="仿宋" w:eastAsia="仿宋" w:cs="仿宋"/>
          <w:color w:val="auto"/>
          <w:sz w:val="24"/>
          <w:szCs w:val="24"/>
          <w:highlight w:val="none"/>
          <w:lang w:val="en-US" w:eastAsia="zh-CN"/>
        </w:rPr>
        <w:t>CQJLGZ</w:t>
      </w:r>
      <w:r>
        <w:rPr>
          <w:rFonts w:hint="eastAsia" w:ascii="仿宋" w:hAnsi="仿宋" w:eastAsia="仿宋" w:cs="仿宋"/>
          <w:color w:val="auto"/>
          <w:sz w:val="24"/>
          <w:szCs w:val="24"/>
          <w:highlight w:val="none"/>
          <w:lang w:eastAsia="zh-CN"/>
        </w:rPr>
        <w:t>—201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《重庆市市政工程计价定额》（CQSZDE-2018）</w:t>
      </w:r>
      <w:r>
        <w:rPr>
          <w:rFonts w:hint="eastAsia" w:ascii="仿宋" w:hAnsi="仿宋" w:eastAsia="仿宋" w:cs="仿宋"/>
          <w:color w:val="auto"/>
          <w:sz w:val="24"/>
          <w:szCs w:val="24"/>
          <w:highlight w:val="none"/>
          <w:lang w:eastAsia="zh-CN"/>
        </w:rPr>
        <w:t>、《重庆市通用安装工程计价定额》（CQAZDE-2018）、《重庆市房屋修缮工程计价定额》（CQXSDE-2018）、《重庆市仿古建筑工程计价定额》（CQFGDE-2018）、《重庆市构筑物工程计价定额》（CQGZWDE-2018）、《重庆市房屋建筑与装饰工程计价定额》（CQJZZSDE-2018）、</w:t>
      </w:r>
      <w:r>
        <w:rPr>
          <w:rFonts w:hint="eastAsia" w:ascii="仿宋" w:hAnsi="仿宋" w:eastAsia="仿宋" w:cs="仿宋"/>
          <w:color w:val="auto"/>
          <w:sz w:val="24"/>
          <w:szCs w:val="24"/>
          <w:highlight w:val="none"/>
          <w:lang w:val="zh-CN" w:eastAsia="zh-CN"/>
        </w:rPr>
        <w:t>《重庆市建设工程费用定额》（</w:t>
      </w:r>
      <w:r>
        <w:rPr>
          <w:rFonts w:hint="eastAsia" w:ascii="仿宋" w:hAnsi="仿宋" w:eastAsia="仿宋" w:cs="仿宋"/>
          <w:color w:val="auto"/>
          <w:sz w:val="24"/>
          <w:szCs w:val="24"/>
          <w:highlight w:val="none"/>
          <w:lang w:val="en-US" w:eastAsia="zh-CN"/>
        </w:rPr>
        <w:t>CQFYDE-2018</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sz w:val="24"/>
          <w:szCs w:val="24"/>
          <w:highlight w:val="none"/>
        </w:rPr>
        <w:t>、《关于建筑业营业税改征增值税调整建设工程计价依据的通知》（渝建发[2016]35号）并结合《重庆市城乡建设建设委员会关于适用增值税新税率调整建设工程计价依据的通知》（[2018]195号文）</w:t>
      </w:r>
      <w:r>
        <w:rPr>
          <w:rFonts w:hint="eastAsia" w:ascii="仿宋" w:hAnsi="仿宋" w:eastAsia="仿宋" w:cs="仿宋"/>
          <w:color w:val="auto"/>
          <w:sz w:val="24"/>
          <w:szCs w:val="24"/>
          <w:highlight w:val="none"/>
          <w:lang w:val="en-US" w:eastAsia="zh-CN"/>
        </w:rPr>
        <w:t>及相关配套文件进行组价并按投标人报价浮动率下浮(人工价差、材料价差、未计价材料、认质核价的设备和材料不参与浮动)，经监理人、跟审单位、发包人审定后执行。</w:t>
      </w:r>
    </w:p>
    <w:p w14:paraId="48395CCD">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投标人报价浮动率按下列公式计算:投标人报价浮动率=(1-中标价/最高限价)X100%。</w:t>
      </w:r>
    </w:p>
    <w:p w14:paraId="70DA9E28">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其中人工工日、材料单价、施工机械使用费的确定原则：投标时有的材料按投标价执行，其中调入时取投标价和开标当期《重庆工程造价信息》公布的信息价的低值，且不偏离市场行情；投标时没有的材料，</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充分结合建筑市场行情核质核价，不高于施工同期《重庆工程造价信息》公布的信息价和背离市场行情，最终以审计审定的结果为准。调整后的综合单价作为类似子目的综合单价（类似子目由招标人确定，投标的人工、主材单价表作为合同附件）。</w:t>
      </w:r>
    </w:p>
    <w:p w14:paraId="2C3184D4">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3.措施项目</w:t>
      </w:r>
    </w:p>
    <w:p w14:paraId="046E48B1">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①已标价工程量清单范围内以项为计量单位的措施项目费（安全文明施工费除外）包干使用；不以项为计量单位的措施项目费包干使用。</w:t>
      </w:r>
    </w:p>
    <w:p w14:paraId="08CC8512">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②工程变更引起施工方案改变使措施项目发生变化的，措施项目费不作调整。</w:t>
      </w:r>
    </w:p>
    <w:p w14:paraId="2ADD00A9">
      <w:pPr>
        <w:pageBreakBefore w:val="0"/>
        <w:widowControl w:val="0"/>
        <w:kinsoku/>
        <w:wordWrap/>
        <w:overflowPunct/>
        <w:topLinePunct w:val="0"/>
        <w:autoSpaceDE/>
        <w:autoSpaceDN/>
        <w:bidi w:val="0"/>
        <w:adjustRightInd/>
        <w:snapToGrid w:val="0"/>
        <w:spacing w:line="440" w:lineRule="exact"/>
        <w:ind w:firstLine="53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安全文明施工费按照《重庆市建设工程安全文明施工费计取及使用管理规定》（渝建发〔2014〕25号）、《重庆市建设工程费用定额》（CQFYDE-2018）、《重庆市城乡建设委员会关于适用增值税新税率调整建设工程计价依据的通知》（渝建〔2019〕143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重庆市</w:t>
      </w:r>
      <w:r>
        <w:rPr>
          <w:rFonts w:hint="eastAsia" w:ascii="仿宋" w:hAnsi="仿宋" w:eastAsia="仿宋" w:cs="仿宋"/>
          <w:color w:val="auto"/>
          <w:sz w:val="24"/>
          <w:szCs w:val="24"/>
          <w:highlight w:val="none"/>
        </w:rPr>
        <w:t>住房和城乡建设委员会关于</w:t>
      </w:r>
      <w:r>
        <w:rPr>
          <w:rFonts w:hint="eastAsia" w:ascii="仿宋" w:hAnsi="仿宋" w:eastAsia="仿宋" w:cs="仿宋"/>
          <w:color w:val="auto"/>
          <w:sz w:val="24"/>
          <w:szCs w:val="24"/>
          <w:highlight w:val="none"/>
          <w:lang w:val="en-US" w:eastAsia="zh-CN"/>
        </w:rPr>
        <w:t>修订发布&lt;重庆市建设工程安全文明施工费计取及使用管理规定&gt;的通知</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渝建管</w:t>
      </w: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38</w:t>
      </w:r>
      <w:r>
        <w:rPr>
          <w:rFonts w:hint="eastAsia" w:ascii="仿宋" w:hAnsi="仿宋" w:eastAsia="仿宋" w:cs="仿宋"/>
          <w:color w:val="auto"/>
          <w:sz w:val="24"/>
          <w:szCs w:val="24"/>
          <w:highlight w:val="none"/>
        </w:rPr>
        <w:t>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的规定进行结算。</w:t>
      </w:r>
    </w:p>
    <w:p w14:paraId="252B13E3">
      <w:pPr>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4.其他项目：</w:t>
      </w:r>
    </w:p>
    <w:p w14:paraId="7BF4D438">
      <w:pPr>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①材料（工程设备）暂估价：按照计量原则约定及对应定额消耗量确定的数量乘以监理人、跟审单位、发包人根据市场行情认质核价确定的价格进行结算。</w:t>
      </w:r>
    </w:p>
    <w:p w14:paraId="392ADE3C">
      <w:pPr>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②本工程采用专业工程暂估价或暂列金额采购的，结算时按实结算。其中以暂列金额采购的施工内容实施与否由</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决定。</w:t>
      </w:r>
    </w:p>
    <w:p w14:paraId="2CB81C56">
      <w:pPr>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5.规费：按投标费率结算，若</w:t>
      </w:r>
      <w:r>
        <w:rPr>
          <w:rFonts w:hint="eastAsia" w:ascii="仿宋" w:hAnsi="仿宋" w:eastAsia="仿宋" w:cs="仿宋"/>
          <w:color w:val="auto"/>
          <w:sz w:val="24"/>
          <w:szCs w:val="24"/>
          <w:highlight w:val="none"/>
          <w:lang w:val="en-US" w:eastAsia="zh-CN"/>
        </w:rPr>
        <w:t>中标人</w:t>
      </w:r>
      <w:r>
        <w:rPr>
          <w:rFonts w:hint="eastAsia" w:ascii="仿宋" w:hAnsi="仿宋" w:eastAsia="仿宋" w:cs="仿宋"/>
          <w:color w:val="auto"/>
          <w:sz w:val="24"/>
          <w:szCs w:val="24"/>
          <w:highlight w:val="none"/>
        </w:rPr>
        <w:t>的投标报价中规费费率高于规定费率，则以规定费率结算，若中标人的投标报价中规费费率低于规定费率，则以投标报价中规费费率结算。</w:t>
      </w:r>
    </w:p>
    <w:p w14:paraId="7850836B">
      <w:pPr>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6.税金：按</w:t>
      </w:r>
      <w:r>
        <w:rPr>
          <w:rFonts w:hint="eastAsia" w:ascii="仿宋" w:hAnsi="仿宋" w:eastAsia="仿宋" w:cs="仿宋"/>
          <w:color w:val="auto"/>
          <w:sz w:val="24"/>
          <w:szCs w:val="24"/>
          <w:highlight w:val="none"/>
          <w:lang w:val="zh-CN"/>
        </w:rPr>
        <w:t>《重庆市城乡建设委员会关于建筑业营业税改征增值税调整建设工程计价依据的通知》（渝建（2016）35号）、</w:t>
      </w:r>
      <w:r>
        <w:rPr>
          <w:rFonts w:hint="eastAsia" w:ascii="仿宋" w:hAnsi="仿宋" w:eastAsia="仿宋" w:cs="仿宋"/>
          <w:color w:val="auto"/>
          <w:sz w:val="24"/>
          <w:szCs w:val="24"/>
          <w:highlight w:val="none"/>
        </w:rPr>
        <w:t>国家税务总局《关于调整增值税税率的通知》（财税〔2018〕32号）、住房城乡建设部办公厅《关于调整建设工程计价依据增值税税率的通知》（建办标〔2018〕20号）、重庆市城乡建设委员会《关于适用增值税新税率调整建设工程计价依据的通知》（渝建〔2018〕195号）及《关于适用增值税新税率调整建设工程计价依据的通知》（渝建（2019）143号）执行，按增值税一般计税方法结算。</w:t>
      </w:r>
    </w:p>
    <w:p w14:paraId="7E7AF345">
      <w:pPr>
        <w:pageBreakBefore w:val="0"/>
        <w:widowControl w:val="0"/>
        <w:kinsoku/>
        <w:wordWrap/>
        <w:overflowPunct/>
        <w:topLinePunct w:val="0"/>
        <w:autoSpaceDE/>
        <w:autoSpaceDN/>
        <w:bidi w:val="0"/>
        <w:adjustRightInd/>
        <w:snapToGrid w:val="0"/>
        <w:spacing w:line="440" w:lineRule="exact"/>
        <w:ind w:firstLine="482"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7.本工程的最终结算总价以相关部门或</w:t>
      </w:r>
      <w:r>
        <w:rPr>
          <w:rFonts w:hint="eastAsia" w:ascii="仿宋" w:hAnsi="仿宋" w:eastAsia="仿宋" w:cs="仿宋"/>
          <w:b/>
          <w:bCs/>
          <w:color w:val="auto"/>
          <w:sz w:val="24"/>
          <w:szCs w:val="24"/>
          <w:highlight w:val="none"/>
          <w:lang w:val="en-US" w:eastAsia="zh-CN"/>
        </w:rPr>
        <w:t>第三方</w:t>
      </w:r>
      <w:r>
        <w:rPr>
          <w:rFonts w:hint="eastAsia" w:ascii="仿宋" w:hAnsi="仿宋" w:eastAsia="仿宋" w:cs="仿宋"/>
          <w:b/>
          <w:bCs/>
          <w:color w:val="auto"/>
          <w:sz w:val="24"/>
          <w:szCs w:val="24"/>
          <w:highlight w:val="none"/>
        </w:rPr>
        <w:t>单位审定的金额为准。</w:t>
      </w:r>
    </w:p>
    <w:p w14:paraId="0C37EDDF">
      <w:pPr>
        <w:pageBreakBefore w:val="0"/>
        <w:widowControl/>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九、双方权利及责任</w:t>
      </w:r>
    </w:p>
    <w:p w14:paraId="6865A957">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1.甲方权利及责任</w:t>
      </w:r>
    </w:p>
    <w:p w14:paraId="3913B1DA">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1.1组织有关单位及人员对施工图等技术资料进行审定。</w:t>
      </w:r>
    </w:p>
    <w:p w14:paraId="766C296F">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1.2提供乙方施工临时用水、用电等。</w:t>
      </w:r>
    </w:p>
    <w:p w14:paraId="620947B9">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1.3按合同约定及时支付乙方工程款项。</w:t>
      </w:r>
    </w:p>
    <w:p w14:paraId="0A3A645F">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1.4协调第三方检测机构进行相关检测。</w:t>
      </w:r>
    </w:p>
    <w:p w14:paraId="53A9457F">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施工完毕，由乙方及时清运建筑垃圾，并做好施工现场地面及其他地方的清洁后，书面通知甲方验收。甲方按合同约定的施工要求逐项检查验收，如发现乙方未按合同要求进行施工，甲方有权向乙方书面提出限期3日内整改，如乙方拒绝整改或不在规定时限内进行整改，属乙方违约，甲方有权终止合同，乙方按合同总金额的10 %支付违约金给甲方。</w:t>
      </w:r>
    </w:p>
    <w:p w14:paraId="33C9662C">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1.6向乙方提供施工相关要求及标准。</w:t>
      </w:r>
    </w:p>
    <w:p w14:paraId="1FEDCF0D">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对乙方进场的货物、材料按合同约定进行抽查，经现场抽查不合要求的，有权要求乙方立即停止使用并立即更换；如果乙方拒绝更换，甲方有权终止合同。甲方如果发现乙方在施工过程中使用假冒伪劣产品，将对乙方按照相关法律法规移交相关部门进行处理。</w:t>
      </w:r>
    </w:p>
    <w:p w14:paraId="4DBB6A1A">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 因乙方在施工过程中，存在不按合同要求，不按施工图和消防技术标准、国家规范施工标准或不按要求恢复原状的行为，甲方有权要求乙方停止施工，并要求乙方赔偿损失，同时甲方有权终止合同。</w:t>
      </w:r>
    </w:p>
    <w:p w14:paraId="5C9D4001">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1.9工程施工过程中的设计变更和材料更换等现场签证均由甲方现场代表签字生效，作为决算依据。</w:t>
      </w:r>
    </w:p>
    <w:p w14:paraId="58393B0E">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2.乙方权利及责任</w:t>
      </w:r>
    </w:p>
    <w:p w14:paraId="62FA5A2A">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乙方在施工期间应严格遵守《建筑安装工程安全技术规程》、《建筑安装工人安全操作规程》、《中华人民共和国消防条例》和其它相关的法规、规范。严格执行施工规范、安全操作规程、防火安全规定、环境保护规定。按照图纸或作法说明进行施工，做好各项质量检查记录，参加竣工验收。</w:t>
      </w:r>
    </w:p>
    <w:p w14:paraId="1E04C86A">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进场施工前，组织相关人员进行施工技术、安全文明生产的交底。遵守国家或地方政府及有关政府部门对施工现场管理的规定，妥善保护好施工现场周围建筑物、设备管线不受损坏，不影响正常上班秩序，做好施工现场保卫、和垃圾清理等工作，处理好由于施工带来的扰民问题及周围单位的关系。</w:t>
      </w:r>
    </w:p>
    <w:p w14:paraId="688F48E1">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2.3乙方在现场施工时，必须服从甲方的统一管理和协调。</w:t>
      </w:r>
    </w:p>
    <w:p w14:paraId="4C18E8A1">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2.4严格按照合同的相关约定组织货物材料设备和器材进场。</w:t>
      </w:r>
    </w:p>
    <w:p w14:paraId="0DBBA2B4">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在施工过程中，乙方必须严格按照本合同要求、施工方案、相关消防技术标准、规范进行施工，确保工程施工质量；乙方负责安全拆除阻碍施工的物品，并尽好保管和恢复义务，完工后必须按原状进行恢复，如有损坏承担赔偿责任及费用；施工过程中要确保施工区域和非施工区域及物资的安全，必须做好安全防护措施，因施工造成施工区域和非施工区域及物资的损坏，因施工造成甲方人员、施工人员及其他善意第三人的人身伤害、财产损失等，均由乙方承担全部赔偿责任，甲方不承担任何责任。</w:t>
      </w:r>
    </w:p>
    <w:p w14:paraId="0153E6B6">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乙方承担恢复原状及赔偿责任，并承担由此涉及的所有费用。施工中未经甲方同意或有关部门批准，不得随意拆改原建筑物结构及此次工程外的各种设备管线。</w:t>
      </w:r>
    </w:p>
    <w:p w14:paraId="29612D82">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整个施工过程不得影响甲方正常工作及休息，要按甲方要求做好无尘、静音施工防护措施，由于本次施工涉及用电，为确保安全，乙方必须按国家标准要求做好绝缘施工安全保护措施，如因乙方不作防护、保护措施，造成甲方人员、施工人员及其他善意第三人的人身伤害、财产损失等，由乙方承担全部赔偿责任。</w:t>
      </w:r>
    </w:p>
    <w:p w14:paraId="0E77D445">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2.7项目施工结束后，乙方应积极配合甲方进行第三方专业检测验收等。</w:t>
      </w:r>
    </w:p>
    <w:p w14:paraId="77A9ADC0">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加强安全文明施工管理，严格落实安全主体责任，乙方在施工期间必须要采取恰当的防护措施，保护施工人员、过路人员、附近人员或善意第三人的人身财产安全，同时要保护施工现场和周边的物资、财产安全，乙方因施工造成的一切安全事故（包括人身、财产安全等），由乙方承担全部赔偿责任，甲方不承担任何责任。</w:t>
      </w:r>
    </w:p>
    <w:p w14:paraId="2DC9A797">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2.9由于乙方原因造成质量事故，其返工费用由乙方承担，工期不顺延。如因乙方原因造成的工期延误、质量责任的一切经济损失由乙方承担，甲方有权终止合同，并不予支付工程款。</w:t>
      </w:r>
    </w:p>
    <w:p w14:paraId="1F2C1B2E">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2.10乙方在施工期间，需采取设置安全警示牌等形式，提示相关人员。乙方必须加强施工期间安全管理，履行和落实安全主体责任，施工或准备过程中发生的安全事故由成交</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自行负责，所有安全责任等与</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无关。</w:t>
      </w:r>
    </w:p>
    <w:p w14:paraId="0B332712">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2.11乙方承建的本合同涉及的工程，不允许转包或分包给第三方，如出现转包、分包情况，甲方有权终止合同。</w:t>
      </w:r>
    </w:p>
    <w:p w14:paraId="2090C80F">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2.12乙方应当保证所提交的营业执照、资质证书等所有文件均是真实有效的，如存在虚假资料，属于乙方违约，甲方有权解除合同，因此给甲方造成的损失应由乙方承担赔偿责任。</w:t>
      </w:r>
    </w:p>
    <w:p w14:paraId="02E7996E">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2.13乙方施工人员在工程施工期间，应服从遵守甲方有关制度及物业的相关装修规定，维护甲方的企业形象，不得借甲方的名义在施工期间从事各种违法违纪活动，由此产生的一切后果由乙方负责。</w:t>
      </w:r>
    </w:p>
    <w:p w14:paraId="34DFC5FD">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2.14乙方应恪守因签署或履行本合同而获知的甲方商业信息、其它商业秘密、文件材料信息等，如将获知的甲方商业秘密泄露给第三方，应赔偿因泄密而给甲方造成的一切损失并承担相应的法律责任。</w:t>
      </w:r>
    </w:p>
    <w:p w14:paraId="361EBBE7">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2.15该项目竣工后因乙方原因未达到合同约定的质量目标，由乙方依合同进行履行而所花的一切费用由乙方自行承担，如乙方拒不执行甲方代表的要求拆除和重新施工，属乙方违约，甲方有权终止合同。</w:t>
      </w:r>
    </w:p>
    <w:p w14:paraId="44167853">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2.16乙方原因无法在承诺交货期内完成交货，按逾期10000元/天从工程进度款中予以扣除。</w:t>
      </w:r>
    </w:p>
    <w:p w14:paraId="24EB9DE9">
      <w:pPr>
        <w:pageBreakBefore w:val="0"/>
        <w:widowControl/>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十、项目质量及验收的约定</w:t>
      </w:r>
    </w:p>
    <w:p w14:paraId="1E5F53E5">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1．本项目以施工图纸、施工方案、设计变更和电力设备运行的国家标准或相关行业标准、消防、公安、质检部门等国家制订的施工及验收规范为质量评定验收标准。</w:t>
      </w:r>
    </w:p>
    <w:p w14:paraId="6142FED2">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2.本项目质量应达到国家质量评定合格标准，属乙方原因造成的不合格工程，承包方返修后必须达到合格标准，并承担返修费用。</w:t>
      </w:r>
    </w:p>
    <w:p w14:paraId="3294F4FD">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3.项目竣工后，乙方应书面通知甲方验收，甲方自接到验收通知书后5个工作日内组织验收，并办理验收、移交手续。如甲方在规定时间内未能组织验收，须及时通知乙方，另择日期。</w:t>
      </w:r>
    </w:p>
    <w:p w14:paraId="68D336BF">
      <w:pPr>
        <w:pageBreakBefore w:val="0"/>
        <w:widowControl/>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十一、项目质量保证期（质保期）</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2  </w:t>
      </w:r>
      <w:r>
        <w:rPr>
          <w:rFonts w:hint="eastAsia" w:ascii="仿宋" w:hAnsi="仿宋" w:eastAsia="仿宋" w:cs="仿宋"/>
          <w:color w:val="auto"/>
          <w:sz w:val="24"/>
          <w:szCs w:val="24"/>
          <w:highlight w:val="none"/>
        </w:rPr>
        <w:t>年（从验收合格之日起计算）。</w:t>
      </w:r>
    </w:p>
    <w:p w14:paraId="07B76FD0">
      <w:pPr>
        <w:pageBreakBefore w:val="0"/>
        <w:widowControl/>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color w:val="auto"/>
          <w:sz w:val="24"/>
          <w:szCs w:val="24"/>
          <w:highlight w:val="none"/>
        </w:rPr>
        <w:t>1.免费维修期内出现任何问题，乙方2小时内免费上门维修。一般维修1个工作日内完成，重大维修3个工作日内完成，3个工作日不能完成的，提前与甲方协商，但最多不能超过7个工作日。如果乙方超期不能完成维修维护，甲方有权将维修维护工作交其他公司承办，并全部扣除乙方质量保证金。每次维修必须填写维修记录单，并由甲方代表签字确认。</w:t>
      </w:r>
    </w:p>
    <w:p w14:paraId="79B5597A">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2.免费维修期过后，如甲方需要，乙方应同样提供上门维修服务。</w:t>
      </w:r>
    </w:p>
    <w:p w14:paraId="706A12DF">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3.免费维修期过后，甲方需要继续由乙方提供维保服务的，成交乙方应以优惠价格提供维保服务。</w:t>
      </w:r>
    </w:p>
    <w:p w14:paraId="6B7AF9C7">
      <w:pPr>
        <w:pageBreakBefore w:val="0"/>
        <w:widowControl/>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十三、违约责任</w:t>
      </w:r>
    </w:p>
    <w:p w14:paraId="48ADCCEA">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如因乙方原因导致延期开工、中途停工或工期延误，属乙方违约，乙方应当按每日2000.00元向甲方承担违约金，并赔偿因此给甲方造成的损失。延期开工、中途停工或工期延误超过3天，甲方有权解除合同，并将该工程合同按</w:t>
      </w:r>
      <w:r>
        <w:rPr>
          <w:rFonts w:hint="eastAsia" w:ascii="仿宋" w:hAnsi="仿宋" w:eastAsia="仿宋" w:cs="仿宋"/>
          <w:color w:val="auto"/>
          <w:sz w:val="24"/>
          <w:szCs w:val="24"/>
          <w:highlight w:val="none"/>
          <w:lang w:val="en-US" w:eastAsia="zh-CN"/>
        </w:rPr>
        <w:t>评标</w:t>
      </w:r>
      <w:r>
        <w:rPr>
          <w:rFonts w:hint="eastAsia" w:ascii="仿宋" w:hAnsi="仿宋" w:eastAsia="仿宋" w:cs="仿宋"/>
          <w:color w:val="auto"/>
          <w:sz w:val="24"/>
          <w:szCs w:val="24"/>
          <w:highlight w:val="none"/>
        </w:rPr>
        <w:t>结果，授予下一名</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候选</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，以此类推。</w:t>
      </w:r>
    </w:p>
    <w:p w14:paraId="48745D7E">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2.未经甲方允许，乙方不得采购与设计图纸及竞标文件不相符合的材料，如经甲方发现，乙方向甲方支付 1000.00 元违约金或按应购材料价值（二者择其价高者确定）向甲方支付违约金，并按甲方要求立即更换认定的材料。</w:t>
      </w:r>
    </w:p>
    <w:p w14:paraId="5F67317E">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3.乙方应妥善保护甲方提供的设备及现场堆放的家具、陈设和工程成品，如造成损失，应照价赔偿。</w:t>
      </w:r>
    </w:p>
    <w:p w14:paraId="51E28E8A">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4.未经甲方同意，乙方擅自拆改原建筑物结构或设备管线，由此发生的损失或事故（包括罚款），由乙方负责并承担给甲方及第三方造成的一切损失。</w:t>
      </w:r>
    </w:p>
    <w:p w14:paraId="557B4B75">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5.因一方原因，合同无法继续履行时，应通知对方，办理合同终止协议，并由责任方赔偿对方由此造成的一切经济损失。</w:t>
      </w:r>
    </w:p>
    <w:p w14:paraId="29BAC757">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6.乙方施工的任一工程验收不合格，甲方有权要求乙方拆除并重做，由此造成的损失由乙方承担赔付。</w:t>
      </w:r>
    </w:p>
    <w:p w14:paraId="45550A5C">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7.如因一方违约，双方未能就赔偿损失达成协议，引起诉讼或仲裁时，违约方除应赔偿对方经济损失外，还应承担对方诉讼仲裁费用及因诉讼或仲裁所支付的律师代理费等相关费用。</w:t>
      </w:r>
    </w:p>
    <w:p w14:paraId="5D91265B">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8.其它应承担的违约责任，以《中华人民共和国民法典》、《政府采购法》和其它有关法律、法规规定为准，无相关规定的，双方协商解决。</w:t>
      </w:r>
    </w:p>
    <w:p w14:paraId="15E94B15">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及本合同规定的所有事项，乙方达不到要求的，均视为乙方违约，甲方有权解除合同，同时甲方有权要求乙方按合同总金额的10 %支付违约金给甲方（本合同中进行规定了的，乙方按合同规定的违约金进行支付），因此给甲方造成的损失应由乙方承担赔偿责任。</w:t>
      </w:r>
    </w:p>
    <w:p w14:paraId="2EEDEFD7">
      <w:pPr>
        <w:pageBreakBefore w:val="0"/>
        <w:widowControl/>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十四、其它</w:t>
      </w:r>
    </w:p>
    <w:p w14:paraId="48B4A732">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对乙方故意或疏忽导致提供的材料和设备存在瑕疵，包括但不限于粗制滥造、以次充好以及工人施工过程中违规操作所造成的质量问题和施工工艺不符合技术规范引起的工程质量问题，无论工程是否已验收合格、交付使用以及是否超过保修期，均自甲方知道之日起两年内享有向乙方索赔追偿的权利。</w:t>
      </w:r>
    </w:p>
    <w:p w14:paraId="1B1F8D08">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2.因乙方原因导致解除合同，甲方为完成剩余工作委托其他施工企业继续施工而需比原合同价格多发生的工程费用及其它所有费用，皆由乙方赔偿给甲方，甲方在支付其余工程款时予以扣除。</w:t>
      </w:r>
    </w:p>
    <w:p w14:paraId="7ED077FD">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3.乙方未经甲方批准，不得擅自修改设计及变更材料，否则，甲方有权要求乙方无条件返工，一切损失由乙方负责，由此影响的工期不予顺延。 </w:t>
      </w:r>
    </w:p>
    <w:p w14:paraId="779C3B9B">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4.甲方有权在任何情况下对用于本项目的货物、材料、设备的技术指标、样品标准、功能项目选择等进行调整变更。</w:t>
      </w:r>
    </w:p>
    <w:p w14:paraId="2226AA2D">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5.本项目涉及的所有保险均由乙方负责办理投保并承担所有费用。若乙方未按约定办理相应保险，发生保险事故所产生的一切责任与损失均由乙方承担。 </w:t>
      </w:r>
    </w:p>
    <w:p w14:paraId="6A42D4E6">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6.本协议书及本协议约定的其它合同文件的组成部分之外，合同双方不存在且也不会签定任何背离本合同实质性内容的其它协议或合同。如果存在或签定任何背离本合同实质性内容的其它协议或合同，也不是合同双方真实意思的表示，对合同双方不构成任何合同或法律约束力。 </w:t>
      </w:r>
    </w:p>
    <w:p w14:paraId="03D3E894">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7.本补充条款与上述合同正本条款具有同等法律效力，但若存在内容矛盾，以本补充条款的约定为准。 </w:t>
      </w:r>
    </w:p>
    <w:p w14:paraId="24223C69">
      <w:pPr>
        <w:pageBreakBefore w:val="0"/>
        <w:widowControl/>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十五、争议或纠纷处理</w:t>
      </w:r>
    </w:p>
    <w:p w14:paraId="4C0FC1BB">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1.本合同在履行期间，双方发生争议，双方可采取协商解决或请有关部门进行调解。</w:t>
      </w:r>
    </w:p>
    <w:p w14:paraId="53EB5EF1">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2.当事人不愿通过协商、调解解决或者协商、调解不成时，按下列方式解决：</w:t>
      </w:r>
    </w:p>
    <w:p w14:paraId="20D66186">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向甲方所在地人民法院起诉。</w:t>
      </w:r>
    </w:p>
    <w:p w14:paraId="3B3B66A1">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3.本合同经双方签章盖章后生效，本合同一式  份，甲方  份，乙方  份，具同等法律效力。本合同及</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文件未尽事宜，双方本着实事求是的原则协商解决。</w:t>
      </w:r>
    </w:p>
    <w:p w14:paraId="75073BDF">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4.本合同履行完成后自动终止。</w:t>
      </w:r>
    </w:p>
    <w:p w14:paraId="7B04280E">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5.附件与本合同具有同等法律效力，附件包括</w:t>
      </w:r>
    </w:p>
    <w:p w14:paraId="0F0F39B4">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（1）成交通知书；</w:t>
      </w:r>
    </w:p>
    <w:p w14:paraId="4C1CA8B2">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文件，合同未尽事宜，以</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文件为准；</w:t>
      </w:r>
    </w:p>
    <w:p w14:paraId="61C4AB7A">
      <w:pPr>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（3）乙方参加</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时的投标文件。</w:t>
      </w:r>
    </w:p>
    <w:p w14:paraId="74FA3D6B">
      <w:pPr>
        <w:widowControl/>
        <w:spacing w:line="360" w:lineRule="auto"/>
        <w:ind w:firstLine="480" w:firstLineChars="200"/>
        <w:rPr>
          <w:rFonts w:hint="eastAsia" w:ascii="仿宋" w:hAnsi="仿宋" w:eastAsia="仿宋" w:cs="仿宋"/>
          <w:color w:val="auto"/>
          <w:sz w:val="24"/>
          <w:szCs w:val="24"/>
          <w:highlight w:val="none"/>
        </w:rPr>
      </w:pPr>
    </w:p>
    <w:p w14:paraId="12EF77D0">
      <w:pPr>
        <w:spacing w:line="360" w:lineRule="auto"/>
        <w:ind w:firstLine="480" w:firstLineChars="200"/>
        <w:rPr>
          <w:rFonts w:hint="eastAsia" w:ascii="仿宋" w:hAnsi="仿宋" w:eastAsia="仿宋" w:cs="仿宋"/>
          <w:color w:val="auto"/>
          <w:sz w:val="24"/>
          <w:szCs w:val="24"/>
          <w:highlight w:val="none"/>
        </w:rPr>
      </w:pPr>
    </w:p>
    <w:p w14:paraId="56C7A2AE">
      <w:pPr>
        <w:widowControl/>
        <w:spacing w:line="360" w:lineRule="auto"/>
        <w:ind w:firstLine="480" w:firstLineChars="200"/>
        <w:rPr>
          <w:rFonts w:hint="eastAsia" w:ascii="仿宋" w:hAnsi="仿宋" w:eastAsia="仿宋" w:cs="仿宋"/>
          <w:color w:val="auto"/>
          <w:sz w:val="24"/>
          <w:szCs w:val="24"/>
          <w:highlight w:val="none"/>
        </w:rPr>
      </w:pPr>
    </w:p>
    <w:p w14:paraId="4BD7C85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7E81837F">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（本页无正文）</w:t>
      </w:r>
    </w:p>
    <w:p w14:paraId="716B9432">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发包人（甲方盖章）：</w:t>
      </w:r>
      <w:bookmarkStart w:id="174" w:name="OLE_LINK9"/>
      <w:r>
        <w:rPr>
          <w:rFonts w:hint="eastAsia" w:ascii="仿宋" w:hAnsi="仿宋" w:eastAsia="仿宋" w:cs="仿宋"/>
          <w:color w:val="auto"/>
          <w:sz w:val="24"/>
          <w:szCs w:val="24"/>
          <w:highlight w:val="none"/>
        </w:rPr>
        <w:t xml:space="preserve">              承包人（乙方盖章）：</w:t>
      </w:r>
    </w:p>
    <w:p w14:paraId="176513BA">
      <w:pPr>
        <w:widowControl/>
        <w:spacing w:line="360" w:lineRule="auto"/>
        <w:ind w:firstLine="480" w:firstLineChars="200"/>
        <w:rPr>
          <w:rFonts w:hint="eastAsia" w:ascii="仿宋" w:hAnsi="仿宋" w:eastAsia="仿宋" w:cs="仿宋"/>
          <w:color w:val="auto"/>
          <w:sz w:val="24"/>
          <w:szCs w:val="24"/>
          <w:highlight w:val="none"/>
        </w:rPr>
      </w:pPr>
    </w:p>
    <w:p w14:paraId="65609CB5">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bookmarkEnd w:id="174"/>
      <w:r>
        <w:rPr>
          <w:rFonts w:hint="eastAsia" w:ascii="仿宋" w:hAnsi="仿宋" w:eastAsia="仿宋" w:cs="仿宋"/>
          <w:color w:val="auto"/>
          <w:sz w:val="24"/>
          <w:szCs w:val="24"/>
          <w:highlight w:val="none"/>
        </w:rPr>
        <w:t xml:space="preserve">       </w:t>
      </w:r>
    </w:p>
    <w:p w14:paraId="0933F78F">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                       法定代表人或</w:t>
      </w:r>
    </w:p>
    <w:p w14:paraId="777DE231">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授权代表（签字）：                 授权代表（签字）：</w:t>
      </w:r>
    </w:p>
    <w:p w14:paraId="7505B5CD">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联系电话：                         开户行： </w:t>
      </w:r>
    </w:p>
    <w:p w14:paraId="40AADF7C">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账号：</w:t>
      </w:r>
    </w:p>
    <w:p w14:paraId="055D73A5">
      <w:pPr>
        <w:widowControl/>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联系电话：                                                                           </w:t>
      </w:r>
    </w:p>
    <w:p w14:paraId="3BBDBC2D">
      <w:pPr>
        <w:widowControl/>
        <w:spacing w:line="360" w:lineRule="auto"/>
        <w:ind w:firstLine="480" w:firstLineChars="200"/>
        <w:rPr>
          <w:rFonts w:hint="eastAsia" w:ascii="仿宋" w:hAnsi="仿宋" w:eastAsia="仿宋" w:cs="仿宋"/>
          <w:color w:val="auto"/>
          <w:sz w:val="24"/>
          <w:szCs w:val="24"/>
          <w:highlight w:val="none"/>
        </w:rPr>
      </w:pPr>
    </w:p>
    <w:p w14:paraId="06F2DE8C">
      <w:pPr>
        <w:rPr>
          <w:rFonts w:hint="eastAsia" w:ascii="仿宋" w:hAnsi="仿宋" w:eastAsia="仿宋" w:cs="仿宋"/>
          <w:color w:val="auto"/>
          <w:highlight w:val="none"/>
        </w:rPr>
      </w:pPr>
      <w:r>
        <w:rPr>
          <w:rFonts w:hint="eastAsia" w:ascii="仿宋" w:hAnsi="仿宋" w:eastAsia="仿宋" w:cs="仿宋"/>
          <w:color w:val="auto"/>
          <w:sz w:val="24"/>
          <w:szCs w:val="24"/>
          <w:highlight w:val="none"/>
        </w:rPr>
        <w:t>签订日期：     年   月  日            签订日期：   年  月  日</w:t>
      </w:r>
    </w:p>
    <w:p w14:paraId="744B06BB">
      <w:pPr>
        <w:snapToGrid w:val="0"/>
        <w:spacing w:line="360" w:lineRule="auto"/>
        <w:ind w:firstLine="550" w:firstLineChars="250"/>
        <w:rPr>
          <w:rFonts w:hint="eastAsia" w:ascii="仿宋" w:hAnsi="仿宋" w:eastAsia="仿宋" w:cs="仿宋"/>
          <w:bCs/>
          <w:color w:val="auto"/>
          <w:sz w:val="22"/>
          <w:szCs w:val="18"/>
          <w:highlight w:val="none"/>
        </w:rPr>
      </w:pPr>
    </w:p>
    <w:p w14:paraId="379A37CF">
      <w:pPr>
        <w:rPr>
          <w:rFonts w:hint="eastAsia" w:ascii="仿宋" w:hAnsi="仿宋" w:eastAsia="仿宋" w:cs="仿宋"/>
          <w:color w:val="auto"/>
          <w:sz w:val="40"/>
          <w:szCs w:val="32"/>
          <w:highlight w:val="none"/>
        </w:rPr>
      </w:pPr>
      <w:bookmarkStart w:id="175" w:name="_Toc12120"/>
      <w:r>
        <w:rPr>
          <w:rFonts w:hint="eastAsia" w:ascii="仿宋" w:hAnsi="仿宋" w:eastAsia="仿宋" w:cs="仿宋"/>
          <w:color w:val="auto"/>
          <w:sz w:val="40"/>
          <w:szCs w:val="32"/>
          <w:highlight w:val="none"/>
        </w:rPr>
        <w:br w:type="page"/>
      </w:r>
    </w:p>
    <w:p w14:paraId="221DDC35">
      <w:pPr>
        <w:pStyle w:val="3"/>
        <w:snapToGrid w:val="0"/>
        <w:spacing w:before="0" w:after="0" w:line="360" w:lineRule="auto"/>
        <w:jc w:val="center"/>
        <w:rPr>
          <w:rFonts w:hint="eastAsia" w:ascii="仿宋" w:hAnsi="仿宋" w:eastAsia="仿宋" w:cs="仿宋"/>
          <w:color w:val="auto"/>
          <w:sz w:val="40"/>
          <w:szCs w:val="32"/>
          <w:highlight w:val="none"/>
        </w:rPr>
      </w:pPr>
      <w:r>
        <w:rPr>
          <w:rFonts w:hint="eastAsia" w:ascii="仿宋" w:hAnsi="仿宋" w:eastAsia="仿宋" w:cs="仿宋"/>
          <w:color w:val="auto"/>
          <w:sz w:val="40"/>
          <w:szCs w:val="32"/>
          <w:highlight w:val="none"/>
        </w:rPr>
        <w:t xml:space="preserve">第七篇  </w:t>
      </w:r>
      <w:r>
        <w:rPr>
          <w:rFonts w:hint="eastAsia" w:ascii="仿宋" w:hAnsi="仿宋" w:eastAsia="仿宋" w:cs="仿宋"/>
          <w:color w:val="auto"/>
          <w:sz w:val="40"/>
          <w:szCs w:val="32"/>
          <w:highlight w:val="none"/>
          <w:lang w:eastAsia="zh-CN"/>
        </w:rPr>
        <w:t>投标文件</w:t>
      </w:r>
      <w:r>
        <w:rPr>
          <w:rFonts w:hint="eastAsia" w:ascii="仿宋" w:hAnsi="仿宋" w:eastAsia="仿宋" w:cs="仿宋"/>
          <w:color w:val="auto"/>
          <w:sz w:val="40"/>
          <w:szCs w:val="32"/>
          <w:highlight w:val="none"/>
        </w:rPr>
        <w:t>格式要求</w:t>
      </w:r>
      <w:bookmarkEnd w:id="140"/>
      <w:bookmarkEnd w:id="175"/>
    </w:p>
    <w:p w14:paraId="65FD0871">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一、经济部分</w:t>
      </w:r>
    </w:p>
    <w:p w14:paraId="1721339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（一）报价函</w:t>
      </w:r>
    </w:p>
    <w:p w14:paraId="7598480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（二）已标价工程量清单</w:t>
      </w:r>
    </w:p>
    <w:p w14:paraId="5894BE2C">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二、技术</w:t>
      </w:r>
      <w:r>
        <w:rPr>
          <w:rFonts w:hint="eastAsia" w:ascii="仿宋" w:hAnsi="仿宋" w:eastAsia="仿宋" w:cs="仿宋"/>
          <w:b/>
          <w:bCs/>
          <w:color w:val="auto"/>
          <w:sz w:val="24"/>
          <w:szCs w:val="24"/>
          <w:highlight w:val="none"/>
          <w:lang w:eastAsia="zh-CN"/>
        </w:rPr>
        <w:t>部分</w:t>
      </w:r>
    </w:p>
    <w:p w14:paraId="08A32226">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技术</w:t>
      </w:r>
      <w:r>
        <w:rPr>
          <w:rFonts w:hint="eastAsia" w:ascii="仿宋" w:hAnsi="仿宋" w:eastAsia="仿宋" w:cs="仿宋"/>
          <w:color w:val="auto"/>
          <w:sz w:val="24"/>
          <w:szCs w:val="24"/>
          <w:highlight w:val="none"/>
          <w:lang w:val="en-US" w:eastAsia="zh-CN"/>
        </w:rPr>
        <w:t>响应偏离</w:t>
      </w:r>
      <w:r>
        <w:rPr>
          <w:rFonts w:hint="eastAsia" w:ascii="仿宋" w:hAnsi="仿宋" w:eastAsia="仿宋" w:cs="仿宋"/>
          <w:color w:val="auto"/>
          <w:sz w:val="24"/>
          <w:szCs w:val="24"/>
          <w:highlight w:val="none"/>
          <w:lang w:eastAsia="zh-CN"/>
        </w:rPr>
        <w:t>表</w:t>
      </w:r>
    </w:p>
    <w:p w14:paraId="451C444C">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技术方案</w:t>
      </w:r>
    </w:p>
    <w:p w14:paraId="1BC3C4AD">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三、商务部分</w:t>
      </w:r>
    </w:p>
    <w:p w14:paraId="3BB01B9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（一）商务响应偏离表</w:t>
      </w:r>
    </w:p>
    <w:p w14:paraId="0A5220A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（二）其他资料（格式自定）</w:t>
      </w:r>
    </w:p>
    <w:p w14:paraId="7704E66E">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四、资格条件部分</w:t>
      </w:r>
    </w:p>
    <w:p w14:paraId="382F24CA">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（一）法人营业执照（副本）或事业单位法人证书（副本）或个体工商户营业执照或有效的自然人身份证明或社会团体法人登记证书</w:t>
      </w:r>
      <w:r>
        <w:rPr>
          <w:rFonts w:hint="eastAsia" w:ascii="仿宋" w:hAnsi="仿宋" w:eastAsia="仿宋" w:cs="仿宋"/>
          <w:color w:val="auto"/>
          <w:sz w:val="24"/>
          <w:szCs w:val="24"/>
          <w:highlight w:val="none"/>
          <w:lang w:eastAsia="zh-CN"/>
        </w:rPr>
        <w:t>扫描件</w:t>
      </w:r>
    </w:p>
    <w:p w14:paraId="7D19912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（二）法定代表人身份证明书（格式）</w:t>
      </w:r>
    </w:p>
    <w:p w14:paraId="1129ECD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（三）法定代表人授权委托书（格式）</w:t>
      </w:r>
    </w:p>
    <w:p w14:paraId="3D7D6D21">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（四）基本资格条件承诺函（格式）</w:t>
      </w:r>
    </w:p>
    <w:p w14:paraId="3D7418B8">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（五）特定资格条件证书或证明文件</w:t>
      </w:r>
    </w:p>
    <w:p w14:paraId="566B8541">
      <w:pPr>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五、其他应提供的资料</w:t>
      </w:r>
    </w:p>
    <w:p w14:paraId="2E33E4CA">
      <w:pPr>
        <w:tabs>
          <w:tab w:val="left" w:pos="6300"/>
        </w:tabs>
        <w:snapToGrid w:val="0"/>
        <w:spacing w:line="360" w:lineRule="auto"/>
        <w:ind w:firstLine="480" w:firstLineChars="200"/>
        <w:jc w:val="left"/>
        <w:rPr>
          <w:rFonts w:hint="eastAsia" w:ascii="仿宋" w:hAnsi="仿宋" w:eastAsia="仿宋" w:cs="仿宋"/>
          <w:color w:val="auto"/>
          <w:sz w:val="24"/>
          <w:szCs w:val="24"/>
          <w:highlight w:val="none"/>
          <w:bdr w:val="single" w:color="auto" w:sz="4" w:space="0"/>
        </w:rPr>
        <w:sectPr>
          <w:headerReference r:id="rId11" w:type="default"/>
          <w:footerReference r:id="rId12" w:type="default"/>
          <w:pgSz w:w="11907" w:h="16840"/>
          <w:pgMar w:top="1134" w:right="1191" w:bottom="1134" w:left="1304" w:header="851" w:footer="992" w:gutter="0"/>
          <w:pgNumType w:fmt="decimal"/>
          <w:cols w:space="720" w:num="1"/>
          <w:docGrid w:linePitch="380" w:charSpace="-5735"/>
        </w:sectPr>
      </w:pPr>
      <w:r>
        <w:rPr>
          <w:rFonts w:hint="eastAsia" w:ascii="仿宋" w:hAnsi="仿宋" w:eastAsia="仿宋" w:cs="仿宋"/>
          <w:color w:val="auto"/>
          <w:sz w:val="24"/>
          <w:szCs w:val="24"/>
          <w:highlight w:val="none"/>
        </w:rPr>
        <w:t>（一）其他与项目有关的资料（自附）</w:t>
      </w:r>
    </w:p>
    <w:p w14:paraId="132A81E6">
      <w:pPr>
        <w:pStyle w:val="4"/>
        <w:spacing w:before="0" w:after="0" w:line="360" w:lineRule="auto"/>
        <w:rPr>
          <w:rFonts w:hint="eastAsia" w:ascii="仿宋" w:hAnsi="仿宋" w:eastAsia="仿宋" w:cs="仿宋"/>
          <w:color w:val="auto"/>
          <w:sz w:val="28"/>
          <w:szCs w:val="28"/>
          <w:highlight w:val="none"/>
        </w:rPr>
      </w:pPr>
      <w:bookmarkStart w:id="176" w:name="_Toc31231"/>
      <w:r>
        <w:rPr>
          <w:rFonts w:hint="eastAsia" w:ascii="仿宋" w:hAnsi="仿宋" w:eastAsia="仿宋" w:cs="仿宋"/>
          <w:color w:val="auto"/>
          <w:sz w:val="28"/>
          <w:szCs w:val="28"/>
          <w:highlight w:val="none"/>
        </w:rPr>
        <w:t>一、经济部分</w:t>
      </w:r>
      <w:bookmarkEnd w:id="176"/>
    </w:p>
    <w:p w14:paraId="002661AD">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（一）报价函</w:t>
      </w:r>
    </w:p>
    <w:p w14:paraId="53E47B80">
      <w:pPr>
        <w:tabs>
          <w:tab w:val="left" w:pos="6300"/>
        </w:tabs>
        <w:snapToGrid w:val="0"/>
        <w:spacing w:line="360" w:lineRule="auto"/>
        <w:jc w:val="center"/>
        <w:rPr>
          <w:rFonts w:hint="eastAsia" w:ascii="仿宋" w:hAnsi="仿宋" w:eastAsia="仿宋" w:cs="仿宋"/>
          <w:b/>
          <w:color w:val="auto"/>
          <w:szCs w:val="28"/>
          <w:highlight w:val="none"/>
        </w:rPr>
      </w:pPr>
      <w:r>
        <w:rPr>
          <w:rFonts w:hint="eastAsia" w:ascii="仿宋" w:hAnsi="仿宋" w:eastAsia="仿宋" w:cs="仿宋"/>
          <w:b/>
          <w:color w:val="auto"/>
          <w:szCs w:val="28"/>
          <w:highlight w:val="none"/>
        </w:rPr>
        <w:t>报价函</w:t>
      </w:r>
    </w:p>
    <w:p w14:paraId="65569F46">
      <w:pPr>
        <w:tabs>
          <w:tab w:val="left" w:pos="6300"/>
        </w:tabs>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招标</w:t>
      </w:r>
      <w:r>
        <w:rPr>
          <w:rFonts w:hint="eastAsia" w:ascii="仿宋" w:hAnsi="仿宋" w:eastAsia="仿宋" w:cs="仿宋"/>
          <w:color w:val="auto"/>
          <w:sz w:val="24"/>
          <w:szCs w:val="24"/>
          <w:highlight w:val="none"/>
          <w:u w:val="single"/>
          <w:lang w:eastAsia="zh-CN"/>
        </w:rPr>
        <w:t>人</w:t>
      </w:r>
      <w:r>
        <w:rPr>
          <w:rFonts w:hint="eastAsia" w:ascii="仿宋" w:hAnsi="仿宋" w:eastAsia="仿宋" w:cs="仿宋"/>
          <w:color w:val="auto"/>
          <w:sz w:val="24"/>
          <w:szCs w:val="24"/>
          <w:highlight w:val="none"/>
          <w:u w:val="single"/>
        </w:rPr>
        <w:t>名称）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w:t>
      </w:r>
    </w:p>
    <w:p w14:paraId="293F7869">
      <w:pPr>
        <w:tabs>
          <w:tab w:val="left" w:pos="6300"/>
        </w:tabs>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我方收到____________________________（项目名称）的</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，经详细研究，决定参加该项目的</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w:t>
      </w:r>
    </w:p>
    <w:p w14:paraId="265A3362">
      <w:pPr>
        <w:tabs>
          <w:tab w:val="left" w:pos="6300"/>
        </w:tabs>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我方已仔细研究了</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（项目名称）招标文件的全部内容，愿意以人民币（大写</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 （¥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）的投标总报价进行报价（其中，安全</w:t>
      </w:r>
      <w:r>
        <w:rPr>
          <w:rFonts w:hint="eastAsia" w:ascii="仿宋" w:hAnsi="仿宋" w:eastAsia="仿宋" w:cs="仿宋"/>
          <w:color w:val="auto"/>
          <w:sz w:val="24"/>
          <w:szCs w:val="24"/>
          <w:highlight w:val="none"/>
          <w:lang w:eastAsia="zh-CN"/>
        </w:rPr>
        <w:t>文明施工费暂定金额为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元</w:t>
      </w:r>
      <w:r>
        <w:rPr>
          <w:rFonts w:hint="eastAsia" w:ascii="仿宋" w:hAnsi="仿宋" w:eastAsia="仿宋" w:cs="仿宋"/>
          <w:color w:val="auto"/>
          <w:sz w:val="24"/>
          <w:szCs w:val="24"/>
          <w:highlight w:val="none"/>
        </w:rPr>
        <w:t>），该工程项目经理为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日历天</w:t>
      </w:r>
      <w:r>
        <w:rPr>
          <w:rFonts w:hint="eastAsia" w:ascii="仿宋" w:hAnsi="仿宋" w:eastAsia="仿宋" w:cs="仿宋"/>
          <w:color w:val="auto"/>
          <w:sz w:val="24"/>
          <w:szCs w:val="24"/>
          <w:highlight w:val="none"/>
        </w:rPr>
        <w:t xml:space="preserve"> ，缺陷责任期：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，按合同约定实施和完成承包工程，修补工程中的任何缺陷。</w:t>
      </w:r>
    </w:p>
    <w:p w14:paraId="2E7AE499">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2、我方现提交的</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为：</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正本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份，副本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w:t>
      </w:r>
    </w:p>
    <w:p w14:paraId="6D892D70">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3、我方承诺：本次</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的有效期为90天。</w:t>
      </w:r>
    </w:p>
    <w:p w14:paraId="67D97378">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4、我方完全理解和接受贵方</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的一切规定和要求及评审办法。</w:t>
      </w:r>
    </w:p>
    <w:p w14:paraId="3F5765CF">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5、在整个</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过程中，我方若有违规行为，接受按照《中华人民共和国政府采购法》和《</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文件》之规定给予惩罚。</w:t>
      </w:r>
    </w:p>
    <w:p w14:paraId="547C3050">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6、我方若成为</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，将按照最终</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结果签订合同，并且严格履行合同义务。本承诺函将成为合同不可分割的一部分，与合同具有同等的法律效力。</w:t>
      </w:r>
    </w:p>
    <w:p w14:paraId="56105CB1">
      <w:pPr>
        <w:tabs>
          <w:tab w:val="left" w:pos="6300"/>
        </w:tabs>
        <w:snapToGrid w:val="0"/>
        <w:spacing w:line="360" w:lineRule="auto"/>
        <w:ind w:firstLine="480" w:firstLineChars="200"/>
        <w:rPr>
          <w:rFonts w:hint="eastAsia" w:ascii="仿宋" w:hAnsi="仿宋" w:eastAsia="仿宋" w:cs="仿宋"/>
          <w:color w:val="auto"/>
          <w:sz w:val="24"/>
          <w:szCs w:val="24"/>
          <w:highlight w:val="none"/>
        </w:rPr>
      </w:pPr>
    </w:p>
    <w:p w14:paraId="2D0D51A2">
      <w:pPr>
        <w:tabs>
          <w:tab w:val="left" w:pos="6300"/>
        </w:tabs>
        <w:snapToGrid w:val="0"/>
        <w:spacing w:line="360" w:lineRule="auto"/>
        <w:ind w:firstLine="480" w:firstLineChars="200"/>
        <w:rPr>
          <w:rFonts w:hint="eastAsia" w:ascii="仿宋" w:hAnsi="仿宋" w:eastAsia="仿宋" w:cs="仿宋"/>
          <w:color w:val="auto"/>
          <w:sz w:val="24"/>
          <w:szCs w:val="24"/>
          <w:highlight w:val="none"/>
        </w:rPr>
      </w:pPr>
    </w:p>
    <w:p w14:paraId="42A7AC88">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w:t>
      </w:r>
    </w:p>
    <w:p w14:paraId="1B20FF5D">
      <w:pPr>
        <w:tabs>
          <w:tab w:val="left" w:pos="6300"/>
        </w:tabs>
        <w:snapToGrid w:val="0"/>
        <w:spacing w:line="360" w:lineRule="auto"/>
        <w:ind w:firstLine="1682" w:firstLineChars="70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  </w:t>
      </w:r>
    </w:p>
    <w:p w14:paraId="3CFFF8CB">
      <w:pPr>
        <w:tabs>
          <w:tab w:val="left" w:pos="6300"/>
        </w:tabs>
        <w:snapToGrid w:val="0"/>
        <w:spacing w:line="360" w:lineRule="auto"/>
        <w:ind w:firstLine="1682" w:firstLineChars="70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电话：                                                                                          </w:t>
      </w:r>
    </w:p>
    <w:p w14:paraId="59CE54FE">
      <w:pPr>
        <w:tabs>
          <w:tab w:val="left" w:pos="6300"/>
        </w:tabs>
        <w:snapToGrid w:val="0"/>
        <w:spacing w:line="360" w:lineRule="auto"/>
        <w:ind w:firstLine="1682" w:firstLineChars="70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邮编：</w:t>
      </w:r>
    </w:p>
    <w:p w14:paraId="46ADC5E7">
      <w:pPr>
        <w:tabs>
          <w:tab w:val="left" w:pos="6300"/>
        </w:tabs>
        <w:snapToGrid w:val="0"/>
        <w:spacing w:line="360" w:lineRule="auto"/>
        <w:ind w:firstLine="1440" w:firstLineChars="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p w14:paraId="15D82733">
      <w:pPr>
        <w:snapToGrid w:val="0"/>
        <w:spacing w:line="360" w:lineRule="auto"/>
        <w:ind w:firstLine="480" w:firstLineChars="200"/>
        <w:rPr>
          <w:rFonts w:hint="eastAsia" w:ascii="仿宋" w:hAnsi="仿宋" w:eastAsia="仿宋" w:cs="仿宋"/>
          <w:color w:val="auto"/>
          <w:sz w:val="24"/>
          <w:szCs w:val="24"/>
          <w:highlight w:val="none"/>
        </w:rPr>
        <w:sectPr>
          <w:headerReference r:id="rId13" w:type="default"/>
          <w:footerReference r:id="rId14" w:type="default"/>
          <w:pgSz w:w="11907" w:h="16840"/>
          <w:pgMar w:top="1134" w:right="1191" w:bottom="1134" w:left="1304" w:header="851" w:footer="992" w:gutter="0"/>
          <w:pgNumType w:fmt="decimal"/>
          <w:cols w:space="720" w:num="1"/>
          <w:rtlGutter w:val="1"/>
          <w:docGrid w:linePitch="380" w:charSpace="-5735"/>
        </w:sectPr>
      </w:pPr>
      <w:r>
        <w:rPr>
          <w:rFonts w:hint="eastAsia" w:ascii="仿宋" w:hAnsi="仿宋" w:eastAsia="仿宋" w:cs="仿宋"/>
          <w:color w:val="auto"/>
          <w:sz w:val="24"/>
          <w:szCs w:val="24"/>
          <w:highlight w:val="none"/>
        </w:rPr>
        <w:t xml:space="preserve">                                                  年   月   日</w:t>
      </w:r>
    </w:p>
    <w:p w14:paraId="06D28DAE">
      <w:pPr>
        <w:snapToGrid w:val="0"/>
        <w:spacing w:line="360" w:lineRule="auto"/>
        <w:ind w:firstLine="480" w:firstLineChars="200"/>
        <w:rPr>
          <w:rFonts w:hint="eastAsia" w:ascii="仿宋" w:hAnsi="仿宋" w:eastAsia="仿宋" w:cs="仿宋"/>
          <w:color w:val="auto"/>
          <w:sz w:val="24"/>
          <w:szCs w:val="24"/>
          <w:highlight w:val="none"/>
        </w:rPr>
      </w:pPr>
      <w:bookmarkStart w:id="177" w:name="_Toc161727399"/>
      <w:r>
        <w:rPr>
          <w:rFonts w:hint="eastAsia" w:ascii="仿宋" w:hAnsi="仿宋" w:eastAsia="仿宋" w:cs="仿宋"/>
          <w:color w:val="auto"/>
          <w:sz w:val="24"/>
          <w:szCs w:val="18"/>
          <w:highlight w:val="none"/>
        </w:rPr>
        <w:t>（二）</w:t>
      </w:r>
      <w:bookmarkEnd w:id="177"/>
      <w:r>
        <w:rPr>
          <w:rFonts w:hint="eastAsia" w:ascii="仿宋" w:hAnsi="仿宋" w:eastAsia="仿宋" w:cs="仿宋"/>
          <w:color w:val="auto"/>
          <w:sz w:val="24"/>
          <w:szCs w:val="24"/>
          <w:highlight w:val="none"/>
        </w:rPr>
        <w:t>已标价工程量清单</w:t>
      </w:r>
    </w:p>
    <w:p w14:paraId="1433F488">
      <w:pPr>
        <w:snapToGrid w:val="0"/>
        <w:spacing w:line="500" w:lineRule="exact"/>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根据本项目提供的工程量清单报价并加盖</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w:t>
      </w:r>
    </w:p>
    <w:p w14:paraId="03032D42">
      <w:pPr>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SA"/>
        </w:rPr>
        <w:t>投标文件中已标价工程量清单至少应包括《重庆市建设工程工程量清单计价规则》（CQJJGZ-2013）中的以下表格：封-3 投标总价、表-04 单位工程投标报价汇总表、表-08 措施项目汇总表、表-09 分部分项工程/施工技术措施项目清单计价表、表-10 施工组织措施项目清单计价表、表-11 其他项目清单计价汇总表、表-12 规费、税金项目计价表。</w:t>
      </w:r>
    </w:p>
    <w:p w14:paraId="16AE40C2">
      <w:pPr>
        <w:snapToGrid w:val="0"/>
        <w:spacing w:line="500" w:lineRule="exact"/>
        <w:ind w:firstLine="480" w:firstLineChars="200"/>
        <w:rPr>
          <w:rFonts w:hint="eastAsia" w:ascii="仿宋" w:hAnsi="仿宋" w:eastAsia="仿宋" w:cs="仿宋"/>
          <w:color w:val="auto"/>
          <w:sz w:val="24"/>
          <w:szCs w:val="24"/>
          <w:highlight w:val="none"/>
        </w:rPr>
      </w:pPr>
    </w:p>
    <w:p w14:paraId="43005393">
      <w:pPr>
        <w:snapToGrid w:val="0"/>
        <w:spacing w:line="500" w:lineRule="exact"/>
        <w:ind w:firstLine="480" w:firstLineChars="200"/>
        <w:rPr>
          <w:rFonts w:hint="eastAsia" w:ascii="仿宋" w:hAnsi="仿宋" w:eastAsia="仿宋" w:cs="仿宋"/>
          <w:color w:val="auto"/>
          <w:sz w:val="24"/>
          <w:szCs w:val="24"/>
          <w:highlight w:val="none"/>
        </w:rPr>
        <w:sectPr>
          <w:headerReference r:id="rId15" w:type="default"/>
          <w:pgSz w:w="11907" w:h="16840"/>
          <w:pgMar w:top="1134" w:right="1191" w:bottom="1134" w:left="1304" w:header="851" w:footer="992" w:gutter="0"/>
          <w:pgNumType w:fmt="decimal"/>
          <w:cols w:space="720" w:num="1"/>
          <w:docGrid w:linePitch="380" w:charSpace="-5735"/>
        </w:sectPr>
      </w:pPr>
    </w:p>
    <w:p w14:paraId="7A18E067">
      <w:pPr>
        <w:pStyle w:val="4"/>
        <w:spacing w:before="0" w:after="0" w:line="360" w:lineRule="auto"/>
        <w:rPr>
          <w:rFonts w:hint="eastAsia" w:ascii="仿宋" w:hAnsi="仿宋" w:eastAsia="仿宋" w:cs="仿宋"/>
          <w:color w:val="auto"/>
          <w:sz w:val="28"/>
          <w:szCs w:val="28"/>
          <w:highlight w:val="none"/>
          <w:lang w:eastAsia="zh-CN"/>
        </w:rPr>
      </w:pPr>
      <w:bookmarkStart w:id="178" w:name="_Toc313008357"/>
      <w:bookmarkStart w:id="179" w:name="_Toc313888361"/>
      <w:bookmarkStart w:id="180" w:name="_Toc342913420"/>
      <w:bookmarkStart w:id="181" w:name="_Toc12453"/>
      <w:r>
        <w:rPr>
          <w:rFonts w:hint="eastAsia" w:ascii="仿宋" w:hAnsi="仿宋" w:eastAsia="仿宋" w:cs="仿宋"/>
          <w:color w:val="auto"/>
          <w:sz w:val="28"/>
          <w:szCs w:val="28"/>
          <w:highlight w:val="none"/>
        </w:rPr>
        <w:t>二、</w:t>
      </w:r>
      <w:bookmarkEnd w:id="178"/>
      <w:bookmarkEnd w:id="179"/>
      <w:bookmarkEnd w:id="180"/>
      <w:r>
        <w:rPr>
          <w:rFonts w:hint="eastAsia" w:ascii="仿宋" w:hAnsi="仿宋" w:eastAsia="仿宋" w:cs="仿宋"/>
          <w:color w:val="auto"/>
          <w:sz w:val="28"/>
          <w:szCs w:val="28"/>
          <w:highlight w:val="none"/>
        </w:rPr>
        <w:t>技术</w:t>
      </w:r>
      <w:r>
        <w:rPr>
          <w:rFonts w:hint="eastAsia" w:ascii="仿宋" w:hAnsi="仿宋" w:eastAsia="仿宋" w:cs="仿宋"/>
          <w:color w:val="auto"/>
          <w:sz w:val="28"/>
          <w:szCs w:val="28"/>
          <w:highlight w:val="none"/>
          <w:lang w:eastAsia="zh-CN"/>
        </w:rPr>
        <w:t>部分</w:t>
      </w:r>
      <w:bookmarkEnd w:id="181"/>
    </w:p>
    <w:p w14:paraId="16104846">
      <w:pPr>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技术</w:t>
      </w:r>
      <w:r>
        <w:rPr>
          <w:rFonts w:hint="eastAsia" w:ascii="仿宋" w:hAnsi="仿宋" w:eastAsia="仿宋" w:cs="仿宋"/>
          <w:color w:val="auto"/>
          <w:sz w:val="24"/>
          <w:szCs w:val="24"/>
          <w:highlight w:val="none"/>
          <w:lang w:val="en-US" w:eastAsia="zh-CN"/>
        </w:rPr>
        <w:t>响应偏离</w:t>
      </w:r>
      <w:r>
        <w:rPr>
          <w:rFonts w:hint="eastAsia" w:ascii="仿宋" w:hAnsi="仿宋" w:eastAsia="仿宋" w:cs="仿宋"/>
          <w:color w:val="auto"/>
          <w:sz w:val="24"/>
          <w:szCs w:val="24"/>
          <w:highlight w:val="none"/>
          <w:lang w:eastAsia="zh-CN"/>
        </w:rPr>
        <w:t>表</w:t>
      </w:r>
    </w:p>
    <w:p w14:paraId="33F95F18">
      <w:pPr>
        <w:tabs>
          <w:tab w:val="left" w:pos="2145"/>
        </w:tabs>
        <w:spacing w:line="360" w:lineRule="auto"/>
        <w:ind w:firstLine="840" w:firstLineChars="3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rPr>
        <w:tab/>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3228"/>
        <w:gridCol w:w="2520"/>
        <w:gridCol w:w="1888"/>
      </w:tblGrid>
      <w:tr w14:paraId="2F589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190" w:type="dxa"/>
            <w:noWrap w:val="0"/>
            <w:vAlign w:val="center"/>
          </w:tcPr>
          <w:p w14:paraId="49313ED9">
            <w:pPr>
              <w:tabs>
                <w:tab w:val="left" w:pos="6300"/>
              </w:tabs>
              <w:snapToGrid w:val="0"/>
              <w:spacing w:line="5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228" w:type="dxa"/>
            <w:noWrap w:val="0"/>
            <w:vAlign w:val="center"/>
          </w:tcPr>
          <w:p w14:paraId="7A09F5A0">
            <w:pPr>
              <w:tabs>
                <w:tab w:val="left" w:pos="6300"/>
              </w:tabs>
              <w:snapToGrid w:val="0"/>
              <w:spacing w:line="5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项目服务</w:t>
            </w:r>
            <w:r>
              <w:rPr>
                <w:rFonts w:hint="eastAsia" w:ascii="仿宋" w:hAnsi="仿宋" w:eastAsia="仿宋" w:cs="仿宋"/>
                <w:color w:val="auto"/>
                <w:sz w:val="24"/>
                <w:szCs w:val="24"/>
                <w:highlight w:val="none"/>
              </w:rPr>
              <w:t>需求</w:t>
            </w:r>
          </w:p>
        </w:tc>
        <w:tc>
          <w:tcPr>
            <w:tcW w:w="2520" w:type="dxa"/>
            <w:noWrap w:val="0"/>
            <w:vAlign w:val="center"/>
          </w:tcPr>
          <w:p w14:paraId="1DBB1B68">
            <w:pPr>
              <w:tabs>
                <w:tab w:val="left" w:pos="6300"/>
              </w:tabs>
              <w:snapToGrid w:val="0"/>
              <w:spacing w:line="5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响应情况</w:t>
            </w:r>
          </w:p>
        </w:tc>
        <w:tc>
          <w:tcPr>
            <w:tcW w:w="1888" w:type="dxa"/>
            <w:noWrap w:val="0"/>
            <w:vAlign w:val="center"/>
          </w:tcPr>
          <w:p w14:paraId="01BE9C87">
            <w:pPr>
              <w:tabs>
                <w:tab w:val="left" w:pos="6300"/>
              </w:tabs>
              <w:snapToGrid w:val="0"/>
              <w:spacing w:line="5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差异说明</w:t>
            </w:r>
          </w:p>
        </w:tc>
      </w:tr>
      <w:tr w14:paraId="3C34F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noWrap w:val="0"/>
            <w:vAlign w:val="center"/>
          </w:tcPr>
          <w:p w14:paraId="01625B64">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3228" w:type="dxa"/>
            <w:noWrap w:val="0"/>
            <w:vAlign w:val="center"/>
          </w:tcPr>
          <w:p w14:paraId="72274E09">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412646AA">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4EAC0EA8">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60D7A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noWrap w:val="0"/>
            <w:vAlign w:val="center"/>
          </w:tcPr>
          <w:p w14:paraId="7C8C1183">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3228" w:type="dxa"/>
            <w:noWrap w:val="0"/>
            <w:vAlign w:val="center"/>
          </w:tcPr>
          <w:p w14:paraId="4AB7CC8E">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7046DCC2">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651696FD">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71D9E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noWrap w:val="0"/>
            <w:vAlign w:val="center"/>
          </w:tcPr>
          <w:p w14:paraId="13D5B76C">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3228" w:type="dxa"/>
            <w:noWrap w:val="0"/>
            <w:vAlign w:val="center"/>
          </w:tcPr>
          <w:p w14:paraId="6B438DCA">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4B14D6D2">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176AB972">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42EAF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noWrap w:val="0"/>
            <w:vAlign w:val="center"/>
          </w:tcPr>
          <w:p w14:paraId="4E10CBB6">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3228" w:type="dxa"/>
            <w:noWrap w:val="0"/>
            <w:vAlign w:val="center"/>
          </w:tcPr>
          <w:p w14:paraId="2741BC37">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774DC65E">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3A00E7D1">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0445A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noWrap w:val="0"/>
            <w:vAlign w:val="center"/>
          </w:tcPr>
          <w:p w14:paraId="37B0C03E">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3228" w:type="dxa"/>
            <w:noWrap w:val="0"/>
            <w:vAlign w:val="center"/>
          </w:tcPr>
          <w:p w14:paraId="2D0BE685">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10D944FB">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3ADDB43A">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4E55B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noWrap w:val="0"/>
            <w:vAlign w:val="center"/>
          </w:tcPr>
          <w:p w14:paraId="07A3DA73">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3228" w:type="dxa"/>
            <w:noWrap w:val="0"/>
            <w:vAlign w:val="center"/>
          </w:tcPr>
          <w:p w14:paraId="1E243C2E">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790804BC">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7C82C0CD">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6F054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noWrap w:val="0"/>
            <w:vAlign w:val="center"/>
          </w:tcPr>
          <w:p w14:paraId="069EB2AE">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3228" w:type="dxa"/>
            <w:noWrap w:val="0"/>
            <w:vAlign w:val="center"/>
          </w:tcPr>
          <w:p w14:paraId="562DCF2B">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20BDB9D6">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4BAC3AB0">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0D3EA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noWrap w:val="0"/>
            <w:vAlign w:val="center"/>
          </w:tcPr>
          <w:p w14:paraId="484F0987">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3228" w:type="dxa"/>
            <w:noWrap w:val="0"/>
            <w:vAlign w:val="center"/>
          </w:tcPr>
          <w:p w14:paraId="0E9B7924">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192996EA">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59BE1F16">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5A1CA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noWrap w:val="0"/>
            <w:vAlign w:val="center"/>
          </w:tcPr>
          <w:p w14:paraId="678439E8">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3228" w:type="dxa"/>
            <w:noWrap w:val="0"/>
            <w:vAlign w:val="center"/>
          </w:tcPr>
          <w:p w14:paraId="765B5277">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3B10903A">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4F75B641">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76EA1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noWrap w:val="0"/>
            <w:vAlign w:val="center"/>
          </w:tcPr>
          <w:p w14:paraId="2D4558BC">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3228" w:type="dxa"/>
            <w:noWrap w:val="0"/>
            <w:vAlign w:val="center"/>
          </w:tcPr>
          <w:p w14:paraId="11ACAF7F">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1A364597">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228F1D40">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14A85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0" w:type="dxa"/>
            <w:noWrap w:val="0"/>
            <w:vAlign w:val="center"/>
          </w:tcPr>
          <w:p w14:paraId="3D51168E">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3228" w:type="dxa"/>
            <w:noWrap w:val="0"/>
            <w:vAlign w:val="center"/>
          </w:tcPr>
          <w:p w14:paraId="337999A3">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73F1DFC0">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06849E51">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bl>
    <w:p w14:paraId="40B62863">
      <w:pPr>
        <w:spacing w:line="500" w:lineRule="exact"/>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法定代表人（或法定代表人授权代表）：</w:t>
      </w:r>
    </w:p>
    <w:p w14:paraId="20D683E0">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4D232CC3">
      <w:pPr>
        <w:spacing w:line="5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                                 （签字或盖章）</w:t>
      </w:r>
    </w:p>
    <w:p w14:paraId="39A07311">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008182B5">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402614BC">
      <w:pPr>
        <w:tabs>
          <w:tab w:val="left" w:pos="6300"/>
        </w:tabs>
        <w:snapToGrid w:val="0"/>
        <w:spacing w:line="360" w:lineRule="auto"/>
        <w:ind w:firstLine="570"/>
        <w:jc w:val="left"/>
        <w:rPr>
          <w:rFonts w:hint="eastAsia" w:ascii="仿宋" w:hAnsi="仿宋" w:eastAsia="仿宋" w:cs="仿宋"/>
          <w:color w:val="auto"/>
          <w:sz w:val="24"/>
          <w:szCs w:val="24"/>
          <w:highlight w:val="none"/>
        </w:rPr>
      </w:pPr>
      <w:bookmarkStart w:id="182" w:name="_Toc80104370"/>
      <w:r>
        <w:rPr>
          <w:rFonts w:hint="eastAsia" w:ascii="仿宋" w:hAnsi="仿宋" w:eastAsia="仿宋" w:cs="仿宋"/>
          <w:color w:val="auto"/>
          <w:sz w:val="24"/>
          <w:szCs w:val="24"/>
          <w:highlight w:val="none"/>
        </w:rPr>
        <w:t xml:space="preserve">1.本表即为对本项目“第二篇  </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lang w:val="en-US" w:eastAsia="zh-CN"/>
        </w:rPr>
        <w:t>服务需求</w:t>
      </w:r>
      <w:r>
        <w:rPr>
          <w:rFonts w:hint="eastAsia" w:ascii="仿宋" w:hAnsi="仿宋" w:eastAsia="仿宋" w:cs="仿宋"/>
          <w:color w:val="auto"/>
          <w:sz w:val="24"/>
          <w:szCs w:val="24"/>
          <w:highlight w:val="none"/>
        </w:rPr>
        <w:t>”中所列条款进行比较和响应；</w:t>
      </w:r>
    </w:p>
    <w:p w14:paraId="251E0987">
      <w:pPr>
        <w:tabs>
          <w:tab w:val="left" w:pos="6300"/>
        </w:tabs>
        <w:snapToGrid w:val="0"/>
        <w:spacing w:line="360" w:lineRule="auto"/>
        <w:ind w:firstLine="57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highlight w:val="none"/>
        </w:rPr>
        <w:t>该表必须按照</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要求逐条如实填写，根据响应情况在“差异说明”项填写正偏离或负偏离及原因，完全符合的填写“无差异”。</w:t>
      </w:r>
    </w:p>
    <w:p w14:paraId="11324D2D">
      <w:pPr>
        <w:tabs>
          <w:tab w:val="left" w:pos="6300"/>
        </w:tabs>
        <w:snapToGrid w:val="0"/>
        <w:spacing w:line="360" w:lineRule="auto"/>
        <w:ind w:firstLine="57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3.该表可扩展。</w:t>
      </w:r>
    </w:p>
    <w:p w14:paraId="281E8204">
      <w:pPr>
        <w:tabs>
          <w:tab w:val="left" w:pos="6300"/>
        </w:tabs>
        <w:snapToGrid w:val="0"/>
        <w:spacing w:line="40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技术方案</w:t>
      </w:r>
    </w:p>
    <w:p w14:paraId="67D748F6">
      <w:pPr>
        <w:pStyle w:val="4"/>
        <w:spacing w:before="0" w:after="0" w:line="360" w:lineRule="auto"/>
        <w:jc w:val="center"/>
        <w:rPr>
          <w:rFonts w:hint="eastAsia" w:ascii="仿宋" w:hAnsi="仿宋" w:eastAsia="仿宋" w:cs="仿宋"/>
          <w:b w:val="0"/>
          <w:color w:val="auto"/>
          <w:kern w:val="2"/>
          <w:sz w:val="24"/>
          <w:szCs w:val="24"/>
          <w:highlight w:val="none"/>
          <w:lang w:val="en-US" w:eastAsia="zh-CN" w:bidi="ar-SA"/>
        </w:rPr>
      </w:pPr>
    </w:p>
    <w:p w14:paraId="4318F7D8">
      <w:pPr>
        <w:spacing w:line="360" w:lineRule="auto"/>
        <w:ind w:firstLine="480" w:firstLineChars="200"/>
        <w:outlineLvl w:val="1"/>
        <w:rPr>
          <w:rFonts w:hint="eastAsia" w:ascii="仿宋" w:hAnsi="仿宋" w:eastAsia="仿宋" w:cs="仿宋"/>
          <w:color w:val="auto"/>
          <w:sz w:val="24"/>
          <w:szCs w:val="24"/>
          <w:highlight w:val="none"/>
          <w:lang w:val="en-US" w:eastAsia="zh-CN"/>
        </w:rPr>
      </w:pPr>
      <w:bookmarkStart w:id="183" w:name="_Toc5199"/>
      <w:r>
        <w:rPr>
          <w:rFonts w:hint="eastAsia" w:ascii="仿宋" w:hAnsi="仿宋" w:eastAsia="仿宋" w:cs="仿宋"/>
          <w:color w:val="auto"/>
          <w:sz w:val="24"/>
          <w:szCs w:val="24"/>
          <w:highlight w:val="none"/>
          <w:lang w:val="en-US" w:eastAsia="zh-CN"/>
        </w:rPr>
        <w:t>投标人根据招标文件“评审程序及方法、评审标准、无效响应和采购终止”中技术部分的评审标准编制，格式自拟。</w:t>
      </w:r>
    </w:p>
    <w:p w14:paraId="247A6463">
      <w:pPr>
        <w:pStyle w:val="4"/>
        <w:spacing w:before="0" w:after="0" w:line="360" w:lineRule="auto"/>
        <w:jc w:val="center"/>
        <w:rPr>
          <w:rFonts w:hint="eastAsia" w:ascii="仿宋" w:hAnsi="仿宋" w:eastAsia="仿宋" w:cs="仿宋"/>
          <w:color w:val="auto"/>
          <w:szCs w:val="32"/>
          <w:highlight w:val="none"/>
        </w:rPr>
      </w:pPr>
      <w:r>
        <w:rPr>
          <w:rFonts w:hint="eastAsia" w:ascii="仿宋" w:hAnsi="仿宋" w:eastAsia="仿宋" w:cs="仿宋"/>
          <w:b w:val="0"/>
          <w:color w:val="auto"/>
          <w:highlight w:val="none"/>
        </w:rPr>
        <w:br w:type="page"/>
      </w:r>
      <w:r>
        <w:rPr>
          <w:rFonts w:hint="eastAsia" w:ascii="仿宋" w:hAnsi="仿宋" w:eastAsia="仿宋" w:cs="仿宋"/>
          <w:color w:val="auto"/>
          <w:sz w:val="28"/>
          <w:szCs w:val="28"/>
          <w:highlight w:val="none"/>
        </w:rPr>
        <w:t>三、商务部分</w:t>
      </w:r>
      <w:bookmarkEnd w:id="182"/>
      <w:bookmarkEnd w:id="183"/>
    </w:p>
    <w:p w14:paraId="06E222B5">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（一）商务响应偏离表</w:t>
      </w:r>
    </w:p>
    <w:p w14:paraId="71E7EAC0">
      <w:pPr>
        <w:tabs>
          <w:tab w:val="left" w:pos="2145"/>
        </w:tabs>
        <w:spacing w:line="360" w:lineRule="auto"/>
        <w:ind w:firstLine="840" w:firstLineChars="3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rPr>
        <w:tab/>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14:paraId="6238A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noWrap w:val="0"/>
            <w:vAlign w:val="center"/>
          </w:tcPr>
          <w:p w14:paraId="771F8D13">
            <w:pPr>
              <w:tabs>
                <w:tab w:val="left" w:pos="6300"/>
              </w:tabs>
              <w:snapToGrid w:val="0"/>
              <w:spacing w:line="5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428" w:type="dxa"/>
            <w:noWrap w:val="0"/>
            <w:vAlign w:val="center"/>
          </w:tcPr>
          <w:p w14:paraId="01D29929">
            <w:pPr>
              <w:tabs>
                <w:tab w:val="left" w:pos="6300"/>
              </w:tabs>
              <w:snapToGrid w:val="0"/>
              <w:spacing w:line="5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w:t>
            </w:r>
            <w:r>
              <w:rPr>
                <w:rFonts w:hint="eastAsia" w:ascii="仿宋" w:hAnsi="仿宋" w:eastAsia="仿宋" w:cs="仿宋"/>
                <w:color w:val="auto"/>
                <w:sz w:val="24"/>
                <w:szCs w:val="24"/>
                <w:highlight w:val="none"/>
                <w:lang w:val="en-US" w:eastAsia="zh-CN"/>
              </w:rPr>
              <w:t>商务</w:t>
            </w:r>
            <w:r>
              <w:rPr>
                <w:rFonts w:hint="eastAsia" w:ascii="仿宋" w:hAnsi="仿宋" w:eastAsia="仿宋" w:cs="仿宋"/>
                <w:color w:val="auto"/>
                <w:sz w:val="24"/>
                <w:szCs w:val="24"/>
                <w:highlight w:val="none"/>
              </w:rPr>
              <w:t>需求</w:t>
            </w:r>
          </w:p>
        </w:tc>
        <w:tc>
          <w:tcPr>
            <w:tcW w:w="2520" w:type="dxa"/>
            <w:noWrap w:val="0"/>
            <w:vAlign w:val="center"/>
          </w:tcPr>
          <w:p w14:paraId="0D22E148">
            <w:pPr>
              <w:tabs>
                <w:tab w:val="left" w:pos="6300"/>
              </w:tabs>
              <w:snapToGrid w:val="0"/>
              <w:spacing w:line="5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响应情况</w:t>
            </w:r>
          </w:p>
        </w:tc>
        <w:tc>
          <w:tcPr>
            <w:tcW w:w="1888" w:type="dxa"/>
            <w:noWrap w:val="0"/>
            <w:vAlign w:val="center"/>
          </w:tcPr>
          <w:p w14:paraId="3B645605">
            <w:pPr>
              <w:tabs>
                <w:tab w:val="left" w:pos="6300"/>
              </w:tabs>
              <w:snapToGrid w:val="0"/>
              <w:spacing w:line="5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差异说明</w:t>
            </w:r>
          </w:p>
        </w:tc>
      </w:tr>
      <w:tr w14:paraId="53C0A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1A01EE80">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428" w:type="dxa"/>
            <w:noWrap w:val="0"/>
            <w:vAlign w:val="center"/>
          </w:tcPr>
          <w:p w14:paraId="704A2301">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7BC14699">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53278042">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0A8B4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42B0222D">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428" w:type="dxa"/>
            <w:noWrap w:val="0"/>
            <w:vAlign w:val="center"/>
          </w:tcPr>
          <w:p w14:paraId="0C840A42">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257EFD9D">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10A2D629">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2CA8A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6E24EAD7">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428" w:type="dxa"/>
            <w:noWrap w:val="0"/>
            <w:vAlign w:val="center"/>
          </w:tcPr>
          <w:p w14:paraId="18D1E84A">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2AF5B1BE">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4856C575">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474B0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278A8D20">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428" w:type="dxa"/>
            <w:noWrap w:val="0"/>
            <w:vAlign w:val="center"/>
          </w:tcPr>
          <w:p w14:paraId="6DF1810F">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1630FD89">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0CC3D1CB">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4F5CB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15369C89">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428" w:type="dxa"/>
            <w:noWrap w:val="0"/>
            <w:vAlign w:val="center"/>
          </w:tcPr>
          <w:p w14:paraId="1C46BF90">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6432B76A">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6EEC74C5">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30ADA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79CF93A6">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428" w:type="dxa"/>
            <w:noWrap w:val="0"/>
            <w:vAlign w:val="center"/>
          </w:tcPr>
          <w:p w14:paraId="72FAA6C5">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1A062405">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2A516F1D">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48911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35CC6A7A">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428" w:type="dxa"/>
            <w:noWrap w:val="0"/>
            <w:vAlign w:val="center"/>
          </w:tcPr>
          <w:p w14:paraId="7258105C">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2CCC300E">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37309CCD">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78A82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39C7FB71">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428" w:type="dxa"/>
            <w:noWrap w:val="0"/>
            <w:vAlign w:val="center"/>
          </w:tcPr>
          <w:p w14:paraId="41901CB0">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5D1EFFFC">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1EC73851">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73208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6E251A45">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428" w:type="dxa"/>
            <w:noWrap w:val="0"/>
            <w:vAlign w:val="center"/>
          </w:tcPr>
          <w:p w14:paraId="1E4A5E99">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108D6277">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3C6D35FE">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41576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73301309">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428" w:type="dxa"/>
            <w:noWrap w:val="0"/>
            <w:vAlign w:val="center"/>
          </w:tcPr>
          <w:p w14:paraId="5D29CC31">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6AB26041">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2A1F8054">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r w14:paraId="3882C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14:paraId="2BDB7E8B">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428" w:type="dxa"/>
            <w:noWrap w:val="0"/>
            <w:vAlign w:val="center"/>
          </w:tcPr>
          <w:p w14:paraId="52038071">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2520" w:type="dxa"/>
            <w:noWrap w:val="0"/>
            <w:vAlign w:val="center"/>
          </w:tcPr>
          <w:p w14:paraId="54CF7F93">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c>
          <w:tcPr>
            <w:tcW w:w="1888" w:type="dxa"/>
            <w:noWrap w:val="0"/>
            <w:vAlign w:val="center"/>
          </w:tcPr>
          <w:p w14:paraId="6CED0A6B">
            <w:pPr>
              <w:tabs>
                <w:tab w:val="left" w:pos="6300"/>
              </w:tabs>
              <w:snapToGrid w:val="0"/>
              <w:spacing w:line="500" w:lineRule="exact"/>
              <w:jc w:val="center"/>
              <w:outlineLvl w:val="0"/>
              <w:rPr>
                <w:rFonts w:hint="eastAsia" w:ascii="仿宋" w:hAnsi="仿宋" w:eastAsia="仿宋" w:cs="仿宋"/>
                <w:color w:val="auto"/>
                <w:sz w:val="24"/>
                <w:szCs w:val="24"/>
                <w:highlight w:val="none"/>
              </w:rPr>
            </w:pPr>
          </w:p>
        </w:tc>
      </w:tr>
    </w:tbl>
    <w:p w14:paraId="1A9C1EA5">
      <w:pPr>
        <w:spacing w:line="500" w:lineRule="exact"/>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法定代表人（或法定代表人授权代表）：</w:t>
      </w:r>
    </w:p>
    <w:p w14:paraId="191D8CE5">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1D38E4CB">
      <w:pPr>
        <w:spacing w:line="5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                                 （签字或盖章）</w:t>
      </w:r>
    </w:p>
    <w:p w14:paraId="69F08447">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36075698">
      <w:pPr>
        <w:tabs>
          <w:tab w:val="left" w:pos="6300"/>
        </w:tabs>
        <w:snapToGrid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21695779">
      <w:pPr>
        <w:tabs>
          <w:tab w:val="left" w:pos="6300"/>
        </w:tabs>
        <w:snapToGrid w:val="0"/>
        <w:spacing w:line="360" w:lineRule="auto"/>
        <w:ind w:firstLine="57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1.本表即为对本项目“第三篇 项目商务需求”中所列条款进行比较和响应；</w:t>
      </w:r>
    </w:p>
    <w:p w14:paraId="1D3EA9CA">
      <w:pPr>
        <w:tabs>
          <w:tab w:val="left" w:pos="6300"/>
        </w:tabs>
        <w:snapToGrid w:val="0"/>
        <w:spacing w:line="360" w:lineRule="auto"/>
        <w:ind w:firstLine="57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highlight w:val="none"/>
        </w:rPr>
        <w:t>该表必须按照</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要求逐条如实填写，根据响应情况在“差异说明”项填写正偏离或负偏离及原因，完全符合的填写“无差异”</w:t>
      </w:r>
    </w:p>
    <w:p w14:paraId="32835F16">
      <w:pPr>
        <w:tabs>
          <w:tab w:val="left" w:pos="6300"/>
        </w:tabs>
        <w:snapToGrid w:val="0"/>
        <w:spacing w:line="360" w:lineRule="auto"/>
        <w:ind w:firstLine="57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3.该表可扩展。</w:t>
      </w:r>
    </w:p>
    <w:p w14:paraId="635CD25B">
      <w:pPr>
        <w:spacing w:line="360" w:lineRule="auto"/>
        <w:ind w:firstLine="560" w:firstLineChars="200"/>
        <w:outlineLvl w:val="1"/>
        <w:rPr>
          <w:rFonts w:hint="eastAsia" w:ascii="仿宋" w:hAnsi="仿宋" w:eastAsia="仿宋" w:cs="仿宋"/>
          <w:color w:val="auto"/>
          <w:sz w:val="24"/>
          <w:szCs w:val="24"/>
          <w:highlight w:val="none"/>
        </w:rPr>
      </w:pPr>
      <w:r>
        <w:rPr>
          <w:rFonts w:hint="eastAsia" w:ascii="仿宋" w:hAnsi="仿宋" w:eastAsia="仿宋" w:cs="仿宋"/>
          <w:color w:val="auto"/>
          <w:highlight w:val="none"/>
        </w:rPr>
        <w:br w:type="page"/>
      </w:r>
      <w:r>
        <w:rPr>
          <w:rFonts w:hint="eastAsia" w:ascii="仿宋" w:hAnsi="仿宋" w:eastAsia="仿宋" w:cs="仿宋"/>
          <w:color w:val="auto"/>
          <w:sz w:val="24"/>
          <w:szCs w:val="24"/>
          <w:highlight w:val="none"/>
        </w:rPr>
        <w:t>（二）</w:t>
      </w:r>
      <w:bookmarkStart w:id="184" w:name="_Toc313888362"/>
      <w:bookmarkStart w:id="185" w:name="_Toc313008358"/>
      <w:bookmarkStart w:id="186" w:name="_Toc342913421"/>
      <w:bookmarkStart w:id="187" w:name="_Toc12335"/>
      <w:bookmarkStart w:id="188" w:name="_Toc80104371"/>
      <w:r>
        <w:rPr>
          <w:rFonts w:hint="eastAsia" w:ascii="仿宋" w:hAnsi="仿宋" w:eastAsia="仿宋" w:cs="仿宋"/>
          <w:color w:val="auto"/>
          <w:sz w:val="24"/>
          <w:szCs w:val="24"/>
          <w:highlight w:val="none"/>
        </w:rPr>
        <w:t>商务</w:t>
      </w:r>
      <w:r>
        <w:rPr>
          <w:rFonts w:hint="eastAsia" w:ascii="仿宋" w:hAnsi="仿宋" w:eastAsia="仿宋" w:cs="仿宋"/>
          <w:color w:val="auto"/>
          <w:sz w:val="24"/>
          <w:szCs w:val="24"/>
          <w:highlight w:val="none"/>
          <w:lang w:val="en-US" w:eastAsia="zh-CN"/>
        </w:rPr>
        <w:t>部分其他资料</w:t>
      </w:r>
      <w:r>
        <w:rPr>
          <w:rFonts w:hint="eastAsia" w:ascii="仿宋" w:hAnsi="仿宋" w:eastAsia="仿宋" w:cs="仿宋"/>
          <w:color w:val="auto"/>
          <w:sz w:val="24"/>
          <w:szCs w:val="24"/>
          <w:highlight w:val="none"/>
        </w:rPr>
        <w:t>（格式自拟）</w:t>
      </w:r>
    </w:p>
    <w:p w14:paraId="7CCBEAA6">
      <w:pPr>
        <w:spacing w:line="360" w:lineRule="auto"/>
        <w:ind w:firstLine="480" w:firstLineChars="200"/>
        <w:outlineLvl w:val="1"/>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投标人根据招标文件“评审程序及方法、评审标准、无效响应和采购终止”中商务部分的评审标准编制，格式自拟。</w:t>
      </w:r>
    </w:p>
    <w:p w14:paraId="39A4BE3B">
      <w:pPr>
        <w:pStyle w:val="4"/>
        <w:spacing w:before="0" w:after="0" w:line="360" w:lineRule="auto"/>
        <w:rPr>
          <w:rFonts w:hint="eastAsia" w:ascii="仿宋" w:hAnsi="仿宋" w:eastAsia="仿宋" w:cs="仿宋"/>
          <w:color w:val="auto"/>
          <w:sz w:val="40"/>
          <w:szCs w:val="22"/>
          <w:highlight w:val="none"/>
        </w:rPr>
      </w:pPr>
      <w:r>
        <w:rPr>
          <w:rFonts w:hint="eastAsia" w:ascii="仿宋" w:hAnsi="仿宋" w:eastAsia="仿宋" w:cs="仿宋"/>
          <w:color w:val="auto"/>
          <w:szCs w:val="32"/>
          <w:highlight w:val="none"/>
        </w:rPr>
        <w:br w:type="column"/>
      </w:r>
      <w:r>
        <w:rPr>
          <w:rFonts w:hint="eastAsia" w:ascii="仿宋" w:hAnsi="仿宋" w:eastAsia="仿宋" w:cs="仿宋"/>
          <w:color w:val="auto"/>
          <w:sz w:val="28"/>
          <w:szCs w:val="28"/>
          <w:highlight w:val="none"/>
        </w:rPr>
        <w:t>四、</w:t>
      </w:r>
      <w:bookmarkEnd w:id="184"/>
      <w:bookmarkEnd w:id="185"/>
      <w:bookmarkEnd w:id="186"/>
      <w:r>
        <w:rPr>
          <w:rFonts w:hint="eastAsia" w:ascii="仿宋" w:hAnsi="仿宋" w:eastAsia="仿宋" w:cs="仿宋"/>
          <w:color w:val="auto"/>
          <w:sz w:val="28"/>
          <w:szCs w:val="28"/>
          <w:highlight w:val="none"/>
        </w:rPr>
        <w:t>资格条件</w:t>
      </w:r>
      <w:bookmarkEnd w:id="187"/>
      <w:bookmarkEnd w:id="188"/>
    </w:p>
    <w:p w14:paraId="57F31D30">
      <w:pPr>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（一）法人营业执照（副本）或事业单位法人证书（副本）或个体工商户营业执照或有效的自然人身份证明或社会团体法人登记证书</w:t>
      </w:r>
      <w:r>
        <w:rPr>
          <w:rFonts w:hint="eastAsia" w:ascii="仿宋" w:hAnsi="仿宋" w:eastAsia="仿宋" w:cs="仿宋"/>
          <w:color w:val="auto"/>
          <w:sz w:val="24"/>
          <w:szCs w:val="24"/>
          <w:highlight w:val="none"/>
          <w:lang w:eastAsia="zh-CN"/>
        </w:rPr>
        <w:t>扫描件</w:t>
      </w:r>
    </w:p>
    <w:p w14:paraId="61567C50">
      <w:pPr>
        <w:tabs>
          <w:tab w:val="left" w:pos="6300"/>
        </w:tabs>
        <w:snapToGrid w:val="0"/>
        <w:spacing w:line="500" w:lineRule="exact"/>
        <w:ind w:firstLine="570"/>
        <w:rPr>
          <w:rFonts w:hint="eastAsia" w:ascii="仿宋" w:hAnsi="仿宋" w:eastAsia="仿宋" w:cs="仿宋"/>
          <w:color w:val="auto"/>
          <w:sz w:val="32"/>
          <w:szCs w:val="32"/>
          <w:highlight w:val="none"/>
        </w:rPr>
      </w:pPr>
    </w:p>
    <w:p w14:paraId="039A4ABE">
      <w:pPr>
        <w:tabs>
          <w:tab w:val="left" w:pos="6300"/>
        </w:tabs>
        <w:snapToGrid w:val="0"/>
        <w:spacing w:line="500" w:lineRule="exact"/>
        <w:ind w:firstLine="570"/>
        <w:rPr>
          <w:rFonts w:hint="eastAsia" w:ascii="仿宋" w:hAnsi="仿宋" w:eastAsia="仿宋" w:cs="仿宋"/>
          <w:color w:val="auto"/>
          <w:sz w:val="32"/>
          <w:szCs w:val="32"/>
          <w:highlight w:val="none"/>
        </w:rPr>
      </w:pPr>
    </w:p>
    <w:p w14:paraId="486998A6">
      <w:pPr>
        <w:tabs>
          <w:tab w:val="left" w:pos="6300"/>
        </w:tabs>
        <w:snapToGrid w:val="0"/>
        <w:spacing w:line="500" w:lineRule="exact"/>
        <w:ind w:firstLine="570"/>
        <w:rPr>
          <w:rFonts w:hint="eastAsia" w:ascii="仿宋" w:hAnsi="仿宋" w:eastAsia="仿宋" w:cs="仿宋"/>
          <w:color w:val="auto"/>
          <w:sz w:val="32"/>
          <w:szCs w:val="32"/>
          <w:highlight w:val="none"/>
        </w:rPr>
      </w:pPr>
    </w:p>
    <w:p w14:paraId="1AFBE945">
      <w:pPr>
        <w:widowControl/>
        <w:ind w:firstLine="640" w:firstLineChars="20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r>
        <w:rPr>
          <w:rFonts w:hint="eastAsia" w:ascii="仿宋" w:hAnsi="仿宋" w:eastAsia="仿宋" w:cs="仿宋"/>
          <w:color w:val="auto"/>
          <w:sz w:val="28"/>
          <w:szCs w:val="28"/>
          <w:highlight w:val="none"/>
        </w:rPr>
        <w:t>（二）法定代表人身份证明书（格式）</w:t>
      </w:r>
    </w:p>
    <w:p w14:paraId="481F5978">
      <w:pPr>
        <w:tabs>
          <w:tab w:val="left" w:pos="6300"/>
        </w:tabs>
        <w:snapToGrid w:val="0"/>
        <w:spacing w:line="500" w:lineRule="exact"/>
        <w:ind w:firstLine="570"/>
        <w:rPr>
          <w:rFonts w:hint="eastAsia" w:ascii="仿宋" w:hAnsi="仿宋" w:eastAsia="仿宋" w:cs="仿宋"/>
          <w:color w:val="auto"/>
          <w:sz w:val="32"/>
          <w:szCs w:val="32"/>
          <w:highlight w:val="none"/>
        </w:rPr>
      </w:pPr>
    </w:p>
    <w:p w14:paraId="71084399">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p>
    <w:p w14:paraId="34528077">
      <w:pPr>
        <w:tabs>
          <w:tab w:val="left" w:pos="6300"/>
        </w:tabs>
        <w:snapToGrid w:val="0"/>
        <w:spacing w:line="500" w:lineRule="exact"/>
        <w:ind w:firstLine="570"/>
        <w:rPr>
          <w:rFonts w:hint="eastAsia" w:ascii="仿宋" w:hAnsi="仿宋" w:eastAsia="仿宋" w:cs="仿宋"/>
          <w:color w:val="auto"/>
          <w:sz w:val="24"/>
          <w:szCs w:val="24"/>
          <w:highlight w:val="none"/>
        </w:rPr>
      </w:pPr>
    </w:p>
    <w:p w14:paraId="0202FBA2">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名称）：</w:t>
      </w:r>
    </w:p>
    <w:p w14:paraId="30F7CC1A">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（法定代表人姓名）在</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（职务名称）职务，是（</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的法定代表人。</w:t>
      </w:r>
    </w:p>
    <w:p w14:paraId="2175AF45">
      <w:pPr>
        <w:tabs>
          <w:tab w:val="left" w:pos="6300"/>
        </w:tabs>
        <w:snapToGrid w:val="0"/>
        <w:spacing w:line="500" w:lineRule="exact"/>
        <w:ind w:firstLine="570"/>
        <w:rPr>
          <w:rFonts w:hint="eastAsia" w:ascii="仿宋" w:hAnsi="仿宋" w:eastAsia="仿宋" w:cs="仿宋"/>
          <w:color w:val="auto"/>
          <w:sz w:val="24"/>
          <w:szCs w:val="24"/>
          <w:highlight w:val="none"/>
        </w:rPr>
      </w:pPr>
    </w:p>
    <w:p w14:paraId="7C9BC126">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特此证明。</w:t>
      </w:r>
    </w:p>
    <w:p w14:paraId="756634E8">
      <w:pPr>
        <w:tabs>
          <w:tab w:val="left" w:pos="6300"/>
        </w:tabs>
        <w:snapToGrid w:val="0"/>
        <w:spacing w:line="500" w:lineRule="exact"/>
        <w:ind w:firstLine="570"/>
        <w:rPr>
          <w:rFonts w:hint="eastAsia" w:ascii="仿宋" w:hAnsi="仿宋" w:eastAsia="仿宋" w:cs="仿宋"/>
          <w:color w:val="auto"/>
          <w:sz w:val="24"/>
          <w:szCs w:val="24"/>
          <w:highlight w:val="none"/>
        </w:rPr>
      </w:pPr>
    </w:p>
    <w:p w14:paraId="15CAC007">
      <w:pPr>
        <w:tabs>
          <w:tab w:val="left" w:pos="6300"/>
        </w:tabs>
        <w:snapToGrid w:val="0"/>
        <w:spacing w:line="500" w:lineRule="exact"/>
        <w:ind w:firstLine="570"/>
        <w:rPr>
          <w:rFonts w:hint="eastAsia" w:ascii="仿宋" w:hAnsi="仿宋" w:eastAsia="仿宋" w:cs="仿宋"/>
          <w:color w:val="auto"/>
          <w:sz w:val="24"/>
          <w:szCs w:val="24"/>
          <w:highlight w:val="none"/>
        </w:rPr>
      </w:pPr>
    </w:p>
    <w:p w14:paraId="6D79083C">
      <w:pPr>
        <w:tabs>
          <w:tab w:val="left" w:pos="6300"/>
        </w:tabs>
        <w:snapToGrid w:val="0"/>
        <w:spacing w:line="500" w:lineRule="exact"/>
        <w:ind w:firstLine="570"/>
        <w:rPr>
          <w:rFonts w:hint="eastAsia" w:ascii="仿宋" w:hAnsi="仿宋" w:eastAsia="仿宋" w:cs="仿宋"/>
          <w:color w:val="auto"/>
          <w:sz w:val="24"/>
          <w:szCs w:val="24"/>
          <w:highlight w:val="none"/>
        </w:rPr>
      </w:pPr>
    </w:p>
    <w:p w14:paraId="65D84142">
      <w:pPr>
        <w:tabs>
          <w:tab w:val="left" w:pos="6300"/>
        </w:tabs>
        <w:snapToGrid w:val="0"/>
        <w:spacing w:line="500" w:lineRule="exact"/>
        <w:ind w:firstLine="570"/>
        <w:jc w:val="center"/>
        <w:rPr>
          <w:rFonts w:hint="eastAsia" w:ascii="仿宋" w:hAnsi="仿宋" w:eastAsia="仿宋" w:cs="仿宋"/>
          <w:color w:val="auto"/>
          <w:sz w:val="24"/>
          <w:szCs w:val="24"/>
          <w:highlight w:val="none"/>
        </w:rPr>
      </w:pPr>
    </w:p>
    <w:p w14:paraId="09F5B69C">
      <w:pPr>
        <w:tabs>
          <w:tab w:val="left" w:pos="6300"/>
        </w:tabs>
        <w:snapToGrid w:val="0"/>
        <w:spacing w:line="500" w:lineRule="exact"/>
        <w:ind w:firstLine="57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w:t>
      </w:r>
    </w:p>
    <w:p w14:paraId="76718AE7">
      <w:pPr>
        <w:tabs>
          <w:tab w:val="left" w:pos="6300"/>
        </w:tabs>
        <w:snapToGrid w:val="0"/>
        <w:spacing w:line="500" w:lineRule="exact"/>
        <w:ind w:firstLine="570"/>
        <w:rPr>
          <w:rFonts w:hint="eastAsia" w:ascii="仿宋" w:hAnsi="仿宋" w:eastAsia="仿宋" w:cs="仿宋"/>
          <w:color w:val="auto"/>
          <w:sz w:val="24"/>
          <w:szCs w:val="24"/>
          <w:highlight w:val="none"/>
        </w:rPr>
      </w:pPr>
    </w:p>
    <w:p w14:paraId="711D8E20">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10AC7119">
      <w:pPr>
        <w:tabs>
          <w:tab w:val="left" w:pos="6300"/>
        </w:tabs>
        <w:snapToGrid w:val="0"/>
        <w:spacing w:line="500" w:lineRule="exact"/>
        <w:ind w:firstLine="570"/>
        <w:rPr>
          <w:rFonts w:hint="eastAsia" w:ascii="仿宋" w:hAnsi="仿宋" w:eastAsia="仿宋" w:cs="仿宋"/>
          <w:color w:val="auto"/>
          <w:sz w:val="24"/>
          <w:szCs w:val="24"/>
          <w:highlight w:val="none"/>
        </w:rPr>
      </w:pPr>
    </w:p>
    <w:p w14:paraId="0D710129">
      <w:pPr>
        <w:pStyle w:val="19"/>
        <w:rPr>
          <w:rFonts w:hint="eastAsia" w:ascii="仿宋" w:hAnsi="仿宋" w:eastAsia="仿宋" w:cs="仿宋"/>
          <w:color w:val="auto"/>
          <w:sz w:val="24"/>
          <w:szCs w:val="24"/>
          <w:highlight w:val="none"/>
        </w:rPr>
      </w:pPr>
    </w:p>
    <w:p w14:paraId="1198CAC3">
      <w:pPr>
        <w:rPr>
          <w:rFonts w:hint="eastAsia" w:ascii="仿宋" w:hAnsi="仿宋" w:eastAsia="仿宋" w:cs="仿宋"/>
          <w:color w:val="auto"/>
          <w:sz w:val="24"/>
          <w:szCs w:val="24"/>
          <w:highlight w:val="none"/>
        </w:rPr>
      </w:pPr>
    </w:p>
    <w:p w14:paraId="37BB39FF">
      <w:pPr>
        <w:pStyle w:val="19"/>
        <w:rPr>
          <w:rFonts w:hint="eastAsia" w:ascii="仿宋" w:hAnsi="仿宋" w:eastAsia="仿宋" w:cs="仿宋"/>
          <w:color w:val="auto"/>
          <w:highlight w:val="none"/>
        </w:rPr>
      </w:pPr>
    </w:p>
    <w:p w14:paraId="30C1C31F">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highlight w:val="none"/>
        </w:rPr>
        <w:t>（附：法定代表人身份证正反面</w:t>
      </w:r>
      <w:r>
        <w:rPr>
          <w:rFonts w:hint="eastAsia" w:ascii="仿宋" w:hAnsi="仿宋" w:eastAsia="仿宋" w:cs="仿宋"/>
          <w:color w:val="auto"/>
          <w:sz w:val="24"/>
          <w:highlight w:val="none"/>
          <w:lang w:eastAsia="zh-CN"/>
        </w:rPr>
        <w:t>扫描件</w:t>
      </w:r>
      <w:r>
        <w:rPr>
          <w:rFonts w:hint="eastAsia" w:ascii="仿宋" w:hAnsi="仿宋" w:eastAsia="仿宋" w:cs="仿宋"/>
          <w:color w:val="auto"/>
          <w:sz w:val="24"/>
          <w:highlight w:val="none"/>
        </w:rPr>
        <w:t>）</w:t>
      </w:r>
    </w:p>
    <w:p w14:paraId="7E758A38">
      <w:pPr>
        <w:tabs>
          <w:tab w:val="left" w:pos="6300"/>
        </w:tabs>
        <w:snapToGrid w:val="0"/>
        <w:spacing w:line="500" w:lineRule="exact"/>
        <w:ind w:firstLine="570"/>
        <w:rPr>
          <w:rFonts w:hint="eastAsia" w:ascii="仿宋" w:hAnsi="仿宋" w:eastAsia="仿宋" w:cs="仿宋"/>
          <w:color w:val="auto"/>
          <w:sz w:val="24"/>
          <w:szCs w:val="24"/>
          <w:highlight w:val="none"/>
        </w:rPr>
      </w:pPr>
    </w:p>
    <w:p w14:paraId="705F69E0">
      <w:pPr>
        <w:tabs>
          <w:tab w:val="left" w:pos="6300"/>
        </w:tabs>
        <w:snapToGrid w:val="0"/>
        <w:spacing w:line="500" w:lineRule="exact"/>
        <w:ind w:firstLine="570"/>
        <w:rPr>
          <w:rFonts w:hint="eastAsia" w:ascii="仿宋" w:hAnsi="仿宋" w:eastAsia="仿宋" w:cs="仿宋"/>
          <w:color w:val="auto"/>
          <w:sz w:val="32"/>
          <w:szCs w:val="32"/>
          <w:highlight w:val="none"/>
        </w:rPr>
      </w:pPr>
    </w:p>
    <w:p w14:paraId="6646FF12">
      <w:pPr>
        <w:tabs>
          <w:tab w:val="left" w:pos="6300"/>
        </w:tabs>
        <w:snapToGrid w:val="0"/>
        <w:spacing w:line="500" w:lineRule="exact"/>
        <w:ind w:firstLine="570"/>
        <w:rPr>
          <w:rFonts w:hint="eastAsia" w:ascii="仿宋" w:hAnsi="仿宋" w:eastAsia="仿宋" w:cs="仿宋"/>
          <w:color w:val="auto"/>
          <w:sz w:val="32"/>
          <w:szCs w:val="32"/>
          <w:highlight w:val="none"/>
        </w:rPr>
      </w:pPr>
    </w:p>
    <w:p w14:paraId="3C094D69">
      <w:pPr>
        <w:tabs>
          <w:tab w:val="left" w:pos="6300"/>
        </w:tabs>
        <w:snapToGrid w:val="0"/>
        <w:spacing w:line="500" w:lineRule="exact"/>
        <w:ind w:firstLine="570"/>
        <w:rPr>
          <w:rFonts w:hint="eastAsia" w:ascii="仿宋" w:hAnsi="仿宋" w:eastAsia="仿宋" w:cs="仿宋"/>
          <w:color w:val="auto"/>
          <w:sz w:val="32"/>
          <w:szCs w:val="32"/>
          <w:highlight w:val="none"/>
        </w:rPr>
      </w:pPr>
    </w:p>
    <w:p w14:paraId="518C75FD">
      <w:pPr>
        <w:tabs>
          <w:tab w:val="left" w:pos="6300"/>
        </w:tabs>
        <w:snapToGrid w:val="0"/>
        <w:spacing w:line="500" w:lineRule="exact"/>
        <w:ind w:firstLine="570"/>
        <w:rPr>
          <w:rFonts w:hint="eastAsia" w:ascii="仿宋" w:hAnsi="仿宋" w:eastAsia="仿宋" w:cs="仿宋"/>
          <w:color w:val="auto"/>
          <w:sz w:val="32"/>
          <w:szCs w:val="32"/>
          <w:highlight w:val="none"/>
        </w:rPr>
      </w:pPr>
    </w:p>
    <w:p w14:paraId="5F147DDE">
      <w:pPr>
        <w:tabs>
          <w:tab w:val="left" w:pos="6300"/>
        </w:tabs>
        <w:snapToGrid w:val="0"/>
        <w:spacing w:line="500" w:lineRule="exact"/>
        <w:ind w:firstLine="570"/>
        <w:rPr>
          <w:rFonts w:hint="eastAsia" w:ascii="仿宋" w:hAnsi="仿宋" w:eastAsia="仿宋" w:cs="仿宋"/>
          <w:color w:val="auto"/>
          <w:sz w:val="32"/>
          <w:szCs w:val="32"/>
          <w:highlight w:val="none"/>
        </w:rPr>
      </w:pPr>
    </w:p>
    <w:p w14:paraId="04AE1D4B">
      <w:pPr>
        <w:tabs>
          <w:tab w:val="left" w:pos="6300"/>
        </w:tabs>
        <w:snapToGrid w:val="0"/>
        <w:spacing w:line="500" w:lineRule="exact"/>
        <w:ind w:firstLine="57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column"/>
      </w:r>
      <w:r>
        <w:rPr>
          <w:rFonts w:hint="eastAsia" w:ascii="仿宋" w:hAnsi="仿宋" w:eastAsia="仿宋" w:cs="仿宋"/>
          <w:color w:val="auto"/>
          <w:sz w:val="28"/>
          <w:szCs w:val="28"/>
          <w:highlight w:val="none"/>
        </w:rPr>
        <w:t>（三）法定代表人授权委托书（格式）</w:t>
      </w:r>
    </w:p>
    <w:p w14:paraId="17765B22">
      <w:pPr>
        <w:tabs>
          <w:tab w:val="left" w:pos="6300"/>
        </w:tabs>
        <w:snapToGrid w:val="0"/>
        <w:spacing w:line="500" w:lineRule="exact"/>
        <w:ind w:firstLine="57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p>
    <w:p w14:paraId="52AB45CD">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p>
    <w:p w14:paraId="7CE73D97">
      <w:pPr>
        <w:tabs>
          <w:tab w:val="left" w:pos="6300"/>
        </w:tabs>
        <w:snapToGrid w:val="0"/>
        <w:spacing w:line="500" w:lineRule="exact"/>
        <w:ind w:firstLine="570"/>
        <w:rPr>
          <w:rFonts w:hint="eastAsia" w:ascii="仿宋" w:hAnsi="仿宋" w:eastAsia="仿宋" w:cs="仿宋"/>
          <w:color w:val="auto"/>
          <w:sz w:val="24"/>
          <w:szCs w:val="24"/>
          <w:highlight w:val="none"/>
        </w:rPr>
      </w:pPr>
    </w:p>
    <w:p w14:paraId="3961E47E">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名称）：</w:t>
      </w:r>
    </w:p>
    <w:p w14:paraId="637903C1">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法定代表人名称）是</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名称）的法定代表人，特授权</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（被授权人姓名及身份证代码）代表我单位全权办理上述项目的</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、签约等具体工作，并签署全部有关文件、协议及合同。</w:t>
      </w:r>
    </w:p>
    <w:p w14:paraId="27B2EAD6">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我单位对被授权人的签字负全部责任。</w:t>
      </w:r>
    </w:p>
    <w:p w14:paraId="3CC9A46E">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在撤消授权的书面通知以前，本授权书一直有效。被授权人在授权书有效期内签署的所有文件不因授权的撤消而失效。</w:t>
      </w:r>
    </w:p>
    <w:p w14:paraId="2F5A20B0">
      <w:pPr>
        <w:tabs>
          <w:tab w:val="left" w:pos="6300"/>
        </w:tabs>
        <w:snapToGrid w:val="0"/>
        <w:spacing w:line="500" w:lineRule="exact"/>
        <w:ind w:firstLine="570"/>
        <w:rPr>
          <w:rFonts w:hint="eastAsia" w:ascii="仿宋" w:hAnsi="仿宋" w:eastAsia="仿宋" w:cs="仿宋"/>
          <w:color w:val="auto"/>
          <w:sz w:val="24"/>
          <w:szCs w:val="24"/>
          <w:highlight w:val="none"/>
        </w:rPr>
      </w:pPr>
    </w:p>
    <w:p w14:paraId="45C299A2">
      <w:pPr>
        <w:tabs>
          <w:tab w:val="left" w:pos="6300"/>
        </w:tabs>
        <w:snapToGrid w:val="0"/>
        <w:spacing w:line="500" w:lineRule="exact"/>
        <w:ind w:firstLine="570"/>
        <w:rPr>
          <w:rFonts w:hint="eastAsia" w:ascii="仿宋" w:hAnsi="仿宋" w:eastAsia="仿宋" w:cs="仿宋"/>
          <w:color w:val="auto"/>
          <w:sz w:val="24"/>
          <w:szCs w:val="24"/>
          <w:highlight w:val="none"/>
        </w:rPr>
      </w:pPr>
    </w:p>
    <w:p w14:paraId="3A84EA7F">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被授权人：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法定代表人：</w:t>
      </w:r>
    </w:p>
    <w:p w14:paraId="0005772D">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（签字或盖章）                                （签字或盖章）</w:t>
      </w:r>
    </w:p>
    <w:p w14:paraId="5CFFCB88">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联系电话：                                  </w:t>
      </w:r>
    </w:p>
    <w:p w14:paraId="2B688D17">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542B4C5A">
      <w:pPr>
        <w:tabs>
          <w:tab w:val="left" w:pos="6300"/>
        </w:tabs>
        <w:snapToGrid w:val="0"/>
        <w:spacing w:line="500" w:lineRule="exact"/>
        <w:ind w:firstLine="570"/>
        <w:rPr>
          <w:rFonts w:hint="eastAsia" w:ascii="仿宋" w:hAnsi="仿宋" w:eastAsia="仿宋" w:cs="仿宋"/>
          <w:color w:val="auto"/>
          <w:sz w:val="24"/>
          <w:szCs w:val="24"/>
          <w:highlight w:val="none"/>
        </w:rPr>
      </w:pPr>
    </w:p>
    <w:p w14:paraId="4D10F594">
      <w:pPr>
        <w:tabs>
          <w:tab w:val="left" w:pos="6300"/>
        </w:tabs>
        <w:snapToGrid w:val="0"/>
        <w:spacing w:line="500" w:lineRule="exact"/>
        <w:ind w:firstLine="570"/>
        <w:rPr>
          <w:rFonts w:hint="eastAsia" w:ascii="仿宋" w:hAnsi="仿宋" w:eastAsia="仿宋" w:cs="仿宋"/>
          <w:color w:val="auto"/>
          <w:sz w:val="24"/>
          <w:szCs w:val="24"/>
          <w:highlight w:val="none"/>
        </w:rPr>
      </w:pPr>
    </w:p>
    <w:p w14:paraId="0EA772DA">
      <w:pPr>
        <w:tabs>
          <w:tab w:val="left" w:pos="6300"/>
        </w:tabs>
        <w:snapToGrid w:val="0"/>
        <w:spacing w:line="500" w:lineRule="exact"/>
        <w:ind w:right="480" w:firstLine="57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w:t>
      </w:r>
    </w:p>
    <w:p w14:paraId="103192BA">
      <w:pPr>
        <w:tabs>
          <w:tab w:val="left" w:pos="6300"/>
        </w:tabs>
        <w:snapToGrid w:val="0"/>
        <w:spacing w:line="500" w:lineRule="exact"/>
        <w:ind w:right="480" w:firstLine="57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4DE0D8CC">
      <w:pPr>
        <w:tabs>
          <w:tab w:val="left" w:pos="6300"/>
        </w:tabs>
        <w:snapToGrid w:val="0"/>
        <w:spacing w:line="500" w:lineRule="exact"/>
        <w:ind w:firstLine="570"/>
        <w:rPr>
          <w:rFonts w:hint="eastAsia" w:ascii="仿宋" w:hAnsi="仿宋" w:eastAsia="仿宋" w:cs="仿宋"/>
          <w:color w:val="auto"/>
          <w:sz w:val="24"/>
          <w:szCs w:val="24"/>
          <w:highlight w:val="none"/>
        </w:rPr>
      </w:pPr>
    </w:p>
    <w:p w14:paraId="2EC2D908">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（附：被授权人身份证正反面</w:t>
      </w:r>
      <w:r>
        <w:rPr>
          <w:rFonts w:hint="eastAsia" w:ascii="仿宋" w:hAnsi="仿宋" w:eastAsia="仿宋" w:cs="仿宋"/>
          <w:color w:val="auto"/>
          <w:sz w:val="24"/>
          <w:szCs w:val="24"/>
          <w:highlight w:val="none"/>
          <w:lang w:eastAsia="zh-CN"/>
        </w:rPr>
        <w:t>扫描件</w:t>
      </w:r>
      <w:r>
        <w:rPr>
          <w:rFonts w:hint="eastAsia" w:ascii="仿宋" w:hAnsi="仿宋" w:eastAsia="仿宋" w:cs="仿宋"/>
          <w:color w:val="auto"/>
          <w:sz w:val="24"/>
          <w:szCs w:val="24"/>
          <w:highlight w:val="none"/>
        </w:rPr>
        <w:t>）</w:t>
      </w:r>
    </w:p>
    <w:p w14:paraId="1CD073B2">
      <w:pPr>
        <w:tabs>
          <w:tab w:val="left" w:pos="6300"/>
        </w:tabs>
        <w:snapToGrid w:val="0"/>
        <w:spacing w:line="500" w:lineRule="exact"/>
        <w:ind w:right="480" w:firstLine="57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538EA118">
      <w:pPr>
        <w:widowControl/>
        <w:spacing w:line="40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（四）基本资格条件承诺函</w:t>
      </w:r>
    </w:p>
    <w:p w14:paraId="0D0911FA">
      <w:pPr>
        <w:tabs>
          <w:tab w:val="left" w:pos="6300"/>
        </w:tabs>
        <w:snapToGrid w:val="0"/>
        <w:spacing w:line="500" w:lineRule="exact"/>
        <w:ind w:firstLine="57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基本资格条件承诺函</w:t>
      </w:r>
    </w:p>
    <w:p w14:paraId="6E752BC3">
      <w:pPr>
        <w:tabs>
          <w:tab w:val="left" w:pos="6300"/>
        </w:tabs>
        <w:snapToGrid w:val="0"/>
        <w:spacing w:line="530" w:lineRule="exact"/>
        <w:rPr>
          <w:rFonts w:hint="eastAsia" w:ascii="仿宋" w:hAnsi="仿宋" w:eastAsia="仿宋" w:cs="仿宋"/>
          <w:color w:val="auto"/>
          <w:sz w:val="24"/>
          <w:szCs w:val="24"/>
          <w:highlight w:val="none"/>
        </w:rPr>
      </w:pPr>
    </w:p>
    <w:p w14:paraId="6E1E7E6E">
      <w:pPr>
        <w:tabs>
          <w:tab w:val="left" w:pos="6300"/>
        </w:tabs>
        <w:snapToGrid w:val="0"/>
        <w:spacing w:line="53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名称）：</w:t>
      </w:r>
    </w:p>
    <w:p w14:paraId="5DC3574D">
      <w:pPr>
        <w:tabs>
          <w:tab w:val="left" w:pos="6300"/>
        </w:tabs>
        <w:snapToGrid w:val="0"/>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名称）郑重承诺：</w:t>
      </w:r>
    </w:p>
    <w:p w14:paraId="723E8B06">
      <w:pPr>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1.我方具有良好的商业信誉和健全的财务会计制度，具有履行合同所必需的设备和专业技术能力，具</w:t>
      </w:r>
      <w:r>
        <w:rPr>
          <w:rFonts w:hint="eastAsia" w:ascii="仿宋" w:hAnsi="仿宋" w:eastAsia="仿宋" w:cs="仿宋"/>
          <w:color w:val="auto"/>
          <w:sz w:val="24"/>
          <w:szCs w:val="24"/>
          <w:highlight w:val="none"/>
          <w:lang w:val="zh-CN"/>
        </w:rPr>
        <w:t>有依法缴纳税收和社会保障金的良好记录</w:t>
      </w:r>
      <w:r>
        <w:rPr>
          <w:rFonts w:hint="eastAsia" w:ascii="仿宋" w:hAnsi="仿宋" w:eastAsia="仿宋" w:cs="仿宋"/>
          <w:color w:val="auto"/>
          <w:sz w:val="24"/>
          <w:szCs w:val="24"/>
          <w:highlight w:val="none"/>
        </w:rPr>
        <w:t>，参加本项目采购活动前三年内无重大违法活动记录。</w:t>
      </w:r>
    </w:p>
    <w:p w14:paraId="1546AB41">
      <w:pPr>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18C74B80">
      <w:pPr>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3.我方在采购项目评审（评标）环节结束后，随时接受</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招标代理机构</w:t>
      </w:r>
      <w:r>
        <w:rPr>
          <w:rFonts w:hint="eastAsia" w:ascii="仿宋" w:hAnsi="仿宋" w:eastAsia="仿宋" w:cs="仿宋"/>
          <w:color w:val="auto"/>
          <w:sz w:val="24"/>
          <w:szCs w:val="24"/>
          <w:highlight w:val="none"/>
        </w:rPr>
        <w:t>的检查验证，配合提供相关证明材料，证明符合《中华人民共和国政府采购法》规定的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基本资格条件。</w:t>
      </w:r>
    </w:p>
    <w:p w14:paraId="185E1498">
      <w:pPr>
        <w:tabs>
          <w:tab w:val="left" w:pos="6300"/>
        </w:tabs>
        <w:snapToGrid w:val="0"/>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我方对以上承诺负全部法律责任。</w:t>
      </w:r>
    </w:p>
    <w:p w14:paraId="642CD9A5">
      <w:pPr>
        <w:tabs>
          <w:tab w:val="left" w:pos="6300"/>
        </w:tabs>
        <w:snapToGrid w:val="0"/>
        <w:spacing w:line="53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特此承诺。</w:t>
      </w:r>
    </w:p>
    <w:p w14:paraId="5BADD412">
      <w:pPr>
        <w:tabs>
          <w:tab w:val="left" w:pos="6300"/>
        </w:tabs>
        <w:snapToGrid w:val="0"/>
        <w:spacing w:line="530" w:lineRule="exact"/>
        <w:rPr>
          <w:rFonts w:hint="eastAsia" w:ascii="仿宋" w:hAnsi="仿宋" w:eastAsia="仿宋" w:cs="仿宋"/>
          <w:color w:val="auto"/>
          <w:sz w:val="24"/>
          <w:szCs w:val="24"/>
          <w:highlight w:val="none"/>
        </w:rPr>
      </w:pPr>
    </w:p>
    <w:p w14:paraId="16A60FC0">
      <w:pPr>
        <w:tabs>
          <w:tab w:val="left" w:pos="6300"/>
        </w:tabs>
        <w:snapToGrid w:val="0"/>
        <w:spacing w:line="530" w:lineRule="exact"/>
        <w:ind w:right="424" w:firstLine="57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w:t>
      </w:r>
    </w:p>
    <w:p w14:paraId="5E431807">
      <w:pPr>
        <w:pStyle w:val="23"/>
        <w:jc w:val="right"/>
        <w:rPr>
          <w:rFonts w:hint="eastAsia" w:ascii="仿宋" w:hAnsi="仿宋" w:eastAsia="仿宋" w:cs="仿宋"/>
          <w:color w:val="auto"/>
          <w:szCs w:val="24"/>
          <w:highlight w:val="none"/>
        </w:rPr>
      </w:pPr>
    </w:p>
    <w:p w14:paraId="0FF81B58">
      <w:pPr>
        <w:pStyle w:val="23"/>
        <w:jc w:val="center"/>
        <w:rPr>
          <w:rFonts w:hint="eastAsia" w:ascii="仿宋" w:hAnsi="仿宋" w:eastAsia="仿宋" w:cs="仿宋"/>
          <w:color w:val="auto"/>
          <w:sz w:val="32"/>
          <w:szCs w:val="32"/>
          <w:highlight w:val="none"/>
        </w:rPr>
      </w:pPr>
      <w:r>
        <w:rPr>
          <w:rFonts w:hint="eastAsia" w:ascii="仿宋" w:hAnsi="仿宋" w:eastAsia="仿宋" w:cs="仿宋"/>
          <w:color w:val="auto"/>
          <w:szCs w:val="24"/>
          <w:highlight w:val="none"/>
          <w:lang w:val="en-US" w:eastAsia="zh-CN"/>
        </w:rPr>
        <w:t xml:space="preserve">                                                       </w:t>
      </w:r>
      <w:r>
        <w:rPr>
          <w:rFonts w:hint="eastAsia" w:ascii="仿宋" w:hAnsi="仿宋" w:eastAsia="仿宋" w:cs="仿宋"/>
          <w:color w:val="auto"/>
          <w:szCs w:val="24"/>
          <w:highlight w:val="none"/>
        </w:rPr>
        <w:t>年   月   日</w:t>
      </w:r>
    </w:p>
    <w:p w14:paraId="53E42517">
      <w:pPr>
        <w:pStyle w:val="23"/>
        <w:rPr>
          <w:rFonts w:hint="eastAsia" w:ascii="仿宋" w:hAnsi="仿宋" w:eastAsia="仿宋" w:cs="仿宋"/>
          <w:color w:val="auto"/>
          <w:sz w:val="32"/>
          <w:szCs w:val="32"/>
          <w:highlight w:val="none"/>
        </w:rPr>
      </w:pPr>
    </w:p>
    <w:p w14:paraId="0FA33233">
      <w:pPr>
        <w:pStyle w:val="23"/>
        <w:rPr>
          <w:rFonts w:hint="eastAsia" w:ascii="仿宋" w:hAnsi="仿宋" w:eastAsia="仿宋" w:cs="仿宋"/>
          <w:color w:val="auto"/>
          <w:sz w:val="32"/>
          <w:szCs w:val="32"/>
          <w:highlight w:val="none"/>
        </w:rPr>
      </w:pPr>
    </w:p>
    <w:p w14:paraId="6D0891F8">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（五）特定资格条件证书或证明文件（如果有）</w:t>
      </w:r>
    </w:p>
    <w:p w14:paraId="18E8CFA7">
      <w:pPr>
        <w:pStyle w:val="23"/>
        <w:rPr>
          <w:rFonts w:hint="eastAsia" w:ascii="仿宋" w:hAnsi="仿宋" w:eastAsia="仿宋" w:cs="仿宋"/>
          <w:color w:val="auto"/>
          <w:sz w:val="32"/>
          <w:szCs w:val="32"/>
          <w:highlight w:val="none"/>
        </w:rPr>
      </w:pPr>
    </w:p>
    <w:p w14:paraId="306BE87E">
      <w:pPr>
        <w:pStyle w:val="23"/>
        <w:ind w:firstLine="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74E16699">
      <w:pPr>
        <w:pStyle w:val="4"/>
        <w:spacing w:before="0" w:after="0" w:line="360" w:lineRule="auto"/>
        <w:rPr>
          <w:rFonts w:hint="eastAsia" w:ascii="仿宋" w:hAnsi="仿宋" w:eastAsia="仿宋" w:cs="仿宋"/>
          <w:color w:val="auto"/>
          <w:sz w:val="28"/>
          <w:szCs w:val="28"/>
          <w:highlight w:val="none"/>
        </w:rPr>
      </w:pPr>
      <w:bookmarkStart w:id="189" w:name="_Toc12008"/>
      <w:r>
        <w:rPr>
          <w:rFonts w:hint="eastAsia" w:ascii="仿宋" w:hAnsi="仿宋" w:eastAsia="仿宋" w:cs="仿宋"/>
          <w:color w:val="auto"/>
          <w:sz w:val="28"/>
          <w:szCs w:val="28"/>
          <w:highlight w:val="none"/>
        </w:rPr>
        <w:t>五、其他应提供的资料</w:t>
      </w:r>
      <w:bookmarkEnd w:id="189"/>
    </w:p>
    <w:p w14:paraId="7BF20F8B">
      <w:pPr>
        <w:spacing w:line="40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（一）其他与项目有关的资料（自附）</w:t>
      </w:r>
    </w:p>
    <w:p w14:paraId="257093B7">
      <w:pPr>
        <w:spacing w:line="360" w:lineRule="auto"/>
        <w:ind w:firstLine="640" w:firstLineChars="200"/>
        <w:jc w:val="center"/>
        <w:rPr>
          <w:rFonts w:hint="eastAsia" w:ascii="仿宋" w:hAnsi="仿宋" w:eastAsia="仿宋" w:cs="仿宋"/>
          <w:color w:val="auto"/>
          <w:sz w:val="32"/>
          <w:szCs w:val="32"/>
          <w:highlight w:val="none"/>
        </w:rPr>
      </w:pPr>
    </w:p>
    <w:p w14:paraId="061ED081">
      <w:pPr>
        <w:spacing w:line="360" w:lineRule="auto"/>
        <w:ind w:firstLine="640" w:firstLineChars="200"/>
        <w:jc w:val="center"/>
        <w:rPr>
          <w:rFonts w:hint="eastAsia" w:ascii="仿宋" w:hAnsi="仿宋" w:eastAsia="仿宋" w:cs="仿宋"/>
          <w:color w:val="auto"/>
          <w:sz w:val="32"/>
          <w:szCs w:val="32"/>
          <w:highlight w:val="none"/>
        </w:rPr>
      </w:pPr>
    </w:p>
    <w:p w14:paraId="36794F84">
      <w:pPr>
        <w:spacing w:line="360" w:lineRule="auto"/>
        <w:rPr>
          <w:rFonts w:hint="eastAsia" w:ascii="仿宋" w:hAnsi="仿宋" w:eastAsia="仿宋" w:cs="仿宋"/>
          <w:color w:val="auto"/>
          <w:sz w:val="32"/>
          <w:szCs w:val="32"/>
          <w:highlight w:val="none"/>
        </w:rPr>
      </w:pPr>
    </w:p>
    <w:p w14:paraId="30B8CE4B">
      <w:pPr>
        <w:spacing w:line="360" w:lineRule="auto"/>
        <w:ind w:firstLine="640" w:firstLineChars="200"/>
        <w:jc w:val="center"/>
        <w:rPr>
          <w:rFonts w:hint="eastAsia" w:ascii="仿宋" w:hAnsi="仿宋" w:eastAsia="仿宋" w:cs="仿宋"/>
          <w:color w:val="auto"/>
          <w:sz w:val="32"/>
          <w:szCs w:val="32"/>
          <w:highlight w:val="none"/>
        </w:rPr>
      </w:pPr>
    </w:p>
    <w:p w14:paraId="5FA55019">
      <w:pPr>
        <w:spacing w:line="360" w:lineRule="auto"/>
        <w:ind w:firstLine="640" w:firstLineChars="200"/>
        <w:jc w:val="center"/>
        <w:rPr>
          <w:rFonts w:hint="eastAsia" w:ascii="仿宋" w:hAnsi="仿宋" w:eastAsia="仿宋" w:cs="仿宋"/>
          <w:color w:val="auto"/>
          <w:sz w:val="32"/>
          <w:szCs w:val="32"/>
          <w:highlight w:val="none"/>
        </w:rPr>
      </w:pPr>
    </w:p>
    <w:p w14:paraId="383755CE">
      <w:pPr>
        <w:spacing w:line="360" w:lineRule="auto"/>
        <w:ind w:firstLine="640" w:firstLineChars="200"/>
        <w:jc w:val="center"/>
        <w:rPr>
          <w:rFonts w:hint="eastAsia" w:ascii="仿宋" w:hAnsi="仿宋" w:eastAsia="仿宋" w:cs="仿宋"/>
          <w:color w:val="auto"/>
          <w:sz w:val="32"/>
          <w:szCs w:val="32"/>
          <w:highlight w:val="none"/>
        </w:rPr>
      </w:pPr>
    </w:p>
    <w:p w14:paraId="0E0CECC5">
      <w:pPr>
        <w:spacing w:line="360" w:lineRule="auto"/>
        <w:ind w:firstLine="640" w:firstLineChars="200"/>
        <w:jc w:val="center"/>
        <w:rPr>
          <w:rFonts w:hint="eastAsia" w:ascii="仿宋" w:hAnsi="仿宋" w:eastAsia="仿宋" w:cs="仿宋"/>
          <w:color w:val="auto"/>
          <w:sz w:val="32"/>
          <w:szCs w:val="32"/>
          <w:highlight w:val="none"/>
        </w:rPr>
      </w:pPr>
    </w:p>
    <w:p w14:paraId="32D3DA6D">
      <w:pPr>
        <w:spacing w:line="360" w:lineRule="auto"/>
        <w:rPr>
          <w:rFonts w:hint="eastAsia" w:ascii="仿宋" w:hAnsi="仿宋" w:eastAsia="仿宋" w:cs="仿宋"/>
          <w:color w:val="auto"/>
          <w:sz w:val="32"/>
          <w:szCs w:val="32"/>
          <w:highlight w:val="none"/>
        </w:rPr>
      </w:pPr>
    </w:p>
    <w:p w14:paraId="0D74D49B">
      <w:pPr>
        <w:spacing w:line="360" w:lineRule="auto"/>
        <w:ind w:firstLine="640" w:firstLineChars="200"/>
        <w:jc w:val="center"/>
        <w:rPr>
          <w:rFonts w:hint="eastAsia" w:ascii="仿宋" w:hAnsi="仿宋" w:eastAsia="仿宋" w:cs="仿宋"/>
          <w:color w:val="auto"/>
          <w:sz w:val="32"/>
          <w:szCs w:val="32"/>
          <w:highlight w:val="none"/>
        </w:rPr>
      </w:pPr>
    </w:p>
    <w:p w14:paraId="66354C2D">
      <w:pPr>
        <w:spacing w:line="360" w:lineRule="auto"/>
        <w:ind w:firstLine="560" w:firstLineChars="200"/>
        <w:jc w:val="center"/>
        <w:rPr>
          <w:rFonts w:hint="eastAsia" w:ascii="仿宋" w:hAnsi="仿宋" w:eastAsia="仿宋" w:cs="仿宋"/>
          <w:color w:val="auto"/>
          <w:sz w:val="28"/>
          <w:szCs w:val="20"/>
          <w:highlight w:val="none"/>
        </w:rPr>
      </w:pPr>
      <w:r>
        <w:rPr>
          <w:rFonts w:hint="eastAsia" w:ascii="仿宋" w:hAnsi="仿宋" w:eastAsia="仿宋" w:cs="仿宋"/>
          <w:color w:val="auto"/>
          <w:sz w:val="28"/>
          <w:szCs w:val="20"/>
          <w:highlight w:val="none"/>
        </w:rPr>
        <w:t>（结束）</w:t>
      </w:r>
    </w:p>
    <w:p w14:paraId="301A33A8">
      <w:pPr>
        <w:spacing w:line="360" w:lineRule="auto"/>
        <w:ind w:firstLine="720" w:firstLineChars="200"/>
        <w:jc w:val="center"/>
        <w:rPr>
          <w:rFonts w:hint="eastAsia" w:ascii="仿宋" w:hAnsi="仿宋" w:eastAsia="仿宋" w:cs="仿宋"/>
          <w:color w:val="auto"/>
          <w:sz w:val="36"/>
          <w:szCs w:val="22"/>
          <w:highlight w:val="none"/>
        </w:rPr>
      </w:pPr>
    </w:p>
    <w:p w14:paraId="40338903">
      <w:pPr>
        <w:rPr>
          <w:rFonts w:hint="eastAsia" w:ascii="仿宋" w:hAnsi="仿宋" w:eastAsia="仿宋" w:cs="仿宋"/>
          <w:color w:val="auto"/>
          <w:highlight w:val="none"/>
        </w:rPr>
      </w:pPr>
    </w:p>
    <w:sectPr>
      <w:headerReference r:id="rId16" w:type="default"/>
      <w:pgSz w:w="11907" w:h="16840"/>
      <w:pgMar w:top="1134" w:right="1191" w:bottom="1134" w:left="1304" w:header="851" w:footer="992" w:gutter="0"/>
      <w:pgNumType w:fmt="decimal"/>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28B8A264-F31F-41D5-8968-9B3F62EC1070}"/>
  </w:font>
  <w:font w:name="华文楷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27919CE6-87BE-4180-910D-71058A0D6975}"/>
  </w:font>
  <w:font w:name="方正仿宋_GBK">
    <w:panose1 w:val="02000000000000000000"/>
    <w:charset w:val="86"/>
    <w:family w:val="script"/>
    <w:pitch w:val="default"/>
    <w:sig w:usb0="A00002BF" w:usb1="38CF7CFA" w:usb2="00082016" w:usb3="00000000" w:csb0="00040001" w:csb1="00000000"/>
    <w:embedRegular r:id="rId3" w:fontKey="{F3CD05B8-D68C-4138-BD5C-F25485E662D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F89CE">
    <w:pPr>
      <w:pStyle w:val="17"/>
      <w:tabs>
        <w:tab w:val="center" w:pos="4153"/>
        <w:tab w:val="right" w:pos="8306"/>
        <w:tab w:val="clear" w:pos="4140"/>
        <w:tab w:val="clear" w:pos="830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2FBA0">
    <w:pPr>
      <w:pStyle w:val="17"/>
      <w:framePr w:wrap="around" w:vAnchor="text" w:hAnchor="margin" w:xAlign="center" w:yAlign="top"/>
      <w:tabs>
        <w:tab w:val="center" w:pos="4153"/>
        <w:tab w:val="right" w:pos="8306"/>
        <w:tab w:val="clear" w:pos="4140"/>
        <w:tab w:val="clear" w:pos="8300"/>
      </w:tabs>
      <w:rPr>
        <w:rStyle w:val="27"/>
      </w:rPr>
    </w:pPr>
    <w:r>
      <w:fldChar w:fldCharType="begin"/>
    </w:r>
    <w:r>
      <w:rPr>
        <w:rStyle w:val="27"/>
      </w:rPr>
      <w:instrText xml:space="preserve">PAGE  </w:instrText>
    </w:r>
    <w:r>
      <w:fldChar w:fldCharType="separate"/>
    </w:r>
    <w:r>
      <w:fldChar w:fldCharType="end"/>
    </w:r>
  </w:p>
  <w:p w14:paraId="0A229126">
    <w:pPr>
      <w:pStyle w:val="17"/>
      <w:tabs>
        <w:tab w:val="center" w:pos="4153"/>
        <w:tab w:val="right" w:pos="8306"/>
        <w:tab w:val="clear" w:pos="4140"/>
        <w:tab w:val="clear" w:pos="83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5E5B0">
    <w:pPr>
      <w:pStyle w:val="17"/>
      <w:tabs>
        <w:tab w:val="center" w:pos="4153"/>
        <w:tab w:val="right" w:pos="8306"/>
        <w:tab w:val="clear" w:pos="4140"/>
        <w:tab w:val="clear" w:pos="8300"/>
      </w:tabs>
      <w:rPr>
        <w:rStyle w:val="2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F85C7">
    <w:pPr>
      <w:pStyle w:val="17"/>
      <w:tabs>
        <w:tab w:val="center" w:pos="4153"/>
        <w:tab w:val="right" w:pos="8306"/>
        <w:tab w:val="clear" w:pos="4140"/>
        <w:tab w:val="clear" w:pos="830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D7C23">
    <w:pPr>
      <w:pStyle w:val="17"/>
      <w:tabs>
        <w:tab w:val="center" w:pos="4153"/>
        <w:tab w:val="right" w:pos="8306"/>
        <w:tab w:val="clear" w:pos="4140"/>
        <w:tab w:val="clear" w:pos="8300"/>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4ECA8B">
                          <w:pPr>
                            <w:pStyle w:val="17"/>
                            <w:tabs>
                              <w:tab w:val="center" w:pos="4153"/>
                              <w:tab w:val="right" w:pos="8306"/>
                              <w:tab w:val="clear" w:pos="4140"/>
                              <w:tab w:val="clear" w:pos="830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QtLO/LAQAAnQMAAA4AAAAAAAAAAQAgAAAAHgEAAGRycy9lMm9E&#10;b2MueG1sUEsFBgAAAAAGAAYAWQEAAFsFAAAAAA==&#10;">
              <v:fill on="f" focussize="0,0"/>
              <v:stroke on="f"/>
              <v:imagedata o:title=""/>
              <o:lock v:ext="edit" aspectratio="f"/>
              <v:textbox inset="0mm,0mm,0mm,0mm" style="mso-fit-shape-to-text:t;">
                <w:txbxContent>
                  <w:p w14:paraId="734ECA8B">
                    <w:pPr>
                      <w:pStyle w:val="17"/>
                      <w:tabs>
                        <w:tab w:val="center" w:pos="4153"/>
                        <w:tab w:val="right" w:pos="8306"/>
                        <w:tab w:val="clear" w:pos="4140"/>
                        <w:tab w:val="clear" w:pos="8300"/>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81E1E">
    <w:pPr>
      <w:pStyle w:val="17"/>
      <w:tabs>
        <w:tab w:val="center" w:pos="4153"/>
        <w:tab w:val="right" w:pos="8306"/>
        <w:tab w:val="clear" w:pos="4140"/>
        <w:tab w:val="clear" w:pos="8300"/>
      </w:tabs>
      <w:rPr>
        <w:rFonts w:hint="eastAsia"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B0D565">
                          <w:pPr>
                            <w:pStyle w:val="17"/>
                          </w:pPr>
                          <w:r>
                            <w:fldChar w:fldCharType="begin"/>
                          </w:r>
                          <w:r>
                            <w:instrText xml:space="preserve"> PAGE  \* MERGEFORMAT </w:instrText>
                          </w:r>
                          <w:r>
                            <w:fldChar w:fldCharType="separate"/>
                          </w:r>
                          <w:r>
                            <w:t>- 41 -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5AB0D565">
                    <w:pPr>
                      <w:pStyle w:val="17"/>
                    </w:pPr>
                    <w:r>
                      <w:fldChar w:fldCharType="begin"/>
                    </w:r>
                    <w:r>
                      <w:instrText xml:space="preserve"> PAGE  \* MERGEFORMAT </w:instrText>
                    </w:r>
                    <w:r>
                      <w:fldChar w:fldCharType="separate"/>
                    </w:r>
                    <w:r>
                      <w:t>- 41 -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C612C">
    <w:pPr>
      <w:pStyle w:val="17"/>
      <w:tabs>
        <w:tab w:val="center" w:pos="4153"/>
        <w:tab w:val="right" w:pos="8306"/>
        <w:tab w:val="clear" w:pos="4140"/>
        <w:tab w:val="clear" w:pos="8300"/>
      </w:tabs>
      <w:jc w:val="center"/>
      <w:rPr>
        <w:rFonts w:hint="eastAsia"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64C785">
                          <w:pPr>
                            <w:pStyle w:val="17"/>
                          </w:pPr>
                          <w:r>
                            <w:fldChar w:fldCharType="begin"/>
                          </w:r>
                          <w:r>
                            <w:instrText xml:space="preserve"> PAGE  \* MERGEFORMAT </w:instrText>
                          </w:r>
                          <w:r>
                            <w:fldChar w:fldCharType="separate"/>
                          </w:r>
                          <w:r>
                            <w:t>- 42 -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6664C785">
                    <w:pPr>
                      <w:pStyle w:val="17"/>
                    </w:pPr>
                    <w:r>
                      <w:fldChar w:fldCharType="begin"/>
                    </w:r>
                    <w:r>
                      <w:instrText xml:space="preserve"> PAGE  \* MERGEFORMAT </w:instrText>
                    </w:r>
                    <w:r>
                      <w:fldChar w:fldCharType="separate"/>
                    </w:r>
                    <w:r>
                      <w:t>- 42 -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6051B">
    <w:pPr>
      <w:pStyle w:val="18"/>
      <w:pBdr>
        <w:bottom w:val="none" w:color="auto" w:sz="0" w:space="0"/>
      </w:pBdr>
      <w:tabs>
        <w:tab w:val="center" w:pos="4153"/>
        <w:tab w:val="right" w:pos="8306"/>
        <w:tab w:val="clear" w:pos="4140"/>
        <w:tab w:val="clear" w:pos="8300"/>
      </w:tabs>
      <w:jc w:val="both"/>
      <w:rPr>
        <w:rFonts w:hint="eastAsia"/>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9B5C7">
    <w:pPr>
      <w:pStyle w:val="18"/>
      <w:tabs>
        <w:tab w:val="center" w:pos="4153"/>
        <w:tab w:val="right" w:pos="8306"/>
        <w:tab w:val="clear" w:pos="4140"/>
        <w:tab w:val="clear" w:pos="830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73FE9">
    <w:pPr>
      <w:pStyle w:val="18"/>
      <w:pBdr>
        <w:bottom w:val="none" w:color="auto" w:sz="0" w:space="0"/>
      </w:pBdr>
      <w:tabs>
        <w:tab w:val="center" w:pos="4153"/>
        <w:tab w:val="right" w:pos="8306"/>
        <w:tab w:val="clear" w:pos="4140"/>
        <w:tab w:val="clear" w:pos="8300"/>
      </w:tabs>
      <w:ind w:firstLine="440" w:firstLineChars="200"/>
      <w:jc w:val="both"/>
      <w:rPr>
        <w:rFonts w:hint="eastAsia"/>
        <w:sz w:val="22"/>
        <w:szCs w:val="24"/>
      </w:rPr>
    </w:pPr>
    <w:r>
      <w:rPr>
        <w:rFonts w:hint="eastAsia"/>
        <w:sz w:val="22"/>
        <w:szCs w:val="24"/>
      </w:rPr>
      <w:t xml:space="preserve">                                     </w:t>
    </w:r>
  </w:p>
  <w:p w14:paraId="545F8513">
    <w:pPr>
      <w:pStyle w:val="18"/>
      <w:pBdr>
        <w:bottom w:val="none" w:color="auto" w:sz="0" w:space="0"/>
      </w:pBdr>
      <w:tabs>
        <w:tab w:val="center" w:pos="4153"/>
        <w:tab w:val="right" w:pos="8306"/>
        <w:tab w:val="clear" w:pos="4140"/>
        <w:tab w:val="clear" w:pos="8300"/>
      </w:tabs>
      <w:rPr>
        <w:sz w:val="21"/>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D7451">
    <w:pPr>
      <w:pStyle w:val="18"/>
      <w:pBdr>
        <w:bottom w:val="none" w:color="auto" w:sz="0" w:space="0"/>
      </w:pBdr>
      <w:tabs>
        <w:tab w:val="center" w:pos="4153"/>
        <w:tab w:val="right" w:pos="8306"/>
        <w:tab w:val="clear" w:pos="4140"/>
        <w:tab w:val="clear" w:pos="8300"/>
      </w:tabs>
      <w:jc w:val="both"/>
      <w:rPr>
        <w:rFonts w:hint="eastAsia" w:eastAsia="宋体" w:cs="Calibri"/>
        <w:sz w:val="21"/>
        <w:szCs w:val="21"/>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2997C">
    <w:pPr>
      <w:pStyle w:val="18"/>
      <w:pBdr>
        <w:bottom w:val="none" w:color="auto" w:sz="0" w:space="0"/>
      </w:pBdr>
      <w:tabs>
        <w:tab w:val="center" w:pos="4153"/>
        <w:tab w:val="right" w:pos="8306"/>
        <w:tab w:val="clear" w:pos="4140"/>
        <w:tab w:val="clear" w:pos="8300"/>
      </w:tabs>
      <w:jc w:val="both"/>
      <w:rPr>
        <w:rFonts w:hint="eastAsia" w:eastAsia="宋体" w:cs="Calibri"/>
        <w:sz w:val="21"/>
        <w:szCs w:val="21"/>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6CB86">
    <w:pPr>
      <w:pStyle w:val="18"/>
      <w:pBdr>
        <w:bottom w:val="none" w:color="auto" w:sz="0" w:space="0"/>
      </w:pBdr>
      <w:tabs>
        <w:tab w:val="center" w:pos="4153"/>
        <w:tab w:val="right" w:pos="8306"/>
        <w:tab w:val="clear" w:pos="4140"/>
        <w:tab w:val="clear" w:pos="8300"/>
      </w:tabs>
      <w:jc w:val="both"/>
      <w:rPr>
        <w:rFonts w:hint="eastAsia" w:eastAsia="宋体"/>
        <w:sz w:val="24"/>
        <w:szCs w:val="24"/>
        <w:lang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E03DA">
    <w:pPr>
      <w:pStyle w:val="18"/>
      <w:pBdr>
        <w:bottom w:val="none" w:color="auto" w:sz="0" w:space="0"/>
      </w:pBdr>
      <w:tabs>
        <w:tab w:val="center" w:pos="4153"/>
        <w:tab w:val="right" w:pos="8306"/>
        <w:tab w:val="clear" w:pos="4140"/>
        <w:tab w:val="clear" w:pos="8300"/>
      </w:tabs>
      <w:jc w:val="both"/>
      <w:rPr>
        <w:rFonts w:hint="eastAsia" w:ascii="方正仿宋_GBK"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3BAFCB"/>
    <w:multiLevelType w:val="singleLevel"/>
    <w:tmpl w:val="E73BAFC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zMzA3ZDNmMDZkYzU1MWUyYjczZTdhZjcxOWU3MTgifQ=="/>
  </w:docVars>
  <w:rsids>
    <w:rsidRoot w:val="7C270787"/>
    <w:rsid w:val="022D66A7"/>
    <w:rsid w:val="031472F9"/>
    <w:rsid w:val="0408634D"/>
    <w:rsid w:val="057407DA"/>
    <w:rsid w:val="07F40072"/>
    <w:rsid w:val="08C47A01"/>
    <w:rsid w:val="0A92797F"/>
    <w:rsid w:val="0B08583F"/>
    <w:rsid w:val="0C9341B4"/>
    <w:rsid w:val="0D186481"/>
    <w:rsid w:val="0D8F2A02"/>
    <w:rsid w:val="0E5400D2"/>
    <w:rsid w:val="11A1733C"/>
    <w:rsid w:val="11CD751A"/>
    <w:rsid w:val="1355444C"/>
    <w:rsid w:val="13D949F2"/>
    <w:rsid w:val="144933C4"/>
    <w:rsid w:val="14A03915"/>
    <w:rsid w:val="151C4634"/>
    <w:rsid w:val="15E51CAB"/>
    <w:rsid w:val="18346985"/>
    <w:rsid w:val="19335911"/>
    <w:rsid w:val="197A63D2"/>
    <w:rsid w:val="19B96255"/>
    <w:rsid w:val="1ADD3E4A"/>
    <w:rsid w:val="1B0235E7"/>
    <w:rsid w:val="1C600287"/>
    <w:rsid w:val="1EA72568"/>
    <w:rsid w:val="1F666789"/>
    <w:rsid w:val="1F9951FF"/>
    <w:rsid w:val="1FB55CE0"/>
    <w:rsid w:val="203B00DB"/>
    <w:rsid w:val="20654120"/>
    <w:rsid w:val="206A0EC8"/>
    <w:rsid w:val="209E4D89"/>
    <w:rsid w:val="22D37516"/>
    <w:rsid w:val="24D871B2"/>
    <w:rsid w:val="251D7EC8"/>
    <w:rsid w:val="27A02EA3"/>
    <w:rsid w:val="2825064A"/>
    <w:rsid w:val="2DEF248E"/>
    <w:rsid w:val="2E1E4A7C"/>
    <w:rsid w:val="30153ABD"/>
    <w:rsid w:val="32A0644D"/>
    <w:rsid w:val="32A210B9"/>
    <w:rsid w:val="33CE5ACB"/>
    <w:rsid w:val="33E011A7"/>
    <w:rsid w:val="369A1AAB"/>
    <w:rsid w:val="36C941C4"/>
    <w:rsid w:val="36FD5C1C"/>
    <w:rsid w:val="3894435E"/>
    <w:rsid w:val="38A345A1"/>
    <w:rsid w:val="38B63AD0"/>
    <w:rsid w:val="38EA21D0"/>
    <w:rsid w:val="394A4669"/>
    <w:rsid w:val="3B066320"/>
    <w:rsid w:val="3B5405BF"/>
    <w:rsid w:val="3C67792D"/>
    <w:rsid w:val="3C891294"/>
    <w:rsid w:val="3CA32DC2"/>
    <w:rsid w:val="3D115F7D"/>
    <w:rsid w:val="3DF72DD9"/>
    <w:rsid w:val="3E063608"/>
    <w:rsid w:val="3E287A22"/>
    <w:rsid w:val="3F4563B2"/>
    <w:rsid w:val="3FAD044A"/>
    <w:rsid w:val="43D838FB"/>
    <w:rsid w:val="43EE0DCF"/>
    <w:rsid w:val="44472EDA"/>
    <w:rsid w:val="444B50A7"/>
    <w:rsid w:val="45A51597"/>
    <w:rsid w:val="46532EA4"/>
    <w:rsid w:val="47682434"/>
    <w:rsid w:val="48086251"/>
    <w:rsid w:val="482B25AB"/>
    <w:rsid w:val="488440EC"/>
    <w:rsid w:val="48E64762"/>
    <w:rsid w:val="49520049"/>
    <w:rsid w:val="49956188"/>
    <w:rsid w:val="4AF96B82"/>
    <w:rsid w:val="4BAF3531"/>
    <w:rsid w:val="4BD1089A"/>
    <w:rsid w:val="4C6B3988"/>
    <w:rsid w:val="4C6D6041"/>
    <w:rsid w:val="4D2E0486"/>
    <w:rsid w:val="4D61085B"/>
    <w:rsid w:val="4D890954"/>
    <w:rsid w:val="4DB22C1D"/>
    <w:rsid w:val="4FA04C27"/>
    <w:rsid w:val="528F19C6"/>
    <w:rsid w:val="534E2742"/>
    <w:rsid w:val="539E2992"/>
    <w:rsid w:val="5460532E"/>
    <w:rsid w:val="54D961C1"/>
    <w:rsid w:val="558B64CE"/>
    <w:rsid w:val="5603579C"/>
    <w:rsid w:val="56DD7347"/>
    <w:rsid w:val="587D49B7"/>
    <w:rsid w:val="58870027"/>
    <w:rsid w:val="59FE5F08"/>
    <w:rsid w:val="5BA87F9D"/>
    <w:rsid w:val="5BE82147"/>
    <w:rsid w:val="5BF31218"/>
    <w:rsid w:val="5C3057AA"/>
    <w:rsid w:val="5C4A2E02"/>
    <w:rsid w:val="5D025668"/>
    <w:rsid w:val="5D7E7A7C"/>
    <w:rsid w:val="5EEA77C7"/>
    <w:rsid w:val="5F3B0341"/>
    <w:rsid w:val="608E02A7"/>
    <w:rsid w:val="614B5652"/>
    <w:rsid w:val="63BD46B1"/>
    <w:rsid w:val="6424218B"/>
    <w:rsid w:val="66065FEC"/>
    <w:rsid w:val="6A9E130D"/>
    <w:rsid w:val="6D36092A"/>
    <w:rsid w:val="71117D2A"/>
    <w:rsid w:val="71F47640"/>
    <w:rsid w:val="73E10D40"/>
    <w:rsid w:val="74677929"/>
    <w:rsid w:val="753C7334"/>
    <w:rsid w:val="75C7149C"/>
    <w:rsid w:val="77057BFA"/>
    <w:rsid w:val="78FC4EDE"/>
    <w:rsid w:val="78FD327E"/>
    <w:rsid w:val="79881FD6"/>
    <w:rsid w:val="7ABB7357"/>
    <w:rsid w:val="7B2B4628"/>
    <w:rsid w:val="7C270787"/>
    <w:rsid w:val="7CDC5263"/>
    <w:rsid w:val="7D40412D"/>
    <w:rsid w:val="7DF30332"/>
    <w:rsid w:val="7E002F8A"/>
    <w:rsid w:val="7FF05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2"/>
    <w:basedOn w:val="1"/>
    <w:next w:val="1"/>
    <w:qFormat/>
    <w:uiPriority w:val="0"/>
    <w:pPr>
      <w:keepNext/>
      <w:keepLines/>
      <w:widowControl w:val="0"/>
      <w:spacing w:before="260" w:after="260" w:line="412" w:lineRule="auto"/>
      <w:ind w:left="0" w:right="0"/>
      <w:jc w:val="both"/>
      <w:outlineLvl w:val="1"/>
    </w:pPr>
    <w:rPr>
      <w:rFonts w:ascii="Arial" w:hAnsi="Arial" w:eastAsia="黑体"/>
      <w:b/>
      <w:sz w:val="32"/>
    </w:rPr>
  </w:style>
  <w:style w:type="paragraph" w:styleId="4">
    <w:name w:val="heading 3"/>
    <w:basedOn w:val="1"/>
    <w:next w:val="1"/>
    <w:qFormat/>
    <w:uiPriority w:val="0"/>
    <w:pPr>
      <w:keepNext/>
      <w:keepLines/>
      <w:widowControl w:val="0"/>
      <w:spacing w:before="260" w:after="260" w:line="412" w:lineRule="auto"/>
      <w:ind w:left="0" w:right="0"/>
      <w:jc w:val="both"/>
      <w:outlineLvl w:val="2"/>
    </w:pPr>
    <w:rPr>
      <w:rFonts w:ascii="Times New Roman" w:hAnsi="Times New Roman"/>
      <w:b/>
      <w:sz w:val="32"/>
    </w:rPr>
  </w:style>
  <w:style w:type="paragraph" w:styleId="5">
    <w:name w:val="heading 4"/>
    <w:basedOn w:val="1"/>
    <w:next w:val="1"/>
    <w:qFormat/>
    <w:uiPriority w:val="0"/>
    <w:pPr>
      <w:widowControl/>
      <w:spacing w:before="100" w:beforeLines="0" w:beforeAutospacing="1" w:after="100" w:afterLines="0" w:afterAutospacing="1"/>
      <w:jc w:val="left"/>
      <w:outlineLvl w:val="3"/>
    </w:pPr>
    <w:rPr>
      <w:rFonts w:ascii="宋体" w:hAnsi="宋体"/>
      <w:kern w:val="0"/>
      <w:sz w:val="24"/>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6">
    <w:name w:val="Normal Indent"/>
    <w:basedOn w:val="1"/>
    <w:qFormat/>
    <w:uiPriority w:val="0"/>
    <w:pPr>
      <w:adjustRightInd w:val="0"/>
      <w:snapToGrid w:val="0"/>
      <w:spacing w:line="360" w:lineRule="auto"/>
      <w:ind w:firstLine="420"/>
    </w:pPr>
    <w:rPr>
      <w:sz w:val="24"/>
    </w:rPr>
  </w:style>
  <w:style w:type="paragraph" w:styleId="7">
    <w:name w:val="Document Map"/>
    <w:basedOn w:val="1"/>
    <w:next w:val="1"/>
    <w:qFormat/>
    <w:uiPriority w:val="0"/>
    <w:pPr>
      <w:shd w:val="clear" w:color="auto" w:fill="000080"/>
    </w:pPr>
  </w:style>
  <w:style w:type="paragraph" w:styleId="8">
    <w:name w:val="annotation text"/>
    <w:basedOn w:val="1"/>
    <w:qFormat/>
    <w:uiPriority w:val="0"/>
    <w:pPr>
      <w:jc w:val="left"/>
    </w:pPr>
  </w:style>
  <w:style w:type="paragraph" w:styleId="9">
    <w:name w:val="Body Text"/>
    <w:basedOn w:val="1"/>
    <w:next w:val="1"/>
    <w:qFormat/>
    <w:uiPriority w:val="0"/>
    <w:rPr>
      <w:rFonts w:ascii="仿宋_GB2312" w:hAnsi="Times New Roman" w:eastAsia="仿宋_GB2312"/>
      <w:sz w:val="32"/>
    </w:rPr>
  </w:style>
  <w:style w:type="paragraph" w:styleId="10">
    <w:name w:val="Body Text Indent"/>
    <w:basedOn w:val="1"/>
    <w:next w:val="11"/>
    <w:qFormat/>
    <w:uiPriority w:val="0"/>
    <w:pPr>
      <w:spacing w:line="700" w:lineRule="exact"/>
      <w:ind w:left="960"/>
    </w:pPr>
    <w:rPr>
      <w:rFonts w:ascii="Times New Roman" w:hAnsi="Times New Roman"/>
      <w:sz w:val="44"/>
    </w:rPr>
  </w:style>
  <w:style w:type="paragraph" w:styleId="11">
    <w:name w:val="envelope return"/>
    <w:basedOn w:val="1"/>
    <w:semiHidden/>
    <w:qFormat/>
    <w:uiPriority w:val="0"/>
    <w:pPr>
      <w:snapToGrid w:val="0"/>
    </w:pPr>
    <w:rPr>
      <w:rFonts w:ascii="Arial" w:hAnsi="Arial" w:cs="Arial"/>
    </w:rPr>
  </w:style>
  <w:style w:type="paragraph" w:styleId="12">
    <w:name w:val="toc 3"/>
    <w:basedOn w:val="1"/>
    <w:next w:val="1"/>
    <w:qFormat/>
    <w:uiPriority w:val="39"/>
    <w:pPr>
      <w:widowControl w:val="0"/>
      <w:spacing w:before="0" w:after="0"/>
      <w:ind w:left="840" w:leftChars="400" w:right="0"/>
      <w:jc w:val="both"/>
    </w:pPr>
    <w:rPr>
      <w:rFonts w:ascii="Times New Roman" w:hAnsi="Times New Roman" w:eastAsia="宋体" w:cs="Times New Roman"/>
      <w:kern w:val="2"/>
      <w:sz w:val="28"/>
      <w:lang w:val="en-US" w:eastAsia="zh-CN" w:bidi="ar-SA"/>
    </w:rPr>
  </w:style>
  <w:style w:type="paragraph" w:styleId="13">
    <w:name w:val="Plain Text"/>
    <w:basedOn w:val="1"/>
    <w:next w:val="7"/>
    <w:qFormat/>
    <w:uiPriority w:val="0"/>
    <w:rPr>
      <w:rFonts w:ascii="宋体" w:hAnsi="Courier New"/>
      <w:sz w:val="21"/>
    </w:rPr>
  </w:style>
  <w:style w:type="paragraph" w:styleId="14">
    <w:name w:val="Date"/>
    <w:basedOn w:val="1"/>
    <w:next w:val="1"/>
    <w:qFormat/>
    <w:uiPriority w:val="0"/>
    <w:pPr>
      <w:widowControl w:val="0"/>
      <w:spacing w:after="0"/>
      <w:jc w:val="both"/>
    </w:pPr>
    <w:rPr>
      <w:rFonts w:ascii="Times New Roman" w:hAnsi="Times New Roman"/>
    </w:rPr>
  </w:style>
  <w:style w:type="paragraph" w:styleId="15">
    <w:name w:val="Body Text Indent 2"/>
    <w:basedOn w:val="1"/>
    <w:qFormat/>
    <w:uiPriority w:val="0"/>
    <w:pPr>
      <w:snapToGrid w:val="0"/>
      <w:spacing w:line="560" w:lineRule="atLeast"/>
      <w:ind w:firstLine="540"/>
    </w:pPr>
  </w:style>
  <w:style w:type="paragraph" w:styleId="16">
    <w:name w:val="Balloon Text"/>
    <w:basedOn w:val="1"/>
    <w:qFormat/>
    <w:uiPriority w:val="0"/>
    <w:rPr>
      <w:sz w:val="18"/>
    </w:rPr>
  </w:style>
  <w:style w:type="paragraph" w:styleId="17">
    <w:name w:val="footer"/>
    <w:basedOn w:val="1"/>
    <w:qFormat/>
    <w:uiPriority w:val="99"/>
    <w:pPr>
      <w:widowControl w:val="0"/>
      <w:tabs>
        <w:tab w:val="center" w:pos="4140"/>
        <w:tab w:val="right" w:pos="8300"/>
      </w:tabs>
      <w:snapToGrid w:val="0"/>
      <w:spacing w:after="0"/>
      <w:jc w:val="left"/>
    </w:pPr>
    <w:rPr>
      <w:rFonts w:ascii="Times New Roman" w:hAnsi="Times New Roman"/>
      <w:sz w:val="18"/>
    </w:rPr>
  </w:style>
  <w:style w:type="paragraph" w:styleId="18">
    <w:name w:val="header"/>
    <w:basedOn w:val="1"/>
    <w:qFormat/>
    <w:uiPriority w:val="0"/>
    <w:pPr>
      <w:widowControl w:val="0"/>
      <w:pBdr>
        <w:bottom w:val="single" w:color="000000" w:sz="6" w:space="1"/>
      </w:pBdr>
      <w:tabs>
        <w:tab w:val="center" w:pos="4140"/>
        <w:tab w:val="right" w:pos="8300"/>
      </w:tabs>
      <w:snapToGrid w:val="0"/>
      <w:spacing w:after="0"/>
      <w:jc w:val="center"/>
    </w:pPr>
    <w:rPr>
      <w:rFonts w:ascii="Times New Roman" w:hAnsi="Times New Roman"/>
      <w:sz w:val="18"/>
    </w:rPr>
  </w:style>
  <w:style w:type="paragraph" w:styleId="19">
    <w:name w:val="toc 1"/>
    <w:basedOn w:val="1"/>
    <w:next w:val="1"/>
    <w:qFormat/>
    <w:uiPriority w:val="39"/>
    <w:pPr>
      <w:widowControl w:val="0"/>
      <w:spacing w:after="0" w:line="180" w:lineRule="auto"/>
      <w:jc w:val="center"/>
    </w:pPr>
    <w:rPr>
      <w:rFonts w:ascii="Times New Roman" w:hAnsi="Times New Roman" w:eastAsia="宋体" w:cs="Times New Roman"/>
      <w:kern w:val="2"/>
      <w:sz w:val="30"/>
      <w:lang w:val="en-US" w:eastAsia="zh-CN" w:bidi="ar-SA"/>
    </w:rPr>
  </w:style>
  <w:style w:type="paragraph" w:styleId="20">
    <w:name w:val="index 7"/>
    <w:basedOn w:val="1"/>
    <w:next w:val="1"/>
    <w:qFormat/>
    <w:uiPriority w:val="0"/>
    <w:pPr>
      <w:ind w:left="2520"/>
    </w:pPr>
  </w:style>
  <w:style w:type="paragraph" w:styleId="21">
    <w:name w:val="toc 2"/>
    <w:basedOn w:val="1"/>
    <w:next w:val="1"/>
    <w:qFormat/>
    <w:uiPriority w:val="39"/>
    <w:pPr>
      <w:widowControl w:val="0"/>
      <w:spacing w:before="0" w:after="0"/>
      <w:ind w:left="420" w:leftChars="200" w:right="0"/>
      <w:jc w:val="both"/>
    </w:pPr>
    <w:rPr>
      <w:rFonts w:ascii="Times New Roman" w:hAnsi="Times New Roman" w:eastAsia="宋体" w:cs="Times New Roman"/>
      <w:kern w:val="2"/>
      <w:sz w:val="28"/>
      <w:lang w:val="en-US" w:eastAsia="zh-CN" w:bidi="ar-SA"/>
    </w:rPr>
  </w:style>
  <w:style w:type="paragraph" w:styleId="22">
    <w:name w:val="Body Text 2"/>
    <w:basedOn w:val="1"/>
    <w:qFormat/>
    <w:uiPriority w:val="0"/>
    <w:pPr>
      <w:adjustRightInd w:val="0"/>
      <w:snapToGrid w:val="0"/>
      <w:spacing w:after="120" w:afterAutospacing="0" w:line="480" w:lineRule="auto"/>
    </w:pPr>
    <w:rPr>
      <w:sz w:val="24"/>
    </w:rPr>
  </w:style>
  <w:style w:type="paragraph" w:styleId="23">
    <w:name w:val="Body Text First Indent"/>
    <w:basedOn w:val="9"/>
    <w:qFormat/>
    <w:uiPriority w:val="0"/>
    <w:pPr>
      <w:spacing w:line="360" w:lineRule="auto"/>
      <w:ind w:firstLine="420"/>
    </w:pPr>
    <w:rPr>
      <w:rFonts w:ascii="宋体" w:hAnsi="宋体"/>
      <w:sz w:val="24"/>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qFormat/>
    <w:uiPriority w:val="0"/>
    <w:rPr>
      <w:rFonts w:ascii="Times New Roman" w:hAnsi="Times New Roman" w:eastAsia="宋体" w:cs="Times New Roman"/>
    </w:rPr>
  </w:style>
  <w:style w:type="character" w:styleId="28">
    <w:name w:val="Hyperlink"/>
    <w:qFormat/>
    <w:uiPriority w:val="99"/>
    <w:rPr>
      <w:rFonts w:ascii="Times New Roman" w:hAnsi="Times New Roman" w:eastAsia="宋体" w:cs="Times New Roman"/>
      <w:color w:val="0000FF"/>
      <w:u w:val="single"/>
    </w:rPr>
  </w:style>
  <w:style w:type="paragraph" w:customStyle="1" w:styleId="29">
    <w:name w:val="标准正文"/>
    <w:basedOn w:val="10"/>
    <w:qFormat/>
    <w:uiPriority w:val="0"/>
    <w:pPr>
      <w:spacing w:before="60" w:after="60" w:line="360" w:lineRule="auto"/>
      <w:ind w:left="0" w:firstLine="482"/>
    </w:pPr>
    <w:rPr>
      <w:rFonts w:ascii="Arial" w:hAnsi="Arial" w:eastAsia="宋体" w:cs="Times New Roman"/>
      <w:sz w:val="24"/>
    </w:rPr>
  </w:style>
  <w:style w:type="paragraph" w:customStyle="1" w:styleId="30">
    <w:name w:val="样式 正文首行缩进 + 首行缩进:  2 字符1 Char Char"/>
    <w:basedOn w:val="23"/>
    <w:qFormat/>
    <w:uiPriority w:val="0"/>
    <w:pPr>
      <w:adjustRightInd w:val="0"/>
      <w:spacing w:line="400" w:lineRule="exact"/>
      <w:ind w:firstLine="480" w:firstLineChars="200"/>
      <w:textAlignment w:val="baseline"/>
    </w:pPr>
    <w:rPr>
      <w:rFonts w:eastAsia="仿宋_GB2312" w:cs="宋体"/>
      <w:color w:val="000000"/>
      <w:szCs w:val="24"/>
    </w:rPr>
  </w:style>
  <w:style w:type="paragraph" w:customStyle="1" w:styleId="3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2">
    <w:name w:val="图例"/>
    <w:basedOn w:val="1"/>
    <w:qFormat/>
    <w:uiPriority w:val="0"/>
    <w:pPr>
      <w:spacing w:before="120" w:beforeAutospacing="0" w:after="120" w:afterAutospacing="0" w:line="360" w:lineRule="auto"/>
      <w:jc w:val="center"/>
    </w:pPr>
    <w:rPr>
      <w:rFonts w:ascii="Times New Roman" w:hAnsi="Times New Roman" w:eastAsia="仿宋_GB2312" w:cs="Times New Roman"/>
      <w:b/>
      <w:sz w:val="24"/>
    </w:rPr>
  </w:style>
  <w:style w:type="paragraph" w:customStyle="1" w:styleId="33">
    <w:name w:val="TOC1"/>
    <w:basedOn w:val="1"/>
    <w:next w:val="1"/>
    <w:qFormat/>
    <w:uiPriority w:val="0"/>
    <w:pPr>
      <w:tabs>
        <w:tab w:val="left" w:pos="1260"/>
        <w:tab w:val="left" w:pos="1685"/>
        <w:tab w:val="right" w:leader="dot" w:pos="8400"/>
      </w:tabs>
      <w:spacing w:line="320" w:lineRule="exact"/>
      <w:ind w:firstLine="280" w:firstLineChars="100"/>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15166</Words>
  <Characters>16088</Characters>
  <Lines>0</Lines>
  <Paragraphs>0</Paragraphs>
  <TotalTime>10</TotalTime>
  <ScaleCrop>false</ScaleCrop>
  <LinksUpToDate>false</LinksUpToDate>
  <CharactersWithSpaces>16169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2023-05-11T07:01:00Z</dcterms:created>
  <dc:creator>ZB</dc:creator>
  <cp:lastModifiedBy>傅⑨⑨</cp:lastModifiedBy>
  <dcterms:modified xsi:type="dcterms:W3CDTF">2025-06-26T08:13:52Z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A0233BA836FE412FA5B34F1738245199_13</vt:lpwstr>
  </property>
  <property fmtid="{D5CDD505-2E9C-101B-9397-08002B2CF9AE}" pid="4" name="KSOTemplateDocerSaveRecord">
    <vt:lpwstr>eyJoZGlkIjoiMTk0ZDJlMjY0MWM3ODY5ODFjNmQ1MWQ3YjM0YTQ5YjEiLCJ1c2VySWQiOiIyODg1MzkxNTgifQ==</vt:lpwstr>
  </property>
</Properties>
</file>