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5A2B609">
      <w:pPr>
        <w:rPr>
          <w:color w:val="auto"/>
        </w:rPr>
      </w:pPr>
      <w:bookmarkStart w:id="0" w:name="_Toc419974233"/>
      <w:bookmarkStart w:id="1" w:name="_Toc338941623"/>
      <w:bookmarkStart w:id="2" w:name="_Toc370384617"/>
    </w:p>
    <w:p w14:paraId="483B0C94">
      <w:pPr>
        <w:spacing w:line="360" w:lineRule="auto"/>
        <w:ind w:left="1986" w:leftChars="171" w:hanging="1627" w:hangingChars="500"/>
        <w:jc w:val="both"/>
        <w:rPr>
          <w:rFonts w:hint="default" w:ascii="宋体" w:hAnsi="宋体" w:eastAsia="宋体" w:cs="宋体"/>
          <w:b/>
          <w:bCs/>
          <w:color w:val="auto"/>
          <w:sz w:val="36"/>
          <w:szCs w:val="36"/>
          <w:lang w:val="en-US" w:eastAsia="zh-CN"/>
        </w:rPr>
      </w:pPr>
      <w:r>
        <w:rPr>
          <w:rFonts w:hint="eastAsia" w:ascii="宋体" w:hAnsi="宋体" w:eastAsia="宋体" w:cs="宋体"/>
          <w:b/>
          <w:bCs/>
          <w:color w:val="auto"/>
          <w:w w:val="90"/>
          <w:sz w:val="36"/>
          <w:szCs w:val="36"/>
        </w:rPr>
        <w:t>项目名称：</w:t>
      </w:r>
      <w:r>
        <w:rPr>
          <w:rFonts w:hint="eastAsia" w:ascii="宋体" w:hAnsi="宋体" w:cs="宋体"/>
          <w:b/>
          <w:bCs/>
          <w:color w:val="auto"/>
          <w:w w:val="90"/>
          <w:sz w:val="36"/>
          <w:szCs w:val="36"/>
          <w:lang w:val="en-US" w:eastAsia="zh-CN"/>
        </w:rPr>
        <w:t>大足区高坪镇2025年“四好农村路”新兴村瓦梨路通畅工程</w:t>
      </w:r>
    </w:p>
    <w:p w14:paraId="5865950B">
      <w:pPr>
        <w:pStyle w:val="40"/>
        <w:rPr>
          <w:color w:val="auto"/>
        </w:rPr>
      </w:pPr>
    </w:p>
    <w:p w14:paraId="579270D2">
      <w:pPr>
        <w:pStyle w:val="377"/>
        <w:ind w:left="0" w:leftChars="0" w:firstLine="325" w:firstLineChars="100"/>
        <w:jc w:val="both"/>
        <w:rPr>
          <w:rFonts w:hint="eastAsia" w:ascii="宋体" w:hAnsi="宋体" w:eastAsia="宋体" w:cs="宋体"/>
          <w:b/>
          <w:bCs/>
          <w:color w:val="auto"/>
          <w:w w:val="90"/>
          <w:kern w:val="2"/>
          <w:sz w:val="36"/>
          <w:szCs w:val="36"/>
          <w:lang w:val="en-US" w:eastAsia="zh-CN" w:bidi="ar-SA"/>
        </w:rPr>
      </w:pPr>
      <w:bookmarkStart w:id="3" w:name="_Toc86934184"/>
      <w:bookmarkStart w:id="4" w:name="_Toc11591"/>
      <w:r>
        <w:rPr>
          <w:rFonts w:hint="eastAsia" w:ascii="宋体" w:hAnsi="宋体" w:eastAsia="宋体" w:cs="宋体"/>
          <w:b/>
          <w:bCs/>
          <w:color w:val="auto"/>
          <w:w w:val="90"/>
          <w:kern w:val="2"/>
          <w:sz w:val="36"/>
          <w:szCs w:val="36"/>
          <w:lang w:val="en-US" w:eastAsia="zh-CN" w:bidi="ar-SA"/>
        </w:rPr>
        <w:t>项目编号：</w:t>
      </w:r>
      <w:r>
        <w:rPr>
          <w:rFonts w:hint="eastAsia" w:ascii="宋体" w:hAnsi="宋体" w:eastAsia="宋体" w:cs="宋体"/>
          <w:b/>
          <w:bCs/>
          <w:color w:val="auto"/>
          <w:w w:val="90"/>
          <w:kern w:val="2"/>
          <w:sz w:val="36"/>
          <w:szCs w:val="36"/>
          <w:lang w:val="en-US" w:eastAsia="zh-CN" w:bidi="ar-SA"/>
        </w:rPr>
        <w:fldChar w:fldCharType="begin"/>
      </w:r>
      <w:r>
        <w:rPr>
          <w:rFonts w:hint="eastAsia" w:ascii="宋体" w:hAnsi="宋体" w:eastAsia="宋体" w:cs="宋体"/>
          <w:b/>
          <w:bCs/>
          <w:color w:val="auto"/>
          <w:w w:val="90"/>
          <w:kern w:val="2"/>
          <w:sz w:val="36"/>
          <w:szCs w:val="36"/>
          <w:lang w:val="en-US" w:eastAsia="zh-CN" w:bidi="ar-SA"/>
        </w:rPr>
        <w:instrText xml:space="preserve"> REF 项目编号 \h  \* MERGEFORMAT </w:instrText>
      </w:r>
      <w:r>
        <w:rPr>
          <w:rFonts w:hint="eastAsia" w:ascii="宋体" w:hAnsi="宋体" w:eastAsia="宋体" w:cs="宋体"/>
          <w:b/>
          <w:bCs/>
          <w:color w:val="auto"/>
          <w:w w:val="90"/>
          <w:kern w:val="2"/>
          <w:sz w:val="36"/>
          <w:szCs w:val="36"/>
          <w:lang w:val="en-US" w:eastAsia="zh-CN" w:bidi="ar-SA"/>
        </w:rPr>
        <w:fldChar w:fldCharType="separate"/>
      </w:r>
      <w:r>
        <w:rPr>
          <w:rFonts w:hint="eastAsia" w:ascii="宋体" w:hAnsi="宋体" w:eastAsia="宋体" w:cs="宋体"/>
          <w:b/>
          <w:bCs/>
          <w:color w:val="auto"/>
          <w:w w:val="90"/>
          <w:kern w:val="2"/>
          <w:sz w:val="36"/>
          <w:szCs w:val="36"/>
          <w:lang w:val="en-US" w:eastAsia="zh-CN" w:bidi="ar-SA"/>
        </w:rPr>
        <w:t>2510ZCJ682</w:t>
      </w:r>
      <w:r>
        <w:rPr>
          <w:rFonts w:hint="eastAsia" w:ascii="宋体" w:hAnsi="宋体" w:eastAsia="宋体" w:cs="宋体"/>
          <w:b/>
          <w:bCs/>
          <w:color w:val="auto"/>
          <w:w w:val="90"/>
          <w:kern w:val="2"/>
          <w:sz w:val="36"/>
          <w:szCs w:val="36"/>
          <w:lang w:val="en-US" w:eastAsia="zh-CN" w:bidi="ar-SA"/>
        </w:rPr>
        <w:fldChar w:fldCharType="end"/>
      </w:r>
    </w:p>
    <w:p w14:paraId="4329FBC5">
      <w:pPr>
        <w:pStyle w:val="377"/>
        <w:ind w:left="0" w:firstLine="1680" w:firstLineChars="200"/>
        <w:jc w:val="both"/>
        <w:rPr>
          <w:rStyle w:val="59"/>
          <w:rFonts w:hint="eastAsia" w:ascii="宋体" w:hAnsi="宋体" w:eastAsia="宋体" w:cs="宋体"/>
          <w:color w:val="auto"/>
          <w:sz w:val="84"/>
          <w:szCs w:val="84"/>
        </w:rPr>
      </w:pPr>
    </w:p>
    <w:p w14:paraId="37878273">
      <w:pPr>
        <w:pStyle w:val="377"/>
        <w:ind w:left="0" w:firstLine="1680" w:firstLineChars="200"/>
        <w:jc w:val="both"/>
        <w:rPr>
          <w:rStyle w:val="59"/>
          <w:rFonts w:hint="eastAsia" w:ascii="宋体" w:hAnsi="宋体" w:eastAsia="宋体" w:cs="宋体"/>
          <w:color w:val="auto"/>
          <w:sz w:val="84"/>
          <w:szCs w:val="84"/>
        </w:rPr>
      </w:pPr>
      <w:r>
        <w:rPr>
          <w:rStyle w:val="59"/>
          <w:rFonts w:hint="eastAsia" w:ascii="宋体" w:hAnsi="宋体" w:eastAsia="宋体" w:cs="宋体"/>
          <w:color w:val="auto"/>
          <w:sz w:val="84"/>
          <w:szCs w:val="84"/>
        </w:rPr>
        <w:t>竞争性比选文件</w:t>
      </w:r>
      <w:bookmarkEnd w:id="3"/>
    </w:p>
    <w:bookmarkEnd w:id="4"/>
    <w:p w14:paraId="690550FF">
      <w:pPr>
        <w:spacing w:line="700" w:lineRule="exact"/>
        <w:ind w:left="630" w:leftChars="300"/>
        <w:rPr>
          <w:rFonts w:hint="eastAsia" w:ascii="宋体" w:hAnsi="宋体" w:eastAsia="宋体" w:cs="宋体"/>
          <w:color w:val="auto"/>
          <w:sz w:val="36"/>
          <w:szCs w:val="30"/>
        </w:rPr>
      </w:pPr>
      <w:r>
        <w:rPr>
          <w:rFonts w:hint="eastAsia" w:ascii="宋体" w:hAnsi="宋体" w:eastAsia="宋体" w:cs="宋体"/>
          <w:color w:val="auto"/>
          <w:sz w:val="36"/>
          <w:szCs w:val="30"/>
        </w:rPr>
        <w:t xml:space="preserve">  </w:t>
      </w:r>
    </w:p>
    <w:p w14:paraId="434D2472">
      <w:pPr>
        <w:spacing w:line="360" w:lineRule="auto"/>
        <w:jc w:val="center"/>
        <w:rPr>
          <w:rFonts w:hint="eastAsia" w:ascii="宋体" w:hAnsi="宋体" w:eastAsia="宋体" w:cs="宋体"/>
          <w:b/>
          <w:bCs/>
          <w:color w:val="auto"/>
          <w:w w:val="90"/>
          <w:sz w:val="36"/>
          <w:szCs w:val="36"/>
        </w:rPr>
      </w:pPr>
    </w:p>
    <w:p w14:paraId="43F6A845">
      <w:pPr>
        <w:pStyle w:val="2"/>
        <w:rPr>
          <w:rFonts w:hint="eastAsia"/>
          <w:color w:val="auto"/>
        </w:rPr>
      </w:pPr>
    </w:p>
    <w:p w14:paraId="1B680AC8">
      <w:pPr>
        <w:pStyle w:val="12"/>
        <w:rPr>
          <w:rFonts w:hint="eastAsia" w:ascii="宋体" w:hAnsi="宋体" w:eastAsia="宋体" w:cs="宋体"/>
          <w:b/>
          <w:bCs/>
          <w:color w:val="auto"/>
          <w:w w:val="90"/>
          <w:sz w:val="36"/>
          <w:szCs w:val="36"/>
        </w:rPr>
      </w:pPr>
    </w:p>
    <w:p w14:paraId="5F85C0C0">
      <w:pPr>
        <w:pStyle w:val="12"/>
        <w:rPr>
          <w:rFonts w:hint="eastAsia" w:ascii="宋体" w:hAnsi="宋体" w:eastAsia="宋体" w:cs="宋体"/>
          <w:b/>
          <w:bCs/>
          <w:color w:val="auto"/>
          <w:w w:val="90"/>
          <w:sz w:val="36"/>
          <w:szCs w:val="36"/>
        </w:rPr>
      </w:pPr>
    </w:p>
    <w:p w14:paraId="32C8D92E">
      <w:pPr>
        <w:rPr>
          <w:rFonts w:hint="eastAsia" w:ascii="宋体" w:hAnsi="宋体" w:eastAsia="宋体" w:cs="宋体"/>
          <w:color w:val="auto"/>
        </w:rPr>
      </w:pPr>
    </w:p>
    <w:p w14:paraId="4517BC2D">
      <w:pPr>
        <w:pStyle w:val="2"/>
        <w:rPr>
          <w:rFonts w:hint="eastAsia"/>
          <w:color w:val="auto"/>
        </w:rPr>
      </w:pPr>
      <w:r>
        <w:rPr>
          <w:rFonts w:hint="eastAsia" w:ascii="宋体" w:hAnsi="宋体" w:eastAsia="宋体" w:cs="宋体"/>
          <w:b/>
          <w:bCs/>
          <w:color w:val="auto"/>
          <w:sz w:val="36"/>
          <w:szCs w:val="36"/>
        </w:rPr>
        <w:t xml:space="preserve">   </w:t>
      </w:r>
    </w:p>
    <w:p w14:paraId="65E69598">
      <w:pPr>
        <w:jc w:val="center"/>
        <w:rPr>
          <w:rFonts w:hint="eastAsia" w:ascii="宋体" w:hAnsi="宋体" w:eastAsia="宋体" w:cs="宋体"/>
          <w:b/>
          <w:bCs/>
          <w:color w:val="auto"/>
          <w:sz w:val="36"/>
          <w:szCs w:val="36"/>
        </w:rPr>
      </w:pPr>
    </w:p>
    <w:p w14:paraId="48FA040C">
      <w:pPr>
        <w:spacing w:line="360" w:lineRule="auto"/>
        <w:ind w:firstLine="651" w:firstLineChars="200"/>
        <w:jc w:val="both"/>
        <w:rPr>
          <w:rFonts w:hint="eastAsia" w:ascii="宋体" w:hAnsi="宋体" w:eastAsia="宋体" w:cs="宋体"/>
          <w:b/>
          <w:bCs/>
          <w:color w:val="auto"/>
          <w:w w:val="90"/>
          <w:sz w:val="36"/>
          <w:szCs w:val="36"/>
        </w:rPr>
      </w:pPr>
      <w:r>
        <w:rPr>
          <w:rFonts w:hint="eastAsia" w:ascii="宋体" w:hAnsi="宋体" w:eastAsia="宋体" w:cs="宋体"/>
          <w:b/>
          <w:bCs/>
          <w:color w:val="auto"/>
          <w:w w:val="90"/>
          <w:sz w:val="36"/>
          <w:szCs w:val="36"/>
        </w:rPr>
        <w:t>招标人：</w:t>
      </w:r>
      <w:r>
        <w:rPr>
          <w:rFonts w:hint="eastAsia" w:ascii="宋体" w:hAnsi="宋体" w:cs="宋体"/>
          <w:b/>
          <w:bCs/>
          <w:color w:val="auto"/>
          <w:w w:val="90"/>
          <w:sz w:val="36"/>
          <w:szCs w:val="36"/>
          <w:lang w:eastAsia="zh-CN"/>
        </w:rPr>
        <w:t xml:space="preserve">重庆市大足区高坪镇人民政府 </w:t>
      </w:r>
      <w:r>
        <w:rPr>
          <w:rFonts w:hint="eastAsia" w:ascii="宋体" w:hAnsi="宋体" w:eastAsia="宋体" w:cs="宋体"/>
          <w:b/>
          <w:bCs/>
          <w:color w:val="auto"/>
          <w:w w:val="90"/>
          <w:sz w:val="36"/>
          <w:szCs w:val="36"/>
        </w:rPr>
        <w:t>（盖章）</w:t>
      </w:r>
    </w:p>
    <w:p w14:paraId="6D954958">
      <w:pPr>
        <w:spacing w:line="560" w:lineRule="exact"/>
        <w:jc w:val="center"/>
        <w:rPr>
          <w:rFonts w:hint="eastAsia" w:ascii="宋体" w:hAnsi="宋体" w:eastAsia="宋体" w:cs="宋体"/>
          <w:b/>
          <w:bCs/>
          <w:color w:val="auto"/>
          <w:sz w:val="36"/>
          <w:szCs w:val="36"/>
        </w:rPr>
      </w:pPr>
      <w:r>
        <w:rPr>
          <w:rFonts w:hint="eastAsia" w:ascii="宋体" w:hAnsi="宋体" w:cs="宋体"/>
          <w:b/>
          <w:bCs/>
          <w:color w:val="auto"/>
          <w:sz w:val="36"/>
          <w:szCs w:val="36"/>
          <w:lang w:val="en-US" w:eastAsia="zh-CN"/>
        </w:rPr>
        <w:t>招标</w:t>
      </w:r>
      <w:r>
        <w:rPr>
          <w:rFonts w:hint="eastAsia" w:ascii="宋体" w:hAnsi="宋体" w:eastAsia="宋体" w:cs="宋体"/>
          <w:b/>
          <w:bCs/>
          <w:color w:val="auto"/>
          <w:sz w:val="36"/>
          <w:szCs w:val="36"/>
        </w:rPr>
        <w:t>代理机构：</w:t>
      </w:r>
      <w:r>
        <w:rPr>
          <w:rFonts w:hint="eastAsia" w:ascii="宋体" w:hAnsi="宋体" w:cs="宋体"/>
          <w:b/>
          <w:bCs/>
          <w:color w:val="auto"/>
          <w:sz w:val="36"/>
          <w:szCs w:val="36"/>
          <w:lang w:val="en-US" w:eastAsia="zh-CN"/>
        </w:rPr>
        <w:t>重庆中诚招标代理有限公司</w:t>
      </w:r>
      <w:r>
        <w:rPr>
          <w:rFonts w:hint="eastAsia" w:ascii="宋体" w:hAnsi="宋体" w:eastAsia="宋体" w:cs="宋体"/>
          <w:b/>
          <w:bCs/>
          <w:color w:val="auto"/>
          <w:w w:val="90"/>
          <w:sz w:val="36"/>
          <w:szCs w:val="36"/>
        </w:rPr>
        <w:t>（盖章）</w:t>
      </w:r>
    </w:p>
    <w:p w14:paraId="5C88AD1E">
      <w:pPr>
        <w:rPr>
          <w:rFonts w:hint="eastAsia" w:ascii="宋体" w:hAnsi="宋体" w:eastAsia="宋体" w:cs="宋体"/>
          <w:color w:val="auto"/>
          <w:sz w:val="44"/>
          <w:szCs w:val="44"/>
        </w:rPr>
      </w:pPr>
      <w:r>
        <w:rPr>
          <w:rFonts w:hint="eastAsia" w:ascii="宋体" w:hAnsi="宋体" w:eastAsia="宋体" w:cs="宋体"/>
          <w:color w:val="auto"/>
          <w:sz w:val="44"/>
          <w:szCs w:val="44"/>
        </w:rPr>
        <w:t xml:space="preserve">   </w:t>
      </w:r>
    </w:p>
    <w:p w14:paraId="2D6A561F">
      <w:pPr>
        <w:pStyle w:val="74"/>
        <w:tabs>
          <w:tab w:val="right" w:leader="dot" w:pos="9033"/>
        </w:tabs>
        <w:spacing w:after="240" w:afterLines="100" w:line="360" w:lineRule="auto"/>
        <w:ind w:left="210" w:leftChars="100" w:firstLine="0" w:firstLineChars="0"/>
        <w:jc w:val="center"/>
        <w:rPr>
          <w:rFonts w:hint="eastAsia" w:ascii="宋体" w:hAnsi="宋体" w:eastAsia="宋体" w:cs="宋体"/>
          <w:b/>
          <w:bCs/>
          <w:color w:val="auto"/>
          <w:kern w:val="2"/>
          <w:sz w:val="36"/>
          <w:szCs w:val="36"/>
          <w:lang w:val="en-US" w:eastAsia="zh-CN" w:bidi="ar-SA"/>
        </w:rPr>
      </w:pPr>
      <w:r>
        <w:rPr>
          <w:rFonts w:hint="eastAsia" w:ascii="宋体" w:hAnsi="宋体" w:eastAsia="宋体" w:cs="宋体"/>
          <w:b/>
          <w:bCs/>
          <w:color w:val="auto"/>
          <w:kern w:val="2"/>
          <w:sz w:val="36"/>
          <w:szCs w:val="36"/>
          <w:lang w:val="en-US" w:eastAsia="zh-CN" w:bidi="ar-SA"/>
        </w:rPr>
        <w:t>2025年10月</w:t>
      </w:r>
    </w:p>
    <w:p w14:paraId="6962E2CF">
      <w:pPr>
        <w:pStyle w:val="74"/>
        <w:tabs>
          <w:tab w:val="right" w:leader="dot" w:pos="9033"/>
        </w:tabs>
        <w:spacing w:after="240" w:afterLines="100" w:line="360" w:lineRule="auto"/>
        <w:jc w:val="center"/>
        <w:rPr>
          <w:rFonts w:hint="eastAsia" w:ascii="宋体" w:hAnsi="宋体" w:eastAsia="宋体" w:cs="宋体"/>
          <w:b/>
          <w:bCs/>
          <w:color w:val="auto"/>
          <w:sz w:val="40"/>
          <w:szCs w:val="40"/>
        </w:rPr>
      </w:pPr>
    </w:p>
    <w:p w14:paraId="705C9C39">
      <w:pPr>
        <w:pStyle w:val="74"/>
        <w:tabs>
          <w:tab w:val="right" w:leader="dot" w:pos="9033"/>
        </w:tabs>
        <w:spacing w:after="240" w:afterLines="100" w:line="380" w:lineRule="exact"/>
        <w:ind w:left="0" w:leftChars="0" w:firstLine="0" w:firstLineChars="0"/>
        <w:jc w:val="both"/>
        <w:rPr>
          <w:rFonts w:hint="eastAsia" w:ascii="宋体" w:hAnsi="宋体" w:eastAsia="宋体" w:cs="宋体"/>
          <w:b/>
          <w:color w:val="auto"/>
          <w:sz w:val="28"/>
          <w:szCs w:val="28"/>
        </w:rPr>
        <w:sectPr>
          <w:pgSz w:w="11907" w:h="16840"/>
          <w:pgMar w:top="1134" w:right="1191" w:bottom="1134" w:left="1304" w:header="851" w:footer="992" w:gutter="0"/>
          <w:pgNumType w:fmt="numberInDash"/>
          <w:cols w:space="720" w:num="1"/>
          <w:docGrid w:linePitch="380" w:charSpace="-5735"/>
        </w:sectPr>
      </w:pPr>
    </w:p>
    <w:p w14:paraId="38FF7F5C">
      <w:pPr>
        <w:pStyle w:val="74"/>
        <w:tabs>
          <w:tab w:val="right" w:leader="dot" w:pos="9033"/>
        </w:tabs>
        <w:spacing w:after="240" w:afterLines="100" w:line="380" w:lineRule="exact"/>
        <w:ind w:left="0" w:leftChars="0" w:firstLine="0" w:firstLineChars="0"/>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目录</w:t>
      </w:r>
    </w:p>
    <w:p w14:paraId="19932077">
      <w:pPr>
        <w:pStyle w:val="30"/>
        <w:tabs>
          <w:tab w:val="right" w:leader="dot" w:pos="9412"/>
        </w:tabs>
        <w:rPr>
          <w:color w:val="auto"/>
        </w:rPr>
      </w:pPr>
      <w:bookmarkStart w:id="5" w:name="_Toc419974468"/>
      <w:r>
        <w:rPr>
          <w:rFonts w:hint="eastAsia" w:ascii="宋体" w:hAnsi="宋体" w:eastAsia="宋体" w:cs="宋体"/>
          <w:b/>
          <w:color w:val="auto"/>
          <w:sz w:val="28"/>
          <w:szCs w:val="28"/>
        </w:rPr>
        <w:fldChar w:fldCharType="begin"/>
      </w:r>
      <w:r>
        <w:rPr>
          <w:rFonts w:hint="eastAsia" w:ascii="宋体" w:hAnsi="宋体" w:eastAsia="宋体" w:cs="宋体"/>
          <w:b/>
          <w:color w:val="auto"/>
          <w:sz w:val="28"/>
          <w:szCs w:val="28"/>
        </w:rPr>
        <w:instrText xml:space="preserve"> TOC \o "1-3" \h \z \u </w:instrText>
      </w:r>
      <w:r>
        <w:rPr>
          <w:rFonts w:hint="eastAsia" w:ascii="宋体" w:hAnsi="宋体" w:eastAsia="宋体" w:cs="宋体"/>
          <w:b/>
          <w:color w:val="auto"/>
          <w:sz w:val="28"/>
          <w:szCs w:val="28"/>
        </w:rPr>
        <w:fldChar w:fldCharType="separate"/>
      </w: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_Toc11591 </w:instrText>
      </w:r>
      <w:r>
        <w:rPr>
          <w:rFonts w:hint="eastAsia" w:ascii="宋体" w:hAnsi="宋体" w:eastAsia="宋体" w:cs="宋体"/>
          <w:color w:val="auto"/>
          <w:szCs w:val="28"/>
        </w:rPr>
        <w:fldChar w:fldCharType="separate"/>
      </w:r>
      <w:r>
        <w:rPr>
          <w:rFonts w:hint="eastAsia" w:ascii="宋体" w:hAnsi="宋体" w:eastAsia="宋体" w:cs="宋体"/>
          <w:color w:val="auto"/>
          <w:szCs w:val="84"/>
        </w:rPr>
        <w:t>竞争性比选文件</w:t>
      </w:r>
      <w:r>
        <w:rPr>
          <w:color w:val="auto"/>
        </w:rPr>
        <w:tab/>
      </w:r>
      <w:r>
        <w:rPr>
          <w:color w:val="auto"/>
        </w:rPr>
        <w:fldChar w:fldCharType="begin"/>
      </w:r>
      <w:r>
        <w:rPr>
          <w:color w:val="auto"/>
        </w:rPr>
        <w:instrText xml:space="preserve"> PAGEREF _Toc11591 \h </w:instrText>
      </w:r>
      <w:r>
        <w:rPr>
          <w:color w:val="auto"/>
        </w:rPr>
        <w:fldChar w:fldCharType="separate"/>
      </w:r>
      <w:r>
        <w:rPr>
          <w:color w:val="auto"/>
        </w:rPr>
        <w:t>- 1 -</w:t>
      </w:r>
      <w:r>
        <w:rPr>
          <w:color w:val="auto"/>
        </w:rPr>
        <w:fldChar w:fldCharType="end"/>
      </w:r>
      <w:r>
        <w:rPr>
          <w:rFonts w:hint="eastAsia" w:ascii="宋体" w:hAnsi="宋体" w:eastAsia="宋体" w:cs="宋体"/>
          <w:color w:val="auto"/>
          <w:szCs w:val="28"/>
        </w:rPr>
        <w:fldChar w:fldCharType="end"/>
      </w:r>
    </w:p>
    <w:p w14:paraId="7B60DA53">
      <w:pPr>
        <w:pStyle w:val="21"/>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_Toc24504 </w:instrText>
      </w:r>
      <w:r>
        <w:rPr>
          <w:rFonts w:hint="eastAsia" w:ascii="宋体" w:hAnsi="宋体" w:eastAsia="宋体" w:cs="宋体"/>
          <w:color w:val="auto"/>
          <w:szCs w:val="28"/>
        </w:rPr>
        <w:fldChar w:fldCharType="separate"/>
      </w:r>
      <w:r>
        <w:rPr>
          <w:rFonts w:hint="eastAsia" w:ascii="宋体" w:hAnsi="宋体" w:eastAsia="宋体" w:cs="宋体"/>
          <w:color w:val="auto"/>
          <w:szCs w:val="32"/>
        </w:rPr>
        <w:t>第一章  比选公告</w:t>
      </w:r>
      <w:r>
        <w:rPr>
          <w:color w:val="auto"/>
        </w:rPr>
        <w:tab/>
      </w:r>
      <w:r>
        <w:rPr>
          <w:rFonts w:hint="eastAsia"/>
          <w:color w:val="auto"/>
          <w:lang w:val="en-US" w:eastAsia="zh-CN"/>
        </w:rPr>
        <w:t xml:space="preserve"> 2</w:t>
      </w:r>
      <w:r>
        <w:rPr>
          <w:rFonts w:hint="eastAsia" w:ascii="宋体" w:hAnsi="宋体" w:eastAsia="宋体" w:cs="宋体"/>
          <w:color w:val="auto"/>
          <w:szCs w:val="28"/>
        </w:rPr>
        <w:fldChar w:fldCharType="end"/>
      </w:r>
    </w:p>
    <w:p w14:paraId="031EDE9A">
      <w:pPr>
        <w:pStyle w:val="21"/>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_Toc19591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1. 比选条件</w:t>
      </w:r>
      <w:r>
        <w:rPr>
          <w:color w:val="auto"/>
        </w:rPr>
        <w:tab/>
      </w:r>
      <w:r>
        <w:rPr>
          <w:rFonts w:hint="eastAsia"/>
          <w:color w:val="auto"/>
          <w:lang w:val="en-US" w:eastAsia="zh-CN"/>
        </w:rPr>
        <w:t>2</w:t>
      </w:r>
      <w:r>
        <w:rPr>
          <w:rFonts w:hint="eastAsia" w:ascii="宋体" w:hAnsi="宋体" w:eastAsia="宋体" w:cs="宋体"/>
          <w:color w:val="auto"/>
          <w:szCs w:val="28"/>
        </w:rPr>
        <w:fldChar w:fldCharType="end"/>
      </w:r>
    </w:p>
    <w:p w14:paraId="3673F075">
      <w:pPr>
        <w:pStyle w:val="21"/>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_Toc5796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2. 项目概况与比选范围</w:t>
      </w:r>
      <w:r>
        <w:rPr>
          <w:color w:val="auto"/>
        </w:rPr>
        <w:tab/>
      </w:r>
      <w:r>
        <w:rPr>
          <w:rFonts w:hint="eastAsia"/>
          <w:color w:val="auto"/>
          <w:lang w:val="en-US" w:eastAsia="zh-CN"/>
        </w:rPr>
        <w:t>2</w:t>
      </w:r>
      <w:r>
        <w:rPr>
          <w:rFonts w:hint="eastAsia" w:ascii="宋体" w:hAnsi="宋体" w:eastAsia="宋体" w:cs="宋体"/>
          <w:color w:val="auto"/>
          <w:szCs w:val="28"/>
        </w:rPr>
        <w:fldChar w:fldCharType="end"/>
      </w:r>
    </w:p>
    <w:p w14:paraId="3A9B8ECC">
      <w:pPr>
        <w:pStyle w:val="21"/>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_Toc28644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3.资格要求</w:t>
      </w:r>
      <w:r>
        <w:rPr>
          <w:color w:val="auto"/>
        </w:rPr>
        <w:tab/>
      </w:r>
      <w:r>
        <w:rPr>
          <w:rFonts w:hint="eastAsia"/>
          <w:color w:val="auto"/>
          <w:lang w:val="en-US" w:eastAsia="zh-CN"/>
        </w:rPr>
        <w:t>2</w:t>
      </w:r>
      <w:r>
        <w:rPr>
          <w:rFonts w:hint="eastAsia" w:ascii="宋体" w:hAnsi="宋体" w:eastAsia="宋体" w:cs="宋体"/>
          <w:color w:val="auto"/>
          <w:szCs w:val="28"/>
        </w:rPr>
        <w:fldChar w:fldCharType="end"/>
      </w:r>
    </w:p>
    <w:p w14:paraId="69F06ABE">
      <w:pPr>
        <w:pStyle w:val="21"/>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_Toc16849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4. 比选文件的获取</w:t>
      </w:r>
      <w:r>
        <w:rPr>
          <w:color w:val="auto"/>
        </w:rPr>
        <w:tab/>
      </w:r>
      <w:r>
        <w:rPr>
          <w:rFonts w:hint="eastAsia"/>
          <w:color w:val="auto"/>
          <w:lang w:val="en-US" w:eastAsia="zh-CN"/>
        </w:rPr>
        <w:t>2</w:t>
      </w:r>
      <w:r>
        <w:rPr>
          <w:rFonts w:hint="eastAsia" w:ascii="宋体" w:hAnsi="宋体" w:eastAsia="宋体" w:cs="宋体"/>
          <w:color w:val="auto"/>
          <w:szCs w:val="28"/>
        </w:rPr>
        <w:fldChar w:fldCharType="end"/>
      </w:r>
    </w:p>
    <w:p w14:paraId="321B66D8">
      <w:pPr>
        <w:pStyle w:val="21"/>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_Toc26034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5. 报名和递交投标文件时间、地点</w:t>
      </w:r>
      <w:r>
        <w:rPr>
          <w:color w:val="auto"/>
        </w:rPr>
        <w:tab/>
      </w:r>
      <w:r>
        <w:rPr>
          <w:rFonts w:hint="eastAsia"/>
          <w:color w:val="auto"/>
          <w:lang w:val="en-US" w:eastAsia="zh-CN"/>
        </w:rPr>
        <w:t>2</w:t>
      </w:r>
      <w:r>
        <w:rPr>
          <w:rFonts w:hint="eastAsia" w:ascii="宋体" w:hAnsi="宋体" w:eastAsia="宋体" w:cs="宋体"/>
          <w:color w:val="auto"/>
          <w:szCs w:val="28"/>
        </w:rPr>
        <w:fldChar w:fldCharType="end"/>
      </w:r>
    </w:p>
    <w:p w14:paraId="313AAAF2">
      <w:pPr>
        <w:pStyle w:val="21"/>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_Toc21764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6.发布公告的媒介</w:t>
      </w:r>
      <w:r>
        <w:rPr>
          <w:color w:val="auto"/>
        </w:rPr>
        <w:tab/>
      </w:r>
      <w:r>
        <w:rPr>
          <w:rFonts w:hint="eastAsia"/>
          <w:color w:val="auto"/>
          <w:lang w:val="en-US" w:eastAsia="zh-CN"/>
        </w:rPr>
        <w:t>3</w:t>
      </w:r>
      <w:r>
        <w:rPr>
          <w:rFonts w:hint="eastAsia" w:ascii="宋体" w:hAnsi="宋体" w:eastAsia="宋体" w:cs="宋体"/>
          <w:color w:val="auto"/>
          <w:szCs w:val="28"/>
        </w:rPr>
        <w:fldChar w:fldCharType="end"/>
      </w:r>
    </w:p>
    <w:p w14:paraId="4051FC4A">
      <w:pPr>
        <w:pStyle w:val="21"/>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_Toc15969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7.联系方式</w:t>
      </w:r>
      <w:r>
        <w:rPr>
          <w:color w:val="auto"/>
        </w:rPr>
        <w:tab/>
      </w:r>
      <w:r>
        <w:rPr>
          <w:rFonts w:hint="eastAsia"/>
          <w:color w:val="auto"/>
          <w:lang w:val="en-US" w:eastAsia="zh-CN"/>
        </w:rPr>
        <w:t>3</w:t>
      </w:r>
      <w:r>
        <w:rPr>
          <w:rFonts w:hint="eastAsia" w:ascii="宋体" w:hAnsi="宋体" w:eastAsia="宋体" w:cs="宋体"/>
          <w:color w:val="auto"/>
          <w:szCs w:val="28"/>
        </w:rPr>
        <w:fldChar w:fldCharType="end"/>
      </w:r>
    </w:p>
    <w:p w14:paraId="2C3B1792">
      <w:pPr>
        <w:pStyle w:val="21"/>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_Toc17345 </w:instrText>
      </w:r>
      <w:r>
        <w:rPr>
          <w:rFonts w:hint="eastAsia" w:ascii="宋体" w:hAnsi="宋体" w:eastAsia="宋体" w:cs="宋体"/>
          <w:color w:val="auto"/>
          <w:szCs w:val="28"/>
        </w:rPr>
        <w:fldChar w:fldCharType="separate"/>
      </w:r>
      <w:r>
        <w:rPr>
          <w:rFonts w:hint="eastAsia" w:ascii="宋体" w:hAnsi="宋体" w:eastAsia="宋体" w:cs="宋体"/>
          <w:color w:val="auto"/>
        </w:rPr>
        <w:t>第二章 投标人须知</w:t>
      </w:r>
      <w:r>
        <w:rPr>
          <w:color w:val="auto"/>
        </w:rPr>
        <w:tab/>
      </w:r>
      <w:r>
        <w:rPr>
          <w:rFonts w:hint="eastAsia"/>
          <w:color w:val="auto"/>
          <w:lang w:val="en-US" w:eastAsia="zh-CN"/>
        </w:rPr>
        <w:t>4</w:t>
      </w:r>
      <w:r>
        <w:rPr>
          <w:rFonts w:hint="eastAsia" w:ascii="宋体" w:hAnsi="宋体" w:eastAsia="宋体" w:cs="宋体"/>
          <w:color w:val="auto"/>
          <w:szCs w:val="28"/>
        </w:rPr>
        <w:fldChar w:fldCharType="end"/>
      </w:r>
    </w:p>
    <w:p w14:paraId="220DA793">
      <w:pPr>
        <w:pStyle w:val="21"/>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_Toc30955 </w:instrText>
      </w:r>
      <w:r>
        <w:rPr>
          <w:rFonts w:hint="eastAsia" w:ascii="宋体" w:hAnsi="宋体" w:eastAsia="宋体" w:cs="宋体"/>
          <w:color w:val="auto"/>
          <w:szCs w:val="28"/>
        </w:rPr>
        <w:fldChar w:fldCharType="separate"/>
      </w:r>
      <w:r>
        <w:rPr>
          <w:rFonts w:hint="eastAsia" w:ascii="宋体" w:hAnsi="宋体" w:eastAsia="宋体" w:cs="宋体"/>
          <w:color w:val="auto"/>
          <w:szCs w:val="30"/>
        </w:rPr>
        <w:t>投标人须知前附表</w:t>
      </w:r>
      <w:r>
        <w:rPr>
          <w:color w:val="auto"/>
        </w:rPr>
        <w:tab/>
      </w:r>
      <w:r>
        <w:rPr>
          <w:rFonts w:hint="eastAsia"/>
          <w:color w:val="auto"/>
          <w:lang w:val="en-US" w:eastAsia="zh-CN"/>
        </w:rPr>
        <w:t>4</w:t>
      </w:r>
      <w:r>
        <w:rPr>
          <w:rFonts w:hint="eastAsia" w:ascii="宋体" w:hAnsi="宋体" w:eastAsia="宋体" w:cs="宋体"/>
          <w:color w:val="auto"/>
          <w:szCs w:val="28"/>
        </w:rPr>
        <w:fldChar w:fldCharType="end"/>
      </w:r>
    </w:p>
    <w:p w14:paraId="28C9C537">
      <w:pPr>
        <w:pStyle w:val="21"/>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_Toc11384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1.  总则</w:t>
      </w:r>
      <w:r>
        <w:rPr>
          <w:color w:val="auto"/>
        </w:rPr>
        <w:tab/>
      </w:r>
      <w:r>
        <w:rPr>
          <w:color w:val="auto"/>
        </w:rPr>
        <w:fldChar w:fldCharType="begin"/>
      </w:r>
      <w:r>
        <w:rPr>
          <w:color w:val="auto"/>
        </w:rPr>
        <w:instrText xml:space="preserve"> PAGEREF _Toc11384 \h </w:instrText>
      </w:r>
      <w:r>
        <w:rPr>
          <w:color w:val="auto"/>
        </w:rPr>
        <w:fldChar w:fldCharType="separate"/>
      </w:r>
      <w:r>
        <w:rPr>
          <w:color w:val="auto"/>
        </w:rPr>
        <w:t>8</w:t>
      </w:r>
      <w:r>
        <w:rPr>
          <w:color w:val="auto"/>
        </w:rPr>
        <w:fldChar w:fldCharType="end"/>
      </w:r>
      <w:r>
        <w:rPr>
          <w:rFonts w:hint="eastAsia" w:ascii="宋体" w:hAnsi="宋体" w:eastAsia="宋体" w:cs="宋体"/>
          <w:color w:val="auto"/>
          <w:szCs w:val="28"/>
        </w:rPr>
        <w:fldChar w:fldCharType="end"/>
      </w:r>
    </w:p>
    <w:p w14:paraId="4CE97166">
      <w:pPr>
        <w:pStyle w:val="21"/>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_Toc28637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1.1  项目概况</w:t>
      </w:r>
      <w:r>
        <w:rPr>
          <w:color w:val="auto"/>
        </w:rPr>
        <w:tab/>
      </w:r>
      <w:r>
        <w:rPr>
          <w:color w:val="auto"/>
        </w:rPr>
        <w:fldChar w:fldCharType="begin"/>
      </w:r>
      <w:r>
        <w:rPr>
          <w:color w:val="auto"/>
        </w:rPr>
        <w:instrText xml:space="preserve"> PAGEREF _Toc28637 \h </w:instrText>
      </w:r>
      <w:r>
        <w:rPr>
          <w:color w:val="auto"/>
        </w:rPr>
        <w:fldChar w:fldCharType="separate"/>
      </w:r>
      <w:r>
        <w:rPr>
          <w:color w:val="auto"/>
        </w:rPr>
        <w:t>8</w:t>
      </w:r>
      <w:r>
        <w:rPr>
          <w:color w:val="auto"/>
        </w:rPr>
        <w:fldChar w:fldCharType="end"/>
      </w:r>
      <w:r>
        <w:rPr>
          <w:rFonts w:hint="eastAsia" w:ascii="宋体" w:hAnsi="宋体" w:eastAsia="宋体" w:cs="宋体"/>
          <w:color w:val="auto"/>
          <w:szCs w:val="28"/>
        </w:rPr>
        <w:fldChar w:fldCharType="end"/>
      </w:r>
    </w:p>
    <w:p w14:paraId="407F20EF">
      <w:pPr>
        <w:pStyle w:val="21"/>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_Toc17915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1.5  费用承担</w:t>
      </w:r>
      <w:r>
        <w:rPr>
          <w:color w:val="auto"/>
        </w:rPr>
        <w:tab/>
      </w:r>
      <w:r>
        <w:rPr>
          <w:color w:val="auto"/>
        </w:rPr>
        <w:fldChar w:fldCharType="begin"/>
      </w:r>
      <w:r>
        <w:rPr>
          <w:color w:val="auto"/>
        </w:rPr>
        <w:instrText xml:space="preserve"> PAGEREF _Toc17915 \h </w:instrText>
      </w:r>
      <w:r>
        <w:rPr>
          <w:color w:val="auto"/>
        </w:rPr>
        <w:fldChar w:fldCharType="separate"/>
      </w:r>
      <w:r>
        <w:rPr>
          <w:color w:val="auto"/>
        </w:rPr>
        <w:t>8</w:t>
      </w:r>
      <w:r>
        <w:rPr>
          <w:color w:val="auto"/>
        </w:rPr>
        <w:fldChar w:fldCharType="end"/>
      </w:r>
      <w:r>
        <w:rPr>
          <w:rFonts w:hint="eastAsia" w:ascii="宋体" w:hAnsi="宋体" w:eastAsia="宋体" w:cs="宋体"/>
          <w:color w:val="auto"/>
          <w:szCs w:val="28"/>
        </w:rPr>
        <w:fldChar w:fldCharType="end"/>
      </w:r>
    </w:p>
    <w:p w14:paraId="51AFBBA3">
      <w:pPr>
        <w:pStyle w:val="21"/>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_Toc29549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1.6 保密</w:t>
      </w:r>
      <w:r>
        <w:rPr>
          <w:color w:val="auto"/>
        </w:rPr>
        <w:tab/>
      </w:r>
      <w:r>
        <w:rPr>
          <w:color w:val="auto"/>
        </w:rPr>
        <w:fldChar w:fldCharType="begin"/>
      </w:r>
      <w:r>
        <w:rPr>
          <w:color w:val="auto"/>
        </w:rPr>
        <w:instrText xml:space="preserve"> PAGEREF _Toc29549 \h </w:instrText>
      </w:r>
      <w:r>
        <w:rPr>
          <w:color w:val="auto"/>
        </w:rPr>
        <w:fldChar w:fldCharType="separate"/>
      </w:r>
      <w:r>
        <w:rPr>
          <w:color w:val="auto"/>
        </w:rPr>
        <w:t>8</w:t>
      </w:r>
      <w:r>
        <w:rPr>
          <w:color w:val="auto"/>
        </w:rPr>
        <w:fldChar w:fldCharType="end"/>
      </w:r>
      <w:r>
        <w:rPr>
          <w:rFonts w:hint="eastAsia" w:ascii="宋体" w:hAnsi="宋体" w:eastAsia="宋体" w:cs="宋体"/>
          <w:color w:val="auto"/>
          <w:szCs w:val="28"/>
        </w:rPr>
        <w:fldChar w:fldCharType="end"/>
      </w:r>
    </w:p>
    <w:p w14:paraId="360878DD">
      <w:pPr>
        <w:pStyle w:val="21"/>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_Toc27047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1.7 语言文字</w:t>
      </w:r>
      <w:r>
        <w:rPr>
          <w:color w:val="auto"/>
        </w:rPr>
        <w:tab/>
      </w:r>
      <w:r>
        <w:rPr>
          <w:color w:val="auto"/>
        </w:rPr>
        <w:fldChar w:fldCharType="begin"/>
      </w:r>
      <w:r>
        <w:rPr>
          <w:color w:val="auto"/>
        </w:rPr>
        <w:instrText xml:space="preserve"> PAGEREF _Toc27047 \h </w:instrText>
      </w:r>
      <w:r>
        <w:rPr>
          <w:color w:val="auto"/>
        </w:rPr>
        <w:fldChar w:fldCharType="separate"/>
      </w:r>
      <w:r>
        <w:rPr>
          <w:color w:val="auto"/>
        </w:rPr>
        <w:t>8</w:t>
      </w:r>
      <w:r>
        <w:rPr>
          <w:color w:val="auto"/>
        </w:rPr>
        <w:fldChar w:fldCharType="end"/>
      </w:r>
      <w:r>
        <w:rPr>
          <w:rFonts w:hint="eastAsia" w:ascii="宋体" w:hAnsi="宋体" w:eastAsia="宋体" w:cs="宋体"/>
          <w:color w:val="auto"/>
          <w:szCs w:val="28"/>
        </w:rPr>
        <w:fldChar w:fldCharType="end"/>
      </w:r>
    </w:p>
    <w:p w14:paraId="2937A9FA">
      <w:pPr>
        <w:pStyle w:val="21"/>
        <w:tabs>
          <w:tab w:val="right" w:leader="dot" w:pos="9412"/>
        </w:tabs>
        <w:rPr>
          <w:rFonts w:hint="eastAsia" w:eastAsia="宋体"/>
          <w:color w:val="auto"/>
          <w:lang w:val="en-US" w:eastAsia="zh-CN"/>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_Toc8569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1.8  计量单位</w:t>
      </w:r>
      <w:r>
        <w:rPr>
          <w:color w:val="auto"/>
        </w:rPr>
        <w:tab/>
      </w:r>
      <w:r>
        <w:rPr>
          <w:rFonts w:hint="eastAsia"/>
          <w:color w:val="auto"/>
          <w:lang w:val="en-US" w:eastAsia="zh-CN"/>
        </w:rPr>
        <w:t>9</w:t>
      </w:r>
      <w:r>
        <w:rPr>
          <w:rFonts w:hint="eastAsia" w:ascii="宋体" w:hAnsi="宋体" w:eastAsia="宋体" w:cs="宋体"/>
          <w:color w:val="auto"/>
          <w:szCs w:val="28"/>
        </w:rPr>
        <w:fldChar w:fldCharType="end"/>
      </w:r>
    </w:p>
    <w:p w14:paraId="5DA180FB">
      <w:pPr>
        <w:pStyle w:val="21"/>
        <w:tabs>
          <w:tab w:val="right" w:leader="dot" w:pos="9412"/>
        </w:tabs>
        <w:rPr>
          <w:rFonts w:hint="default" w:eastAsia="宋体"/>
          <w:color w:val="auto"/>
          <w:lang w:val="en-US" w:eastAsia="zh-CN"/>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_Toc10224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3.3  投标有效期</w:t>
      </w:r>
      <w:r>
        <w:rPr>
          <w:color w:val="auto"/>
        </w:rPr>
        <w:tab/>
      </w:r>
      <w:r>
        <w:rPr>
          <w:rFonts w:hint="eastAsia" w:ascii="宋体" w:hAnsi="宋体" w:eastAsia="宋体" w:cs="宋体"/>
          <w:color w:val="auto"/>
          <w:szCs w:val="28"/>
        </w:rPr>
        <w:fldChar w:fldCharType="end"/>
      </w:r>
      <w:r>
        <w:rPr>
          <w:rFonts w:hint="eastAsia" w:ascii="宋体" w:hAnsi="宋体" w:cs="宋体"/>
          <w:color w:val="auto"/>
          <w:szCs w:val="28"/>
          <w:lang w:val="en-US" w:eastAsia="zh-CN"/>
        </w:rPr>
        <w:t>9</w:t>
      </w:r>
    </w:p>
    <w:p w14:paraId="1176B7AC">
      <w:pPr>
        <w:pStyle w:val="21"/>
        <w:tabs>
          <w:tab w:val="right" w:leader="dot" w:pos="9412"/>
        </w:tabs>
        <w:rPr>
          <w:rFonts w:hint="eastAsia" w:eastAsia="宋体"/>
          <w:color w:val="auto"/>
          <w:lang w:val="en-US" w:eastAsia="zh-CN"/>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_Toc21105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4.  投标文件</w:t>
      </w:r>
      <w:r>
        <w:rPr>
          <w:color w:val="auto"/>
        </w:rPr>
        <w:tab/>
      </w:r>
      <w:r>
        <w:rPr>
          <w:rFonts w:hint="eastAsia"/>
          <w:color w:val="auto"/>
          <w:lang w:val="en-US" w:eastAsia="zh-CN"/>
        </w:rPr>
        <w:t>9</w:t>
      </w:r>
      <w:r>
        <w:rPr>
          <w:rFonts w:hint="eastAsia" w:ascii="宋体" w:hAnsi="宋体" w:eastAsia="宋体" w:cs="宋体"/>
          <w:color w:val="auto"/>
          <w:szCs w:val="28"/>
        </w:rPr>
        <w:fldChar w:fldCharType="end"/>
      </w:r>
    </w:p>
    <w:p w14:paraId="4CD25F0F">
      <w:pPr>
        <w:pStyle w:val="21"/>
        <w:tabs>
          <w:tab w:val="right" w:leader="dot" w:pos="9412"/>
        </w:tabs>
        <w:rPr>
          <w:rFonts w:hint="eastAsia" w:eastAsia="宋体"/>
          <w:color w:val="auto"/>
          <w:lang w:val="en-US" w:eastAsia="zh-CN"/>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_Toc558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4.1  投标文件的密封和标记</w:t>
      </w:r>
      <w:r>
        <w:rPr>
          <w:color w:val="auto"/>
        </w:rPr>
        <w:tab/>
      </w:r>
      <w:r>
        <w:rPr>
          <w:rFonts w:hint="eastAsia"/>
          <w:color w:val="auto"/>
          <w:lang w:val="en-US" w:eastAsia="zh-CN"/>
        </w:rPr>
        <w:t>9</w:t>
      </w:r>
      <w:r>
        <w:rPr>
          <w:rFonts w:hint="eastAsia" w:ascii="宋体" w:hAnsi="宋体" w:eastAsia="宋体" w:cs="宋体"/>
          <w:color w:val="auto"/>
          <w:szCs w:val="28"/>
        </w:rPr>
        <w:fldChar w:fldCharType="end"/>
      </w:r>
    </w:p>
    <w:p w14:paraId="20F15144">
      <w:pPr>
        <w:pStyle w:val="21"/>
        <w:tabs>
          <w:tab w:val="right" w:leader="dot" w:pos="9412"/>
        </w:tabs>
        <w:rPr>
          <w:rFonts w:hint="eastAsia" w:eastAsia="宋体"/>
          <w:color w:val="auto"/>
          <w:lang w:val="en-US" w:eastAsia="zh-CN"/>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_Toc27240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4.2  投标文件的递交</w:t>
      </w:r>
      <w:r>
        <w:rPr>
          <w:color w:val="auto"/>
        </w:rPr>
        <w:tab/>
      </w:r>
      <w:r>
        <w:rPr>
          <w:rFonts w:hint="eastAsia" w:ascii="宋体" w:hAnsi="宋体" w:eastAsia="宋体" w:cs="宋体"/>
          <w:color w:val="auto"/>
          <w:szCs w:val="28"/>
        </w:rPr>
        <w:fldChar w:fldCharType="end"/>
      </w:r>
      <w:r>
        <w:rPr>
          <w:rFonts w:hint="eastAsia" w:ascii="宋体" w:hAnsi="宋体" w:cs="宋体"/>
          <w:color w:val="auto"/>
          <w:szCs w:val="28"/>
          <w:lang w:val="en-US" w:eastAsia="zh-CN"/>
        </w:rPr>
        <w:t>9</w:t>
      </w:r>
    </w:p>
    <w:p w14:paraId="06358899">
      <w:pPr>
        <w:pStyle w:val="21"/>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_Toc31702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4.3  投标文件的修改与撤回</w:t>
      </w:r>
      <w:r>
        <w:rPr>
          <w:color w:val="auto"/>
        </w:rPr>
        <w:tab/>
      </w:r>
      <w:r>
        <w:rPr>
          <w:color w:val="auto"/>
        </w:rPr>
        <w:fldChar w:fldCharType="begin"/>
      </w:r>
      <w:r>
        <w:rPr>
          <w:color w:val="auto"/>
        </w:rPr>
        <w:instrText xml:space="preserve"> PAGEREF _Toc31702 \h </w:instrText>
      </w:r>
      <w:r>
        <w:rPr>
          <w:color w:val="auto"/>
        </w:rPr>
        <w:fldChar w:fldCharType="separate"/>
      </w:r>
      <w:r>
        <w:rPr>
          <w:color w:val="auto"/>
        </w:rPr>
        <w:t>9</w:t>
      </w:r>
      <w:r>
        <w:rPr>
          <w:color w:val="auto"/>
        </w:rPr>
        <w:fldChar w:fldCharType="end"/>
      </w:r>
      <w:r>
        <w:rPr>
          <w:rFonts w:hint="eastAsia" w:ascii="宋体" w:hAnsi="宋体" w:eastAsia="宋体" w:cs="宋体"/>
          <w:color w:val="auto"/>
          <w:szCs w:val="28"/>
        </w:rPr>
        <w:fldChar w:fldCharType="end"/>
      </w:r>
    </w:p>
    <w:p w14:paraId="4C699A7A">
      <w:pPr>
        <w:pStyle w:val="21"/>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_Toc6121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5.  开标</w:t>
      </w:r>
      <w:r>
        <w:rPr>
          <w:color w:val="auto"/>
        </w:rPr>
        <w:tab/>
      </w:r>
      <w:r>
        <w:rPr>
          <w:color w:val="auto"/>
        </w:rPr>
        <w:fldChar w:fldCharType="begin"/>
      </w:r>
      <w:r>
        <w:rPr>
          <w:color w:val="auto"/>
        </w:rPr>
        <w:instrText xml:space="preserve"> PAGEREF _Toc6121 \h </w:instrText>
      </w:r>
      <w:r>
        <w:rPr>
          <w:color w:val="auto"/>
        </w:rPr>
        <w:fldChar w:fldCharType="separate"/>
      </w:r>
      <w:r>
        <w:rPr>
          <w:color w:val="auto"/>
        </w:rPr>
        <w:t>9</w:t>
      </w:r>
      <w:r>
        <w:rPr>
          <w:color w:val="auto"/>
        </w:rPr>
        <w:fldChar w:fldCharType="end"/>
      </w:r>
      <w:r>
        <w:rPr>
          <w:rFonts w:hint="eastAsia" w:ascii="宋体" w:hAnsi="宋体" w:eastAsia="宋体" w:cs="宋体"/>
          <w:color w:val="auto"/>
          <w:szCs w:val="28"/>
        </w:rPr>
        <w:fldChar w:fldCharType="end"/>
      </w:r>
    </w:p>
    <w:p w14:paraId="1753CAE6">
      <w:pPr>
        <w:pStyle w:val="21"/>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_Toc1674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5.1  开标时间和地点</w:t>
      </w:r>
      <w:r>
        <w:rPr>
          <w:color w:val="auto"/>
        </w:rPr>
        <w:tab/>
      </w:r>
      <w:r>
        <w:rPr>
          <w:color w:val="auto"/>
        </w:rPr>
        <w:fldChar w:fldCharType="begin"/>
      </w:r>
      <w:r>
        <w:rPr>
          <w:color w:val="auto"/>
        </w:rPr>
        <w:instrText xml:space="preserve"> PAGEREF _Toc1674 \h </w:instrText>
      </w:r>
      <w:r>
        <w:rPr>
          <w:color w:val="auto"/>
        </w:rPr>
        <w:fldChar w:fldCharType="separate"/>
      </w:r>
      <w:r>
        <w:rPr>
          <w:color w:val="auto"/>
        </w:rPr>
        <w:t>9</w:t>
      </w:r>
      <w:r>
        <w:rPr>
          <w:color w:val="auto"/>
        </w:rPr>
        <w:fldChar w:fldCharType="end"/>
      </w:r>
      <w:r>
        <w:rPr>
          <w:rFonts w:hint="eastAsia" w:ascii="宋体" w:hAnsi="宋体" w:eastAsia="宋体" w:cs="宋体"/>
          <w:color w:val="auto"/>
          <w:szCs w:val="28"/>
        </w:rPr>
        <w:fldChar w:fldCharType="end"/>
      </w:r>
    </w:p>
    <w:p w14:paraId="5E5B2C08">
      <w:pPr>
        <w:pStyle w:val="21"/>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_Toc5702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6.  评审</w:t>
      </w:r>
      <w:r>
        <w:rPr>
          <w:color w:val="auto"/>
        </w:rPr>
        <w:tab/>
      </w:r>
      <w:r>
        <w:rPr>
          <w:color w:val="auto"/>
        </w:rPr>
        <w:fldChar w:fldCharType="begin"/>
      </w:r>
      <w:r>
        <w:rPr>
          <w:color w:val="auto"/>
        </w:rPr>
        <w:instrText xml:space="preserve"> PAGEREF _Toc5702 \h </w:instrText>
      </w:r>
      <w:r>
        <w:rPr>
          <w:color w:val="auto"/>
        </w:rPr>
        <w:fldChar w:fldCharType="separate"/>
      </w:r>
      <w:r>
        <w:rPr>
          <w:color w:val="auto"/>
        </w:rPr>
        <w:t>9</w:t>
      </w:r>
      <w:r>
        <w:rPr>
          <w:color w:val="auto"/>
        </w:rPr>
        <w:fldChar w:fldCharType="end"/>
      </w:r>
      <w:r>
        <w:rPr>
          <w:rFonts w:hint="eastAsia" w:ascii="宋体" w:hAnsi="宋体" w:eastAsia="宋体" w:cs="宋体"/>
          <w:color w:val="auto"/>
          <w:szCs w:val="28"/>
        </w:rPr>
        <w:fldChar w:fldCharType="end"/>
      </w:r>
    </w:p>
    <w:p w14:paraId="00408418">
      <w:pPr>
        <w:pStyle w:val="21"/>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_Toc10152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6.1  评审委员会</w:t>
      </w:r>
      <w:r>
        <w:rPr>
          <w:color w:val="auto"/>
        </w:rPr>
        <w:tab/>
      </w:r>
      <w:r>
        <w:rPr>
          <w:color w:val="auto"/>
        </w:rPr>
        <w:fldChar w:fldCharType="begin"/>
      </w:r>
      <w:r>
        <w:rPr>
          <w:color w:val="auto"/>
        </w:rPr>
        <w:instrText xml:space="preserve"> PAGEREF _Toc10152 \h </w:instrText>
      </w:r>
      <w:r>
        <w:rPr>
          <w:color w:val="auto"/>
        </w:rPr>
        <w:fldChar w:fldCharType="separate"/>
      </w:r>
      <w:r>
        <w:rPr>
          <w:color w:val="auto"/>
        </w:rPr>
        <w:t>9</w:t>
      </w:r>
      <w:r>
        <w:rPr>
          <w:color w:val="auto"/>
        </w:rPr>
        <w:fldChar w:fldCharType="end"/>
      </w:r>
      <w:r>
        <w:rPr>
          <w:rFonts w:hint="eastAsia" w:ascii="宋体" w:hAnsi="宋体" w:eastAsia="宋体" w:cs="宋体"/>
          <w:color w:val="auto"/>
          <w:szCs w:val="28"/>
        </w:rPr>
        <w:fldChar w:fldCharType="end"/>
      </w:r>
    </w:p>
    <w:p w14:paraId="4889BAAB">
      <w:pPr>
        <w:pStyle w:val="21"/>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_Toc30577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6.2  评审原则</w:t>
      </w:r>
      <w:r>
        <w:rPr>
          <w:color w:val="auto"/>
        </w:rPr>
        <w:tab/>
      </w:r>
      <w:r>
        <w:rPr>
          <w:color w:val="auto"/>
        </w:rPr>
        <w:fldChar w:fldCharType="begin"/>
      </w:r>
      <w:r>
        <w:rPr>
          <w:color w:val="auto"/>
        </w:rPr>
        <w:instrText xml:space="preserve"> PAGEREF _Toc30577 \h </w:instrText>
      </w:r>
      <w:r>
        <w:rPr>
          <w:color w:val="auto"/>
        </w:rPr>
        <w:fldChar w:fldCharType="separate"/>
      </w:r>
      <w:r>
        <w:rPr>
          <w:color w:val="auto"/>
        </w:rPr>
        <w:t>9</w:t>
      </w:r>
      <w:r>
        <w:rPr>
          <w:color w:val="auto"/>
        </w:rPr>
        <w:fldChar w:fldCharType="end"/>
      </w:r>
      <w:r>
        <w:rPr>
          <w:rFonts w:hint="eastAsia" w:ascii="宋体" w:hAnsi="宋体" w:eastAsia="宋体" w:cs="宋体"/>
          <w:color w:val="auto"/>
          <w:szCs w:val="28"/>
        </w:rPr>
        <w:fldChar w:fldCharType="end"/>
      </w:r>
    </w:p>
    <w:p w14:paraId="1F533AB3">
      <w:pPr>
        <w:pStyle w:val="21"/>
        <w:tabs>
          <w:tab w:val="right" w:leader="dot" w:pos="9412"/>
        </w:tabs>
        <w:rPr>
          <w:rFonts w:hint="eastAsia" w:ascii="宋体" w:hAnsi="宋体" w:eastAsia="宋体" w:cs="宋体"/>
          <w:color w:val="auto"/>
          <w:szCs w:val="28"/>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_Toc27448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6.3  评审</w:t>
      </w:r>
      <w:r>
        <w:rPr>
          <w:color w:val="auto"/>
        </w:rPr>
        <w:tab/>
      </w:r>
      <w:r>
        <w:rPr>
          <w:rFonts w:hint="eastAsia"/>
          <w:color w:val="auto"/>
          <w:lang w:val="en-US" w:eastAsia="zh-CN"/>
        </w:rPr>
        <w:t>9</w:t>
      </w:r>
      <w:r>
        <w:rPr>
          <w:rFonts w:hint="eastAsia" w:ascii="宋体" w:hAnsi="宋体" w:eastAsia="宋体" w:cs="宋体"/>
          <w:color w:val="auto"/>
          <w:szCs w:val="28"/>
        </w:rPr>
        <w:fldChar w:fldCharType="end"/>
      </w:r>
    </w:p>
    <w:p w14:paraId="295C9ECE">
      <w:pPr>
        <w:pStyle w:val="21"/>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_Toc22955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7.  合同授予</w:t>
      </w:r>
      <w:r>
        <w:rPr>
          <w:color w:val="auto"/>
        </w:rPr>
        <w:tab/>
      </w:r>
      <w:r>
        <w:rPr>
          <w:color w:val="auto"/>
        </w:rPr>
        <w:fldChar w:fldCharType="begin"/>
      </w:r>
      <w:r>
        <w:rPr>
          <w:color w:val="auto"/>
        </w:rPr>
        <w:instrText xml:space="preserve"> PAGEREF _Toc22955 \h </w:instrText>
      </w:r>
      <w:r>
        <w:rPr>
          <w:color w:val="auto"/>
        </w:rPr>
        <w:fldChar w:fldCharType="separate"/>
      </w:r>
      <w:r>
        <w:rPr>
          <w:color w:val="auto"/>
        </w:rPr>
        <w:t>9</w:t>
      </w:r>
      <w:r>
        <w:rPr>
          <w:color w:val="auto"/>
        </w:rPr>
        <w:fldChar w:fldCharType="end"/>
      </w:r>
      <w:r>
        <w:rPr>
          <w:rFonts w:hint="eastAsia" w:ascii="宋体" w:hAnsi="宋体" w:eastAsia="宋体" w:cs="宋体"/>
          <w:color w:val="auto"/>
          <w:szCs w:val="28"/>
        </w:rPr>
        <w:fldChar w:fldCharType="end"/>
      </w:r>
    </w:p>
    <w:p w14:paraId="7CE36F17">
      <w:pPr>
        <w:pStyle w:val="21"/>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_Toc5998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7.1  定标方式</w:t>
      </w:r>
      <w:r>
        <w:rPr>
          <w:color w:val="auto"/>
        </w:rPr>
        <w:tab/>
      </w:r>
      <w:r>
        <w:rPr>
          <w:rFonts w:hint="eastAsia"/>
          <w:color w:val="auto"/>
          <w:lang w:val="en-US" w:eastAsia="zh-CN"/>
        </w:rPr>
        <w:t>10</w:t>
      </w:r>
      <w:r>
        <w:rPr>
          <w:rFonts w:hint="eastAsia" w:ascii="宋体" w:hAnsi="宋体" w:eastAsia="宋体" w:cs="宋体"/>
          <w:color w:val="auto"/>
          <w:szCs w:val="28"/>
        </w:rPr>
        <w:fldChar w:fldCharType="end"/>
      </w:r>
    </w:p>
    <w:p w14:paraId="086DAB38">
      <w:pPr>
        <w:pStyle w:val="21"/>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_Toc20355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7.2  中标通知</w:t>
      </w:r>
      <w:r>
        <w:rPr>
          <w:color w:val="auto"/>
        </w:rPr>
        <w:tab/>
      </w:r>
      <w:r>
        <w:rPr>
          <w:color w:val="auto"/>
        </w:rPr>
        <w:fldChar w:fldCharType="begin"/>
      </w:r>
      <w:r>
        <w:rPr>
          <w:color w:val="auto"/>
        </w:rPr>
        <w:instrText xml:space="preserve"> PAGEREF _Toc20355 \h </w:instrText>
      </w:r>
      <w:r>
        <w:rPr>
          <w:color w:val="auto"/>
        </w:rPr>
        <w:fldChar w:fldCharType="separate"/>
      </w:r>
      <w:r>
        <w:rPr>
          <w:color w:val="auto"/>
        </w:rPr>
        <w:t>10</w:t>
      </w:r>
      <w:r>
        <w:rPr>
          <w:color w:val="auto"/>
        </w:rPr>
        <w:fldChar w:fldCharType="end"/>
      </w:r>
      <w:r>
        <w:rPr>
          <w:rFonts w:hint="eastAsia" w:ascii="宋体" w:hAnsi="宋体" w:eastAsia="宋体" w:cs="宋体"/>
          <w:color w:val="auto"/>
          <w:szCs w:val="28"/>
        </w:rPr>
        <w:fldChar w:fldCharType="end"/>
      </w:r>
    </w:p>
    <w:p w14:paraId="5334EA4F">
      <w:pPr>
        <w:pStyle w:val="21"/>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_Toc27930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7.4  签订合同</w:t>
      </w:r>
      <w:r>
        <w:rPr>
          <w:color w:val="auto"/>
        </w:rPr>
        <w:tab/>
      </w:r>
      <w:r>
        <w:rPr>
          <w:color w:val="auto"/>
        </w:rPr>
        <w:fldChar w:fldCharType="begin"/>
      </w:r>
      <w:r>
        <w:rPr>
          <w:color w:val="auto"/>
        </w:rPr>
        <w:instrText xml:space="preserve"> PAGEREF _Toc27930 \h </w:instrText>
      </w:r>
      <w:r>
        <w:rPr>
          <w:color w:val="auto"/>
        </w:rPr>
        <w:fldChar w:fldCharType="separate"/>
      </w:r>
      <w:r>
        <w:rPr>
          <w:color w:val="auto"/>
        </w:rPr>
        <w:t>10</w:t>
      </w:r>
      <w:r>
        <w:rPr>
          <w:color w:val="auto"/>
        </w:rPr>
        <w:fldChar w:fldCharType="end"/>
      </w:r>
      <w:r>
        <w:rPr>
          <w:rFonts w:hint="eastAsia" w:ascii="宋体" w:hAnsi="宋体" w:eastAsia="宋体" w:cs="宋体"/>
          <w:color w:val="auto"/>
          <w:szCs w:val="28"/>
        </w:rPr>
        <w:fldChar w:fldCharType="end"/>
      </w:r>
    </w:p>
    <w:p w14:paraId="78ECC222">
      <w:pPr>
        <w:pStyle w:val="21"/>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_Toc13567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8. 重新招标和不再招标</w:t>
      </w:r>
      <w:r>
        <w:rPr>
          <w:color w:val="auto"/>
        </w:rPr>
        <w:tab/>
      </w:r>
      <w:r>
        <w:rPr>
          <w:color w:val="auto"/>
        </w:rPr>
        <w:fldChar w:fldCharType="begin"/>
      </w:r>
      <w:r>
        <w:rPr>
          <w:color w:val="auto"/>
        </w:rPr>
        <w:instrText xml:space="preserve"> PAGEREF _Toc13567 \h </w:instrText>
      </w:r>
      <w:r>
        <w:rPr>
          <w:color w:val="auto"/>
        </w:rPr>
        <w:fldChar w:fldCharType="separate"/>
      </w:r>
      <w:r>
        <w:rPr>
          <w:color w:val="auto"/>
        </w:rPr>
        <w:t>10</w:t>
      </w:r>
      <w:r>
        <w:rPr>
          <w:color w:val="auto"/>
        </w:rPr>
        <w:fldChar w:fldCharType="end"/>
      </w:r>
      <w:r>
        <w:rPr>
          <w:rFonts w:hint="eastAsia" w:ascii="宋体" w:hAnsi="宋体" w:eastAsia="宋体" w:cs="宋体"/>
          <w:color w:val="auto"/>
          <w:szCs w:val="28"/>
        </w:rPr>
        <w:fldChar w:fldCharType="end"/>
      </w:r>
    </w:p>
    <w:p w14:paraId="7CF97250">
      <w:pPr>
        <w:pStyle w:val="21"/>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_Toc25790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9. 纪律和监督</w:t>
      </w:r>
      <w:r>
        <w:rPr>
          <w:color w:val="auto"/>
        </w:rPr>
        <w:tab/>
      </w:r>
      <w:r>
        <w:rPr>
          <w:color w:val="auto"/>
        </w:rPr>
        <w:fldChar w:fldCharType="begin"/>
      </w:r>
      <w:r>
        <w:rPr>
          <w:color w:val="auto"/>
        </w:rPr>
        <w:instrText xml:space="preserve"> PAGEREF _Toc25790 \h </w:instrText>
      </w:r>
      <w:r>
        <w:rPr>
          <w:color w:val="auto"/>
        </w:rPr>
        <w:fldChar w:fldCharType="separate"/>
      </w:r>
      <w:r>
        <w:rPr>
          <w:color w:val="auto"/>
        </w:rPr>
        <w:t>10</w:t>
      </w:r>
      <w:r>
        <w:rPr>
          <w:color w:val="auto"/>
        </w:rPr>
        <w:fldChar w:fldCharType="end"/>
      </w:r>
      <w:r>
        <w:rPr>
          <w:rFonts w:hint="eastAsia" w:ascii="宋体" w:hAnsi="宋体" w:eastAsia="宋体" w:cs="宋体"/>
          <w:color w:val="auto"/>
          <w:szCs w:val="28"/>
        </w:rPr>
        <w:fldChar w:fldCharType="end"/>
      </w:r>
    </w:p>
    <w:p w14:paraId="018264CA">
      <w:pPr>
        <w:pStyle w:val="21"/>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_Toc17130 </w:instrText>
      </w:r>
      <w:r>
        <w:rPr>
          <w:rFonts w:hint="eastAsia" w:ascii="宋体" w:hAnsi="宋体" w:eastAsia="宋体" w:cs="宋体"/>
          <w:color w:val="auto"/>
          <w:szCs w:val="28"/>
        </w:rPr>
        <w:fldChar w:fldCharType="separate"/>
      </w:r>
      <w:r>
        <w:rPr>
          <w:rFonts w:hint="eastAsia" w:ascii="宋体" w:hAnsi="宋体" w:eastAsia="宋体" w:cs="宋体"/>
          <w:bCs/>
          <w:color w:val="auto"/>
          <w:szCs w:val="32"/>
        </w:rPr>
        <w:t xml:space="preserve">第三章 </w:t>
      </w:r>
      <w:r>
        <w:rPr>
          <w:rFonts w:hint="eastAsia" w:ascii="宋体" w:hAnsi="宋体" w:eastAsia="宋体" w:cs="宋体"/>
          <w:color w:val="auto"/>
          <w:szCs w:val="32"/>
        </w:rPr>
        <w:t>评标办法</w:t>
      </w:r>
      <w:r>
        <w:rPr>
          <w:color w:val="auto"/>
        </w:rPr>
        <w:tab/>
      </w:r>
      <w:r>
        <w:rPr>
          <w:color w:val="auto"/>
        </w:rPr>
        <w:fldChar w:fldCharType="begin"/>
      </w:r>
      <w:r>
        <w:rPr>
          <w:color w:val="auto"/>
        </w:rPr>
        <w:instrText xml:space="preserve"> PAGEREF _Toc17130 \h </w:instrText>
      </w:r>
      <w:r>
        <w:rPr>
          <w:color w:val="auto"/>
        </w:rPr>
        <w:fldChar w:fldCharType="separate"/>
      </w:r>
      <w:r>
        <w:rPr>
          <w:color w:val="auto"/>
        </w:rPr>
        <w:t>11</w:t>
      </w:r>
      <w:r>
        <w:rPr>
          <w:color w:val="auto"/>
        </w:rPr>
        <w:fldChar w:fldCharType="end"/>
      </w:r>
      <w:r>
        <w:rPr>
          <w:rFonts w:hint="eastAsia" w:ascii="宋体" w:hAnsi="宋体" w:eastAsia="宋体" w:cs="宋体"/>
          <w:color w:val="auto"/>
          <w:szCs w:val="28"/>
        </w:rPr>
        <w:fldChar w:fldCharType="end"/>
      </w:r>
    </w:p>
    <w:p w14:paraId="4D27A3F5">
      <w:pPr>
        <w:pStyle w:val="21"/>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_Toc5405 </w:instrText>
      </w:r>
      <w:r>
        <w:rPr>
          <w:rFonts w:hint="eastAsia" w:ascii="宋体" w:hAnsi="宋体" w:eastAsia="宋体" w:cs="宋体"/>
          <w:color w:val="auto"/>
          <w:szCs w:val="28"/>
        </w:rPr>
        <w:fldChar w:fldCharType="separate"/>
      </w:r>
      <w:r>
        <w:rPr>
          <w:rFonts w:hint="eastAsia" w:ascii="宋体" w:hAnsi="宋体" w:eastAsia="宋体" w:cs="宋体"/>
          <w:color w:val="auto"/>
          <w:szCs w:val="24"/>
        </w:rPr>
        <w:t>1、评标原则</w:t>
      </w:r>
      <w:r>
        <w:rPr>
          <w:color w:val="auto"/>
        </w:rPr>
        <w:tab/>
      </w:r>
      <w:r>
        <w:rPr>
          <w:color w:val="auto"/>
        </w:rPr>
        <w:fldChar w:fldCharType="begin"/>
      </w:r>
      <w:r>
        <w:rPr>
          <w:color w:val="auto"/>
        </w:rPr>
        <w:instrText xml:space="preserve"> PAGEREF _Toc5405 \h </w:instrText>
      </w:r>
      <w:r>
        <w:rPr>
          <w:color w:val="auto"/>
        </w:rPr>
        <w:fldChar w:fldCharType="separate"/>
      </w:r>
      <w:r>
        <w:rPr>
          <w:color w:val="auto"/>
        </w:rPr>
        <w:t>11</w:t>
      </w:r>
      <w:r>
        <w:rPr>
          <w:color w:val="auto"/>
        </w:rPr>
        <w:fldChar w:fldCharType="end"/>
      </w:r>
      <w:r>
        <w:rPr>
          <w:rFonts w:hint="eastAsia" w:ascii="宋体" w:hAnsi="宋体" w:eastAsia="宋体" w:cs="宋体"/>
          <w:color w:val="auto"/>
          <w:szCs w:val="28"/>
        </w:rPr>
        <w:fldChar w:fldCharType="end"/>
      </w:r>
    </w:p>
    <w:p w14:paraId="2278EE14">
      <w:pPr>
        <w:pStyle w:val="21"/>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_Toc31120 </w:instrText>
      </w:r>
      <w:r>
        <w:rPr>
          <w:rFonts w:hint="eastAsia" w:ascii="宋体" w:hAnsi="宋体" w:eastAsia="宋体" w:cs="宋体"/>
          <w:color w:val="auto"/>
          <w:szCs w:val="28"/>
        </w:rPr>
        <w:fldChar w:fldCharType="separate"/>
      </w:r>
      <w:r>
        <w:rPr>
          <w:rFonts w:hint="eastAsia" w:ascii="宋体" w:hAnsi="宋体" w:eastAsia="宋体" w:cs="宋体"/>
          <w:color w:val="auto"/>
          <w:szCs w:val="24"/>
        </w:rPr>
        <w:t>2、初步评审</w:t>
      </w:r>
      <w:r>
        <w:rPr>
          <w:color w:val="auto"/>
        </w:rPr>
        <w:tab/>
      </w:r>
      <w:r>
        <w:rPr>
          <w:color w:val="auto"/>
        </w:rPr>
        <w:fldChar w:fldCharType="begin"/>
      </w:r>
      <w:r>
        <w:rPr>
          <w:color w:val="auto"/>
        </w:rPr>
        <w:instrText xml:space="preserve"> PAGEREF _Toc31120 \h </w:instrText>
      </w:r>
      <w:r>
        <w:rPr>
          <w:color w:val="auto"/>
        </w:rPr>
        <w:fldChar w:fldCharType="separate"/>
      </w:r>
      <w:r>
        <w:rPr>
          <w:color w:val="auto"/>
        </w:rPr>
        <w:t>11</w:t>
      </w:r>
      <w:r>
        <w:rPr>
          <w:color w:val="auto"/>
        </w:rPr>
        <w:fldChar w:fldCharType="end"/>
      </w:r>
      <w:r>
        <w:rPr>
          <w:rFonts w:hint="eastAsia" w:ascii="宋体" w:hAnsi="宋体" w:eastAsia="宋体" w:cs="宋体"/>
          <w:color w:val="auto"/>
          <w:szCs w:val="28"/>
        </w:rPr>
        <w:fldChar w:fldCharType="end"/>
      </w:r>
    </w:p>
    <w:p w14:paraId="3640B15E">
      <w:pPr>
        <w:pStyle w:val="21"/>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_Toc6019 </w:instrText>
      </w:r>
      <w:r>
        <w:rPr>
          <w:rFonts w:hint="eastAsia" w:ascii="宋体" w:hAnsi="宋体" w:eastAsia="宋体" w:cs="宋体"/>
          <w:color w:val="auto"/>
          <w:szCs w:val="28"/>
        </w:rPr>
        <w:fldChar w:fldCharType="separate"/>
      </w:r>
      <w:r>
        <w:rPr>
          <w:rFonts w:hint="eastAsia" w:ascii="宋体" w:hAnsi="宋体" w:eastAsia="宋体" w:cs="宋体"/>
          <w:color w:val="auto"/>
          <w:szCs w:val="24"/>
        </w:rPr>
        <w:t>3、详细评审</w:t>
      </w:r>
      <w:r>
        <w:rPr>
          <w:color w:val="auto"/>
        </w:rPr>
        <w:tab/>
      </w:r>
      <w:r>
        <w:rPr>
          <w:rFonts w:hint="eastAsia"/>
          <w:color w:val="auto"/>
          <w:lang w:val="en-US" w:eastAsia="zh-CN"/>
        </w:rPr>
        <w:t>13</w:t>
      </w:r>
      <w:r>
        <w:rPr>
          <w:rFonts w:hint="eastAsia" w:ascii="宋体" w:hAnsi="宋体" w:eastAsia="宋体" w:cs="宋体"/>
          <w:color w:val="auto"/>
          <w:szCs w:val="28"/>
        </w:rPr>
        <w:fldChar w:fldCharType="end"/>
      </w:r>
    </w:p>
    <w:p w14:paraId="7BECA8DB">
      <w:pPr>
        <w:pStyle w:val="21"/>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_Toc1657 </w:instrText>
      </w:r>
      <w:r>
        <w:rPr>
          <w:rFonts w:hint="eastAsia" w:ascii="宋体" w:hAnsi="宋体" w:eastAsia="宋体" w:cs="宋体"/>
          <w:color w:val="auto"/>
          <w:szCs w:val="28"/>
        </w:rPr>
        <w:fldChar w:fldCharType="separate"/>
      </w:r>
      <w:r>
        <w:rPr>
          <w:rFonts w:hint="eastAsia" w:ascii="宋体" w:hAnsi="宋体" w:eastAsia="宋体" w:cs="宋体"/>
          <w:color w:val="auto"/>
        </w:rPr>
        <w:t xml:space="preserve">4、 </w:t>
      </w:r>
      <w:r>
        <w:rPr>
          <w:rFonts w:hint="eastAsia" w:ascii="宋体" w:hAnsi="宋体" w:eastAsia="宋体" w:cs="宋体"/>
          <w:color w:val="auto"/>
          <w:szCs w:val="24"/>
        </w:rPr>
        <w:t>评审评分标准</w:t>
      </w:r>
      <w:r>
        <w:rPr>
          <w:color w:val="auto"/>
        </w:rPr>
        <w:tab/>
      </w:r>
      <w:r>
        <w:rPr>
          <w:color w:val="auto"/>
        </w:rPr>
        <w:fldChar w:fldCharType="begin"/>
      </w:r>
      <w:r>
        <w:rPr>
          <w:color w:val="auto"/>
        </w:rPr>
        <w:instrText xml:space="preserve"> PAGEREF _Toc1657 \h </w:instrText>
      </w:r>
      <w:r>
        <w:rPr>
          <w:color w:val="auto"/>
        </w:rPr>
        <w:fldChar w:fldCharType="separate"/>
      </w:r>
      <w:r>
        <w:rPr>
          <w:color w:val="auto"/>
        </w:rPr>
        <w:t>12</w:t>
      </w:r>
      <w:r>
        <w:rPr>
          <w:color w:val="auto"/>
        </w:rPr>
        <w:fldChar w:fldCharType="end"/>
      </w:r>
      <w:r>
        <w:rPr>
          <w:rFonts w:hint="eastAsia" w:ascii="宋体" w:hAnsi="宋体" w:eastAsia="宋体" w:cs="宋体"/>
          <w:color w:val="auto"/>
          <w:szCs w:val="28"/>
        </w:rPr>
        <w:fldChar w:fldCharType="end"/>
      </w:r>
    </w:p>
    <w:p w14:paraId="38AFE297">
      <w:pPr>
        <w:pStyle w:val="21"/>
        <w:tabs>
          <w:tab w:val="right" w:leader="dot" w:pos="9412"/>
        </w:tabs>
        <w:rPr>
          <w:rFonts w:hint="eastAsia" w:eastAsia="宋体"/>
          <w:color w:val="auto"/>
          <w:lang w:val="en-US" w:eastAsia="zh-CN"/>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_Toc7961 </w:instrText>
      </w:r>
      <w:r>
        <w:rPr>
          <w:rFonts w:hint="eastAsia" w:ascii="宋体" w:hAnsi="宋体" w:eastAsia="宋体" w:cs="宋体"/>
          <w:color w:val="auto"/>
          <w:szCs w:val="28"/>
        </w:rPr>
        <w:fldChar w:fldCharType="separate"/>
      </w:r>
      <w:r>
        <w:rPr>
          <w:rFonts w:hint="eastAsia" w:ascii="宋体" w:hAnsi="宋体" w:eastAsia="宋体" w:cs="宋体"/>
          <w:color w:val="auto"/>
          <w:kern w:val="0"/>
          <w:lang w:val="en-US" w:eastAsia="zh-CN" w:bidi="ar-SA"/>
        </w:rPr>
        <w:t>5、</w:t>
      </w:r>
      <w:r>
        <w:rPr>
          <w:rFonts w:hint="eastAsia" w:ascii="宋体" w:hAnsi="宋体" w:eastAsia="宋体" w:cs="宋体"/>
          <w:color w:val="auto"/>
          <w:szCs w:val="24"/>
        </w:rPr>
        <w:t>评标报告</w:t>
      </w:r>
      <w:r>
        <w:rPr>
          <w:color w:val="auto"/>
        </w:rPr>
        <w:tab/>
      </w:r>
      <w:r>
        <w:rPr>
          <w:rFonts w:hint="eastAsia"/>
          <w:color w:val="auto"/>
          <w:lang w:val="en-US" w:eastAsia="zh-CN"/>
        </w:rPr>
        <w:t>1</w:t>
      </w:r>
      <w:r>
        <w:rPr>
          <w:rFonts w:hint="eastAsia" w:ascii="宋体" w:hAnsi="宋体" w:eastAsia="宋体" w:cs="宋体"/>
          <w:color w:val="auto"/>
          <w:szCs w:val="28"/>
        </w:rPr>
        <w:fldChar w:fldCharType="end"/>
      </w:r>
      <w:r>
        <w:rPr>
          <w:rFonts w:hint="eastAsia" w:ascii="宋体" w:hAnsi="宋体" w:cs="宋体"/>
          <w:color w:val="auto"/>
          <w:szCs w:val="28"/>
          <w:lang w:val="en-US" w:eastAsia="zh-CN"/>
        </w:rPr>
        <w:t>4</w:t>
      </w:r>
    </w:p>
    <w:p w14:paraId="0723B4A0">
      <w:pPr>
        <w:pStyle w:val="21"/>
        <w:tabs>
          <w:tab w:val="right" w:leader="dot" w:pos="9412"/>
        </w:tabs>
        <w:rPr>
          <w:rFonts w:hint="eastAsia" w:eastAsia="宋体"/>
          <w:color w:val="auto"/>
          <w:lang w:val="en-US" w:eastAsia="zh-CN"/>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_Toc9441 </w:instrText>
      </w:r>
      <w:r>
        <w:rPr>
          <w:rFonts w:hint="eastAsia" w:ascii="宋体" w:hAnsi="宋体" w:eastAsia="宋体" w:cs="宋体"/>
          <w:color w:val="auto"/>
          <w:szCs w:val="28"/>
        </w:rPr>
        <w:fldChar w:fldCharType="separate"/>
      </w:r>
      <w:r>
        <w:rPr>
          <w:rFonts w:hint="eastAsia" w:ascii="宋体" w:hAnsi="宋体" w:eastAsia="宋体" w:cs="宋体"/>
          <w:color w:val="auto"/>
          <w:szCs w:val="24"/>
        </w:rPr>
        <w:t>6、评标保密</w:t>
      </w:r>
      <w:r>
        <w:rPr>
          <w:color w:val="auto"/>
        </w:rPr>
        <w:tab/>
      </w:r>
      <w:r>
        <w:rPr>
          <w:rFonts w:hint="eastAsia"/>
          <w:color w:val="auto"/>
          <w:lang w:val="en-US" w:eastAsia="zh-CN"/>
        </w:rPr>
        <w:t>1</w:t>
      </w:r>
      <w:r>
        <w:rPr>
          <w:rFonts w:hint="eastAsia" w:ascii="宋体" w:hAnsi="宋体" w:eastAsia="宋体" w:cs="宋体"/>
          <w:color w:val="auto"/>
          <w:szCs w:val="28"/>
        </w:rPr>
        <w:fldChar w:fldCharType="end"/>
      </w:r>
      <w:r>
        <w:rPr>
          <w:rFonts w:hint="eastAsia" w:ascii="宋体" w:hAnsi="宋体" w:cs="宋体"/>
          <w:color w:val="auto"/>
          <w:szCs w:val="28"/>
          <w:lang w:val="en-US" w:eastAsia="zh-CN"/>
        </w:rPr>
        <w:t>4</w:t>
      </w:r>
    </w:p>
    <w:p w14:paraId="70D31AFA">
      <w:pPr>
        <w:pStyle w:val="21"/>
        <w:tabs>
          <w:tab w:val="right" w:leader="dot" w:pos="9412"/>
        </w:tabs>
        <w:rPr>
          <w:rFonts w:hint="eastAsia" w:eastAsia="宋体"/>
          <w:color w:val="auto"/>
          <w:lang w:val="en-US" w:eastAsia="zh-CN"/>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_Toc14076 </w:instrText>
      </w:r>
      <w:r>
        <w:rPr>
          <w:rFonts w:hint="eastAsia" w:ascii="宋体" w:hAnsi="宋体" w:eastAsia="宋体" w:cs="宋体"/>
          <w:color w:val="auto"/>
          <w:szCs w:val="28"/>
        </w:rPr>
        <w:fldChar w:fldCharType="separate"/>
      </w:r>
      <w:r>
        <w:rPr>
          <w:rFonts w:hint="eastAsia" w:ascii="宋体" w:hAnsi="宋体" w:eastAsia="宋体" w:cs="宋体"/>
          <w:color w:val="auto"/>
          <w:kern w:val="2"/>
          <w:szCs w:val="44"/>
          <w:lang w:val="en-US" w:eastAsia="zh-CN" w:bidi="ar-SA"/>
        </w:rPr>
        <w:t xml:space="preserve">第四章 </w:t>
      </w:r>
      <w:r>
        <w:rPr>
          <w:rFonts w:hint="eastAsia" w:ascii="宋体" w:hAnsi="宋体" w:eastAsia="宋体" w:cs="宋体"/>
          <w:color w:val="auto"/>
          <w:kern w:val="2"/>
          <w:szCs w:val="44"/>
        </w:rPr>
        <w:t>合同条款及格式</w:t>
      </w:r>
      <w:r>
        <w:rPr>
          <w:color w:val="auto"/>
        </w:rPr>
        <w:tab/>
      </w:r>
      <w:r>
        <w:rPr>
          <w:rFonts w:hint="eastAsia"/>
          <w:color w:val="auto"/>
          <w:lang w:val="en-US" w:eastAsia="zh-CN"/>
        </w:rPr>
        <w:t>1</w:t>
      </w:r>
      <w:r>
        <w:rPr>
          <w:rFonts w:hint="eastAsia" w:ascii="宋体" w:hAnsi="宋体" w:eastAsia="宋体" w:cs="宋体"/>
          <w:color w:val="auto"/>
          <w:szCs w:val="28"/>
        </w:rPr>
        <w:fldChar w:fldCharType="end"/>
      </w:r>
      <w:r>
        <w:rPr>
          <w:rFonts w:hint="eastAsia" w:ascii="宋体" w:hAnsi="宋体" w:cs="宋体"/>
          <w:color w:val="auto"/>
          <w:szCs w:val="28"/>
          <w:lang w:val="en-US" w:eastAsia="zh-CN"/>
        </w:rPr>
        <w:t>5</w:t>
      </w:r>
    </w:p>
    <w:p w14:paraId="648B4B2F">
      <w:pPr>
        <w:pStyle w:val="21"/>
        <w:tabs>
          <w:tab w:val="right" w:leader="dot" w:pos="9412"/>
        </w:tabs>
        <w:rPr>
          <w:rFonts w:hint="default" w:eastAsia="宋体"/>
          <w:color w:val="auto"/>
          <w:lang w:val="en-US" w:eastAsia="zh-CN"/>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_Toc19311 </w:instrText>
      </w:r>
      <w:r>
        <w:rPr>
          <w:rFonts w:hint="eastAsia" w:ascii="宋体" w:hAnsi="宋体" w:eastAsia="宋体" w:cs="宋体"/>
          <w:color w:val="auto"/>
          <w:szCs w:val="28"/>
        </w:rPr>
        <w:fldChar w:fldCharType="separate"/>
      </w:r>
      <w:r>
        <w:rPr>
          <w:rFonts w:hint="eastAsia" w:ascii="宋体" w:hAnsi="宋体" w:eastAsia="宋体" w:cs="宋体"/>
          <w:bCs/>
          <w:color w:val="auto"/>
          <w:szCs w:val="36"/>
        </w:rPr>
        <w:t>第五章 技术要求</w:t>
      </w:r>
      <w:r>
        <w:rPr>
          <w:color w:val="auto"/>
        </w:rPr>
        <w:tab/>
      </w:r>
      <w:r>
        <w:rPr>
          <w:rFonts w:hint="eastAsia" w:ascii="宋体" w:hAnsi="宋体" w:eastAsia="宋体" w:cs="宋体"/>
          <w:color w:val="auto"/>
          <w:szCs w:val="28"/>
        </w:rPr>
        <w:fldChar w:fldCharType="end"/>
      </w:r>
      <w:r>
        <w:rPr>
          <w:rFonts w:hint="eastAsia" w:ascii="宋体" w:hAnsi="宋体" w:cs="宋体"/>
          <w:color w:val="auto"/>
          <w:szCs w:val="28"/>
          <w:lang w:val="en-US" w:eastAsia="zh-CN"/>
        </w:rPr>
        <w:t>73</w:t>
      </w:r>
    </w:p>
    <w:p w14:paraId="7F576B24">
      <w:pPr>
        <w:pStyle w:val="21"/>
        <w:tabs>
          <w:tab w:val="right" w:leader="dot" w:pos="9412"/>
        </w:tabs>
        <w:rPr>
          <w:rFonts w:hint="eastAsia" w:eastAsia="宋体"/>
          <w:color w:val="auto"/>
          <w:lang w:val="en-US" w:eastAsia="zh-CN"/>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_Toc18203 </w:instrText>
      </w:r>
      <w:r>
        <w:rPr>
          <w:rFonts w:hint="eastAsia" w:ascii="宋体" w:hAnsi="宋体" w:eastAsia="宋体" w:cs="宋体"/>
          <w:color w:val="auto"/>
          <w:szCs w:val="28"/>
        </w:rPr>
        <w:fldChar w:fldCharType="separate"/>
      </w:r>
      <w:r>
        <w:rPr>
          <w:rFonts w:hint="eastAsia" w:ascii="宋体" w:hAnsi="宋体" w:eastAsia="宋体" w:cs="宋体"/>
          <w:bCs/>
          <w:color w:val="auto"/>
          <w:szCs w:val="36"/>
        </w:rPr>
        <w:t>第六章 商务需求</w:t>
      </w:r>
      <w:r>
        <w:rPr>
          <w:color w:val="auto"/>
        </w:rPr>
        <w:tab/>
      </w:r>
      <w:r>
        <w:rPr>
          <w:rFonts w:hint="eastAsia"/>
          <w:color w:val="auto"/>
          <w:lang w:val="en-US" w:eastAsia="zh-CN"/>
        </w:rPr>
        <w:t>7</w:t>
      </w:r>
      <w:r>
        <w:rPr>
          <w:rFonts w:hint="eastAsia" w:ascii="宋体" w:hAnsi="宋体" w:eastAsia="宋体" w:cs="宋体"/>
          <w:color w:val="auto"/>
          <w:szCs w:val="28"/>
        </w:rPr>
        <w:fldChar w:fldCharType="end"/>
      </w:r>
      <w:r>
        <w:rPr>
          <w:rFonts w:hint="eastAsia" w:ascii="宋体" w:hAnsi="宋体" w:cs="宋体"/>
          <w:color w:val="auto"/>
          <w:szCs w:val="28"/>
          <w:lang w:val="en-US" w:eastAsia="zh-CN"/>
        </w:rPr>
        <w:t>4</w:t>
      </w:r>
    </w:p>
    <w:p w14:paraId="719A8B6F">
      <w:pPr>
        <w:pStyle w:val="21"/>
        <w:tabs>
          <w:tab w:val="right" w:leader="dot" w:pos="9412"/>
        </w:tabs>
        <w:rPr>
          <w:rFonts w:hint="eastAsia" w:eastAsia="宋体"/>
          <w:color w:val="auto"/>
          <w:lang w:val="en-US" w:eastAsia="zh-CN"/>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_Toc4589 </w:instrText>
      </w:r>
      <w:r>
        <w:rPr>
          <w:rFonts w:hint="eastAsia" w:ascii="宋体" w:hAnsi="宋体" w:eastAsia="宋体" w:cs="宋体"/>
          <w:color w:val="auto"/>
          <w:szCs w:val="28"/>
        </w:rPr>
        <w:fldChar w:fldCharType="separate"/>
      </w:r>
      <w:r>
        <w:rPr>
          <w:rFonts w:hint="eastAsia" w:ascii="宋体" w:hAnsi="宋体" w:eastAsia="宋体" w:cs="宋体"/>
          <w:bCs/>
          <w:color w:val="auto"/>
          <w:szCs w:val="52"/>
        </w:rPr>
        <w:t xml:space="preserve">第七章 </w:t>
      </w:r>
      <w:r>
        <w:rPr>
          <w:rFonts w:hint="eastAsia" w:ascii="宋体" w:hAnsi="宋体" w:eastAsia="宋体" w:cs="宋体"/>
          <w:color w:val="auto"/>
          <w:szCs w:val="52"/>
        </w:rPr>
        <w:t>投标文件格式</w:t>
      </w:r>
      <w:r>
        <w:rPr>
          <w:color w:val="auto"/>
        </w:rPr>
        <w:tab/>
      </w:r>
      <w:r>
        <w:rPr>
          <w:rFonts w:hint="eastAsia"/>
          <w:color w:val="auto"/>
          <w:lang w:val="en-US" w:eastAsia="zh-CN"/>
        </w:rPr>
        <w:t>7</w:t>
      </w:r>
      <w:r>
        <w:rPr>
          <w:rFonts w:hint="eastAsia" w:ascii="宋体" w:hAnsi="宋体" w:eastAsia="宋体" w:cs="宋体"/>
          <w:color w:val="auto"/>
          <w:szCs w:val="28"/>
        </w:rPr>
        <w:fldChar w:fldCharType="end"/>
      </w:r>
      <w:r>
        <w:rPr>
          <w:rFonts w:hint="eastAsia" w:ascii="宋体" w:hAnsi="宋体" w:cs="宋体"/>
          <w:color w:val="auto"/>
          <w:szCs w:val="28"/>
          <w:lang w:val="en-US" w:eastAsia="zh-CN"/>
        </w:rPr>
        <w:t>5</w:t>
      </w:r>
    </w:p>
    <w:p w14:paraId="773635A8">
      <w:pPr>
        <w:pStyle w:val="5"/>
        <w:spacing w:before="0" w:after="240" w:afterLines="100" w:line="360" w:lineRule="auto"/>
        <w:rPr>
          <w:rFonts w:hint="eastAsia" w:ascii="宋体" w:hAnsi="宋体" w:eastAsia="宋体" w:cs="宋体"/>
          <w:color w:val="auto"/>
          <w:sz w:val="32"/>
          <w:szCs w:val="32"/>
        </w:rPr>
      </w:pPr>
      <w:r>
        <w:rPr>
          <w:rFonts w:hint="eastAsia" w:ascii="宋体" w:hAnsi="宋体" w:eastAsia="宋体" w:cs="宋体"/>
          <w:color w:val="auto"/>
          <w:szCs w:val="28"/>
        </w:rPr>
        <w:fldChar w:fldCharType="end"/>
      </w:r>
      <w:r>
        <w:rPr>
          <w:rFonts w:hint="eastAsia" w:ascii="宋体" w:hAnsi="宋体" w:eastAsia="宋体" w:cs="宋体"/>
          <w:b w:val="0"/>
          <w:color w:val="auto"/>
          <w:kern w:val="2"/>
          <w:sz w:val="28"/>
          <w:szCs w:val="28"/>
        </w:rPr>
        <w:br w:type="page"/>
      </w:r>
      <w:bookmarkStart w:id="6" w:name="_Toc428172715"/>
      <w:bookmarkStart w:id="7" w:name="_Toc419977252"/>
      <w:bookmarkStart w:id="8" w:name="_Toc430184662"/>
      <w:bookmarkStart w:id="9" w:name="_Toc428518711"/>
      <w:bookmarkStart w:id="10" w:name="_Toc430185946"/>
      <w:bookmarkStart w:id="11" w:name="_Toc86934185"/>
      <w:r>
        <w:rPr>
          <w:rFonts w:hint="eastAsia" w:ascii="宋体" w:hAnsi="宋体" w:eastAsia="宋体" w:cs="宋体"/>
          <w:b w:val="0"/>
          <w:color w:val="auto"/>
          <w:kern w:val="2"/>
          <w:sz w:val="28"/>
          <w:szCs w:val="28"/>
        </w:rPr>
        <w:t xml:space="preserve">                     </w:t>
      </w:r>
      <w:bookmarkStart w:id="12" w:name="_Toc24504"/>
      <w:r>
        <w:rPr>
          <w:rStyle w:val="59"/>
          <w:rFonts w:hint="eastAsia" w:ascii="宋体" w:hAnsi="宋体" w:eastAsia="宋体" w:cs="宋体"/>
          <w:color w:val="auto"/>
          <w:sz w:val="32"/>
          <w:szCs w:val="32"/>
        </w:rPr>
        <w:t xml:space="preserve">第一章  </w:t>
      </w:r>
      <w:bookmarkEnd w:id="0"/>
      <w:bookmarkEnd w:id="1"/>
      <w:bookmarkEnd w:id="2"/>
      <w:bookmarkEnd w:id="5"/>
      <w:bookmarkEnd w:id="6"/>
      <w:bookmarkEnd w:id="7"/>
      <w:bookmarkEnd w:id="8"/>
      <w:bookmarkEnd w:id="9"/>
      <w:bookmarkEnd w:id="10"/>
      <w:r>
        <w:rPr>
          <w:rStyle w:val="59"/>
          <w:rFonts w:hint="eastAsia" w:ascii="宋体" w:hAnsi="宋体" w:eastAsia="宋体" w:cs="宋体"/>
          <w:color w:val="auto"/>
          <w:sz w:val="32"/>
          <w:szCs w:val="32"/>
        </w:rPr>
        <w:t>比选公告</w:t>
      </w:r>
      <w:bookmarkEnd w:id="11"/>
      <w:bookmarkEnd w:id="12"/>
    </w:p>
    <w:p w14:paraId="6B21D0E0">
      <w:pPr>
        <w:autoSpaceDE w:val="0"/>
        <w:autoSpaceDN w:val="0"/>
        <w:adjustRightInd w:val="0"/>
        <w:snapToGrid w:val="0"/>
        <w:spacing w:line="360" w:lineRule="auto"/>
        <w:jc w:val="center"/>
        <w:rPr>
          <w:rFonts w:hint="eastAsia" w:ascii="宋体" w:hAnsi="宋体" w:eastAsia="宋体" w:cs="宋体"/>
          <w:b/>
          <w:color w:val="auto"/>
          <w:kern w:val="0"/>
          <w:sz w:val="30"/>
          <w:szCs w:val="30"/>
          <w:lang w:eastAsia="zh-CN"/>
        </w:rPr>
      </w:pPr>
      <w:bookmarkStart w:id="13" w:name="_Toc419977260"/>
      <w:bookmarkStart w:id="14" w:name="_Toc419974234"/>
      <w:bookmarkStart w:id="15" w:name="_Toc338941629"/>
      <w:bookmarkStart w:id="16" w:name="_Toc428518719"/>
      <w:bookmarkStart w:id="17" w:name="_Toc428172723"/>
      <w:bookmarkStart w:id="18" w:name="_Toc419974476"/>
      <w:bookmarkStart w:id="19" w:name="_Toc430185954"/>
      <w:bookmarkStart w:id="20" w:name="_Toc370384623"/>
      <w:bookmarkStart w:id="21" w:name="_Toc430184670"/>
      <w:r>
        <w:rPr>
          <w:rFonts w:hint="eastAsia" w:ascii="宋体" w:hAnsi="宋体" w:cs="宋体"/>
          <w:b/>
          <w:color w:val="auto"/>
          <w:kern w:val="0"/>
          <w:sz w:val="30"/>
          <w:szCs w:val="30"/>
          <w:lang w:eastAsia="zh-CN"/>
        </w:rPr>
        <w:t>大足区高坪镇2025年“四好农村路”新兴村瓦梨路通畅工程</w:t>
      </w:r>
    </w:p>
    <w:p w14:paraId="5BDCE479">
      <w:pPr>
        <w:autoSpaceDE w:val="0"/>
        <w:autoSpaceDN w:val="0"/>
        <w:adjustRightInd w:val="0"/>
        <w:snapToGrid w:val="0"/>
        <w:spacing w:line="360" w:lineRule="auto"/>
        <w:jc w:val="center"/>
        <w:rPr>
          <w:rFonts w:hint="eastAsia" w:ascii="宋体" w:hAnsi="宋体" w:eastAsia="宋体" w:cs="宋体"/>
          <w:b/>
          <w:snapToGrid w:val="0"/>
          <w:color w:val="auto"/>
          <w:w w:val="99"/>
          <w:kern w:val="0"/>
          <w:sz w:val="28"/>
          <w:szCs w:val="28"/>
        </w:rPr>
      </w:pPr>
      <w:r>
        <w:rPr>
          <w:rFonts w:hint="eastAsia" w:ascii="宋体" w:hAnsi="宋体" w:eastAsia="宋体" w:cs="宋体"/>
          <w:b/>
          <w:snapToGrid w:val="0"/>
          <w:color w:val="auto"/>
          <w:w w:val="99"/>
          <w:kern w:val="0"/>
          <w:sz w:val="28"/>
          <w:szCs w:val="28"/>
        </w:rPr>
        <w:t>竞争性比选公告</w:t>
      </w:r>
    </w:p>
    <w:p w14:paraId="0D720F72">
      <w:pPr>
        <w:pStyle w:val="5"/>
        <w:snapToGrid w:val="0"/>
        <w:spacing w:before="0" w:line="360" w:lineRule="auto"/>
        <w:rPr>
          <w:rFonts w:hint="eastAsia" w:ascii="宋体" w:hAnsi="宋体" w:eastAsia="宋体" w:cs="宋体"/>
          <w:snapToGrid w:val="0"/>
          <w:color w:val="auto"/>
          <w:sz w:val="21"/>
          <w:szCs w:val="21"/>
        </w:rPr>
      </w:pPr>
      <w:bookmarkStart w:id="22" w:name="_Toc28965251"/>
      <w:bookmarkStart w:id="23" w:name="_Toc86934186"/>
      <w:bookmarkStart w:id="24" w:name="_Toc19591"/>
      <w:r>
        <w:rPr>
          <w:rFonts w:hint="eastAsia" w:ascii="宋体" w:hAnsi="宋体" w:eastAsia="宋体" w:cs="宋体"/>
          <w:snapToGrid w:val="0"/>
          <w:color w:val="auto"/>
          <w:sz w:val="21"/>
          <w:szCs w:val="21"/>
        </w:rPr>
        <w:t>1. 比选条件</w:t>
      </w:r>
      <w:bookmarkEnd w:id="22"/>
      <w:bookmarkEnd w:id="23"/>
      <w:bookmarkEnd w:id="24"/>
    </w:p>
    <w:p w14:paraId="4916F255">
      <w:pPr>
        <w:spacing w:line="360" w:lineRule="auto"/>
        <w:ind w:firstLine="420" w:firstLineChars="200"/>
        <w:rPr>
          <w:rFonts w:hint="eastAsia" w:ascii="宋体" w:hAnsi="宋体" w:eastAsia="宋体" w:cs="宋体"/>
          <w:color w:val="auto"/>
        </w:rPr>
      </w:pPr>
      <w:bookmarkStart w:id="25" w:name="_Toc440472360"/>
      <w:bookmarkStart w:id="26" w:name="_Toc375038774"/>
      <w:r>
        <w:rPr>
          <w:rFonts w:hint="eastAsia" w:ascii="宋体" w:hAnsi="宋体" w:eastAsia="宋体" w:cs="宋体"/>
          <w:color w:val="auto"/>
        </w:rPr>
        <w:t>本招标项目</w:t>
      </w:r>
      <w:r>
        <w:rPr>
          <w:rFonts w:hint="eastAsia" w:ascii="宋体" w:hAnsi="宋体" w:cs="宋体"/>
          <w:color w:val="auto"/>
          <w:u w:val="single"/>
          <w:lang w:eastAsia="zh-CN"/>
        </w:rPr>
        <w:t>大足区高坪镇2025年“四好农村路”新兴村瓦梨路通畅工程</w:t>
      </w:r>
      <w:r>
        <w:rPr>
          <w:rFonts w:hint="eastAsia" w:ascii="宋体" w:hAnsi="宋体" w:eastAsia="宋体" w:cs="宋体"/>
          <w:color w:val="auto"/>
        </w:rPr>
        <w:t>招标人为</w:t>
      </w:r>
      <w:r>
        <w:rPr>
          <w:rFonts w:hint="eastAsia" w:ascii="宋体" w:hAnsi="宋体" w:cs="宋体"/>
          <w:color w:val="auto"/>
          <w:u w:val="single"/>
          <w:lang w:eastAsia="zh-CN"/>
        </w:rPr>
        <w:t xml:space="preserve">重庆市大足区高坪镇人民政府 </w:t>
      </w:r>
      <w:r>
        <w:rPr>
          <w:rFonts w:hint="eastAsia" w:ascii="宋体" w:hAnsi="宋体" w:eastAsia="宋体" w:cs="宋体"/>
          <w:color w:val="auto"/>
        </w:rPr>
        <w:t>，资金来源为</w:t>
      </w:r>
      <w:r>
        <w:rPr>
          <w:rFonts w:hint="eastAsia" w:ascii="宋体" w:hAnsi="宋体" w:cs="宋体"/>
          <w:color w:val="auto"/>
          <w:u w:val="single"/>
          <w:lang w:val="en-US" w:eastAsia="zh-CN"/>
        </w:rPr>
        <w:t>上级资金及区级财政资金</w:t>
      </w:r>
      <w:r>
        <w:rPr>
          <w:rFonts w:hint="eastAsia" w:ascii="宋体" w:hAnsi="宋体" w:eastAsia="宋体" w:cs="宋体"/>
          <w:color w:val="auto"/>
        </w:rPr>
        <w:t>。</w:t>
      </w:r>
      <w:bookmarkStart w:id="27" w:name="_Toc28965252"/>
      <w:r>
        <w:rPr>
          <w:rFonts w:hint="eastAsia" w:ascii="宋体" w:hAnsi="宋体" w:eastAsia="宋体" w:cs="宋体"/>
          <w:color w:val="auto"/>
        </w:rPr>
        <w:t>项目已具备招标条件，现招标人决定对该项目进行</w:t>
      </w:r>
      <w:r>
        <w:rPr>
          <w:rFonts w:hint="eastAsia" w:ascii="宋体" w:hAnsi="宋体" w:cs="宋体"/>
          <w:color w:val="auto"/>
          <w:lang w:eastAsia="zh-CN"/>
        </w:rPr>
        <w:t>竞争性</w:t>
      </w:r>
      <w:r>
        <w:rPr>
          <w:rFonts w:hint="eastAsia" w:ascii="宋体" w:hAnsi="宋体" w:eastAsia="宋体" w:cs="宋体"/>
          <w:color w:val="auto"/>
        </w:rPr>
        <w:t>比选，特邀请</w:t>
      </w:r>
      <w:r>
        <w:rPr>
          <w:rFonts w:hint="eastAsia" w:ascii="宋体" w:hAnsi="宋体" w:cs="宋体"/>
          <w:color w:val="auto"/>
          <w:lang w:val="en-US" w:eastAsia="zh-CN"/>
        </w:rPr>
        <w:t>各</w:t>
      </w:r>
      <w:r>
        <w:rPr>
          <w:rFonts w:hint="eastAsia" w:ascii="宋体" w:hAnsi="宋体" w:eastAsia="宋体" w:cs="宋体"/>
          <w:color w:val="auto"/>
        </w:rPr>
        <w:t>潜在投标人参与投标。</w:t>
      </w:r>
    </w:p>
    <w:p w14:paraId="0FC945A5">
      <w:pPr>
        <w:pStyle w:val="5"/>
        <w:snapToGrid w:val="0"/>
        <w:spacing w:before="0" w:line="360" w:lineRule="auto"/>
        <w:rPr>
          <w:rFonts w:hint="eastAsia" w:ascii="宋体" w:hAnsi="宋体" w:eastAsia="宋体" w:cs="宋体"/>
          <w:snapToGrid w:val="0"/>
          <w:color w:val="auto"/>
          <w:sz w:val="21"/>
          <w:szCs w:val="21"/>
        </w:rPr>
      </w:pPr>
      <w:bookmarkStart w:id="28" w:name="_Toc5796"/>
      <w:bookmarkStart w:id="29" w:name="_Toc86934187"/>
      <w:r>
        <w:rPr>
          <w:rFonts w:hint="eastAsia" w:ascii="宋体" w:hAnsi="宋体" w:eastAsia="宋体" w:cs="宋体"/>
          <w:snapToGrid w:val="0"/>
          <w:color w:val="auto"/>
          <w:sz w:val="21"/>
          <w:szCs w:val="21"/>
        </w:rPr>
        <w:t>2. 项目概况与比选范围</w:t>
      </w:r>
      <w:bookmarkEnd w:id="25"/>
      <w:bookmarkEnd w:id="26"/>
      <w:bookmarkEnd w:id="27"/>
      <w:bookmarkEnd w:id="28"/>
      <w:bookmarkEnd w:id="29"/>
      <w:bookmarkStart w:id="30" w:name="_Toc375038775"/>
      <w:bookmarkStart w:id="31" w:name="_Toc441046572"/>
      <w:bookmarkStart w:id="32" w:name="_Toc28965253"/>
    </w:p>
    <w:p w14:paraId="65239B4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lang w:val="en-US" w:eastAsia="zh-CN"/>
        </w:rPr>
      </w:pPr>
      <w:r>
        <w:rPr>
          <w:rFonts w:hint="eastAsia" w:ascii="宋体" w:hAnsi="宋体" w:eastAsia="宋体" w:cs="宋体"/>
          <w:color w:val="auto"/>
        </w:rPr>
        <w:t>（1）实施地点：</w:t>
      </w:r>
      <w:r>
        <w:rPr>
          <w:rFonts w:hint="eastAsia" w:ascii="宋体" w:hAnsi="宋体" w:cs="宋体"/>
          <w:color w:val="auto"/>
          <w:u w:val="single"/>
          <w:lang w:val="en-US" w:eastAsia="zh-CN"/>
        </w:rPr>
        <w:t>高坪镇</w:t>
      </w:r>
      <w:r>
        <w:rPr>
          <w:rFonts w:hint="eastAsia" w:ascii="宋体" w:hAnsi="宋体" w:eastAsia="宋体" w:cs="宋体"/>
          <w:color w:val="auto"/>
          <w:u w:val="single"/>
          <w:lang w:eastAsia="zh-CN"/>
        </w:rPr>
        <w:t>新兴村</w:t>
      </w:r>
    </w:p>
    <w:p w14:paraId="715A688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（2）项目名称：</w:t>
      </w:r>
      <w:r>
        <w:rPr>
          <w:rFonts w:hint="eastAsia" w:ascii="宋体" w:hAnsi="宋体" w:cs="宋体"/>
          <w:color w:val="auto"/>
          <w:szCs w:val="21"/>
          <w:u w:val="single"/>
          <w:lang w:val="en-US" w:eastAsia="zh-CN"/>
        </w:rPr>
        <w:t>大足区高坪镇2025年“四好农村路”新兴村瓦梨路通畅工程</w:t>
      </w:r>
      <w:r>
        <w:rPr>
          <w:rFonts w:hint="eastAsia" w:ascii="宋体" w:hAnsi="宋体" w:cs="宋体"/>
          <w:color w:val="auto"/>
          <w:szCs w:val="21"/>
          <w:lang w:val="en-US" w:eastAsia="zh-CN"/>
        </w:rPr>
        <w:t>。</w:t>
      </w:r>
    </w:p>
    <w:p w14:paraId="75D8AB2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u w:val="none"/>
          <w:lang w:val="en-US" w:eastAsia="zh-CN"/>
        </w:rPr>
      </w:pPr>
      <w:r>
        <w:rPr>
          <w:rFonts w:hint="eastAsia" w:ascii="宋体" w:hAnsi="宋体" w:cs="宋体"/>
          <w:color w:val="auto"/>
          <w:szCs w:val="21"/>
          <w:lang w:val="en-US" w:eastAsia="zh-CN"/>
        </w:rPr>
        <w:t>（3）工程内容：</w:t>
      </w:r>
      <w:r>
        <w:rPr>
          <w:rFonts w:hint="eastAsia" w:ascii="宋体" w:hAnsi="宋体" w:cs="宋体"/>
          <w:color w:val="auto"/>
          <w:szCs w:val="21"/>
          <w:u w:val="single"/>
          <w:lang w:val="en-US" w:eastAsia="zh-CN"/>
        </w:rPr>
        <w:t>路线全长共1.5km，由1条主路和2条支路组成，其中主路线长0.955km，其余线路长0.545km，路面宽度为5.0m，路基宽度为5.5m。道路等级为四级公路，改造后路面类型为水泥混凝土路面；主要建设内容包括路基路面、平面交叉及交安设施工程等。具体内容以发包人提供的施工图及工程量清单所示的建设内容为准。</w:t>
      </w:r>
    </w:p>
    <w:p w14:paraId="1D7193C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rPr>
      </w:pPr>
      <w:r>
        <w:rPr>
          <w:rFonts w:hint="eastAsia" w:ascii="宋体" w:hAnsi="宋体" w:cs="宋体"/>
          <w:color w:val="auto"/>
          <w:szCs w:val="21"/>
          <w:lang w:val="en-US" w:eastAsia="zh-CN"/>
        </w:rPr>
        <w:t>（4）招标范围：</w:t>
      </w:r>
      <w:r>
        <w:rPr>
          <w:rFonts w:hint="eastAsia" w:ascii="宋体" w:hAnsi="宋体" w:cs="宋体"/>
          <w:color w:val="auto"/>
          <w:szCs w:val="21"/>
          <w:u w:val="single"/>
          <w:lang w:val="en-US" w:eastAsia="zh-CN"/>
        </w:rPr>
        <w:t>包括所提供的</w:t>
      </w:r>
      <w:r>
        <w:rPr>
          <w:rFonts w:hint="eastAsia" w:ascii="宋体" w:hAnsi="宋体" w:eastAsia="宋体" w:cs="宋体"/>
          <w:color w:val="auto"/>
          <w:szCs w:val="21"/>
          <w:u w:val="single"/>
        </w:rPr>
        <w:t>施工图</w:t>
      </w:r>
      <w:r>
        <w:rPr>
          <w:rFonts w:hint="eastAsia" w:ascii="宋体" w:hAnsi="宋体" w:cs="宋体"/>
          <w:color w:val="auto"/>
          <w:szCs w:val="21"/>
          <w:u w:val="single"/>
          <w:lang w:val="en-US" w:eastAsia="zh-CN"/>
        </w:rPr>
        <w:t>所</w:t>
      </w:r>
      <w:r>
        <w:rPr>
          <w:rFonts w:hint="eastAsia" w:ascii="宋体" w:hAnsi="宋体" w:eastAsia="宋体" w:cs="宋体"/>
          <w:color w:val="auto"/>
          <w:szCs w:val="21"/>
          <w:u w:val="single"/>
        </w:rPr>
        <w:t>示范围内的</w:t>
      </w:r>
      <w:r>
        <w:rPr>
          <w:rFonts w:hint="eastAsia" w:ascii="宋体" w:hAnsi="宋体" w:cs="宋体"/>
          <w:color w:val="auto"/>
          <w:szCs w:val="21"/>
          <w:u w:val="single"/>
          <w:lang w:val="en-US" w:eastAsia="zh-CN"/>
        </w:rPr>
        <w:t>所有</w:t>
      </w:r>
      <w:r>
        <w:rPr>
          <w:rFonts w:hint="eastAsia" w:ascii="宋体" w:hAnsi="宋体" w:eastAsia="宋体" w:cs="宋体"/>
          <w:color w:val="auto"/>
          <w:szCs w:val="21"/>
          <w:u w:val="single"/>
        </w:rPr>
        <w:t>内容，</w:t>
      </w:r>
      <w:r>
        <w:rPr>
          <w:rFonts w:hint="eastAsia" w:ascii="宋体" w:hAnsi="宋体" w:cs="宋体"/>
          <w:color w:val="auto"/>
          <w:szCs w:val="21"/>
          <w:u w:val="single"/>
          <w:lang w:val="en-US" w:eastAsia="zh-CN"/>
        </w:rPr>
        <w:t>具体以</w:t>
      </w:r>
      <w:r>
        <w:rPr>
          <w:rFonts w:hint="eastAsia" w:ascii="宋体" w:hAnsi="宋体" w:eastAsia="宋体" w:cs="宋体"/>
          <w:color w:val="auto"/>
          <w:szCs w:val="21"/>
          <w:u w:val="single"/>
        </w:rPr>
        <w:t>发包人提供的</w:t>
      </w:r>
      <w:r>
        <w:rPr>
          <w:rFonts w:hint="eastAsia" w:ascii="宋体" w:hAnsi="宋体" w:cs="宋体"/>
          <w:color w:val="auto"/>
          <w:szCs w:val="21"/>
          <w:u w:val="single"/>
          <w:lang w:val="en-US" w:eastAsia="zh-CN"/>
        </w:rPr>
        <w:t>图纸、</w:t>
      </w:r>
      <w:r>
        <w:rPr>
          <w:rFonts w:hint="eastAsia" w:ascii="宋体" w:hAnsi="宋体" w:eastAsia="宋体" w:cs="宋体"/>
          <w:color w:val="auto"/>
          <w:szCs w:val="21"/>
          <w:u w:val="single"/>
        </w:rPr>
        <w:t>工程量清单、答疑资料、澄清资料、其他补遗资料等相关内容。</w:t>
      </w:r>
    </w:p>
    <w:p w14:paraId="534E20F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rPr>
        <w:t>（5）工期：</w:t>
      </w:r>
      <w:r>
        <w:rPr>
          <w:rFonts w:hint="eastAsia" w:ascii="宋体" w:hAnsi="宋体" w:cs="宋体"/>
          <w:color w:val="auto"/>
          <w:u w:val="single"/>
          <w:lang w:val="en-US" w:eastAsia="zh-CN"/>
        </w:rPr>
        <w:t>120日历天</w:t>
      </w:r>
      <w:r>
        <w:rPr>
          <w:rFonts w:hint="eastAsia" w:ascii="宋体" w:hAnsi="宋体" w:eastAsia="宋体" w:cs="宋体"/>
          <w:color w:val="auto"/>
        </w:rPr>
        <w:t>。</w:t>
      </w:r>
    </w:p>
    <w:p w14:paraId="71BB3DDB">
      <w:pPr>
        <w:pStyle w:val="5"/>
        <w:snapToGrid w:val="0"/>
        <w:spacing w:before="0" w:line="360" w:lineRule="auto"/>
        <w:rPr>
          <w:rFonts w:hint="eastAsia" w:ascii="宋体" w:hAnsi="宋体" w:eastAsia="宋体" w:cs="宋体"/>
          <w:snapToGrid w:val="0"/>
          <w:color w:val="auto"/>
          <w:sz w:val="21"/>
          <w:szCs w:val="21"/>
        </w:rPr>
      </w:pPr>
      <w:bookmarkStart w:id="33" w:name="_Toc86934188"/>
      <w:bookmarkStart w:id="34" w:name="_Toc28644"/>
      <w:r>
        <w:rPr>
          <w:rFonts w:hint="eastAsia" w:ascii="宋体" w:hAnsi="宋体" w:eastAsia="宋体" w:cs="宋体"/>
          <w:snapToGrid w:val="0"/>
          <w:color w:val="auto"/>
          <w:sz w:val="21"/>
          <w:szCs w:val="21"/>
        </w:rPr>
        <w:t>3.资格</w:t>
      </w:r>
      <w:bookmarkEnd w:id="30"/>
      <w:bookmarkEnd w:id="31"/>
      <w:r>
        <w:rPr>
          <w:rFonts w:hint="eastAsia" w:ascii="宋体" w:hAnsi="宋体" w:eastAsia="宋体" w:cs="宋体"/>
          <w:snapToGrid w:val="0"/>
          <w:color w:val="auto"/>
          <w:sz w:val="21"/>
          <w:szCs w:val="21"/>
        </w:rPr>
        <w:t>要求</w:t>
      </w:r>
      <w:bookmarkEnd w:id="32"/>
      <w:bookmarkEnd w:id="33"/>
      <w:bookmarkEnd w:id="34"/>
    </w:p>
    <w:p w14:paraId="45F9F866">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3.1.本次招标实行资格后审，要求投标人应满足下列条件：</w:t>
      </w:r>
    </w:p>
    <w:p w14:paraId="6296530F">
      <w:pPr>
        <w:spacing w:line="360" w:lineRule="auto"/>
        <w:ind w:firstLine="420" w:firstLineChars="200"/>
        <w:rPr>
          <w:rFonts w:hint="eastAsia" w:ascii="宋体" w:hAnsi="宋体" w:eastAsia="宋体" w:cs="宋体"/>
          <w:color w:val="auto"/>
          <w:lang w:val="en-US" w:eastAsia="zh-CN"/>
        </w:rPr>
      </w:pPr>
      <w:r>
        <w:rPr>
          <w:rFonts w:hint="eastAsia" w:ascii="宋体" w:hAnsi="宋体" w:eastAsia="宋体" w:cs="宋体"/>
          <w:color w:val="auto"/>
        </w:rPr>
        <w:t>（1）投标人必须具有独立法人资格。（提供营业执照副本复印件加盖投标人公章）</w:t>
      </w:r>
      <w:r>
        <w:rPr>
          <w:rFonts w:hint="eastAsia" w:ascii="宋体" w:hAnsi="宋体" w:cs="宋体"/>
          <w:color w:val="auto"/>
          <w:lang w:eastAsia="zh-CN"/>
        </w:rPr>
        <w:t>。</w:t>
      </w:r>
    </w:p>
    <w:p w14:paraId="30449968">
      <w:pPr>
        <w:spacing w:line="360" w:lineRule="auto"/>
        <w:ind w:firstLine="420" w:firstLineChars="200"/>
        <w:rPr>
          <w:rFonts w:hint="eastAsia" w:ascii="宋体" w:hAnsi="宋体" w:cs="宋体"/>
          <w:snapToGrid w:val="0"/>
          <w:color w:val="auto"/>
          <w:kern w:val="0"/>
          <w:szCs w:val="21"/>
          <w:u w:val="none"/>
          <w:lang w:eastAsia="zh-CN"/>
        </w:rPr>
      </w:pPr>
      <w:r>
        <w:rPr>
          <w:rFonts w:hint="eastAsia" w:ascii="宋体" w:hAnsi="宋体" w:eastAsia="宋体" w:cs="宋体"/>
          <w:color w:val="auto"/>
        </w:rPr>
        <w:t>（</w:t>
      </w:r>
      <w:r>
        <w:rPr>
          <w:rFonts w:hint="eastAsia" w:ascii="宋体" w:hAnsi="宋体" w:cs="宋体"/>
          <w:color w:val="auto"/>
          <w:lang w:val="en-US" w:eastAsia="zh-CN"/>
        </w:rPr>
        <w:t>2</w:t>
      </w:r>
      <w:r>
        <w:rPr>
          <w:rFonts w:hint="eastAsia" w:ascii="宋体" w:hAnsi="宋体" w:eastAsia="宋体" w:cs="宋体"/>
          <w:color w:val="auto"/>
        </w:rPr>
        <w:t>）须</w:t>
      </w:r>
      <w:r>
        <w:rPr>
          <w:rFonts w:hint="eastAsia" w:ascii="宋体" w:hAnsi="宋体" w:eastAsia="宋体" w:cs="宋体"/>
          <w:snapToGrid w:val="0"/>
          <w:color w:val="auto"/>
          <w:kern w:val="0"/>
          <w:szCs w:val="21"/>
          <w:u w:val="single"/>
        </w:rPr>
        <w:t>具备建设行政主管部门颁发有效的</w:t>
      </w:r>
      <w:r>
        <w:rPr>
          <w:rFonts w:hint="eastAsia" w:ascii="宋体" w:hAnsi="宋体" w:cs="宋体"/>
          <w:snapToGrid w:val="0"/>
          <w:color w:val="auto"/>
          <w:kern w:val="0"/>
          <w:szCs w:val="21"/>
          <w:u w:val="single"/>
          <w:lang w:val="en-US" w:eastAsia="zh-CN"/>
        </w:rPr>
        <w:t>公路工程</w:t>
      </w:r>
      <w:r>
        <w:rPr>
          <w:rFonts w:hint="eastAsia" w:ascii="宋体" w:hAnsi="宋体" w:eastAsia="宋体" w:cs="宋体"/>
          <w:snapToGrid w:val="0"/>
          <w:color w:val="auto"/>
          <w:kern w:val="0"/>
          <w:szCs w:val="21"/>
          <w:u w:val="single"/>
        </w:rPr>
        <w:t>施工总承包叁级及以上</w:t>
      </w:r>
      <w:r>
        <w:rPr>
          <w:rFonts w:hint="eastAsia" w:ascii="宋体" w:hAnsi="宋体" w:cs="宋体"/>
          <w:snapToGrid w:val="0"/>
          <w:color w:val="auto"/>
          <w:kern w:val="0"/>
          <w:szCs w:val="21"/>
          <w:u w:val="single"/>
          <w:lang w:val="en-US" w:eastAsia="zh-CN"/>
        </w:rPr>
        <w:t>资质</w:t>
      </w:r>
      <w:r>
        <w:rPr>
          <w:rFonts w:hint="eastAsia" w:ascii="宋体" w:hAnsi="宋体" w:cs="宋体"/>
          <w:snapToGrid w:val="0"/>
          <w:color w:val="auto"/>
          <w:kern w:val="0"/>
          <w:szCs w:val="21"/>
          <w:u w:val="none"/>
          <w:lang w:eastAsia="zh-CN"/>
        </w:rPr>
        <w:t>。</w:t>
      </w:r>
      <w:r>
        <w:rPr>
          <w:rFonts w:hint="eastAsia" w:ascii="宋体" w:hAnsi="宋体" w:eastAsia="宋体" w:cs="宋体"/>
          <w:color w:val="auto"/>
          <w:highlight w:val="none"/>
          <w:lang w:eastAsia="zh-CN"/>
        </w:rPr>
        <w:t>（提供</w:t>
      </w:r>
      <w:r>
        <w:rPr>
          <w:rFonts w:hint="eastAsia" w:ascii="宋体" w:hAnsi="宋体" w:cs="宋体"/>
          <w:color w:val="auto"/>
          <w:highlight w:val="none"/>
          <w:lang w:val="en-US" w:eastAsia="zh-CN"/>
        </w:rPr>
        <w:t>资质</w:t>
      </w:r>
      <w:r>
        <w:rPr>
          <w:rFonts w:hint="eastAsia" w:ascii="宋体" w:hAnsi="宋体" w:eastAsia="宋体" w:cs="宋体"/>
          <w:color w:val="auto"/>
          <w:highlight w:val="none"/>
          <w:lang w:eastAsia="zh-CN"/>
        </w:rPr>
        <w:t>证书复印件并加盖公章）</w:t>
      </w:r>
    </w:p>
    <w:p w14:paraId="4310D97E">
      <w:pPr>
        <w:keepNext w:val="0"/>
        <w:keepLines w:val="0"/>
        <w:pageBreakBefore w:val="0"/>
        <w:widowControl/>
        <w:kinsoku/>
        <w:wordWrap w:val="0"/>
        <w:overflowPunct/>
        <w:topLinePunct w:val="0"/>
        <w:autoSpaceDE/>
        <w:autoSpaceDN/>
        <w:bidi w:val="0"/>
        <w:adjustRightInd/>
        <w:snapToGrid/>
        <w:spacing w:line="360" w:lineRule="auto"/>
        <w:ind w:firstLine="420" w:firstLineChars="200"/>
        <w:textAlignment w:val="auto"/>
        <w:rPr>
          <w:rFonts w:hint="eastAsia"/>
          <w:color w:val="auto"/>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3</w:t>
      </w:r>
      <w:r>
        <w:rPr>
          <w:rFonts w:hint="eastAsia" w:ascii="宋体" w:hAnsi="宋体" w:cs="宋体"/>
          <w:color w:val="auto"/>
          <w:highlight w:val="none"/>
          <w:lang w:eastAsia="zh-CN"/>
        </w:rPr>
        <w:t>）</w:t>
      </w:r>
      <w:r>
        <w:rPr>
          <w:rFonts w:hint="eastAsia" w:ascii="宋体" w:hAnsi="宋体" w:eastAsia="宋体" w:cs="宋体"/>
          <w:color w:val="auto"/>
          <w:highlight w:val="none"/>
          <w:lang w:eastAsia="zh-CN"/>
        </w:rPr>
        <w:t>具备建设行政主管部门颁发的有效的安全生产许可证。（提供证书复印件并加盖公章）</w:t>
      </w:r>
      <w:r>
        <w:rPr>
          <w:rFonts w:hint="eastAsia" w:ascii="宋体" w:hAnsi="宋体" w:cs="宋体"/>
          <w:color w:val="auto"/>
          <w:highlight w:val="none"/>
          <w:lang w:eastAsia="zh-CN"/>
        </w:rPr>
        <w:t>。</w:t>
      </w:r>
    </w:p>
    <w:p w14:paraId="79981D3F">
      <w:pPr>
        <w:tabs>
          <w:tab w:val="left" w:pos="3840"/>
          <w:tab w:val="left" w:pos="5300"/>
        </w:tabs>
        <w:autoSpaceDE w:val="0"/>
        <w:autoSpaceDN w:val="0"/>
        <w:adjustRightInd w:val="0"/>
        <w:snapToGrid w:val="0"/>
        <w:spacing w:line="360" w:lineRule="auto"/>
        <w:ind w:firstLine="420" w:firstLineChars="200"/>
        <w:jc w:val="left"/>
        <w:rPr>
          <w:rFonts w:hint="eastAsia"/>
          <w:color w:val="auto"/>
          <w:lang w:val="en-US" w:eastAsia="zh-CN"/>
        </w:rPr>
      </w:pP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lang w:val="en-US" w:eastAsia="zh-CN"/>
        </w:rPr>
        <w:t>4</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rPr>
        <w:t>投标人还应在人员、设备、资金等方面具有相应的施工能力，详见招标文件第二章投标人须知前附表第1.4.1项内容。</w:t>
      </w:r>
    </w:p>
    <w:p w14:paraId="04F68C3E">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3.2.本项目不接受联合体投标。</w:t>
      </w:r>
    </w:p>
    <w:p w14:paraId="04C02363">
      <w:pPr>
        <w:pStyle w:val="5"/>
        <w:snapToGrid w:val="0"/>
        <w:spacing w:before="0" w:line="360" w:lineRule="auto"/>
        <w:rPr>
          <w:rFonts w:hint="eastAsia" w:ascii="宋体" w:hAnsi="宋体" w:eastAsia="宋体" w:cs="宋体"/>
          <w:snapToGrid w:val="0"/>
          <w:color w:val="auto"/>
          <w:sz w:val="21"/>
          <w:szCs w:val="21"/>
        </w:rPr>
      </w:pPr>
      <w:bookmarkStart w:id="35" w:name="_Toc16849"/>
      <w:bookmarkStart w:id="36" w:name="_Toc86934189"/>
      <w:r>
        <w:rPr>
          <w:rFonts w:hint="eastAsia" w:ascii="宋体" w:hAnsi="宋体" w:eastAsia="宋体" w:cs="宋体"/>
          <w:snapToGrid w:val="0"/>
          <w:color w:val="auto"/>
          <w:sz w:val="21"/>
          <w:szCs w:val="21"/>
        </w:rPr>
        <w:t>4. 比选文件的获取</w:t>
      </w:r>
      <w:bookmarkEnd w:id="35"/>
      <w:bookmarkEnd w:id="36"/>
    </w:p>
    <w:p w14:paraId="58716876">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1）凡有意参加投标者，从比选公告发布之日起至投标截止之时前，投标人可登录行采家（https://www.gec123.com/）直接下载获取比选文件（包括工程需求、答疑、补遗及通知）等开标前的有关资料，不管投标人是否下载，均视为已知晓比选文件的全部内容和有关事宜。</w:t>
      </w:r>
    </w:p>
    <w:p w14:paraId="603A3349">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（2）在公告期间，各投标单位应随时关注行采家（https://www.gec123.com/）网上发布的比选文件及相关修改、补遗等内容。</w:t>
      </w:r>
    </w:p>
    <w:p w14:paraId="657E44BC">
      <w:pPr>
        <w:pStyle w:val="5"/>
        <w:snapToGrid w:val="0"/>
        <w:spacing w:before="0" w:line="360" w:lineRule="auto"/>
        <w:rPr>
          <w:rFonts w:hint="eastAsia" w:ascii="宋体" w:hAnsi="宋体" w:eastAsia="宋体" w:cs="宋体"/>
          <w:snapToGrid w:val="0"/>
          <w:color w:val="auto"/>
          <w:sz w:val="21"/>
          <w:szCs w:val="21"/>
        </w:rPr>
      </w:pPr>
      <w:bookmarkStart w:id="37" w:name="_Toc27136646"/>
      <w:bookmarkStart w:id="38" w:name="_Toc375038776"/>
      <w:bookmarkStart w:id="39" w:name="_Toc441046573"/>
      <w:bookmarkStart w:id="40" w:name="_Toc26034"/>
      <w:bookmarkStart w:id="41" w:name="_Toc86934190"/>
      <w:r>
        <w:rPr>
          <w:rFonts w:hint="eastAsia" w:ascii="宋体" w:hAnsi="宋体" w:eastAsia="宋体" w:cs="宋体"/>
          <w:snapToGrid w:val="0"/>
          <w:color w:val="auto"/>
          <w:sz w:val="21"/>
          <w:szCs w:val="21"/>
        </w:rPr>
        <w:t xml:space="preserve">5. </w:t>
      </w:r>
      <w:bookmarkEnd w:id="37"/>
      <w:bookmarkEnd w:id="38"/>
      <w:bookmarkEnd w:id="39"/>
      <w:bookmarkStart w:id="42" w:name="_Toc440472363"/>
      <w:bookmarkStart w:id="43" w:name="_Toc375038777"/>
      <w:r>
        <w:rPr>
          <w:rFonts w:hint="eastAsia" w:ascii="宋体" w:hAnsi="宋体" w:eastAsia="宋体" w:cs="宋体"/>
          <w:snapToGrid w:val="0"/>
          <w:color w:val="auto"/>
          <w:sz w:val="21"/>
          <w:szCs w:val="21"/>
        </w:rPr>
        <w:t>报名和递交投标文件时间、地点</w:t>
      </w:r>
      <w:bookmarkEnd w:id="40"/>
      <w:bookmarkEnd w:id="41"/>
    </w:p>
    <w:p w14:paraId="4BB04CEF">
      <w:pPr>
        <w:spacing w:line="360" w:lineRule="auto"/>
        <w:ind w:firstLine="420" w:firstLineChars="200"/>
        <w:rPr>
          <w:rFonts w:hint="default" w:ascii="宋体" w:hAnsi="宋体" w:eastAsia="宋体" w:cs="宋体"/>
          <w:color w:val="auto"/>
          <w:lang w:val="en-US" w:eastAsia="zh-CN"/>
        </w:rPr>
      </w:pPr>
      <w:r>
        <w:rPr>
          <w:rFonts w:hint="eastAsia" w:ascii="宋体" w:hAnsi="宋体" w:eastAsia="宋体" w:cs="宋体"/>
          <w:color w:val="auto"/>
          <w:lang w:val="en-US" w:eastAsia="zh-CN"/>
        </w:rPr>
        <w:t>1、报名方式</w:t>
      </w:r>
    </w:p>
    <w:p w14:paraId="12EB87DC">
      <w:pPr>
        <w:widowControl/>
        <w:wordWrap w:val="0"/>
        <w:spacing w:line="360" w:lineRule="auto"/>
        <w:ind w:firstLine="480"/>
        <w:rPr>
          <w:rFonts w:hint="eastAsia" w:ascii="宋体" w:hAnsi="宋体" w:eastAsia="宋体" w:cs="宋体"/>
          <w:color w:val="auto"/>
        </w:rPr>
      </w:pPr>
      <w:r>
        <w:rPr>
          <w:rFonts w:hint="eastAsia" w:ascii="宋体" w:hAnsi="宋体" w:eastAsia="宋体" w:cs="宋体"/>
          <w:color w:val="auto"/>
        </w:rPr>
        <w:t>（1）报名和</w:t>
      </w:r>
      <w:r>
        <w:rPr>
          <w:rFonts w:hint="eastAsia" w:ascii="宋体" w:hAnsi="宋体" w:cs="宋体"/>
          <w:color w:val="auto"/>
          <w:lang w:eastAsia="zh-CN"/>
        </w:rPr>
        <w:t>比选文件</w:t>
      </w:r>
      <w:r>
        <w:rPr>
          <w:rFonts w:hint="eastAsia" w:ascii="宋体" w:hAnsi="宋体" w:eastAsia="宋体" w:cs="宋体"/>
          <w:color w:val="auto"/>
        </w:rPr>
        <w:t>发售期：202</w:t>
      </w:r>
      <w:r>
        <w:rPr>
          <w:rFonts w:hint="eastAsia" w:ascii="宋体" w:hAnsi="宋体" w:cs="宋体"/>
          <w:color w:val="auto"/>
          <w:lang w:val="en-US" w:eastAsia="zh-CN"/>
        </w:rPr>
        <w:t>5</w:t>
      </w:r>
      <w:r>
        <w:rPr>
          <w:rFonts w:hint="eastAsia" w:ascii="宋体" w:hAnsi="宋体" w:eastAsia="宋体" w:cs="宋体"/>
          <w:color w:val="auto"/>
        </w:rPr>
        <w:t>年</w:t>
      </w:r>
      <w:r>
        <w:rPr>
          <w:rFonts w:hint="eastAsia" w:ascii="宋体" w:hAnsi="宋体" w:cs="宋体"/>
          <w:color w:val="auto"/>
          <w:lang w:val="en-US" w:eastAsia="zh-CN"/>
        </w:rPr>
        <w:t>10</w:t>
      </w:r>
      <w:r>
        <w:rPr>
          <w:rFonts w:hint="eastAsia" w:ascii="宋体" w:hAnsi="宋体" w:eastAsia="宋体" w:cs="宋体"/>
          <w:color w:val="auto"/>
        </w:rPr>
        <w:t>月</w:t>
      </w:r>
      <w:r>
        <w:rPr>
          <w:rFonts w:hint="eastAsia" w:ascii="宋体" w:hAnsi="宋体" w:cs="宋体"/>
          <w:color w:val="auto"/>
          <w:lang w:val="en-US" w:eastAsia="zh-CN"/>
        </w:rPr>
        <w:t>28</w:t>
      </w:r>
      <w:r>
        <w:rPr>
          <w:rFonts w:hint="eastAsia" w:ascii="宋体" w:hAnsi="宋体" w:eastAsia="宋体" w:cs="宋体"/>
          <w:color w:val="auto"/>
        </w:rPr>
        <w:t>日至202</w:t>
      </w:r>
      <w:r>
        <w:rPr>
          <w:rFonts w:hint="eastAsia" w:ascii="宋体" w:hAnsi="宋体" w:cs="宋体"/>
          <w:color w:val="auto"/>
          <w:lang w:val="en-US" w:eastAsia="zh-CN"/>
        </w:rPr>
        <w:t>5</w:t>
      </w:r>
      <w:r>
        <w:rPr>
          <w:rFonts w:hint="eastAsia" w:ascii="宋体" w:hAnsi="宋体" w:eastAsia="宋体" w:cs="宋体"/>
          <w:color w:val="auto"/>
        </w:rPr>
        <w:t>年</w:t>
      </w:r>
      <w:r>
        <w:rPr>
          <w:rFonts w:hint="eastAsia" w:ascii="宋体" w:hAnsi="宋体" w:cs="宋体"/>
          <w:color w:val="auto"/>
          <w:lang w:val="en-US" w:eastAsia="zh-CN"/>
        </w:rPr>
        <w:t>10</w:t>
      </w:r>
      <w:r>
        <w:rPr>
          <w:rFonts w:hint="eastAsia" w:ascii="宋体" w:hAnsi="宋体" w:eastAsia="宋体" w:cs="宋体"/>
          <w:color w:val="auto"/>
        </w:rPr>
        <w:t>月</w:t>
      </w:r>
      <w:r>
        <w:rPr>
          <w:rFonts w:hint="eastAsia" w:ascii="宋体" w:hAnsi="宋体" w:cs="宋体"/>
          <w:color w:val="auto"/>
          <w:lang w:val="en-US" w:eastAsia="zh-CN"/>
        </w:rPr>
        <w:t>31</w:t>
      </w:r>
      <w:r>
        <w:rPr>
          <w:rFonts w:hint="eastAsia" w:ascii="宋体" w:hAnsi="宋体" w:eastAsia="宋体" w:cs="宋体"/>
          <w:color w:val="auto"/>
        </w:rPr>
        <w:t>日17：00（工作时间）。</w:t>
      </w:r>
    </w:p>
    <w:p w14:paraId="348258B3">
      <w:pPr>
        <w:widowControl/>
        <w:wordWrap w:val="0"/>
        <w:spacing w:line="360" w:lineRule="auto"/>
        <w:ind w:firstLine="480"/>
        <w:rPr>
          <w:rFonts w:hint="eastAsia" w:ascii="宋体" w:hAnsi="宋体" w:eastAsia="宋体" w:cs="宋体"/>
          <w:color w:val="auto"/>
        </w:rPr>
      </w:pPr>
      <w:r>
        <w:rPr>
          <w:rFonts w:hint="eastAsia" w:ascii="宋体" w:hAnsi="宋体" w:eastAsia="宋体" w:cs="宋体"/>
          <w:color w:val="auto"/>
        </w:rPr>
        <w:t>（2）</w:t>
      </w:r>
      <w:r>
        <w:rPr>
          <w:rFonts w:hint="eastAsia" w:ascii="宋体" w:hAnsi="宋体" w:cs="宋体"/>
          <w:color w:val="auto"/>
          <w:lang w:eastAsia="zh-CN"/>
        </w:rPr>
        <w:t>比选文件</w:t>
      </w:r>
      <w:r>
        <w:rPr>
          <w:rFonts w:hint="eastAsia" w:ascii="宋体" w:hAnsi="宋体" w:eastAsia="宋体" w:cs="宋体"/>
          <w:color w:val="auto"/>
        </w:rPr>
        <w:t>售价：人民币</w:t>
      </w:r>
      <w:r>
        <w:rPr>
          <w:rFonts w:hint="eastAsia" w:ascii="宋体" w:hAnsi="宋体" w:cs="宋体"/>
          <w:color w:val="auto"/>
          <w:lang w:eastAsia="zh-CN"/>
        </w:rPr>
        <w:t>500元/份</w:t>
      </w:r>
      <w:r>
        <w:rPr>
          <w:rFonts w:hint="eastAsia" w:ascii="宋体" w:hAnsi="宋体" w:eastAsia="宋体" w:cs="宋体"/>
          <w:color w:val="auto"/>
        </w:rPr>
        <w:t>（售后不退）。</w:t>
      </w:r>
    </w:p>
    <w:p w14:paraId="41506E40">
      <w:pPr>
        <w:widowControl/>
        <w:wordWrap w:val="0"/>
        <w:spacing w:line="360" w:lineRule="auto"/>
        <w:ind w:firstLine="480"/>
        <w:rPr>
          <w:rFonts w:hint="eastAsia" w:ascii="宋体" w:hAnsi="宋体" w:eastAsia="宋体" w:cs="宋体"/>
          <w:color w:val="auto"/>
        </w:rPr>
      </w:pPr>
      <w:r>
        <w:rPr>
          <w:rFonts w:hint="eastAsia" w:ascii="宋体" w:hAnsi="宋体" w:eastAsia="宋体" w:cs="宋体"/>
          <w:color w:val="auto"/>
        </w:rPr>
        <w:t>（3）报名及</w:t>
      </w:r>
      <w:r>
        <w:rPr>
          <w:rFonts w:hint="eastAsia" w:ascii="宋体" w:hAnsi="宋体" w:cs="宋体"/>
          <w:color w:val="auto"/>
          <w:lang w:eastAsia="zh-CN"/>
        </w:rPr>
        <w:t>比选文件</w:t>
      </w:r>
      <w:r>
        <w:rPr>
          <w:rFonts w:hint="eastAsia" w:ascii="宋体" w:hAnsi="宋体" w:eastAsia="宋体" w:cs="宋体"/>
          <w:color w:val="auto"/>
        </w:rPr>
        <w:t>购买方式：</w:t>
      </w:r>
    </w:p>
    <w:p w14:paraId="27183B38">
      <w:pPr>
        <w:widowControl/>
        <w:wordWrap w:val="0"/>
        <w:spacing w:line="360" w:lineRule="auto"/>
        <w:ind w:firstLine="480"/>
        <w:rPr>
          <w:rFonts w:hint="eastAsia" w:ascii="宋体" w:hAnsi="宋体" w:eastAsia="宋体" w:cs="宋体"/>
          <w:color w:val="auto"/>
          <w:lang w:val="en-US"/>
        </w:rPr>
      </w:pPr>
      <w:r>
        <w:rPr>
          <w:rFonts w:hint="eastAsia" w:ascii="宋体" w:hAnsi="宋体" w:eastAsia="宋体" w:cs="宋体"/>
          <w:color w:val="auto"/>
        </w:rPr>
        <w:t>在规定的</w:t>
      </w:r>
      <w:r>
        <w:rPr>
          <w:rFonts w:hint="eastAsia" w:ascii="宋体" w:hAnsi="宋体" w:eastAsia="宋体" w:cs="宋体"/>
          <w:color w:val="auto"/>
          <w:lang w:val="en-US" w:eastAsia="zh-CN"/>
        </w:rPr>
        <w:t>报名和比选文件发售期内，</w:t>
      </w:r>
      <w:r>
        <w:rPr>
          <w:rFonts w:hint="eastAsia" w:ascii="宋体" w:hAnsi="宋体" w:cs="宋体"/>
          <w:color w:val="auto"/>
          <w:lang w:val="en-US" w:eastAsia="zh-CN"/>
        </w:rPr>
        <w:t>缴纳比选文件工本费后</w:t>
      </w:r>
      <w:r>
        <w:rPr>
          <w:rFonts w:hint="eastAsia" w:ascii="宋体" w:hAnsi="宋体" w:eastAsia="宋体" w:cs="宋体"/>
          <w:color w:val="auto"/>
          <w:lang w:val="en-US" w:eastAsia="zh-CN"/>
        </w:rPr>
        <w:t>将《</w:t>
      </w:r>
      <w:r>
        <w:rPr>
          <w:rFonts w:hint="eastAsia" w:ascii="宋体" w:hAnsi="宋体" w:cs="宋体"/>
          <w:color w:val="auto"/>
          <w:lang w:eastAsia="zh-CN"/>
        </w:rPr>
        <w:t>比选文件</w:t>
      </w:r>
      <w:r>
        <w:rPr>
          <w:rFonts w:hint="eastAsia" w:ascii="宋体" w:hAnsi="宋体" w:eastAsia="宋体" w:cs="宋体"/>
          <w:color w:val="auto"/>
          <w:lang w:val="en-US" w:eastAsia="zh-CN"/>
        </w:rPr>
        <w:t>发售登记表》（格式详见附件）填写完整加盖</w:t>
      </w:r>
      <w:r>
        <w:rPr>
          <w:rFonts w:hint="eastAsia" w:ascii="宋体" w:hAnsi="宋体" w:cs="宋体"/>
          <w:color w:val="auto"/>
          <w:lang w:val="en-US" w:eastAsia="zh-CN"/>
        </w:rPr>
        <w:t>投标人</w:t>
      </w:r>
      <w:r>
        <w:rPr>
          <w:rFonts w:hint="eastAsia" w:ascii="宋体" w:hAnsi="宋体" w:eastAsia="宋体" w:cs="宋体"/>
          <w:color w:val="auto"/>
          <w:lang w:val="en-US" w:eastAsia="zh-CN"/>
        </w:rPr>
        <w:t>公章扫描后发送至指定邮箱</w:t>
      </w:r>
      <w:r>
        <w:rPr>
          <w:rFonts w:hint="eastAsia" w:ascii="宋体" w:hAnsi="宋体" w:cs="宋体"/>
          <w:color w:val="auto"/>
          <w:lang w:val="en-US" w:eastAsia="zh-CN"/>
        </w:rPr>
        <w:t>511351769@qq.com</w:t>
      </w:r>
      <w:r>
        <w:rPr>
          <w:rFonts w:hint="eastAsia" w:ascii="宋体" w:hAnsi="宋体" w:eastAsia="宋体" w:cs="宋体"/>
          <w:color w:val="auto"/>
          <w:lang w:val="en-US" w:eastAsia="zh-CN"/>
        </w:rPr>
        <w:t>（邮件需注明“供应商简称”），按要求发送邮箱后方才报名成功</w:t>
      </w:r>
      <w:r>
        <w:rPr>
          <w:rFonts w:hint="eastAsia" w:ascii="宋体" w:hAnsi="宋体" w:cs="宋体"/>
          <w:color w:val="auto"/>
          <w:lang w:val="en-US" w:eastAsia="zh-CN"/>
        </w:rPr>
        <w:t>。</w:t>
      </w:r>
    </w:p>
    <w:p w14:paraId="670F4638">
      <w:pPr>
        <w:widowControl/>
        <w:wordWrap w:val="0"/>
        <w:spacing w:line="360" w:lineRule="auto"/>
        <w:ind w:firstLine="480"/>
        <w:rPr>
          <w:rFonts w:hint="eastAsia" w:ascii="宋体" w:hAnsi="宋体" w:eastAsia="宋体" w:cs="宋体"/>
          <w:color w:val="auto"/>
          <w:lang w:val="en-US"/>
        </w:rPr>
      </w:pPr>
      <w:r>
        <w:rPr>
          <w:rFonts w:hint="eastAsia" w:ascii="宋体" w:hAnsi="宋体" w:eastAsia="宋体" w:cs="宋体"/>
          <w:color w:val="auto"/>
          <w:lang w:val="en-US" w:eastAsia="zh-CN"/>
        </w:rPr>
        <w:t>2、投标程序</w:t>
      </w:r>
    </w:p>
    <w:p w14:paraId="7176CD65">
      <w:pPr>
        <w:widowControl/>
        <w:wordWrap w:val="0"/>
        <w:spacing w:line="360" w:lineRule="auto"/>
        <w:ind w:firstLine="480"/>
        <w:rPr>
          <w:rFonts w:hint="eastAsia" w:ascii="宋体" w:hAnsi="宋体" w:eastAsia="宋体" w:cs="宋体"/>
          <w:color w:val="auto"/>
          <w:lang w:val="en-US" w:eastAsia="zh-CN"/>
        </w:rPr>
      </w:pPr>
      <w:r>
        <w:rPr>
          <w:rFonts w:hint="eastAsia" w:ascii="宋体" w:hAnsi="宋体" w:eastAsia="宋体" w:cs="宋体"/>
          <w:color w:val="auto"/>
          <w:lang w:eastAsia="zh-CN"/>
        </w:rPr>
        <w:t>（</w:t>
      </w:r>
      <w:r>
        <w:rPr>
          <w:rFonts w:hint="eastAsia" w:ascii="宋体" w:hAnsi="宋体" w:eastAsia="宋体" w:cs="宋体"/>
          <w:color w:val="auto"/>
          <w:lang w:val="en-US" w:eastAsia="zh-CN"/>
        </w:rPr>
        <w:t>1</w:t>
      </w:r>
      <w:r>
        <w:rPr>
          <w:rFonts w:hint="eastAsia" w:ascii="宋体" w:hAnsi="宋体" w:eastAsia="宋体" w:cs="宋体"/>
          <w:color w:val="auto"/>
          <w:lang w:eastAsia="zh-CN"/>
        </w:rPr>
        <w:t>）线上报价：公告发布之日起即可</w:t>
      </w:r>
      <w:r>
        <w:rPr>
          <w:rFonts w:hint="eastAsia" w:ascii="宋体" w:hAnsi="宋体" w:eastAsia="宋体" w:cs="宋体"/>
          <w:color w:val="auto"/>
          <w:lang w:val="en-US" w:eastAsia="zh-CN"/>
        </w:rPr>
        <w:t>在行采家平台</w:t>
      </w:r>
      <w:r>
        <w:rPr>
          <w:rFonts w:hint="eastAsia" w:ascii="宋体" w:hAnsi="宋体" w:eastAsia="宋体" w:cs="宋体"/>
          <w:color w:val="auto"/>
          <w:lang w:eastAsia="zh-CN"/>
        </w:rPr>
        <w:t>报价，报价截止时间为：</w:t>
      </w:r>
      <w:r>
        <w:rPr>
          <w:rFonts w:hint="eastAsia" w:ascii="宋体" w:hAnsi="宋体" w:eastAsia="宋体" w:cs="宋体"/>
          <w:color w:val="auto"/>
          <w:lang w:val="en-US" w:eastAsia="zh-CN"/>
        </w:rPr>
        <w:t>2025</w:t>
      </w:r>
      <w:r>
        <w:rPr>
          <w:rFonts w:hint="eastAsia" w:ascii="宋体" w:hAnsi="宋体" w:eastAsia="宋体" w:cs="宋体"/>
          <w:color w:val="auto"/>
        </w:rPr>
        <w:t>年</w:t>
      </w:r>
      <w:r>
        <w:rPr>
          <w:rFonts w:hint="eastAsia" w:ascii="宋体" w:hAnsi="宋体" w:eastAsia="宋体" w:cs="宋体"/>
          <w:color w:val="auto"/>
          <w:lang w:val="en-US" w:eastAsia="zh-CN"/>
        </w:rPr>
        <w:t xml:space="preserve"> </w:t>
      </w:r>
      <w:r>
        <w:rPr>
          <w:rFonts w:hint="eastAsia" w:ascii="宋体" w:hAnsi="宋体" w:cs="宋体"/>
          <w:color w:val="auto"/>
          <w:lang w:val="en-US" w:eastAsia="zh-CN"/>
        </w:rPr>
        <w:t>10</w:t>
      </w:r>
      <w:r>
        <w:rPr>
          <w:rFonts w:hint="eastAsia" w:ascii="宋体" w:hAnsi="宋体" w:eastAsia="宋体" w:cs="宋体"/>
          <w:color w:val="auto"/>
          <w:lang w:val="en-US" w:eastAsia="zh-CN"/>
        </w:rPr>
        <w:t xml:space="preserve"> </w:t>
      </w:r>
      <w:r>
        <w:rPr>
          <w:rFonts w:hint="eastAsia" w:ascii="宋体" w:hAnsi="宋体" w:eastAsia="宋体" w:cs="宋体"/>
          <w:color w:val="auto"/>
        </w:rPr>
        <w:t>月</w:t>
      </w:r>
      <w:r>
        <w:rPr>
          <w:rFonts w:hint="eastAsia" w:ascii="宋体" w:hAnsi="宋体" w:cs="宋体"/>
          <w:color w:val="auto"/>
          <w:lang w:val="en-US" w:eastAsia="zh-CN"/>
        </w:rPr>
        <w:t>31</w:t>
      </w:r>
      <w:r>
        <w:rPr>
          <w:rFonts w:hint="eastAsia" w:ascii="宋体" w:hAnsi="宋体" w:eastAsia="宋体" w:cs="宋体"/>
          <w:color w:val="auto"/>
          <w:lang w:val="en-US" w:eastAsia="zh-CN"/>
        </w:rPr>
        <w:t xml:space="preserve"> </w:t>
      </w:r>
      <w:r>
        <w:rPr>
          <w:rFonts w:hint="eastAsia" w:ascii="宋体" w:hAnsi="宋体" w:eastAsia="宋体" w:cs="宋体"/>
          <w:color w:val="auto"/>
        </w:rPr>
        <w:t>日</w:t>
      </w:r>
      <w:r>
        <w:rPr>
          <w:rFonts w:hint="eastAsia" w:ascii="宋体" w:hAnsi="宋体" w:eastAsia="宋体" w:cs="宋体"/>
          <w:color w:val="auto"/>
          <w:lang w:val="en-US" w:eastAsia="zh-CN"/>
        </w:rPr>
        <w:t xml:space="preserve"> </w:t>
      </w:r>
      <w:r>
        <w:rPr>
          <w:rFonts w:hint="eastAsia" w:ascii="宋体" w:hAnsi="宋体" w:cs="宋体"/>
          <w:color w:val="auto"/>
          <w:lang w:val="en-US" w:eastAsia="zh-CN"/>
        </w:rPr>
        <w:t>17</w:t>
      </w:r>
      <w:r>
        <w:rPr>
          <w:rFonts w:hint="eastAsia" w:ascii="宋体" w:hAnsi="宋体" w:eastAsia="宋体" w:cs="宋体"/>
          <w:color w:val="auto"/>
          <w:lang w:val="en-US" w:eastAsia="zh-CN"/>
        </w:rPr>
        <w:t>：</w:t>
      </w:r>
      <w:r>
        <w:rPr>
          <w:rFonts w:hint="eastAsia" w:ascii="宋体" w:hAnsi="宋体" w:cs="宋体"/>
          <w:color w:val="auto"/>
          <w:lang w:val="en-US" w:eastAsia="zh-CN"/>
        </w:rPr>
        <w:t>0</w:t>
      </w:r>
      <w:r>
        <w:rPr>
          <w:rFonts w:hint="eastAsia" w:ascii="宋体" w:hAnsi="宋体" w:eastAsia="宋体" w:cs="宋体"/>
          <w:color w:val="auto"/>
          <w:lang w:val="en-US" w:eastAsia="zh-CN"/>
        </w:rPr>
        <w:t>0 （报价时需</w:t>
      </w:r>
      <w:r>
        <w:rPr>
          <w:rFonts w:hint="eastAsia" w:ascii="宋体" w:hAnsi="宋体" w:eastAsia="宋体" w:cs="宋体"/>
          <w:color w:val="auto"/>
          <w:lang w:eastAsia="zh-CN"/>
        </w:rPr>
        <w:t>上传</w:t>
      </w:r>
      <w:r>
        <w:rPr>
          <w:rFonts w:hint="eastAsia" w:ascii="宋体" w:hAnsi="宋体" w:eastAsia="宋体" w:cs="宋体"/>
          <w:color w:val="auto"/>
          <w:lang w:val="en-US" w:eastAsia="zh-CN"/>
        </w:rPr>
        <w:t>电子</w:t>
      </w:r>
      <w:r>
        <w:rPr>
          <w:rFonts w:hint="eastAsia" w:ascii="宋体" w:hAnsi="宋体" w:eastAsia="宋体" w:cs="宋体"/>
          <w:color w:val="auto"/>
          <w:lang w:eastAsia="zh-CN"/>
        </w:rPr>
        <w:t>响应文件，电子文档内容应与纸质文件正本一致，除报价以外的不一致以纸质文件正本为准，未在规定时间内报价并上传响应文件的</w:t>
      </w:r>
      <w:r>
        <w:rPr>
          <w:rFonts w:hint="eastAsia" w:ascii="宋体" w:hAnsi="宋体" w:eastAsia="宋体" w:cs="宋体"/>
          <w:color w:val="auto"/>
          <w:lang w:val="en-US" w:eastAsia="zh-CN"/>
        </w:rPr>
        <w:t>供应商</w:t>
      </w:r>
      <w:r>
        <w:rPr>
          <w:rFonts w:hint="eastAsia" w:ascii="宋体" w:hAnsi="宋体" w:eastAsia="宋体" w:cs="宋体"/>
          <w:color w:val="auto"/>
          <w:lang w:eastAsia="zh-CN"/>
        </w:rPr>
        <w:t>将视为无效投标）</w:t>
      </w:r>
    </w:p>
    <w:p w14:paraId="2A6667B3">
      <w:pPr>
        <w:widowControl/>
        <w:wordWrap w:val="0"/>
        <w:spacing w:line="360" w:lineRule="auto"/>
        <w:ind w:firstLine="480"/>
        <w:rPr>
          <w:rFonts w:hint="eastAsia" w:ascii="宋体" w:hAnsi="宋体" w:eastAsia="宋体" w:cs="宋体"/>
          <w:color w:val="auto"/>
          <w:lang w:val="en-US" w:eastAsia="zh-CN"/>
        </w:rPr>
      </w:pPr>
      <w:r>
        <w:rPr>
          <w:rFonts w:hint="eastAsia" w:ascii="宋体" w:hAnsi="宋体" w:eastAsia="宋体" w:cs="宋体"/>
          <w:color w:val="auto"/>
          <w:lang w:val="en-US" w:eastAsia="zh-CN"/>
        </w:rPr>
        <w:t>（2）线下递交响应文件时间：2025</w:t>
      </w:r>
      <w:r>
        <w:rPr>
          <w:rFonts w:hint="eastAsia" w:ascii="宋体" w:hAnsi="宋体" w:eastAsia="宋体" w:cs="宋体"/>
          <w:color w:val="auto"/>
        </w:rPr>
        <w:t>年</w:t>
      </w:r>
      <w:r>
        <w:rPr>
          <w:rFonts w:hint="eastAsia" w:ascii="宋体" w:hAnsi="宋体" w:eastAsia="宋体" w:cs="宋体"/>
          <w:color w:val="auto"/>
          <w:lang w:val="en-US" w:eastAsia="zh-CN"/>
        </w:rPr>
        <w:t xml:space="preserve"> </w:t>
      </w:r>
      <w:r>
        <w:rPr>
          <w:rFonts w:hint="eastAsia" w:ascii="宋体" w:hAnsi="宋体" w:cs="宋体"/>
          <w:color w:val="auto"/>
          <w:lang w:val="en-US" w:eastAsia="zh-CN"/>
        </w:rPr>
        <w:t>11</w:t>
      </w:r>
      <w:r>
        <w:rPr>
          <w:rFonts w:hint="eastAsia" w:ascii="宋体" w:hAnsi="宋体" w:eastAsia="宋体" w:cs="宋体"/>
          <w:color w:val="auto"/>
          <w:lang w:val="en-US" w:eastAsia="zh-CN"/>
        </w:rPr>
        <w:t xml:space="preserve"> </w:t>
      </w:r>
      <w:r>
        <w:rPr>
          <w:rFonts w:hint="eastAsia" w:ascii="宋体" w:hAnsi="宋体" w:eastAsia="宋体" w:cs="宋体"/>
          <w:color w:val="auto"/>
        </w:rPr>
        <w:t>月</w:t>
      </w:r>
      <w:r>
        <w:rPr>
          <w:rFonts w:hint="eastAsia" w:ascii="宋体" w:hAnsi="宋体" w:eastAsia="宋体" w:cs="宋体"/>
          <w:color w:val="auto"/>
          <w:lang w:val="en-US" w:eastAsia="zh-CN"/>
        </w:rPr>
        <w:t xml:space="preserve"> </w:t>
      </w:r>
      <w:r>
        <w:rPr>
          <w:rFonts w:hint="eastAsia" w:ascii="宋体" w:hAnsi="宋体" w:cs="宋体"/>
          <w:color w:val="auto"/>
          <w:lang w:val="en-US" w:eastAsia="zh-CN"/>
        </w:rPr>
        <w:t>3</w:t>
      </w:r>
      <w:r>
        <w:rPr>
          <w:rFonts w:hint="eastAsia" w:ascii="宋体" w:hAnsi="宋体" w:eastAsia="宋体" w:cs="宋体"/>
          <w:color w:val="auto"/>
          <w:lang w:val="en-US" w:eastAsia="zh-CN"/>
        </w:rPr>
        <w:t xml:space="preserve"> </w:t>
      </w:r>
      <w:r>
        <w:rPr>
          <w:rFonts w:hint="eastAsia" w:ascii="宋体" w:hAnsi="宋体" w:eastAsia="宋体" w:cs="宋体"/>
          <w:color w:val="auto"/>
        </w:rPr>
        <w:t>日</w:t>
      </w:r>
      <w:r>
        <w:rPr>
          <w:rFonts w:hint="eastAsia" w:ascii="宋体" w:hAnsi="宋体" w:eastAsia="宋体" w:cs="宋体"/>
          <w:color w:val="auto"/>
          <w:lang w:val="en-US" w:eastAsia="zh-CN"/>
        </w:rPr>
        <w:t xml:space="preserve"> 15：00 至 15：30 （以北京时间为准，逾期不予受理）。</w:t>
      </w:r>
    </w:p>
    <w:p w14:paraId="406E6B32">
      <w:pPr>
        <w:widowControl/>
        <w:wordWrap w:val="0"/>
        <w:spacing w:line="360" w:lineRule="auto"/>
        <w:ind w:firstLine="48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（3）线下开标时间</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2025</w:t>
      </w: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 xml:space="preserve"> </w:t>
      </w:r>
      <w:r>
        <w:rPr>
          <w:rFonts w:hint="eastAsia" w:ascii="宋体" w:hAnsi="宋体" w:cs="宋体"/>
          <w:color w:val="auto"/>
          <w:highlight w:val="none"/>
          <w:lang w:val="en-US" w:eastAsia="zh-CN"/>
        </w:rPr>
        <w:t>11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 xml:space="preserve"> </w:t>
      </w: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日</w:t>
      </w:r>
      <w:r>
        <w:rPr>
          <w:rFonts w:hint="eastAsia" w:ascii="宋体" w:hAnsi="宋体" w:eastAsia="宋体" w:cs="宋体"/>
          <w:color w:val="auto"/>
          <w:highlight w:val="none"/>
          <w:lang w:val="en-US" w:eastAsia="zh-CN"/>
        </w:rPr>
        <w:t xml:space="preserve"> 15 ：30 (北京时间）。</w:t>
      </w:r>
    </w:p>
    <w:p w14:paraId="4FC6E466">
      <w:pPr>
        <w:widowControl/>
        <w:wordWrap w:val="0"/>
        <w:spacing w:line="360" w:lineRule="auto"/>
        <w:ind w:firstLine="480"/>
        <w:rPr>
          <w:rFonts w:hint="eastAsia" w:ascii="宋体" w:hAnsi="宋体" w:eastAsia="宋体" w:cs="宋体"/>
          <w:color w:val="auto"/>
          <w:lang w:val="en-US" w:eastAsia="zh-CN"/>
        </w:rPr>
      </w:pPr>
      <w:r>
        <w:rPr>
          <w:rFonts w:hint="eastAsia" w:ascii="宋体" w:hAnsi="宋体" w:eastAsia="宋体" w:cs="宋体"/>
          <w:color w:val="auto"/>
          <w:lang w:val="en-US" w:eastAsia="zh-CN"/>
        </w:rPr>
        <w:t>（4）</w:t>
      </w:r>
      <w:r>
        <w:rPr>
          <w:rFonts w:hint="eastAsia" w:ascii="宋体" w:hAnsi="宋体" w:eastAsia="宋体" w:cs="宋体"/>
          <w:color w:val="auto"/>
        </w:rPr>
        <w:t>投标和开标地点：</w:t>
      </w:r>
      <w:r>
        <w:rPr>
          <w:rFonts w:hint="eastAsia" w:ascii="宋体" w:hAnsi="宋体" w:cs="宋体"/>
          <w:color w:val="auto"/>
          <w:lang w:val="en-US" w:eastAsia="zh-CN"/>
        </w:rPr>
        <w:t>重庆中诚招标代理有限公司</w:t>
      </w:r>
      <w:r>
        <w:rPr>
          <w:rFonts w:hint="eastAsia" w:ascii="宋体" w:hAnsi="宋体" w:eastAsia="宋体" w:cs="宋体"/>
          <w:color w:val="auto"/>
          <w:lang w:val="en-US" w:eastAsia="zh-CN"/>
        </w:rPr>
        <w:t>开标室（</w:t>
      </w:r>
      <w:r>
        <w:rPr>
          <w:rFonts w:hint="eastAsia" w:ascii="宋体" w:hAnsi="宋体" w:cs="宋体"/>
          <w:color w:val="auto"/>
          <w:lang w:val="en-US" w:eastAsia="zh-CN"/>
        </w:rPr>
        <w:t>重庆市大足区龙景路128号 未来国际A座5-12</w:t>
      </w:r>
      <w:r>
        <w:rPr>
          <w:rFonts w:hint="eastAsia" w:ascii="宋体" w:hAnsi="宋体" w:eastAsia="宋体" w:cs="宋体"/>
          <w:color w:val="auto"/>
          <w:lang w:val="en-US" w:eastAsia="zh-CN"/>
        </w:rPr>
        <w:t>）。</w:t>
      </w:r>
    </w:p>
    <w:p w14:paraId="2697B5B9">
      <w:pPr>
        <w:widowControl/>
        <w:wordWrap w:val="0"/>
        <w:spacing w:line="360" w:lineRule="auto"/>
        <w:ind w:firstLine="480"/>
        <w:rPr>
          <w:rFonts w:hint="eastAsia" w:ascii="宋体" w:hAnsi="宋体" w:eastAsia="宋体" w:cs="宋体"/>
          <w:color w:val="auto"/>
          <w:lang w:val="en-US" w:eastAsia="zh-CN"/>
        </w:rPr>
      </w:pPr>
      <w:r>
        <w:rPr>
          <w:rFonts w:hint="default" w:ascii="宋体" w:hAnsi="宋体" w:eastAsia="宋体" w:cs="宋体"/>
          <w:color w:val="auto"/>
          <w:lang w:val="en-US" w:eastAsia="zh-CN"/>
        </w:rPr>
        <w:t>注：</w:t>
      </w:r>
      <w:r>
        <w:rPr>
          <w:rFonts w:hint="eastAsia" w:ascii="宋体" w:hAnsi="宋体" w:eastAsia="宋体" w:cs="宋体"/>
          <w:color w:val="auto"/>
          <w:lang w:val="en-US" w:eastAsia="zh-CN"/>
        </w:rPr>
        <w:t>投标</w:t>
      </w:r>
      <w:r>
        <w:rPr>
          <w:rFonts w:hint="default" w:ascii="宋体" w:hAnsi="宋体" w:eastAsia="宋体" w:cs="宋体"/>
          <w:color w:val="auto"/>
          <w:lang w:val="en-US" w:eastAsia="zh-CN"/>
        </w:rPr>
        <w:t>人须</w:t>
      </w:r>
      <w:r>
        <w:rPr>
          <w:rFonts w:hint="eastAsia" w:ascii="宋体" w:hAnsi="宋体" w:eastAsia="宋体" w:cs="宋体"/>
          <w:color w:val="auto"/>
          <w:lang w:val="en-US" w:eastAsia="zh-CN"/>
        </w:rPr>
        <w:t>按竞争性比选文件要求在规定时间内完成报名、</w:t>
      </w:r>
      <w:r>
        <w:rPr>
          <w:rFonts w:hint="default" w:ascii="宋体" w:hAnsi="宋体" w:eastAsia="宋体" w:cs="宋体"/>
          <w:color w:val="auto"/>
          <w:lang w:val="en-US" w:eastAsia="zh-CN"/>
        </w:rPr>
        <w:t>网上报价</w:t>
      </w:r>
      <w:r>
        <w:rPr>
          <w:rFonts w:hint="eastAsia" w:ascii="宋体" w:hAnsi="宋体" w:eastAsia="宋体" w:cs="宋体"/>
          <w:color w:val="auto"/>
          <w:lang w:val="en-US" w:eastAsia="zh-CN"/>
        </w:rPr>
        <w:t>和线下递交响应文件</w:t>
      </w:r>
      <w:r>
        <w:rPr>
          <w:rFonts w:hint="default" w:ascii="宋体" w:hAnsi="宋体" w:eastAsia="宋体" w:cs="宋体"/>
          <w:color w:val="auto"/>
          <w:lang w:val="en-US" w:eastAsia="zh-CN"/>
        </w:rPr>
        <w:t>，其</w:t>
      </w:r>
      <w:r>
        <w:rPr>
          <w:rFonts w:hint="eastAsia" w:ascii="宋体" w:hAnsi="宋体" w:eastAsia="宋体" w:cs="宋体"/>
          <w:color w:val="auto"/>
          <w:lang w:val="en-US" w:eastAsia="zh-CN"/>
        </w:rPr>
        <w:t>投标</w:t>
      </w:r>
      <w:r>
        <w:rPr>
          <w:rFonts w:hint="default" w:ascii="宋体" w:hAnsi="宋体" w:eastAsia="宋体" w:cs="宋体"/>
          <w:color w:val="auto"/>
          <w:lang w:val="en-US" w:eastAsia="zh-CN"/>
        </w:rPr>
        <w:t>文件才能被接收，否则按无效投标处理。</w:t>
      </w:r>
    </w:p>
    <w:p w14:paraId="28D43F4C">
      <w:pPr>
        <w:pStyle w:val="5"/>
        <w:snapToGrid w:val="0"/>
        <w:spacing w:before="0" w:line="360" w:lineRule="auto"/>
        <w:rPr>
          <w:rFonts w:hint="eastAsia" w:ascii="宋体" w:hAnsi="宋体" w:eastAsia="宋体" w:cs="宋体"/>
          <w:snapToGrid w:val="0"/>
          <w:color w:val="auto"/>
          <w:sz w:val="21"/>
          <w:szCs w:val="21"/>
        </w:rPr>
      </w:pPr>
      <w:bookmarkStart w:id="44" w:name="_Toc86934191"/>
      <w:bookmarkStart w:id="45" w:name="_Toc21764"/>
      <w:r>
        <w:rPr>
          <w:rFonts w:hint="eastAsia" w:ascii="宋体" w:hAnsi="宋体" w:eastAsia="宋体" w:cs="宋体"/>
          <w:snapToGrid w:val="0"/>
          <w:color w:val="auto"/>
          <w:sz w:val="21"/>
          <w:szCs w:val="21"/>
        </w:rPr>
        <w:t>6.发布公告的媒介</w:t>
      </w:r>
      <w:bookmarkEnd w:id="44"/>
      <w:bookmarkEnd w:id="45"/>
    </w:p>
    <w:bookmarkEnd w:id="42"/>
    <w:bookmarkEnd w:id="43"/>
    <w:p w14:paraId="6BED566F">
      <w:pPr>
        <w:spacing w:line="360" w:lineRule="auto"/>
        <w:ind w:firstLine="420" w:firstLineChars="200"/>
        <w:rPr>
          <w:rFonts w:hint="eastAsia" w:ascii="宋体" w:hAnsi="宋体" w:eastAsia="宋体" w:cs="宋体"/>
          <w:color w:val="auto"/>
        </w:rPr>
      </w:pPr>
      <w:bookmarkStart w:id="46" w:name="_Toc440472365"/>
      <w:bookmarkStart w:id="47" w:name="_Toc375038779"/>
      <w:r>
        <w:rPr>
          <w:rFonts w:hint="eastAsia" w:ascii="宋体" w:hAnsi="宋体" w:eastAsia="宋体" w:cs="宋体"/>
          <w:color w:val="auto"/>
        </w:rPr>
        <w:t>本招标公告在行采家（https://www.gec123.com/）上发布。</w:t>
      </w:r>
    </w:p>
    <w:bookmarkEnd w:id="46"/>
    <w:bookmarkEnd w:id="47"/>
    <w:p w14:paraId="448B32DF">
      <w:pPr>
        <w:pStyle w:val="5"/>
        <w:snapToGrid w:val="0"/>
        <w:spacing w:before="0" w:line="360" w:lineRule="auto"/>
        <w:rPr>
          <w:rFonts w:hint="eastAsia" w:ascii="宋体" w:hAnsi="宋体" w:eastAsia="宋体" w:cs="宋体"/>
          <w:snapToGrid w:val="0"/>
          <w:color w:val="auto"/>
          <w:sz w:val="21"/>
          <w:szCs w:val="21"/>
        </w:rPr>
      </w:pPr>
      <w:bookmarkStart w:id="48" w:name="_Toc27136649"/>
      <w:bookmarkStart w:id="49" w:name="_Toc15969"/>
      <w:bookmarkStart w:id="50" w:name="_Toc86934192"/>
      <w:r>
        <w:rPr>
          <w:rFonts w:hint="eastAsia" w:ascii="宋体" w:hAnsi="宋体" w:eastAsia="宋体" w:cs="宋体"/>
          <w:snapToGrid w:val="0"/>
          <w:color w:val="auto"/>
          <w:sz w:val="21"/>
          <w:szCs w:val="21"/>
        </w:rPr>
        <w:t>7.联系方式</w:t>
      </w:r>
      <w:bookmarkEnd w:id="48"/>
      <w:bookmarkEnd w:id="49"/>
      <w:bookmarkEnd w:id="50"/>
    </w:p>
    <w:p w14:paraId="73F46CEE">
      <w:pPr>
        <w:wordWrap w:val="0"/>
        <w:spacing w:line="360" w:lineRule="auto"/>
        <w:ind w:firstLine="480"/>
        <w:rPr>
          <w:rFonts w:hint="eastAsia" w:ascii="宋体" w:hAnsi="宋体" w:eastAsia="宋体" w:cs="宋体"/>
          <w:color w:val="auto"/>
          <w:lang w:eastAsia="zh-CN"/>
        </w:rPr>
      </w:pPr>
      <w:r>
        <w:rPr>
          <w:rFonts w:hint="eastAsia" w:ascii="宋体" w:hAnsi="宋体" w:eastAsia="宋体" w:cs="宋体"/>
          <w:color w:val="auto"/>
        </w:rPr>
        <w:t>采购人：</w:t>
      </w:r>
      <w:r>
        <w:rPr>
          <w:rFonts w:hint="eastAsia" w:ascii="宋体" w:hAnsi="宋体" w:cs="宋体"/>
          <w:color w:val="auto"/>
          <w:lang w:eastAsia="zh-CN"/>
        </w:rPr>
        <w:t xml:space="preserve">重庆市大足区高坪镇人民政府 </w:t>
      </w:r>
    </w:p>
    <w:p w14:paraId="33EB5C20">
      <w:pPr>
        <w:wordWrap w:val="0"/>
        <w:spacing w:line="360" w:lineRule="auto"/>
        <w:ind w:firstLine="480"/>
        <w:rPr>
          <w:rFonts w:hint="default" w:ascii="宋体" w:hAnsi="宋体" w:eastAsia="宋体" w:cs="宋体"/>
          <w:color w:val="auto"/>
          <w:lang w:val="en-US" w:eastAsia="zh-CN"/>
        </w:rPr>
      </w:pPr>
      <w:r>
        <w:rPr>
          <w:rFonts w:hint="eastAsia" w:ascii="宋体" w:hAnsi="宋体" w:eastAsia="宋体" w:cs="宋体"/>
          <w:color w:val="auto"/>
        </w:rPr>
        <w:t>联系人：</w:t>
      </w:r>
      <w:r>
        <w:rPr>
          <w:rFonts w:hint="eastAsia" w:ascii="宋体" w:hAnsi="宋体" w:cs="宋体"/>
          <w:color w:val="auto"/>
          <w:lang w:val="en-US" w:eastAsia="zh-CN"/>
        </w:rPr>
        <w:t>商老师</w:t>
      </w:r>
    </w:p>
    <w:p w14:paraId="4F092964">
      <w:pPr>
        <w:wordWrap w:val="0"/>
        <w:spacing w:line="360" w:lineRule="auto"/>
        <w:ind w:firstLine="480"/>
        <w:rPr>
          <w:rFonts w:hint="default" w:ascii="宋体" w:hAnsi="宋体" w:eastAsia="宋体" w:cs="宋体"/>
          <w:color w:val="auto"/>
          <w:szCs w:val="21"/>
          <w:lang w:val="en-US" w:eastAsia="zh-CN"/>
        </w:rPr>
      </w:pPr>
      <w:r>
        <w:rPr>
          <w:rFonts w:hint="eastAsia" w:ascii="宋体" w:hAnsi="宋体" w:eastAsia="宋体" w:cs="宋体"/>
          <w:color w:val="auto"/>
        </w:rPr>
        <w:t>电  话：</w:t>
      </w:r>
      <w:bookmarkStart w:id="694" w:name="_GoBack"/>
      <w:r>
        <w:rPr>
          <w:rFonts w:hint="eastAsia" w:ascii="宋体" w:hAnsi="宋体" w:cs="宋体"/>
          <w:color w:val="auto"/>
          <w:lang w:val="en-US" w:eastAsia="zh-CN"/>
        </w:rPr>
        <w:t>15803016072</w:t>
      </w:r>
      <w:bookmarkEnd w:id="694"/>
    </w:p>
    <w:p w14:paraId="6B1EFA4C">
      <w:pPr>
        <w:wordWrap w:val="0"/>
        <w:spacing w:line="360" w:lineRule="auto"/>
        <w:ind w:firstLine="480"/>
        <w:rPr>
          <w:rFonts w:hint="eastAsia" w:ascii="宋体" w:hAnsi="宋体" w:eastAsia="宋体" w:cs="宋体"/>
          <w:color w:val="auto"/>
          <w:lang w:eastAsia="zh-CN"/>
        </w:rPr>
      </w:pPr>
      <w:r>
        <w:rPr>
          <w:rFonts w:hint="eastAsia" w:ascii="宋体" w:hAnsi="宋体" w:eastAsia="宋体" w:cs="宋体"/>
          <w:color w:val="auto"/>
        </w:rPr>
        <w:t>地  址：</w:t>
      </w:r>
      <w:r>
        <w:rPr>
          <w:rFonts w:hint="eastAsia" w:ascii="宋体" w:hAnsi="宋体" w:cs="宋体"/>
          <w:color w:val="auto"/>
          <w:lang w:eastAsia="zh-CN"/>
        </w:rPr>
        <w:t>重庆市大足区青龙街588号</w:t>
      </w:r>
    </w:p>
    <w:p w14:paraId="7AE9BE6F">
      <w:pPr>
        <w:spacing w:line="360" w:lineRule="auto"/>
        <w:rPr>
          <w:rFonts w:hint="eastAsia" w:ascii="宋体" w:hAnsi="宋体" w:eastAsia="宋体" w:cs="宋体"/>
          <w:color w:val="auto"/>
        </w:rPr>
      </w:pPr>
    </w:p>
    <w:p w14:paraId="003153FC">
      <w:pPr>
        <w:spacing w:line="360" w:lineRule="auto"/>
        <w:ind w:firstLine="420" w:firstLineChars="200"/>
        <w:rPr>
          <w:rFonts w:hint="eastAsia" w:ascii="宋体" w:hAnsi="宋体" w:eastAsia="宋体" w:cs="宋体"/>
          <w:color w:val="auto"/>
          <w:lang w:eastAsia="zh-CN"/>
        </w:rPr>
      </w:pPr>
      <w:r>
        <w:rPr>
          <w:rFonts w:hint="eastAsia" w:ascii="宋体" w:hAnsi="宋体" w:eastAsia="宋体" w:cs="宋体"/>
          <w:color w:val="auto"/>
        </w:rPr>
        <w:t>采购代理机构：</w:t>
      </w:r>
      <w:r>
        <w:rPr>
          <w:rFonts w:hint="eastAsia" w:ascii="宋体" w:hAnsi="宋体" w:cs="宋体"/>
          <w:color w:val="auto"/>
          <w:lang w:eastAsia="zh-CN"/>
        </w:rPr>
        <w:t>重庆中诚招标代理有限公司</w:t>
      </w:r>
    </w:p>
    <w:p w14:paraId="297D682B">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联 系 人：</w:t>
      </w:r>
      <w:r>
        <w:rPr>
          <w:rFonts w:hint="eastAsia" w:ascii="宋体" w:hAnsi="宋体" w:cs="宋体"/>
          <w:color w:val="auto"/>
          <w:lang w:val="en-US" w:eastAsia="zh-CN"/>
        </w:rPr>
        <w:t>于老师</w:t>
      </w:r>
    </w:p>
    <w:p w14:paraId="763F36CB">
      <w:pPr>
        <w:spacing w:line="360" w:lineRule="auto"/>
        <w:ind w:firstLine="420" w:firstLineChars="200"/>
        <w:rPr>
          <w:rFonts w:hint="default" w:ascii="宋体" w:hAnsi="宋体" w:eastAsia="宋体" w:cs="宋体"/>
          <w:color w:val="auto"/>
          <w:lang w:val="en-US" w:eastAsia="zh-CN"/>
        </w:rPr>
      </w:pPr>
      <w:r>
        <w:rPr>
          <w:rFonts w:hint="eastAsia" w:ascii="宋体" w:hAnsi="宋体" w:eastAsia="宋体" w:cs="宋体"/>
          <w:color w:val="auto"/>
        </w:rPr>
        <w:t>电    话：</w:t>
      </w:r>
      <w:r>
        <w:rPr>
          <w:rFonts w:hint="eastAsia" w:ascii="宋体" w:hAnsi="宋体" w:cs="宋体"/>
          <w:color w:val="auto"/>
          <w:lang w:val="en-US" w:eastAsia="zh-CN"/>
        </w:rPr>
        <w:t>18983058590</w:t>
      </w:r>
    </w:p>
    <w:p w14:paraId="4FB0725C">
      <w:pPr>
        <w:spacing w:line="360" w:lineRule="auto"/>
        <w:ind w:firstLine="420" w:firstLineChars="200"/>
        <w:rPr>
          <w:rFonts w:hint="eastAsia" w:ascii="宋体" w:hAnsi="宋体" w:eastAsia="宋体" w:cs="宋体"/>
          <w:color w:val="auto"/>
          <w:lang w:eastAsia="zh-CN"/>
        </w:rPr>
      </w:pPr>
      <w:r>
        <w:rPr>
          <w:rFonts w:hint="eastAsia" w:ascii="宋体" w:hAnsi="宋体" w:eastAsia="宋体" w:cs="宋体"/>
          <w:color w:val="auto"/>
        </w:rPr>
        <w:t>地    址：</w:t>
      </w:r>
      <w:r>
        <w:rPr>
          <w:rFonts w:hint="eastAsia" w:ascii="宋体" w:hAnsi="宋体" w:cs="宋体"/>
          <w:color w:val="auto"/>
          <w:lang w:eastAsia="zh-CN"/>
        </w:rPr>
        <w:t>重庆市大足区龙景路128号 未来国际A座5-12</w:t>
      </w:r>
    </w:p>
    <w:p w14:paraId="6B7F52A1">
      <w:pPr>
        <w:rPr>
          <w:rFonts w:hint="eastAsia" w:ascii="宋体" w:hAnsi="宋体" w:eastAsia="宋体" w:cs="宋体"/>
          <w:color w:val="auto"/>
        </w:rPr>
      </w:pPr>
    </w:p>
    <w:p w14:paraId="4CC2E829">
      <w:pPr>
        <w:pStyle w:val="2"/>
        <w:rPr>
          <w:rFonts w:hint="eastAsia" w:ascii="宋体" w:hAnsi="宋体" w:eastAsia="宋体" w:cs="宋体"/>
          <w:color w:val="auto"/>
        </w:rPr>
      </w:pPr>
    </w:p>
    <w:p w14:paraId="3F1667E1">
      <w:pPr>
        <w:pStyle w:val="28"/>
        <w:rPr>
          <w:rFonts w:hint="eastAsia" w:ascii="宋体" w:hAnsi="宋体" w:eastAsia="宋体" w:cs="宋体"/>
          <w:color w:val="auto"/>
        </w:rPr>
      </w:pPr>
    </w:p>
    <w:p w14:paraId="53281C19">
      <w:pPr>
        <w:rPr>
          <w:rFonts w:hint="eastAsia" w:ascii="宋体" w:hAnsi="宋体" w:eastAsia="宋体" w:cs="宋体"/>
          <w:color w:val="auto"/>
        </w:rPr>
      </w:pPr>
    </w:p>
    <w:p w14:paraId="20721529">
      <w:pPr>
        <w:pStyle w:val="2"/>
        <w:rPr>
          <w:rFonts w:hint="eastAsia" w:ascii="宋体" w:hAnsi="宋体" w:eastAsia="宋体" w:cs="宋体"/>
          <w:color w:val="auto"/>
        </w:rPr>
      </w:pPr>
    </w:p>
    <w:p w14:paraId="15CBA0AC">
      <w:pPr>
        <w:rPr>
          <w:rFonts w:hint="eastAsia" w:ascii="宋体" w:hAnsi="宋体" w:eastAsia="宋体" w:cs="宋体"/>
          <w:color w:val="auto"/>
        </w:rPr>
      </w:pPr>
    </w:p>
    <w:p w14:paraId="7B4DB703">
      <w:pPr>
        <w:pStyle w:val="2"/>
        <w:rPr>
          <w:rFonts w:hint="eastAsia" w:ascii="宋体" w:hAnsi="宋体" w:eastAsia="宋体" w:cs="宋体"/>
          <w:color w:val="auto"/>
        </w:rPr>
      </w:pPr>
    </w:p>
    <w:p w14:paraId="2F6F8EE2">
      <w:pPr>
        <w:pStyle w:val="2"/>
        <w:rPr>
          <w:rFonts w:hint="eastAsia" w:ascii="宋体" w:hAnsi="宋体" w:eastAsia="宋体" w:cs="宋体"/>
          <w:color w:val="auto"/>
        </w:rPr>
      </w:pPr>
    </w:p>
    <w:p w14:paraId="552FA378">
      <w:pPr>
        <w:rPr>
          <w:rFonts w:hint="eastAsia" w:ascii="宋体" w:hAnsi="宋体" w:eastAsia="宋体" w:cs="宋体"/>
          <w:color w:val="auto"/>
        </w:rPr>
      </w:pPr>
    </w:p>
    <w:p w14:paraId="4B98887C">
      <w:pPr>
        <w:pStyle w:val="5"/>
        <w:spacing w:before="0" w:after="240" w:afterLines="100" w:line="360" w:lineRule="auto"/>
        <w:jc w:val="center"/>
        <w:rPr>
          <w:rStyle w:val="59"/>
          <w:rFonts w:hint="eastAsia" w:ascii="宋体" w:hAnsi="宋体" w:eastAsia="宋体" w:cs="宋体"/>
          <w:color w:val="auto"/>
          <w:sz w:val="32"/>
        </w:rPr>
      </w:pPr>
      <w:bookmarkStart w:id="51" w:name="_Toc17345"/>
      <w:bookmarkStart w:id="52" w:name="_Toc86934193"/>
      <w:r>
        <w:rPr>
          <w:rStyle w:val="59"/>
          <w:rFonts w:hint="eastAsia" w:ascii="宋体" w:hAnsi="宋体" w:eastAsia="宋体" w:cs="宋体"/>
          <w:color w:val="auto"/>
          <w:sz w:val="32"/>
        </w:rPr>
        <w:t>第二章 投标人须知</w:t>
      </w:r>
      <w:bookmarkEnd w:id="13"/>
      <w:bookmarkEnd w:id="14"/>
      <w:bookmarkEnd w:id="15"/>
      <w:bookmarkEnd w:id="16"/>
      <w:bookmarkEnd w:id="17"/>
      <w:bookmarkEnd w:id="18"/>
      <w:bookmarkEnd w:id="19"/>
      <w:bookmarkEnd w:id="20"/>
      <w:bookmarkEnd w:id="21"/>
      <w:bookmarkEnd w:id="51"/>
      <w:bookmarkEnd w:id="52"/>
    </w:p>
    <w:p w14:paraId="5054C88B">
      <w:pPr>
        <w:pStyle w:val="5"/>
        <w:spacing w:line="360" w:lineRule="auto"/>
        <w:rPr>
          <w:rFonts w:hint="eastAsia" w:ascii="宋体" w:hAnsi="宋体" w:eastAsia="宋体" w:cs="宋体"/>
          <w:color w:val="auto"/>
          <w:sz w:val="30"/>
          <w:szCs w:val="30"/>
        </w:rPr>
      </w:pPr>
      <w:bookmarkStart w:id="53" w:name="_Toc428518720"/>
      <w:bookmarkStart w:id="54" w:name="_Toc86934194"/>
      <w:bookmarkStart w:id="55" w:name="_Toc428172724"/>
      <w:bookmarkStart w:id="56" w:name="_Toc338941630"/>
      <w:bookmarkStart w:id="57" w:name="_Toc419974477"/>
      <w:bookmarkStart w:id="58" w:name="_Toc419974235"/>
      <w:bookmarkStart w:id="59" w:name="_Toc30955"/>
      <w:bookmarkStart w:id="60" w:name="_Toc430185955"/>
      <w:bookmarkStart w:id="61" w:name="_Toc370384624"/>
      <w:bookmarkStart w:id="62" w:name="_Toc419977261"/>
      <w:bookmarkStart w:id="63" w:name="_Toc430184671"/>
      <w:r>
        <w:rPr>
          <w:rFonts w:hint="eastAsia" w:ascii="宋体" w:hAnsi="宋体" w:eastAsia="宋体" w:cs="宋体"/>
          <w:color w:val="auto"/>
          <w:sz w:val="30"/>
          <w:szCs w:val="30"/>
        </w:rPr>
        <w:t>投标人须知前附表</w:t>
      </w:r>
      <w:bookmarkEnd w:id="53"/>
      <w:bookmarkEnd w:id="54"/>
      <w:bookmarkEnd w:id="55"/>
      <w:bookmarkEnd w:id="56"/>
      <w:bookmarkEnd w:id="57"/>
      <w:bookmarkEnd w:id="58"/>
      <w:bookmarkEnd w:id="59"/>
      <w:bookmarkEnd w:id="60"/>
      <w:bookmarkEnd w:id="61"/>
      <w:bookmarkEnd w:id="62"/>
      <w:bookmarkEnd w:id="63"/>
    </w:p>
    <w:tbl>
      <w:tblPr>
        <w:tblStyle w:val="43"/>
        <w:tblW w:w="51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8"/>
        <w:gridCol w:w="1991"/>
        <w:gridCol w:w="6908"/>
      </w:tblGrid>
      <w:tr w14:paraId="429B8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540" w:type="pct"/>
            <w:vAlign w:val="center"/>
          </w:tcPr>
          <w:p w14:paraId="60D704F5">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条款号</w:t>
            </w:r>
          </w:p>
        </w:tc>
        <w:tc>
          <w:tcPr>
            <w:tcW w:w="998" w:type="pct"/>
            <w:vAlign w:val="center"/>
          </w:tcPr>
          <w:p w14:paraId="111D799E">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条款名称</w:t>
            </w:r>
          </w:p>
        </w:tc>
        <w:tc>
          <w:tcPr>
            <w:tcW w:w="3460" w:type="pct"/>
            <w:vAlign w:val="center"/>
          </w:tcPr>
          <w:p w14:paraId="65ECA18D">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编  列  内  容</w:t>
            </w:r>
          </w:p>
        </w:tc>
      </w:tr>
      <w:tr w14:paraId="53DC1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49769D51">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1.1.</w:t>
            </w:r>
            <w:r>
              <w:rPr>
                <w:rFonts w:hint="eastAsia" w:ascii="宋体" w:hAnsi="宋体" w:cs="宋体"/>
                <w:color w:val="auto"/>
                <w:kern w:val="0"/>
                <w:szCs w:val="21"/>
                <w:highlight w:val="none"/>
                <w:lang w:val="en-US" w:eastAsia="zh-CN"/>
              </w:rPr>
              <w:t>1</w:t>
            </w:r>
          </w:p>
        </w:tc>
        <w:tc>
          <w:tcPr>
            <w:tcW w:w="998" w:type="pct"/>
            <w:vAlign w:val="center"/>
          </w:tcPr>
          <w:p w14:paraId="79CBE95D">
            <w:pPr>
              <w:pStyle w:val="328"/>
              <w:keepNext w:val="0"/>
              <w:keepLines w:val="0"/>
              <w:pageBreakBefore w:val="0"/>
              <w:widowControl w:val="0"/>
              <w:kinsoku/>
              <w:wordWrap/>
              <w:overflowPunct/>
              <w:topLinePunct w:val="0"/>
              <w:autoSpaceDE/>
              <w:autoSpaceDN/>
              <w:bidi w:val="0"/>
              <w:adjustRightInd/>
              <w:spacing w:line="33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w:t>
            </w:r>
          </w:p>
        </w:tc>
        <w:tc>
          <w:tcPr>
            <w:tcW w:w="3460" w:type="pct"/>
            <w:vAlign w:val="center"/>
          </w:tcPr>
          <w:p w14:paraId="4549E5A6">
            <w:pPr>
              <w:pStyle w:val="328"/>
              <w:keepNext w:val="0"/>
              <w:keepLines w:val="0"/>
              <w:pageBreakBefore w:val="0"/>
              <w:widowControl w:val="0"/>
              <w:kinsoku/>
              <w:wordWrap/>
              <w:overflowPunct/>
              <w:topLinePunct w:val="0"/>
              <w:autoSpaceDE/>
              <w:autoSpaceDN/>
              <w:bidi w:val="0"/>
              <w:adjustRightInd/>
              <w:spacing w:line="336"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采购人：</w:t>
            </w:r>
            <w:r>
              <w:rPr>
                <w:rFonts w:hint="eastAsia" w:ascii="宋体" w:hAnsi="宋体" w:cs="宋体"/>
                <w:color w:val="auto"/>
                <w:sz w:val="21"/>
                <w:szCs w:val="21"/>
                <w:highlight w:val="none"/>
                <w:lang w:eastAsia="zh-CN"/>
              </w:rPr>
              <w:t xml:space="preserve">重庆市大足区高坪镇人民政府 </w:t>
            </w:r>
          </w:p>
          <w:p w14:paraId="13C2BE12">
            <w:pPr>
              <w:pStyle w:val="328"/>
              <w:keepNext w:val="0"/>
              <w:keepLines w:val="0"/>
              <w:pageBreakBefore w:val="0"/>
              <w:widowControl w:val="0"/>
              <w:kinsoku/>
              <w:wordWrap/>
              <w:overflowPunct/>
              <w:topLinePunct w:val="0"/>
              <w:autoSpaceDE/>
              <w:autoSpaceDN/>
              <w:bidi w:val="0"/>
              <w:adjustRightInd/>
              <w:spacing w:line="336"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联系人：</w:t>
            </w:r>
            <w:r>
              <w:rPr>
                <w:rFonts w:hint="eastAsia" w:ascii="宋体" w:hAnsi="宋体" w:eastAsia="宋体" w:cs="宋体"/>
                <w:color w:val="auto"/>
                <w:sz w:val="21"/>
                <w:szCs w:val="21"/>
                <w:highlight w:val="none"/>
                <w:lang w:val="en-US" w:eastAsia="zh-CN"/>
              </w:rPr>
              <w:t>商老师</w:t>
            </w:r>
          </w:p>
          <w:p w14:paraId="1733BA45">
            <w:pPr>
              <w:pStyle w:val="328"/>
              <w:keepNext w:val="0"/>
              <w:keepLines w:val="0"/>
              <w:pageBreakBefore w:val="0"/>
              <w:widowControl w:val="0"/>
              <w:kinsoku/>
              <w:wordWrap/>
              <w:overflowPunct/>
              <w:topLinePunct w:val="0"/>
              <w:autoSpaceDE/>
              <w:autoSpaceDN/>
              <w:bidi w:val="0"/>
              <w:adjustRightInd/>
              <w:spacing w:line="336"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电  话：</w:t>
            </w:r>
            <w:r>
              <w:rPr>
                <w:rFonts w:hint="eastAsia" w:ascii="宋体" w:hAnsi="宋体" w:eastAsia="宋体" w:cs="宋体"/>
                <w:color w:val="auto"/>
                <w:sz w:val="21"/>
                <w:szCs w:val="21"/>
                <w:highlight w:val="none"/>
                <w:lang w:val="en-US" w:eastAsia="zh-CN"/>
              </w:rPr>
              <w:t>15803016072</w:t>
            </w:r>
          </w:p>
          <w:p w14:paraId="2910C395">
            <w:pPr>
              <w:pStyle w:val="328"/>
              <w:keepNext w:val="0"/>
              <w:keepLines w:val="0"/>
              <w:pageBreakBefore w:val="0"/>
              <w:widowControl w:val="0"/>
              <w:kinsoku/>
              <w:wordWrap/>
              <w:overflowPunct/>
              <w:topLinePunct w:val="0"/>
              <w:autoSpaceDE/>
              <w:autoSpaceDN/>
              <w:bidi w:val="0"/>
              <w:adjustRightInd/>
              <w:spacing w:line="336"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  址：</w:t>
            </w:r>
            <w:r>
              <w:rPr>
                <w:rFonts w:hint="eastAsia" w:ascii="宋体" w:hAnsi="宋体" w:cs="宋体"/>
                <w:color w:val="auto"/>
                <w:sz w:val="21"/>
                <w:szCs w:val="21"/>
                <w:highlight w:val="none"/>
                <w:lang w:eastAsia="zh-CN"/>
              </w:rPr>
              <w:t>重庆市大足区青龙街588号</w:t>
            </w:r>
          </w:p>
        </w:tc>
      </w:tr>
      <w:tr w14:paraId="47970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6D76AE4E">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lang w:eastAsia="zh-CN"/>
              </w:rPr>
            </w:pPr>
            <w:r>
              <w:rPr>
                <w:rFonts w:ascii="宋体" w:hAnsi="宋体"/>
                <w:color w:val="auto"/>
                <w:kern w:val="0"/>
                <w:szCs w:val="21"/>
                <w:highlight w:val="none"/>
              </w:rPr>
              <w:t>1.1.</w:t>
            </w:r>
            <w:r>
              <w:rPr>
                <w:rFonts w:hint="eastAsia" w:ascii="宋体" w:hAnsi="宋体"/>
                <w:color w:val="auto"/>
                <w:kern w:val="0"/>
                <w:szCs w:val="21"/>
                <w:highlight w:val="none"/>
                <w:lang w:val="en-US" w:eastAsia="zh-CN"/>
              </w:rPr>
              <w:t>2</w:t>
            </w:r>
          </w:p>
        </w:tc>
        <w:tc>
          <w:tcPr>
            <w:tcW w:w="998" w:type="pct"/>
            <w:vAlign w:val="center"/>
          </w:tcPr>
          <w:p w14:paraId="5FAD8273">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sz w:val="21"/>
                <w:szCs w:val="21"/>
                <w:highlight w:val="none"/>
              </w:rPr>
            </w:pPr>
            <w:r>
              <w:rPr>
                <w:rFonts w:ascii="宋体" w:hAnsi="宋体"/>
                <w:color w:val="auto"/>
                <w:kern w:val="0"/>
                <w:szCs w:val="21"/>
                <w:highlight w:val="none"/>
              </w:rPr>
              <w:t>招标代理机构</w:t>
            </w:r>
          </w:p>
        </w:tc>
        <w:tc>
          <w:tcPr>
            <w:tcW w:w="3460" w:type="pct"/>
            <w:vAlign w:val="center"/>
          </w:tcPr>
          <w:p w14:paraId="171C07F0">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采购代理机构：</w:t>
            </w:r>
            <w:r>
              <w:rPr>
                <w:rFonts w:hint="eastAsia" w:ascii="宋体" w:hAnsi="宋体" w:cs="宋体"/>
                <w:color w:val="auto"/>
                <w:sz w:val="21"/>
                <w:szCs w:val="21"/>
                <w:highlight w:val="none"/>
                <w:lang w:eastAsia="zh-CN"/>
              </w:rPr>
              <w:t>重庆中诚招标代理有限公司</w:t>
            </w:r>
          </w:p>
          <w:p w14:paraId="4475D2AA">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 系 人：</w:t>
            </w:r>
            <w:r>
              <w:rPr>
                <w:rFonts w:hint="eastAsia" w:ascii="宋体" w:hAnsi="宋体" w:eastAsia="宋体" w:cs="宋体"/>
                <w:color w:val="auto"/>
                <w:sz w:val="21"/>
                <w:szCs w:val="21"/>
                <w:highlight w:val="none"/>
                <w:lang w:val="en-US" w:eastAsia="zh-CN"/>
              </w:rPr>
              <w:t>于老师</w:t>
            </w:r>
          </w:p>
          <w:p w14:paraId="0E2E7FBF">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电    话：</w:t>
            </w:r>
            <w:r>
              <w:rPr>
                <w:rFonts w:hint="eastAsia" w:ascii="宋体" w:hAnsi="宋体" w:eastAsia="宋体" w:cs="宋体"/>
                <w:color w:val="auto"/>
                <w:sz w:val="21"/>
                <w:szCs w:val="21"/>
                <w:highlight w:val="none"/>
                <w:lang w:val="en-US" w:eastAsia="zh-CN"/>
              </w:rPr>
              <w:t>18983058590</w:t>
            </w:r>
          </w:p>
          <w:p w14:paraId="23F9A058">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  址：</w:t>
            </w:r>
            <w:r>
              <w:rPr>
                <w:rFonts w:hint="eastAsia" w:ascii="宋体" w:hAnsi="宋体" w:cs="宋体"/>
                <w:color w:val="auto"/>
                <w:sz w:val="21"/>
                <w:szCs w:val="21"/>
                <w:highlight w:val="none"/>
                <w:lang w:eastAsia="zh-CN"/>
              </w:rPr>
              <w:t>重庆市大足区龙景路128号 未来国际A座5-12</w:t>
            </w:r>
          </w:p>
        </w:tc>
      </w:tr>
      <w:tr w14:paraId="5A133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0C43E376">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p>
        </w:tc>
        <w:tc>
          <w:tcPr>
            <w:tcW w:w="998" w:type="pct"/>
            <w:vAlign w:val="center"/>
          </w:tcPr>
          <w:p w14:paraId="0ACABF07">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p>
        </w:tc>
        <w:tc>
          <w:tcPr>
            <w:tcW w:w="3460" w:type="pct"/>
            <w:vAlign w:val="center"/>
          </w:tcPr>
          <w:p w14:paraId="44E0CD58">
            <w:pPr>
              <w:keepNext w:val="0"/>
              <w:keepLines w:val="0"/>
              <w:pageBreakBefore w:val="0"/>
              <w:widowControl w:val="0"/>
              <w:kinsoku/>
              <w:wordWrap/>
              <w:overflowPunct/>
              <w:topLinePunct w:val="0"/>
              <w:autoSpaceDE/>
              <w:autoSpaceDN/>
              <w:bidi w:val="0"/>
              <w:adjustRightInd/>
              <w:spacing w:line="336" w:lineRule="auto"/>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大足区高坪镇2025年“四好农村路”新兴村瓦梨路通畅工程</w:t>
            </w:r>
          </w:p>
        </w:tc>
      </w:tr>
      <w:tr w14:paraId="395EB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40" w:type="pct"/>
            <w:vAlign w:val="center"/>
          </w:tcPr>
          <w:p w14:paraId="469BA6E6">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1.1.4</w:t>
            </w:r>
          </w:p>
        </w:tc>
        <w:tc>
          <w:tcPr>
            <w:tcW w:w="998" w:type="pct"/>
            <w:vAlign w:val="center"/>
          </w:tcPr>
          <w:p w14:paraId="1B14F929">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建设地点</w:t>
            </w:r>
          </w:p>
        </w:tc>
        <w:tc>
          <w:tcPr>
            <w:tcW w:w="3460" w:type="pct"/>
            <w:vAlign w:val="center"/>
          </w:tcPr>
          <w:p w14:paraId="431C1E46">
            <w:pPr>
              <w:pStyle w:val="356"/>
              <w:keepNext w:val="0"/>
              <w:keepLines w:val="0"/>
              <w:pageBreakBefore w:val="0"/>
              <w:widowControl w:val="0"/>
              <w:kinsoku/>
              <w:wordWrap/>
              <w:overflowPunct/>
              <w:topLinePunct w:val="0"/>
              <w:autoSpaceDE/>
              <w:autoSpaceDN/>
              <w:bidi w:val="0"/>
              <w:adjustRightInd/>
              <w:spacing w:line="336" w:lineRule="auto"/>
              <w:textAlignment w:val="auto"/>
              <w:rPr>
                <w:rFonts w:hint="default" w:ascii="宋体" w:hAnsi="宋体" w:eastAsia="宋体" w:cs="宋体"/>
                <w:color w:val="auto"/>
                <w:szCs w:val="21"/>
                <w:highlight w:val="none"/>
                <w:lang w:val="en-US" w:eastAsia="zh-CN"/>
              </w:rPr>
            </w:pPr>
            <w:r>
              <w:rPr>
                <w:rFonts w:hint="eastAsia" w:ascii="宋体" w:hAnsi="宋体" w:cs="宋体"/>
                <w:color w:val="auto"/>
                <w:lang w:val="en-US" w:eastAsia="zh-CN"/>
              </w:rPr>
              <w:t>高坪镇</w:t>
            </w:r>
            <w:r>
              <w:rPr>
                <w:rFonts w:hint="eastAsia" w:ascii="宋体" w:hAnsi="宋体" w:eastAsia="宋体" w:cs="宋体"/>
                <w:color w:val="auto"/>
                <w:lang w:eastAsia="zh-CN"/>
              </w:rPr>
              <w:t>新兴村</w:t>
            </w:r>
          </w:p>
        </w:tc>
      </w:tr>
      <w:tr w14:paraId="006E0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4F0A7CB4">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1.1.5</w:t>
            </w:r>
          </w:p>
        </w:tc>
        <w:tc>
          <w:tcPr>
            <w:tcW w:w="998" w:type="pct"/>
            <w:vAlign w:val="center"/>
          </w:tcPr>
          <w:p w14:paraId="3E24EE5C">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建设规模</w:t>
            </w:r>
          </w:p>
        </w:tc>
        <w:tc>
          <w:tcPr>
            <w:tcW w:w="3460" w:type="pct"/>
            <w:vAlign w:val="center"/>
          </w:tcPr>
          <w:p w14:paraId="2A96C7F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u w:val="none"/>
                <w:lang w:val="en-US" w:eastAsia="zh-CN"/>
              </w:rPr>
              <w:t>本项目路线全长共1.5km，由1条主路和2条支路组成，其中主路线长0.955km，其余线路长0.545km，路面宽度为5.0m，路基宽度为5.5m。道路等级为四级公路，改造后路面类型为水泥混凝土路面；主要建设内容包括路基路面、平面交叉及交安设施工程等。具体内容以发包人提供的施工图及工程量清单所示的建设内容为准。</w:t>
            </w:r>
          </w:p>
        </w:tc>
      </w:tr>
      <w:tr w14:paraId="074E2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540" w:type="pct"/>
            <w:vAlign w:val="center"/>
          </w:tcPr>
          <w:p w14:paraId="33220ADF">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w:t>
            </w:r>
          </w:p>
        </w:tc>
        <w:tc>
          <w:tcPr>
            <w:tcW w:w="998" w:type="pct"/>
            <w:vAlign w:val="center"/>
          </w:tcPr>
          <w:p w14:paraId="548718A2">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资金来源</w:t>
            </w:r>
          </w:p>
        </w:tc>
        <w:tc>
          <w:tcPr>
            <w:tcW w:w="3460" w:type="pct"/>
            <w:vAlign w:val="center"/>
          </w:tcPr>
          <w:p w14:paraId="4F4FC9E2">
            <w:pPr>
              <w:pStyle w:val="356"/>
              <w:keepNext w:val="0"/>
              <w:keepLines w:val="0"/>
              <w:pageBreakBefore w:val="0"/>
              <w:widowControl w:val="0"/>
              <w:kinsoku/>
              <w:wordWrap/>
              <w:overflowPunct/>
              <w:topLinePunct w:val="0"/>
              <w:autoSpaceDE/>
              <w:autoSpaceDN/>
              <w:bidi w:val="0"/>
              <w:adjustRightInd/>
              <w:spacing w:line="336" w:lineRule="auto"/>
              <w:ind w:firstLine="420" w:firstLineChars="200"/>
              <w:textAlignment w:val="auto"/>
              <w:rPr>
                <w:rFonts w:hint="default" w:ascii="宋体" w:hAnsi="宋体" w:eastAsia="宋体" w:cs="宋体"/>
                <w:bCs/>
                <w:color w:val="auto"/>
                <w:szCs w:val="21"/>
                <w:highlight w:val="none"/>
                <w:lang w:val="en-US" w:eastAsia="zh-CN"/>
              </w:rPr>
            </w:pPr>
            <w:r>
              <w:rPr>
                <w:rFonts w:hint="eastAsia" w:ascii="宋体" w:hAnsi="宋体" w:cs="宋体"/>
                <w:color w:val="auto"/>
                <w:kern w:val="2"/>
                <w:sz w:val="21"/>
                <w:szCs w:val="21"/>
                <w:u w:val="none"/>
                <w:lang w:val="en-US" w:eastAsia="zh-CN" w:bidi="ar-SA"/>
              </w:rPr>
              <w:t>上级资金及区级财政资金</w:t>
            </w:r>
          </w:p>
        </w:tc>
      </w:tr>
      <w:tr w14:paraId="47A01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40" w:type="pct"/>
            <w:vAlign w:val="center"/>
          </w:tcPr>
          <w:p w14:paraId="68F59D45">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w:t>
            </w:r>
          </w:p>
        </w:tc>
        <w:tc>
          <w:tcPr>
            <w:tcW w:w="998" w:type="pct"/>
            <w:vAlign w:val="center"/>
          </w:tcPr>
          <w:p w14:paraId="433A0104">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出资比例</w:t>
            </w:r>
          </w:p>
        </w:tc>
        <w:tc>
          <w:tcPr>
            <w:tcW w:w="3460" w:type="pct"/>
            <w:vAlign w:val="center"/>
          </w:tcPr>
          <w:p w14:paraId="4B38EBB6">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tc>
      </w:tr>
      <w:tr w14:paraId="1657D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68C9CC92">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w:t>
            </w:r>
          </w:p>
        </w:tc>
        <w:tc>
          <w:tcPr>
            <w:tcW w:w="998" w:type="pct"/>
            <w:vAlign w:val="center"/>
          </w:tcPr>
          <w:p w14:paraId="6AF1145E">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资金落实情况</w:t>
            </w:r>
          </w:p>
        </w:tc>
        <w:tc>
          <w:tcPr>
            <w:tcW w:w="3460" w:type="pct"/>
            <w:vAlign w:val="center"/>
          </w:tcPr>
          <w:p w14:paraId="0F322EFF">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已落实</w:t>
            </w:r>
          </w:p>
        </w:tc>
      </w:tr>
      <w:tr w14:paraId="44DAD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0" w:type="pct"/>
            <w:vAlign w:val="center"/>
          </w:tcPr>
          <w:p w14:paraId="06BD7EFB">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w:t>
            </w:r>
          </w:p>
        </w:tc>
        <w:tc>
          <w:tcPr>
            <w:tcW w:w="998" w:type="pct"/>
            <w:vAlign w:val="center"/>
          </w:tcPr>
          <w:p w14:paraId="51E6384E">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比选范围</w:t>
            </w:r>
          </w:p>
        </w:tc>
        <w:tc>
          <w:tcPr>
            <w:tcW w:w="3460" w:type="pct"/>
            <w:vAlign w:val="center"/>
          </w:tcPr>
          <w:p w14:paraId="68EF2AB7">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包括所提供的</w:t>
            </w:r>
            <w:r>
              <w:rPr>
                <w:rFonts w:hint="eastAsia" w:ascii="宋体" w:hAnsi="宋体" w:eastAsia="宋体" w:cs="宋体"/>
                <w:color w:val="auto"/>
                <w:szCs w:val="21"/>
                <w:highlight w:val="none"/>
              </w:rPr>
              <w:t>施工图</w:t>
            </w:r>
            <w:r>
              <w:rPr>
                <w:rFonts w:hint="eastAsia" w:ascii="宋体" w:hAnsi="宋体" w:cs="宋体"/>
                <w:color w:val="auto"/>
                <w:szCs w:val="21"/>
                <w:highlight w:val="none"/>
                <w:lang w:val="en-US" w:eastAsia="zh-CN"/>
              </w:rPr>
              <w:t>所</w:t>
            </w:r>
            <w:r>
              <w:rPr>
                <w:rFonts w:hint="eastAsia" w:ascii="宋体" w:hAnsi="宋体" w:eastAsia="宋体" w:cs="宋体"/>
                <w:color w:val="auto"/>
                <w:szCs w:val="21"/>
                <w:highlight w:val="none"/>
              </w:rPr>
              <w:t>示范围内的</w:t>
            </w:r>
            <w:r>
              <w:rPr>
                <w:rFonts w:hint="eastAsia" w:ascii="宋体" w:hAnsi="宋体" w:cs="宋体"/>
                <w:color w:val="auto"/>
                <w:szCs w:val="21"/>
                <w:highlight w:val="none"/>
                <w:lang w:val="en-US" w:eastAsia="zh-CN"/>
              </w:rPr>
              <w:t>所有</w:t>
            </w:r>
            <w:r>
              <w:rPr>
                <w:rFonts w:hint="eastAsia" w:ascii="宋体" w:hAnsi="宋体" w:eastAsia="宋体" w:cs="宋体"/>
                <w:color w:val="auto"/>
                <w:szCs w:val="21"/>
                <w:highlight w:val="none"/>
              </w:rPr>
              <w:t>内容，</w:t>
            </w:r>
            <w:r>
              <w:rPr>
                <w:rFonts w:hint="eastAsia" w:ascii="宋体" w:hAnsi="宋体" w:cs="宋体"/>
                <w:color w:val="auto"/>
                <w:szCs w:val="21"/>
                <w:highlight w:val="none"/>
                <w:lang w:val="en-US" w:eastAsia="zh-CN"/>
              </w:rPr>
              <w:t>具体以</w:t>
            </w:r>
            <w:r>
              <w:rPr>
                <w:rFonts w:hint="eastAsia" w:ascii="宋体" w:hAnsi="宋体" w:eastAsia="宋体" w:cs="宋体"/>
                <w:color w:val="auto"/>
                <w:szCs w:val="21"/>
                <w:highlight w:val="none"/>
              </w:rPr>
              <w:t>发包人提供的</w:t>
            </w:r>
            <w:r>
              <w:rPr>
                <w:rFonts w:hint="eastAsia" w:ascii="宋体" w:hAnsi="宋体" w:cs="宋体"/>
                <w:color w:val="auto"/>
                <w:szCs w:val="21"/>
                <w:highlight w:val="none"/>
                <w:lang w:val="en-US" w:eastAsia="zh-CN"/>
              </w:rPr>
              <w:t>图纸、</w:t>
            </w:r>
            <w:r>
              <w:rPr>
                <w:rFonts w:hint="eastAsia" w:ascii="宋体" w:hAnsi="宋体" w:eastAsia="宋体" w:cs="宋体"/>
                <w:color w:val="auto"/>
                <w:szCs w:val="21"/>
                <w:highlight w:val="none"/>
              </w:rPr>
              <w:t>工程量清单、答疑资料、澄清资料、其他补遗资料等相关内容。</w:t>
            </w:r>
          </w:p>
        </w:tc>
      </w:tr>
      <w:tr w14:paraId="5E0E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40" w:type="pct"/>
            <w:vAlign w:val="center"/>
          </w:tcPr>
          <w:p w14:paraId="10E495A2">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w:t>
            </w:r>
          </w:p>
        </w:tc>
        <w:tc>
          <w:tcPr>
            <w:tcW w:w="998" w:type="pct"/>
            <w:vAlign w:val="center"/>
          </w:tcPr>
          <w:p w14:paraId="007170EB">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工期</w:t>
            </w:r>
          </w:p>
        </w:tc>
        <w:tc>
          <w:tcPr>
            <w:tcW w:w="3460" w:type="pct"/>
            <w:vAlign w:val="center"/>
          </w:tcPr>
          <w:p w14:paraId="300D2969">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u w:val="none"/>
                <w:lang w:val="en-US" w:eastAsia="zh-CN"/>
              </w:rPr>
              <w:t>120日历天</w:t>
            </w:r>
          </w:p>
        </w:tc>
      </w:tr>
      <w:tr w14:paraId="34A3F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40" w:type="pct"/>
            <w:vAlign w:val="center"/>
          </w:tcPr>
          <w:p w14:paraId="3BD87887">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w:t>
            </w:r>
          </w:p>
        </w:tc>
        <w:tc>
          <w:tcPr>
            <w:tcW w:w="998" w:type="pct"/>
            <w:vAlign w:val="center"/>
          </w:tcPr>
          <w:p w14:paraId="0241646F">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质量要求</w:t>
            </w:r>
          </w:p>
        </w:tc>
        <w:tc>
          <w:tcPr>
            <w:tcW w:w="3460" w:type="pct"/>
            <w:vAlign w:val="center"/>
          </w:tcPr>
          <w:p w14:paraId="52C94244">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达到国家有关验收规范规定的标准，并一次性验收合格。</w:t>
            </w:r>
          </w:p>
        </w:tc>
      </w:tr>
      <w:tr w14:paraId="726A7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35983B8B">
            <w:pPr>
              <w:keepLines w:val="0"/>
              <w:pageBreakBefore w:val="0"/>
              <w:kinsoku/>
              <w:overflowPunct/>
              <w:topLinePunct w:val="0"/>
              <w:bidi w:val="0"/>
              <w:snapToGrid w:val="0"/>
              <w:spacing w:line="336" w:lineRule="auto"/>
              <w:jc w:val="both"/>
              <w:rPr>
                <w:rFonts w:hint="eastAsia" w:ascii="宋体" w:hAnsi="宋体" w:eastAsia="宋体" w:cs="宋体"/>
                <w:color w:val="auto"/>
                <w:kern w:val="0"/>
                <w:szCs w:val="21"/>
                <w:highlight w:val="none"/>
              </w:rPr>
            </w:pPr>
          </w:p>
          <w:p w14:paraId="725050B7">
            <w:pPr>
              <w:keepLines w:val="0"/>
              <w:pageBreakBefore w:val="0"/>
              <w:kinsoku/>
              <w:overflowPunct/>
              <w:topLinePunct w:val="0"/>
              <w:bidi w:val="0"/>
              <w:snapToGrid w:val="0"/>
              <w:spacing w:line="336"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1.4.1</w:t>
            </w:r>
          </w:p>
        </w:tc>
        <w:tc>
          <w:tcPr>
            <w:tcW w:w="998" w:type="pct"/>
            <w:vAlign w:val="center"/>
          </w:tcPr>
          <w:p w14:paraId="4221439F">
            <w:pPr>
              <w:keepLines w:val="0"/>
              <w:pageBreakBefore w:val="0"/>
              <w:kinsoku/>
              <w:overflowPunct/>
              <w:topLinePunct w:val="0"/>
              <w:bidi w:val="0"/>
              <w:snapToGrid w:val="0"/>
              <w:spacing w:line="336"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投标人资质条件</w:t>
            </w:r>
          </w:p>
        </w:tc>
        <w:tc>
          <w:tcPr>
            <w:tcW w:w="3460" w:type="pct"/>
            <w:vAlign w:val="center"/>
          </w:tcPr>
          <w:p w14:paraId="1F1D7B52">
            <w:pPr>
              <w:keepNext/>
              <w:keepLines w:val="0"/>
              <w:pageBreakBefore w:val="0"/>
              <w:widowControl w:val="0"/>
              <w:kinsoku/>
              <w:wordWrap/>
              <w:overflowPunct/>
              <w:topLinePunct w:val="0"/>
              <w:bidi w:val="0"/>
              <w:adjustRightInd w:val="0"/>
              <w:snapToGrid w:val="0"/>
              <w:spacing w:line="336" w:lineRule="auto"/>
              <w:ind w:firstLine="420" w:firstLineChars="200"/>
              <w:jc w:val="left"/>
              <w:textAlignment w:val="auto"/>
              <w:rPr>
                <w:rFonts w:hint="eastAsia"/>
                <w:color w:val="auto"/>
                <w:highlight w:val="none"/>
              </w:rPr>
            </w:pPr>
            <w:r>
              <w:rPr>
                <w:rFonts w:hint="eastAsia"/>
                <w:color w:val="auto"/>
                <w:highlight w:val="none"/>
              </w:rPr>
              <w:t>1.本次招标实行资格后审，要求投标人应满足下列条件：</w:t>
            </w:r>
          </w:p>
          <w:p w14:paraId="5D47F48F">
            <w:pPr>
              <w:keepLines w:val="0"/>
              <w:pageBreakBefore w:val="0"/>
              <w:widowControl w:val="0"/>
              <w:kinsoku/>
              <w:wordWrap/>
              <w:overflowPunct/>
              <w:topLinePunct w:val="0"/>
              <w:bidi w:val="0"/>
              <w:spacing w:line="336" w:lineRule="auto"/>
              <w:ind w:firstLine="420" w:firstLineChars="200"/>
              <w:textAlignment w:val="auto"/>
              <w:rPr>
                <w:rFonts w:hint="eastAsia"/>
                <w:color w:val="auto"/>
                <w:highlight w:val="none"/>
              </w:rPr>
            </w:pPr>
            <w:r>
              <w:rPr>
                <w:rFonts w:hint="eastAsia"/>
                <w:color w:val="auto"/>
                <w:highlight w:val="none"/>
              </w:rPr>
              <w:t>（1）投标人必须具有独立法人资格。（提供营业执照副本复印件加盖投标人公章）</w:t>
            </w:r>
          </w:p>
          <w:p w14:paraId="4EDD9C8B">
            <w:pPr>
              <w:keepLines w:val="0"/>
              <w:pageBreakBefore w:val="0"/>
              <w:widowControl w:val="0"/>
              <w:kinsoku/>
              <w:wordWrap/>
              <w:overflowPunct/>
              <w:topLinePunct w:val="0"/>
              <w:bidi w:val="0"/>
              <w:spacing w:line="336" w:lineRule="auto"/>
              <w:ind w:firstLine="420" w:firstLineChars="200"/>
              <w:textAlignment w:val="auto"/>
              <w:rPr>
                <w:rFonts w:hint="eastAsia"/>
                <w:color w:val="auto"/>
                <w:highlight w:val="none"/>
                <w:lang w:val="en-US" w:eastAsia="zh-CN"/>
              </w:rPr>
            </w:pPr>
            <w:r>
              <w:rPr>
                <w:rFonts w:hint="eastAsia"/>
                <w:color w:val="auto"/>
                <w:highlight w:val="none"/>
              </w:rPr>
              <w:t>（</w:t>
            </w:r>
            <w:r>
              <w:rPr>
                <w:rFonts w:hint="eastAsia"/>
                <w:color w:val="auto"/>
                <w:highlight w:val="none"/>
                <w:lang w:val="en-US" w:eastAsia="zh-CN"/>
              </w:rPr>
              <w:t>2</w:t>
            </w:r>
            <w:r>
              <w:rPr>
                <w:rFonts w:hint="eastAsia"/>
                <w:color w:val="auto"/>
                <w:highlight w:val="none"/>
              </w:rPr>
              <w:t>）须具备建设行政主管部门颁发有效的</w:t>
            </w:r>
            <w:r>
              <w:rPr>
                <w:rFonts w:hint="eastAsia"/>
                <w:color w:val="auto"/>
                <w:highlight w:val="none"/>
                <w:lang w:val="en-US" w:eastAsia="zh-CN"/>
              </w:rPr>
              <w:t>公路工程</w:t>
            </w:r>
            <w:r>
              <w:rPr>
                <w:rFonts w:hint="eastAsia"/>
                <w:color w:val="auto"/>
                <w:highlight w:val="none"/>
              </w:rPr>
              <w:t>施工总承包叁级及以上</w:t>
            </w:r>
            <w:r>
              <w:rPr>
                <w:rFonts w:hint="eastAsia"/>
                <w:color w:val="auto"/>
                <w:highlight w:val="none"/>
                <w:lang w:val="en-US" w:eastAsia="zh-CN"/>
              </w:rPr>
              <w:t>资质。</w:t>
            </w:r>
            <w:r>
              <w:rPr>
                <w:rFonts w:hint="eastAsia" w:ascii="宋体" w:hAnsi="宋体" w:eastAsia="宋体" w:cs="宋体"/>
                <w:color w:val="auto"/>
                <w:highlight w:val="none"/>
                <w:lang w:eastAsia="zh-CN"/>
              </w:rPr>
              <w:t>（提供</w:t>
            </w:r>
            <w:r>
              <w:rPr>
                <w:rFonts w:hint="eastAsia" w:ascii="宋体" w:hAnsi="宋体" w:cs="宋体"/>
                <w:color w:val="auto"/>
                <w:highlight w:val="none"/>
                <w:lang w:val="en-US" w:eastAsia="zh-CN"/>
              </w:rPr>
              <w:t>资质</w:t>
            </w:r>
            <w:r>
              <w:rPr>
                <w:rFonts w:hint="eastAsia" w:ascii="宋体" w:hAnsi="宋体" w:eastAsia="宋体" w:cs="宋体"/>
                <w:color w:val="auto"/>
                <w:highlight w:val="none"/>
                <w:lang w:eastAsia="zh-CN"/>
              </w:rPr>
              <w:t>证书复印件并加盖公章）</w:t>
            </w:r>
          </w:p>
          <w:p w14:paraId="521BB7BA">
            <w:pPr>
              <w:keepNext w:val="0"/>
              <w:keepLines w:val="0"/>
              <w:pageBreakBefore w:val="0"/>
              <w:widowControl/>
              <w:kinsoku/>
              <w:wordWrap w:val="0"/>
              <w:overflowPunct/>
              <w:topLinePunct w:val="0"/>
              <w:autoSpaceDE/>
              <w:autoSpaceDN/>
              <w:bidi w:val="0"/>
              <w:adjustRightInd/>
              <w:snapToGrid/>
              <w:spacing w:line="336" w:lineRule="auto"/>
              <w:ind w:firstLine="420" w:firstLineChars="200"/>
              <w:textAlignment w:val="auto"/>
              <w:rPr>
                <w:rFonts w:hint="eastAsia" w:ascii="宋体" w:hAnsi="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3</w:t>
            </w:r>
            <w:r>
              <w:rPr>
                <w:rFonts w:hint="eastAsia" w:ascii="宋体" w:hAnsi="宋体" w:cs="宋体"/>
                <w:color w:val="auto"/>
                <w:highlight w:val="none"/>
                <w:lang w:eastAsia="zh-CN"/>
              </w:rPr>
              <w:t>）</w:t>
            </w:r>
            <w:r>
              <w:rPr>
                <w:rFonts w:hint="eastAsia" w:ascii="宋体" w:hAnsi="宋体" w:eastAsia="宋体" w:cs="宋体"/>
                <w:color w:val="auto"/>
                <w:highlight w:val="none"/>
                <w:lang w:eastAsia="zh-CN"/>
              </w:rPr>
              <w:t>具备建设行政主管部门颁发的有效的安全生产许可证。（提供证书复印件并加盖公章）</w:t>
            </w:r>
            <w:r>
              <w:rPr>
                <w:rFonts w:hint="eastAsia" w:ascii="宋体" w:hAnsi="宋体" w:cs="宋体"/>
                <w:color w:val="auto"/>
                <w:highlight w:val="none"/>
                <w:lang w:eastAsia="zh-CN"/>
              </w:rPr>
              <w:t>。</w:t>
            </w:r>
          </w:p>
          <w:p w14:paraId="790A3673">
            <w:pPr>
              <w:tabs>
                <w:tab w:val="left" w:pos="3840"/>
                <w:tab w:val="left" w:pos="5300"/>
              </w:tabs>
              <w:autoSpaceDE w:val="0"/>
              <w:autoSpaceDN w:val="0"/>
              <w:adjustRightInd w:val="0"/>
              <w:snapToGrid w:val="0"/>
              <w:spacing w:line="360" w:lineRule="auto"/>
              <w:ind w:firstLine="420" w:firstLineChars="200"/>
              <w:jc w:val="left"/>
              <w:rPr>
                <w:rFonts w:hint="eastAsia"/>
                <w:lang w:eastAsia="zh-CN"/>
              </w:rPr>
            </w:pP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lang w:val="en-US" w:eastAsia="zh-CN"/>
              </w:rPr>
              <w:t>4</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rPr>
              <w:t>投标人还应在人员、设备、资金等方面具有相应的施工能力，详见招标文件第二章投标人须知前附表第1.4.1项内容。</w:t>
            </w:r>
          </w:p>
          <w:p w14:paraId="0AFC44ED">
            <w:pPr>
              <w:keepLines w:val="0"/>
              <w:pageBreakBefore w:val="0"/>
              <w:widowControl w:val="0"/>
              <w:kinsoku/>
              <w:wordWrap/>
              <w:overflowPunct/>
              <w:topLinePunct w:val="0"/>
              <w:autoSpaceDE w:val="0"/>
              <w:autoSpaceDN w:val="0"/>
              <w:bidi w:val="0"/>
              <w:adjustRightInd w:val="0"/>
              <w:snapToGrid w:val="0"/>
              <w:spacing w:line="336"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2.投标资格情况要求</w:t>
            </w:r>
          </w:p>
          <w:p w14:paraId="577EDE1F">
            <w:pPr>
              <w:keepNext/>
              <w:keepLines w:val="0"/>
              <w:pageBreakBefore w:val="0"/>
              <w:widowControl w:val="0"/>
              <w:kinsoku/>
              <w:wordWrap/>
              <w:overflowPunct/>
              <w:topLinePunct w:val="0"/>
              <w:bidi w:val="0"/>
              <w:adjustRightInd w:val="0"/>
              <w:snapToGrid w:val="0"/>
              <w:spacing w:line="336" w:lineRule="auto"/>
              <w:ind w:firstLine="420" w:firstLineChars="200"/>
              <w:jc w:val="left"/>
              <w:textAlignment w:val="auto"/>
              <w:rPr>
                <w:rFonts w:hint="eastAsia"/>
                <w:color w:val="auto"/>
                <w:highlight w:val="none"/>
                <w:lang w:val="en-US" w:eastAsia="zh-CN"/>
              </w:rPr>
            </w:pPr>
            <w:r>
              <w:rPr>
                <w:rFonts w:hint="eastAsia" w:ascii="Times New Roman" w:hAnsi="Times New Roman" w:cs="Times New Roman"/>
                <w:color w:val="auto"/>
                <w:highlight w:val="none"/>
                <w:lang w:val="en-US" w:eastAsia="zh-CN"/>
              </w:rPr>
              <w:t>投标人自行承诺（承诺书格式详见投标文件格式）满足以下条件：</w:t>
            </w:r>
          </w:p>
          <w:p w14:paraId="726ABDE7">
            <w:pPr>
              <w:keepNext w:val="0"/>
              <w:keepLines w:val="0"/>
              <w:pageBreakBefore w:val="0"/>
              <w:widowControl/>
              <w:kinsoku/>
              <w:wordWrap w:val="0"/>
              <w:overflowPunct/>
              <w:topLinePunct w:val="0"/>
              <w:autoSpaceDE/>
              <w:autoSpaceDN/>
              <w:bidi w:val="0"/>
              <w:adjustRightInd/>
              <w:snapToGrid/>
              <w:spacing w:line="336"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1.具有独立承担民事责任的能力；</w:t>
            </w:r>
          </w:p>
          <w:p w14:paraId="3A646478">
            <w:pPr>
              <w:keepNext w:val="0"/>
              <w:keepLines w:val="0"/>
              <w:pageBreakBefore w:val="0"/>
              <w:widowControl/>
              <w:kinsoku/>
              <w:wordWrap w:val="0"/>
              <w:overflowPunct/>
              <w:topLinePunct w:val="0"/>
              <w:autoSpaceDE/>
              <w:autoSpaceDN/>
              <w:bidi w:val="0"/>
              <w:adjustRightInd/>
              <w:snapToGrid/>
              <w:spacing w:line="336"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2.具有良好的商业信誉和健全的财务会计制度；</w:t>
            </w:r>
          </w:p>
          <w:p w14:paraId="22AF4DB0">
            <w:pPr>
              <w:keepNext w:val="0"/>
              <w:keepLines w:val="0"/>
              <w:pageBreakBefore w:val="0"/>
              <w:widowControl/>
              <w:kinsoku/>
              <w:wordWrap w:val="0"/>
              <w:overflowPunct/>
              <w:topLinePunct w:val="0"/>
              <w:autoSpaceDE/>
              <w:autoSpaceDN/>
              <w:bidi w:val="0"/>
              <w:adjustRightInd/>
              <w:snapToGrid/>
              <w:spacing w:line="336"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3.具有履行合同所必需的设备和专业技术能力；</w:t>
            </w:r>
          </w:p>
          <w:p w14:paraId="1C1A820A">
            <w:pPr>
              <w:keepNext w:val="0"/>
              <w:keepLines w:val="0"/>
              <w:pageBreakBefore w:val="0"/>
              <w:widowControl/>
              <w:kinsoku/>
              <w:wordWrap w:val="0"/>
              <w:overflowPunct/>
              <w:topLinePunct w:val="0"/>
              <w:autoSpaceDE/>
              <w:autoSpaceDN/>
              <w:bidi w:val="0"/>
              <w:adjustRightInd/>
              <w:snapToGrid/>
              <w:spacing w:line="336"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4.有依法缴纳税收的良好记录；</w:t>
            </w:r>
          </w:p>
          <w:p w14:paraId="2666BCC8">
            <w:pPr>
              <w:keepNext w:val="0"/>
              <w:keepLines w:val="0"/>
              <w:pageBreakBefore w:val="0"/>
              <w:widowControl/>
              <w:kinsoku/>
              <w:wordWrap w:val="0"/>
              <w:overflowPunct/>
              <w:topLinePunct w:val="0"/>
              <w:autoSpaceDE/>
              <w:autoSpaceDN/>
              <w:bidi w:val="0"/>
              <w:adjustRightInd/>
              <w:snapToGrid/>
              <w:spacing w:line="336"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5.参加政府采购活动前三年内，在经营活动中没有重大违法记录；</w:t>
            </w:r>
          </w:p>
          <w:p w14:paraId="7AFDFC49">
            <w:pPr>
              <w:keepNext w:val="0"/>
              <w:keepLines w:val="0"/>
              <w:pageBreakBefore w:val="0"/>
              <w:widowControl/>
              <w:kinsoku/>
              <w:wordWrap w:val="0"/>
              <w:overflowPunct/>
              <w:topLinePunct w:val="0"/>
              <w:autoSpaceDE/>
              <w:autoSpaceDN/>
              <w:bidi w:val="0"/>
              <w:adjustRightInd/>
              <w:snapToGrid/>
              <w:spacing w:line="336" w:lineRule="auto"/>
              <w:ind w:firstLine="480"/>
              <w:textAlignment w:val="auto"/>
              <w:rPr>
                <w:rFonts w:hint="default"/>
                <w:color w:val="auto"/>
                <w:highlight w:val="none"/>
                <w:lang w:val="en-US" w:eastAsia="zh-CN"/>
              </w:rPr>
            </w:pPr>
            <w:r>
              <w:rPr>
                <w:rFonts w:hint="eastAsia" w:ascii="宋体" w:hAnsi="宋体" w:eastAsia="宋体" w:cs="宋体"/>
                <w:color w:val="auto"/>
                <w:highlight w:val="none"/>
              </w:rPr>
              <w:t>6.法律、行政法规规定的其他条件。</w:t>
            </w:r>
          </w:p>
        </w:tc>
      </w:tr>
      <w:tr w14:paraId="680FE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4E4AD487">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1.4.2</w:t>
            </w:r>
          </w:p>
        </w:tc>
        <w:tc>
          <w:tcPr>
            <w:tcW w:w="998" w:type="pct"/>
            <w:vAlign w:val="center"/>
          </w:tcPr>
          <w:p w14:paraId="268EFA15">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是否接受联合体投标</w:t>
            </w:r>
          </w:p>
        </w:tc>
        <w:tc>
          <w:tcPr>
            <w:tcW w:w="3460" w:type="pct"/>
            <w:vAlign w:val="center"/>
          </w:tcPr>
          <w:p w14:paraId="54FDB325">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不接受。</w:t>
            </w:r>
          </w:p>
        </w:tc>
      </w:tr>
      <w:tr w14:paraId="3B52E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40" w:type="pct"/>
            <w:vAlign w:val="center"/>
          </w:tcPr>
          <w:p w14:paraId="78D35F95">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1.9.1</w:t>
            </w:r>
          </w:p>
        </w:tc>
        <w:tc>
          <w:tcPr>
            <w:tcW w:w="998" w:type="pct"/>
            <w:vAlign w:val="center"/>
          </w:tcPr>
          <w:p w14:paraId="15F990DA">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踏勘现场</w:t>
            </w:r>
          </w:p>
        </w:tc>
        <w:tc>
          <w:tcPr>
            <w:tcW w:w="3460" w:type="pct"/>
            <w:vAlign w:val="center"/>
          </w:tcPr>
          <w:p w14:paraId="5588C185">
            <w:pPr>
              <w:keepNext w:val="0"/>
              <w:keepLines w:val="0"/>
              <w:pageBreakBefore w:val="0"/>
              <w:widowControl w:val="0"/>
              <w:kinsoku/>
              <w:wordWrap/>
              <w:overflowPunct/>
              <w:topLinePunct w:val="0"/>
              <w:autoSpaceDE/>
              <w:autoSpaceDN/>
              <w:bidi w:val="0"/>
              <w:adjustRightInd/>
              <w:snapToGrid w:val="0"/>
              <w:spacing w:line="336"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不组织。</w:t>
            </w:r>
          </w:p>
        </w:tc>
      </w:tr>
      <w:tr w14:paraId="0DA5F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540" w:type="pct"/>
            <w:vAlign w:val="center"/>
          </w:tcPr>
          <w:p w14:paraId="3F4F8BE0">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1.10.1</w:t>
            </w:r>
          </w:p>
        </w:tc>
        <w:tc>
          <w:tcPr>
            <w:tcW w:w="998" w:type="pct"/>
            <w:vAlign w:val="center"/>
          </w:tcPr>
          <w:p w14:paraId="28678BFE">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投标预备会</w:t>
            </w:r>
          </w:p>
        </w:tc>
        <w:tc>
          <w:tcPr>
            <w:tcW w:w="3460" w:type="pct"/>
            <w:vAlign w:val="center"/>
          </w:tcPr>
          <w:p w14:paraId="15709CD1">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不召开。</w:t>
            </w:r>
          </w:p>
        </w:tc>
      </w:tr>
      <w:tr w14:paraId="5DAF6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40" w:type="pct"/>
            <w:vAlign w:val="center"/>
          </w:tcPr>
          <w:p w14:paraId="12D1CBC9">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1.11</w:t>
            </w:r>
          </w:p>
        </w:tc>
        <w:tc>
          <w:tcPr>
            <w:tcW w:w="998" w:type="pct"/>
            <w:vAlign w:val="center"/>
          </w:tcPr>
          <w:p w14:paraId="5DA24875">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分包</w:t>
            </w:r>
          </w:p>
        </w:tc>
        <w:tc>
          <w:tcPr>
            <w:tcW w:w="3460" w:type="pct"/>
            <w:vAlign w:val="center"/>
          </w:tcPr>
          <w:p w14:paraId="0D49482C">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不允许。</w:t>
            </w:r>
          </w:p>
        </w:tc>
      </w:tr>
      <w:tr w14:paraId="61202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40" w:type="pct"/>
            <w:vAlign w:val="center"/>
          </w:tcPr>
          <w:p w14:paraId="4ACD8931">
            <w:pPr>
              <w:keepNext w:val="0"/>
              <w:keepLines w:val="0"/>
              <w:pageBreakBefore w:val="0"/>
              <w:widowControl w:val="0"/>
              <w:kinsoku/>
              <w:wordWrap/>
              <w:overflowPunct/>
              <w:topLinePunct w:val="0"/>
              <w:autoSpaceDE/>
              <w:autoSpaceDN/>
              <w:bidi w:val="0"/>
              <w:adjustRightInd/>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1.12</w:t>
            </w:r>
          </w:p>
        </w:tc>
        <w:tc>
          <w:tcPr>
            <w:tcW w:w="998" w:type="pct"/>
            <w:vAlign w:val="center"/>
          </w:tcPr>
          <w:p w14:paraId="1974D757">
            <w:pPr>
              <w:keepNext w:val="0"/>
              <w:keepLines w:val="0"/>
              <w:pageBreakBefore w:val="0"/>
              <w:widowControl w:val="0"/>
              <w:kinsoku/>
              <w:wordWrap/>
              <w:overflowPunct/>
              <w:topLinePunct w:val="0"/>
              <w:autoSpaceDE/>
              <w:autoSpaceDN/>
              <w:bidi w:val="0"/>
              <w:adjustRightInd/>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允许投标文件偏离范围和幅度</w:t>
            </w:r>
          </w:p>
        </w:tc>
        <w:tc>
          <w:tcPr>
            <w:tcW w:w="3460" w:type="pct"/>
            <w:vAlign w:val="center"/>
          </w:tcPr>
          <w:p w14:paraId="2E120461">
            <w:pPr>
              <w:pStyle w:val="328"/>
              <w:keepNext w:val="0"/>
              <w:keepLines w:val="0"/>
              <w:pageBreakBefore w:val="0"/>
              <w:widowControl w:val="0"/>
              <w:kinsoku/>
              <w:wordWrap/>
              <w:overflowPunct/>
              <w:topLinePunct w:val="0"/>
              <w:autoSpaceDE/>
              <w:autoSpaceDN/>
              <w:bidi w:val="0"/>
              <w:adjustRightInd/>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14:paraId="0B262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540" w:type="pct"/>
            <w:vAlign w:val="center"/>
          </w:tcPr>
          <w:p w14:paraId="48E5B2A7">
            <w:pPr>
              <w:keepLines w:val="0"/>
              <w:pageBreakBefore w:val="0"/>
              <w:kinsoku/>
              <w:overflowPunct/>
              <w:topLinePunct w:val="0"/>
              <w:bidi w:val="0"/>
              <w:spacing w:line="336"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2.1</w:t>
            </w:r>
          </w:p>
        </w:tc>
        <w:tc>
          <w:tcPr>
            <w:tcW w:w="998" w:type="pct"/>
            <w:vAlign w:val="center"/>
          </w:tcPr>
          <w:p w14:paraId="1918622B">
            <w:pPr>
              <w:keepLines w:val="0"/>
              <w:pageBreakBefore w:val="0"/>
              <w:kinsoku/>
              <w:overflowPunct/>
              <w:topLinePunct w:val="0"/>
              <w:bidi w:val="0"/>
              <w:spacing w:line="336"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比选文件的组成</w:t>
            </w:r>
          </w:p>
        </w:tc>
        <w:tc>
          <w:tcPr>
            <w:tcW w:w="3460" w:type="pct"/>
            <w:vAlign w:val="center"/>
          </w:tcPr>
          <w:p w14:paraId="7174B2C3">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第一章 比选公告</w:t>
            </w:r>
          </w:p>
          <w:p w14:paraId="085775E6">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第二章 投标人须知</w:t>
            </w:r>
          </w:p>
          <w:p w14:paraId="080A76EE">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第三章 评标办法</w:t>
            </w:r>
          </w:p>
          <w:p w14:paraId="725867A4">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第四章 合同条款及格式</w:t>
            </w:r>
          </w:p>
          <w:p w14:paraId="5F94985F">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第五章 技术要求</w:t>
            </w:r>
          </w:p>
          <w:p w14:paraId="6B86BD05">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第六章 商务需求</w:t>
            </w:r>
          </w:p>
          <w:p w14:paraId="5D4F9B3F">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第七章 投标文件格式</w:t>
            </w:r>
          </w:p>
        </w:tc>
      </w:tr>
      <w:tr w14:paraId="4E332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trPr>
        <w:tc>
          <w:tcPr>
            <w:tcW w:w="540" w:type="pct"/>
            <w:vAlign w:val="center"/>
          </w:tcPr>
          <w:p w14:paraId="5CEC8525">
            <w:pPr>
              <w:keepNext w:val="0"/>
              <w:keepLines w:val="0"/>
              <w:pageBreakBefore w:val="0"/>
              <w:kinsoku/>
              <w:wordWrap/>
              <w:overflowPunct/>
              <w:topLinePunct w:val="0"/>
              <w:autoSpaceDE/>
              <w:autoSpaceDN/>
              <w:bidi w:val="0"/>
              <w:adjustRightInd/>
              <w:spacing w:line="336"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998" w:type="pct"/>
            <w:vAlign w:val="center"/>
          </w:tcPr>
          <w:p w14:paraId="674A28D0">
            <w:pPr>
              <w:keepNext w:val="0"/>
              <w:keepLines w:val="0"/>
              <w:pageBreakBefore w:val="0"/>
              <w:kinsoku/>
              <w:wordWrap/>
              <w:overflowPunct/>
              <w:topLinePunct w:val="0"/>
              <w:autoSpaceDE/>
              <w:autoSpaceDN/>
              <w:bidi w:val="0"/>
              <w:adjustRightInd/>
              <w:spacing w:line="336"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比选文件的澄清和修改</w:t>
            </w:r>
          </w:p>
        </w:tc>
        <w:tc>
          <w:tcPr>
            <w:tcW w:w="3460" w:type="pct"/>
            <w:vAlign w:val="center"/>
          </w:tcPr>
          <w:p w14:paraId="178C7B50">
            <w:pPr>
              <w:pStyle w:val="2"/>
              <w:keepNext w:val="0"/>
              <w:keepLines w:val="0"/>
              <w:pageBreakBefore w:val="0"/>
              <w:kinsoku/>
              <w:wordWrap/>
              <w:overflowPunct/>
              <w:topLinePunct w:val="0"/>
              <w:autoSpaceDE/>
              <w:autoSpaceDN/>
              <w:bidi w:val="0"/>
              <w:adjustRightInd/>
              <w:spacing w:line="336"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 w:val="21"/>
                <w:highlight w:val="none"/>
              </w:rPr>
              <w:t>投标人在下载比选文件后，若对本比选文件有疑问需要进行澄清时，请书面通知招标人，截止时间202</w:t>
            </w:r>
            <w:r>
              <w:rPr>
                <w:rFonts w:hint="eastAsia" w:ascii="宋体" w:hAnsi="宋体" w:cs="宋体"/>
                <w:color w:val="auto"/>
                <w:sz w:val="21"/>
                <w:highlight w:val="none"/>
                <w:lang w:val="en-US" w:eastAsia="zh-CN"/>
              </w:rPr>
              <w:t>5</w:t>
            </w:r>
            <w:r>
              <w:rPr>
                <w:rFonts w:hint="eastAsia" w:ascii="宋体" w:hAnsi="宋体" w:eastAsia="宋体" w:cs="宋体"/>
                <w:color w:val="auto"/>
                <w:sz w:val="21"/>
                <w:highlight w:val="none"/>
              </w:rPr>
              <w:t>年</w:t>
            </w:r>
            <w:r>
              <w:rPr>
                <w:rFonts w:hint="eastAsia" w:ascii="宋体" w:hAnsi="宋体" w:cs="宋体"/>
                <w:color w:val="auto"/>
                <w:sz w:val="21"/>
                <w:highlight w:val="none"/>
                <w:lang w:val="en-US" w:eastAsia="zh-CN"/>
              </w:rPr>
              <w:t>10</w:t>
            </w:r>
            <w:r>
              <w:rPr>
                <w:rFonts w:hint="eastAsia" w:ascii="宋体" w:hAnsi="宋体" w:eastAsia="宋体" w:cs="宋体"/>
                <w:color w:val="auto"/>
                <w:sz w:val="21"/>
                <w:highlight w:val="none"/>
              </w:rPr>
              <w:t>月</w:t>
            </w:r>
            <w:r>
              <w:rPr>
                <w:rFonts w:hint="eastAsia" w:ascii="宋体" w:hAnsi="宋体" w:cs="宋体"/>
                <w:color w:val="auto"/>
                <w:sz w:val="21"/>
                <w:highlight w:val="none"/>
                <w:lang w:val="en-US" w:eastAsia="zh-CN"/>
              </w:rPr>
              <w:t xml:space="preserve">30 </w:t>
            </w:r>
            <w:r>
              <w:rPr>
                <w:rFonts w:hint="eastAsia" w:ascii="宋体" w:hAnsi="宋体" w:eastAsia="宋体" w:cs="宋体"/>
                <w:color w:val="auto"/>
                <w:sz w:val="21"/>
                <w:highlight w:val="none"/>
              </w:rPr>
              <w:t>日</w:t>
            </w:r>
            <w:r>
              <w:rPr>
                <w:rFonts w:hint="eastAsia" w:ascii="宋体" w:hAnsi="宋体" w:cs="宋体"/>
                <w:color w:val="auto"/>
                <w:sz w:val="21"/>
                <w:highlight w:val="none"/>
                <w:lang w:val="en-US" w:eastAsia="zh-CN"/>
              </w:rPr>
              <w:t>17</w:t>
            </w:r>
            <w:r>
              <w:rPr>
                <w:rFonts w:hint="eastAsia" w:ascii="宋体" w:hAnsi="宋体" w:eastAsia="宋体" w:cs="宋体"/>
                <w:color w:val="auto"/>
                <w:sz w:val="21"/>
                <w:highlight w:val="none"/>
              </w:rPr>
              <w:t>时</w:t>
            </w:r>
            <w:r>
              <w:rPr>
                <w:rFonts w:hint="eastAsia" w:ascii="宋体" w:hAnsi="宋体" w:cs="宋体"/>
                <w:color w:val="auto"/>
                <w:sz w:val="21"/>
                <w:highlight w:val="none"/>
                <w:lang w:val="en-US" w:eastAsia="zh-CN"/>
              </w:rPr>
              <w:t>00</w:t>
            </w:r>
            <w:r>
              <w:rPr>
                <w:rFonts w:hint="eastAsia" w:ascii="宋体" w:hAnsi="宋体" w:eastAsia="宋体" w:cs="宋体"/>
                <w:color w:val="auto"/>
                <w:sz w:val="21"/>
                <w:highlight w:val="none"/>
                <w:lang w:val="en-US" w:eastAsia="zh-CN"/>
              </w:rPr>
              <w:t>分</w:t>
            </w:r>
            <w:r>
              <w:rPr>
                <w:rFonts w:hint="eastAsia" w:ascii="宋体" w:hAnsi="宋体" w:eastAsia="宋体" w:cs="宋体"/>
                <w:color w:val="auto"/>
                <w:sz w:val="21"/>
                <w:highlight w:val="none"/>
              </w:rPr>
              <w:t>。招标人在认为有必要对投标人所提问题进行答复时或对比选文件进行补充时，应在行采家（https://www.gec123.com/）网上作出答复，并将答复内容和补充内容作为比选文件的补充部分，答疑截止时间202</w:t>
            </w:r>
            <w:r>
              <w:rPr>
                <w:rFonts w:hint="eastAsia" w:ascii="宋体" w:hAnsi="宋体" w:cs="宋体"/>
                <w:color w:val="auto"/>
                <w:sz w:val="21"/>
                <w:highlight w:val="none"/>
                <w:lang w:val="en-US" w:eastAsia="zh-CN"/>
              </w:rPr>
              <w:t>5</w:t>
            </w:r>
            <w:r>
              <w:rPr>
                <w:rFonts w:hint="eastAsia" w:ascii="宋体" w:hAnsi="宋体" w:eastAsia="宋体" w:cs="宋体"/>
                <w:color w:val="auto"/>
                <w:sz w:val="21"/>
                <w:highlight w:val="none"/>
              </w:rPr>
              <w:t>年</w:t>
            </w:r>
            <w:r>
              <w:rPr>
                <w:rFonts w:hint="eastAsia" w:ascii="宋体" w:hAnsi="宋体" w:cs="宋体"/>
                <w:color w:val="auto"/>
                <w:sz w:val="21"/>
                <w:highlight w:val="none"/>
                <w:lang w:val="en-US" w:eastAsia="zh-CN"/>
              </w:rPr>
              <w:t>10</w:t>
            </w:r>
            <w:r>
              <w:rPr>
                <w:rFonts w:hint="eastAsia" w:ascii="宋体" w:hAnsi="宋体" w:eastAsia="宋体" w:cs="宋体"/>
                <w:color w:val="auto"/>
                <w:sz w:val="21"/>
                <w:highlight w:val="none"/>
              </w:rPr>
              <w:t>月</w:t>
            </w:r>
            <w:r>
              <w:rPr>
                <w:rFonts w:hint="eastAsia" w:ascii="宋体" w:hAnsi="宋体" w:cs="宋体"/>
                <w:color w:val="auto"/>
                <w:sz w:val="21"/>
                <w:highlight w:val="none"/>
                <w:lang w:val="en-US" w:eastAsia="zh-CN"/>
              </w:rPr>
              <w:t>31</w:t>
            </w:r>
            <w:r>
              <w:rPr>
                <w:rFonts w:hint="eastAsia" w:ascii="宋体" w:hAnsi="宋体" w:eastAsia="宋体" w:cs="宋体"/>
                <w:color w:val="auto"/>
                <w:sz w:val="21"/>
                <w:highlight w:val="none"/>
              </w:rPr>
              <w:t>日</w:t>
            </w:r>
            <w:r>
              <w:rPr>
                <w:rFonts w:hint="eastAsia" w:ascii="宋体" w:hAnsi="宋体" w:cs="宋体"/>
                <w:color w:val="auto"/>
                <w:sz w:val="21"/>
                <w:highlight w:val="none"/>
                <w:lang w:val="en-US" w:eastAsia="zh-CN"/>
              </w:rPr>
              <w:t>12</w:t>
            </w:r>
            <w:r>
              <w:rPr>
                <w:rFonts w:hint="eastAsia" w:ascii="宋体" w:hAnsi="宋体" w:eastAsia="宋体" w:cs="宋体"/>
                <w:color w:val="auto"/>
                <w:sz w:val="21"/>
                <w:highlight w:val="none"/>
              </w:rPr>
              <w:t>时</w:t>
            </w:r>
            <w:r>
              <w:rPr>
                <w:rFonts w:hint="eastAsia" w:ascii="宋体" w:hAnsi="宋体" w:cs="宋体"/>
                <w:color w:val="auto"/>
                <w:sz w:val="21"/>
                <w:highlight w:val="none"/>
                <w:lang w:val="en-US" w:eastAsia="zh-CN"/>
              </w:rPr>
              <w:t>00</w:t>
            </w:r>
            <w:r>
              <w:rPr>
                <w:rFonts w:hint="eastAsia" w:ascii="宋体" w:hAnsi="宋体" w:eastAsia="宋体" w:cs="宋体"/>
                <w:color w:val="auto"/>
                <w:sz w:val="21"/>
                <w:highlight w:val="none"/>
                <w:lang w:val="en-US" w:eastAsia="zh-CN"/>
              </w:rPr>
              <w:t>分</w:t>
            </w:r>
            <w:r>
              <w:rPr>
                <w:rFonts w:hint="eastAsia" w:ascii="宋体" w:hAnsi="宋体" w:eastAsia="宋体" w:cs="宋体"/>
                <w:color w:val="auto"/>
                <w:sz w:val="21"/>
                <w:highlight w:val="none"/>
              </w:rPr>
              <w:t>前。无论投标人是否在行采家（https://www.gec123.com/）网上下载比选文件答疑内容和补充内容，招标人视为投标人收到比选文件全部答疑内容和补充内容，由此产生的一切后果均由投标人自负。</w:t>
            </w:r>
          </w:p>
        </w:tc>
      </w:tr>
      <w:tr w14:paraId="07E67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540" w:type="pct"/>
            <w:vAlign w:val="center"/>
          </w:tcPr>
          <w:p w14:paraId="282F13CA">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bookmarkStart w:id="64" w:name="_Hlt227984024"/>
            <w:bookmarkEnd w:id="64"/>
            <w:r>
              <w:rPr>
                <w:rFonts w:hint="eastAsia" w:ascii="宋体" w:hAnsi="宋体" w:eastAsia="宋体" w:cs="宋体"/>
                <w:color w:val="auto"/>
                <w:kern w:val="0"/>
                <w:szCs w:val="21"/>
                <w:highlight w:val="none"/>
              </w:rPr>
              <w:t>3.1</w:t>
            </w:r>
            <w:bookmarkStart w:id="65" w:name="_Hlt227983889"/>
            <w:bookmarkEnd w:id="65"/>
            <w:bookmarkStart w:id="66" w:name="_Hlt227983924"/>
            <w:bookmarkEnd w:id="66"/>
          </w:p>
        </w:tc>
        <w:tc>
          <w:tcPr>
            <w:tcW w:w="998" w:type="pct"/>
            <w:vAlign w:val="center"/>
          </w:tcPr>
          <w:p w14:paraId="5EB0E533">
            <w:pPr>
              <w:keepNext w:val="0"/>
              <w:keepLines w:val="0"/>
              <w:pageBreakBefore w:val="0"/>
              <w:kinsoku/>
              <w:wordWrap/>
              <w:overflowPunct/>
              <w:topLinePunct w:val="0"/>
              <w:autoSpaceDE/>
              <w:autoSpaceDN/>
              <w:bidi w:val="0"/>
              <w:adjustRightInd/>
              <w:spacing w:before="73" w:line="336" w:lineRule="auto"/>
              <w:ind w:right="-2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构成投标文件的其他材料</w:t>
            </w:r>
          </w:p>
        </w:tc>
        <w:tc>
          <w:tcPr>
            <w:tcW w:w="3460" w:type="pct"/>
            <w:vAlign w:val="center"/>
          </w:tcPr>
          <w:p w14:paraId="7B531D9C">
            <w:pPr>
              <w:keepNext w:val="0"/>
              <w:keepLines w:val="0"/>
              <w:pageBreakBefore w:val="0"/>
              <w:kinsoku/>
              <w:wordWrap/>
              <w:overflowPunct/>
              <w:topLinePunct w:val="0"/>
              <w:autoSpaceDE/>
              <w:autoSpaceDN/>
              <w:bidi w:val="0"/>
              <w:adjustRightInd/>
              <w:spacing w:line="336"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比选文件规定的和投标人认为应该提供的所有材料。</w:t>
            </w:r>
          </w:p>
        </w:tc>
      </w:tr>
      <w:tr w14:paraId="673F8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4630DDFC">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3.2.1</w:t>
            </w:r>
          </w:p>
        </w:tc>
        <w:tc>
          <w:tcPr>
            <w:tcW w:w="998" w:type="pct"/>
            <w:vAlign w:val="center"/>
          </w:tcPr>
          <w:p w14:paraId="2DA6F906">
            <w:pPr>
              <w:keepNext w:val="0"/>
              <w:keepLines w:val="0"/>
              <w:pageBreakBefore w:val="0"/>
              <w:kinsoku/>
              <w:wordWrap/>
              <w:overflowPunct/>
              <w:topLinePunct w:val="0"/>
              <w:autoSpaceDE/>
              <w:autoSpaceDN/>
              <w:bidi w:val="0"/>
              <w:adjustRightInd/>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投标报价</w:t>
            </w:r>
          </w:p>
        </w:tc>
        <w:tc>
          <w:tcPr>
            <w:tcW w:w="3460" w:type="pct"/>
            <w:vAlign w:val="center"/>
          </w:tcPr>
          <w:p w14:paraId="22A66908">
            <w:pPr>
              <w:keepNext w:val="0"/>
              <w:keepLines w:val="0"/>
              <w:pageBreakBefore w:val="0"/>
              <w:kinsoku/>
              <w:wordWrap/>
              <w:overflowPunct/>
              <w:topLinePunct w:val="0"/>
              <w:autoSpaceDE/>
              <w:autoSpaceDN/>
              <w:bidi w:val="0"/>
              <w:adjustRightInd/>
              <w:spacing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1.投标人的投标报价应是本章投标人须知前附表1.3.1项中所述的</w:t>
            </w:r>
            <w:r>
              <w:rPr>
                <w:rFonts w:hint="eastAsia" w:ascii="宋体" w:hAnsi="宋体" w:eastAsia="宋体" w:cs="宋体"/>
                <w:color w:val="auto"/>
                <w:kern w:val="0"/>
                <w:szCs w:val="21"/>
                <w:highlight w:val="none"/>
              </w:rPr>
              <w:t>比选</w:t>
            </w:r>
            <w:r>
              <w:rPr>
                <w:rFonts w:hint="eastAsia" w:ascii="宋体" w:hAnsi="宋体" w:eastAsia="宋体" w:cs="宋体"/>
                <w:color w:val="auto"/>
                <w:szCs w:val="21"/>
                <w:highlight w:val="none"/>
              </w:rPr>
              <w:t>范围内的全部工程的投标报价，并以投标人在工程量清单中提出的单价或总价为依据。</w:t>
            </w:r>
          </w:p>
          <w:p w14:paraId="59BA0461">
            <w:pPr>
              <w:keepNext w:val="0"/>
              <w:keepLines w:val="0"/>
              <w:pageBreakBefore w:val="0"/>
              <w:kinsoku/>
              <w:wordWrap/>
              <w:overflowPunct/>
              <w:topLinePunct w:val="0"/>
              <w:autoSpaceDE/>
              <w:autoSpaceDN/>
              <w:bidi w:val="0"/>
              <w:adjustRightInd/>
              <w:spacing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2.投标人竞争性比选报价函中的总报价必须与工程量清单总报价一致。</w:t>
            </w:r>
          </w:p>
          <w:p w14:paraId="3E62CFA1">
            <w:pPr>
              <w:keepNext w:val="0"/>
              <w:keepLines w:val="0"/>
              <w:pageBreakBefore w:val="0"/>
              <w:widowControl/>
              <w:suppressLineNumbers w:val="0"/>
              <w:kinsoku/>
              <w:overflowPunct/>
              <w:topLinePunct w:val="0"/>
              <w:bidi w:val="0"/>
              <w:spacing w:line="336"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3.本工程竞争性比选将设置最高限价，最高限价为：</w:t>
            </w:r>
            <w:r>
              <w:rPr>
                <w:rFonts w:hint="eastAsia" w:ascii="宋体" w:hAnsi="宋体" w:eastAsia="宋体" w:cs="宋体"/>
                <w:b/>
                <w:bCs/>
                <w:color w:val="auto"/>
                <w:szCs w:val="21"/>
                <w:highlight w:val="none"/>
                <w:u w:val="single"/>
              </w:rPr>
              <w:t>906753</w:t>
            </w:r>
            <w:r>
              <w:rPr>
                <w:rFonts w:hint="eastAsia" w:ascii="宋体" w:hAnsi="宋体" w:cs="宋体"/>
                <w:b/>
                <w:bCs/>
                <w:color w:val="auto"/>
                <w:szCs w:val="21"/>
                <w:highlight w:val="none"/>
                <w:u w:val="single"/>
                <w:lang w:val="en-US" w:eastAsia="zh-CN"/>
              </w:rPr>
              <w:t>.00元</w:t>
            </w:r>
            <w:r>
              <w:rPr>
                <w:rFonts w:hint="eastAsia" w:ascii="宋体" w:hAnsi="宋体" w:eastAsia="宋体" w:cs="宋体"/>
                <w:b/>
                <w:bCs/>
                <w:color w:val="auto"/>
                <w:szCs w:val="21"/>
                <w:highlight w:val="none"/>
                <w:u w:val="single"/>
              </w:rPr>
              <w:t>（大写：</w:t>
            </w:r>
            <w:r>
              <w:rPr>
                <w:rFonts w:hint="eastAsia" w:ascii="宋体" w:hAnsi="宋体" w:cs="宋体"/>
                <w:b/>
                <w:bCs/>
                <w:color w:val="auto"/>
                <w:szCs w:val="21"/>
                <w:highlight w:val="none"/>
                <w:u w:val="single"/>
                <w:lang w:val="en-US" w:eastAsia="zh-CN"/>
              </w:rPr>
              <w:t>玖拾万零陆仟柒佰伍拾叁</w:t>
            </w:r>
            <w:r>
              <w:rPr>
                <w:rFonts w:hint="eastAsia" w:ascii="宋体" w:hAnsi="宋体" w:eastAsia="宋体" w:cs="宋体"/>
                <w:b/>
                <w:bCs/>
                <w:color w:val="auto"/>
                <w:szCs w:val="21"/>
                <w:highlight w:val="none"/>
                <w:u w:val="single"/>
              </w:rPr>
              <w:t>），其中</w:t>
            </w:r>
            <w:r>
              <w:rPr>
                <w:rFonts w:hint="eastAsia" w:ascii="宋体" w:hAnsi="宋体" w:cs="宋体"/>
                <w:b/>
                <w:bCs/>
                <w:color w:val="auto"/>
                <w:szCs w:val="21"/>
                <w:highlight w:val="none"/>
                <w:u w:val="single"/>
                <w:lang w:eastAsia="zh-CN"/>
              </w:rPr>
              <w:t>安全生产费</w:t>
            </w:r>
            <w:r>
              <w:rPr>
                <w:rFonts w:hint="eastAsia" w:ascii="宋体" w:hAnsi="宋体" w:eastAsia="宋体" w:cs="宋体"/>
                <w:b/>
                <w:bCs/>
                <w:color w:val="auto"/>
                <w:szCs w:val="21"/>
                <w:highlight w:val="none"/>
                <w:u w:val="single"/>
              </w:rPr>
              <w:t>为</w:t>
            </w:r>
            <w:r>
              <w:rPr>
                <w:rFonts w:hint="eastAsia" w:ascii="宋体" w:hAnsi="宋体" w:cs="宋体"/>
                <w:b/>
                <w:bCs/>
                <w:color w:val="auto"/>
                <w:szCs w:val="21"/>
                <w:highlight w:val="none"/>
                <w:u w:val="single"/>
                <w:lang w:val="en-US" w:eastAsia="zh-CN"/>
              </w:rPr>
              <w:t>13369.00元</w:t>
            </w:r>
            <w:r>
              <w:rPr>
                <w:rFonts w:hint="eastAsia" w:ascii="宋体" w:hAnsi="宋体" w:eastAsia="宋体" w:cs="宋体"/>
                <w:b/>
                <w:bCs/>
                <w:color w:val="auto"/>
                <w:szCs w:val="21"/>
                <w:highlight w:val="none"/>
                <w:u w:val="single"/>
              </w:rPr>
              <w:t>（大写：</w:t>
            </w:r>
            <w:r>
              <w:rPr>
                <w:rFonts w:hint="eastAsia" w:ascii="宋体" w:hAnsi="宋体" w:cs="宋体"/>
                <w:b/>
                <w:bCs/>
                <w:color w:val="auto"/>
                <w:szCs w:val="21"/>
                <w:highlight w:val="none"/>
                <w:u w:val="single"/>
                <w:lang w:val="en-US" w:eastAsia="zh-CN"/>
              </w:rPr>
              <w:t>壹万叁仟叁佰陆拾玖元整）</w:t>
            </w: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投标总价超过此最高限价的投标文件为无效投标。</w:t>
            </w:r>
            <w:r>
              <w:rPr>
                <w:rFonts w:hint="eastAsia" w:ascii="宋体" w:hAnsi="宋体" w:eastAsia="宋体" w:cs="宋体"/>
                <w:color w:val="auto"/>
                <w:kern w:val="2"/>
                <w:sz w:val="21"/>
                <w:szCs w:val="21"/>
                <w:highlight w:val="none"/>
                <w:lang w:val="en-US" w:eastAsia="zh-CN" w:bidi="ar-SA"/>
              </w:rPr>
              <w:t>安全生产费（含文明施工费）不作为竞争条件。《竞争性比选报价函》及工程量清单中的安全生产费（含文明施工费）必须按</w:t>
            </w:r>
            <w:r>
              <w:rPr>
                <w:rFonts w:hint="eastAsia" w:ascii="宋体" w:hAnsi="宋体" w:cs="宋体"/>
                <w:color w:val="auto"/>
                <w:kern w:val="2"/>
                <w:sz w:val="21"/>
                <w:szCs w:val="21"/>
                <w:highlight w:val="none"/>
                <w:lang w:val="en-US" w:eastAsia="zh-CN" w:bidi="ar-SA"/>
              </w:rPr>
              <w:t>招标</w:t>
            </w:r>
            <w:r>
              <w:rPr>
                <w:rFonts w:hint="eastAsia" w:ascii="宋体" w:hAnsi="宋体" w:eastAsia="宋体" w:cs="宋体"/>
                <w:color w:val="auto"/>
                <w:kern w:val="2"/>
                <w:sz w:val="21"/>
                <w:szCs w:val="21"/>
                <w:highlight w:val="none"/>
                <w:lang w:val="en-US" w:eastAsia="zh-CN" w:bidi="ar-SA"/>
              </w:rPr>
              <w:t>发布金额进行填报，不得浮动,否则视为对</w:t>
            </w:r>
            <w:r>
              <w:rPr>
                <w:rFonts w:hint="eastAsia" w:ascii="宋体" w:hAnsi="宋体" w:cs="宋体"/>
                <w:color w:val="auto"/>
                <w:kern w:val="2"/>
                <w:sz w:val="21"/>
                <w:szCs w:val="21"/>
                <w:highlight w:val="none"/>
                <w:lang w:val="en-US" w:eastAsia="zh-CN" w:bidi="ar-SA"/>
              </w:rPr>
              <w:t>比选</w:t>
            </w:r>
            <w:r>
              <w:rPr>
                <w:rFonts w:hint="eastAsia" w:ascii="宋体" w:hAnsi="宋体" w:eastAsia="宋体" w:cs="宋体"/>
                <w:color w:val="auto"/>
                <w:kern w:val="2"/>
                <w:sz w:val="21"/>
                <w:szCs w:val="21"/>
                <w:highlight w:val="none"/>
                <w:lang w:val="en-US" w:eastAsia="zh-CN" w:bidi="ar-SA"/>
              </w:rPr>
              <w:t>文件不作实质性响应，其</w:t>
            </w:r>
            <w:r>
              <w:rPr>
                <w:rFonts w:hint="eastAsia" w:ascii="宋体" w:hAnsi="宋体" w:cs="宋体"/>
                <w:color w:val="auto"/>
                <w:kern w:val="2"/>
                <w:sz w:val="21"/>
                <w:szCs w:val="21"/>
                <w:highlight w:val="none"/>
                <w:lang w:val="en-US" w:eastAsia="zh-CN" w:bidi="ar-SA"/>
              </w:rPr>
              <w:t>比选</w:t>
            </w:r>
            <w:r>
              <w:rPr>
                <w:rFonts w:hint="eastAsia" w:ascii="宋体" w:hAnsi="宋体" w:eastAsia="宋体" w:cs="宋体"/>
                <w:color w:val="auto"/>
                <w:kern w:val="2"/>
                <w:sz w:val="21"/>
                <w:szCs w:val="21"/>
                <w:highlight w:val="none"/>
                <w:lang w:val="en-US" w:eastAsia="zh-CN" w:bidi="ar-SA"/>
              </w:rPr>
              <w:t>申请文件按否决</w:t>
            </w:r>
            <w:r>
              <w:rPr>
                <w:rFonts w:hint="eastAsia" w:ascii="宋体" w:hAnsi="宋体" w:cs="宋体"/>
                <w:color w:val="auto"/>
                <w:kern w:val="2"/>
                <w:sz w:val="21"/>
                <w:szCs w:val="21"/>
                <w:highlight w:val="none"/>
                <w:lang w:val="en-US" w:eastAsia="zh-CN" w:bidi="ar-SA"/>
              </w:rPr>
              <w:t>投标</w:t>
            </w:r>
            <w:r>
              <w:rPr>
                <w:rFonts w:hint="eastAsia" w:ascii="宋体" w:hAnsi="宋体" w:eastAsia="宋体" w:cs="宋体"/>
                <w:color w:val="auto"/>
                <w:kern w:val="2"/>
                <w:sz w:val="21"/>
                <w:szCs w:val="21"/>
                <w:highlight w:val="none"/>
                <w:lang w:val="en-US" w:eastAsia="zh-CN" w:bidi="ar-SA"/>
              </w:rPr>
              <w:t>处理。</w:t>
            </w:r>
          </w:p>
        </w:tc>
      </w:tr>
      <w:tr w14:paraId="75AE0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40" w:type="pct"/>
            <w:vAlign w:val="center"/>
          </w:tcPr>
          <w:p w14:paraId="631582C1">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3.3.1</w:t>
            </w:r>
          </w:p>
        </w:tc>
        <w:tc>
          <w:tcPr>
            <w:tcW w:w="998" w:type="pct"/>
            <w:vAlign w:val="center"/>
          </w:tcPr>
          <w:p w14:paraId="41C52C34">
            <w:pPr>
              <w:keepNext w:val="0"/>
              <w:keepLines w:val="0"/>
              <w:pageBreakBefore w:val="0"/>
              <w:kinsoku/>
              <w:wordWrap/>
              <w:overflowPunct/>
              <w:topLinePunct w:val="0"/>
              <w:autoSpaceDE/>
              <w:autoSpaceDN/>
              <w:bidi w:val="0"/>
              <w:adjustRightInd/>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投标有效期</w:t>
            </w:r>
          </w:p>
        </w:tc>
        <w:tc>
          <w:tcPr>
            <w:tcW w:w="3460" w:type="pct"/>
            <w:vAlign w:val="center"/>
          </w:tcPr>
          <w:p w14:paraId="7CA57BE9">
            <w:pPr>
              <w:pStyle w:val="328"/>
              <w:keepNext w:val="0"/>
              <w:keepLines w:val="0"/>
              <w:pageBreakBefore w:val="0"/>
              <w:kinsoku/>
              <w:wordWrap/>
              <w:overflowPunct/>
              <w:topLinePunct w:val="0"/>
              <w:autoSpaceDE/>
              <w:autoSpaceDN/>
              <w:bidi w:val="0"/>
              <w:adjustRightInd/>
              <w:spacing w:line="336"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投标截止日期后90天。</w:t>
            </w:r>
          </w:p>
        </w:tc>
      </w:tr>
      <w:tr w14:paraId="4CBD8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40" w:type="pct"/>
            <w:vAlign w:val="center"/>
          </w:tcPr>
          <w:p w14:paraId="77CCCF86">
            <w:pPr>
              <w:keepNext w:val="0"/>
              <w:keepLines w:val="0"/>
              <w:pageBreakBefore w:val="0"/>
              <w:kinsoku/>
              <w:wordWrap/>
              <w:overflowPunct/>
              <w:topLinePunct w:val="0"/>
              <w:autoSpaceDE/>
              <w:autoSpaceDN/>
              <w:bidi w:val="0"/>
              <w:adjustRightInd/>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3.4.1</w:t>
            </w:r>
          </w:p>
        </w:tc>
        <w:tc>
          <w:tcPr>
            <w:tcW w:w="998" w:type="pct"/>
            <w:vAlign w:val="center"/>
          </w:tcPr>
          <w:p w14:paraId="59EC52E6">
            <w:pPr>
              <w:keepNext w:val="0"/>
              <w:keepLines w:val="0"/>
              <w:pageBreakBefore w:val="0"/>
              <w:kinsoku/>
              <w:wordWrap/>
              <w:overflowPunct/>
              <w:topLinePunct w:val="0"/>
              <w:autoSpaceDE/>
              <w:autoSpaceDN/>
              <w:bidi w:val="0"/>
              <w:adjustRightInd/>
              <w:spacing w:line="336"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w:t>
            </w:r>
          </w:p>
        </w:tc>
        <w:tc>
          <w:tcPr>
            <w:tcW w:w="3460" w:type="pct"/>
            <w:vAlign w:val="center"/>
          </w:tcPr>
          <w:p w14:paraId="5BBFE259">
            <w:pPr>
              <w:keepNext w:val="0"/>
              <w:keepLines w:val="0"/>
              <w:pageBreakBefore w:val="0"/>
              <w:widowControl/>
              <w:kinsoku/>
              <w:wordWrap w:val="0"/>
              <w:overflowPunct/>
              <w:topLinePunct w:val="0"/>
              <w:autoSpaceDE/>
              <w:autoSpaceDN/>
              <w:bidi w:val="0"/>
              <w:adjustRightInd/>
              <w:snapToGrid/>
              <w:spacing w:line="336" w:lineRule="auto"/>
              <w:textAlignment w:val="auto"/>
              <w:rPr>
                <w:rFonts w:hint="eastAsia" w:ascii="宋体" w:hAnsi="宋体" w:eastAsia="宋体" w:cs="宋体"/>
                <w:color w:val="auto"/>
                <w:szCs w:val="21"/>
                <w:highlight w:val="none"/>
              </w:rPr>
            </w:pPr>
            <w:r>
              <w:rPr>
                <w:rFonts w:hint="eastAsia" w:ascii="宋体" w:hAnsi="宋体" w:cs="宋体"/>
                <w:color w:val="auto"/>
                <w:highlight w:val="none"/>
                <w:lang w:val="en-US" w:eastAsia="zh-CN"/>
              </w:rPr>
              <w:t>不缴纳</w:t>
            </w:r>
          </w:p>
        </w:tc>
      </w:tr>
      <w:tr w14:paraId="22FEE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2F33EA84">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w:t>
            </w:r>
          </w:p>
        </w:tc>
        <w:tc>
          <w:tcPr>
            <w:tcW w:w="998" w:type="pct"/>
            <w:vAlign w:val="center"/>
          </w:tcPr>
          <w:p w14:paraId="1CD4584E">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是否允许递交</w:t>
            </w:r>
          </w:p>
          <w:p w14:paraId="2314322C">
            <w:pPr>
              <w:keepNext w:val="0"/>
              <w:keepLines w:val="0"/>
              <w:pageBreakBefore w:val="0"/>
              <w:kinsoku/>
              <w:wordWrap/>
              <w:overflowPunct/>
              <w:topLinePunct w:val="0"/>
              <w:autoSpaceDE/>
              <w:autoSpaceDN/>
              <w:bidi w:val="0"/>
              <w:adjustRightInd/>
              <w:snapToGrid w:val="0"/>
              <w:spacing w:after="72" w:afterLines="30"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备选投标方案</w:t>
            </w:r>
          </w:p>
        </w:tc>
        <w:tc>
          <w:tcPr>
            <w:tcW w:w="3460" w:type="pct"/>
            <w:vAlign w:val="center"/>
          </w:tcPr>
          <w:p w14:paraId="4270E2CA">
            <w:pPr>
              <w:keepNext w:val="0"/>
              <w:keepLines w:val="0"/>
              <w:pageBreakBefore w:val="0"/>
              <w:kinsoku/>
              <w:wordWrap/>
              <w:overflowPunct/>
              <w:topLinePunct w:val="0"/>
              <w:autoSpaceDE/>
              <w:autoSpaceDN/>
              <w:bidi w:val="0"/>
              <w:adjustRightInd/>
              <w:spacing w:line="336"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不允许</w:t>
            </w:r>
          </w:p>
        </w:tc>
      </w:tr>
      <w:tr w14:paraId="443DC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56B7A3C7">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3.7.1</w:t>
            </w:r>
          </w:p>
        </w:tc>
        <w:tc>
          <w:tcPr>
            <w:tcW w:w="998" w:type="pct"/>
            <w:vAlign w:val="center"/>
          </w:tcPr>
          <w:p w14:paraId="4DCCD4EC">
            <w:pPr>
              <w:pStyle w:val="328"/>
              <w:keepNext w:val="0"/>
              <w:keepLines w:val="0"/>
              <w:pageBreakBefore w:val="0"/>
              <w:kinsoku/>
              <w:wordWrap/>
              <w:overflowPunct/>
              <w:topLinePunct w:val="0"/>
              <w:autoSpaceDE/>
              <w:autoSpaceDN/>
              <w:bidi w:val="0"/>
              <w:adjustRightInd/>
              <w:spacing w:line="33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投标文件签字或盖章要求</w:t>
            </w:r>
          </w:p>
        </w:tc>
        <w:tc>
          <w:tcPr>
            <w:tcW w:w="3460" w:type="pct"/>
            <w:vAlign w:val="center"/>
          </w:tcPr>
          <w:p w14:paraId="02FDF4A2">
            <w:pPr>
              <w:keepNext w:val="0"/>
              <w:keepLines w:val="0"/>
              <w:pageBreakBefore w:val="0"/>
              <w:kinsoku/>
              <w:wordWrap/>
              <w:overflowPunct/>
              <w:topLinePunct w:val="0"/>
              <w:autoSpaceDE/>
              <w:autoSpaceDN/>
              <w:bidi w:val="0"/>
              <w:adjustRightInd/>
              <w:spacing w:line="336"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1、投标文件的正本和副本应由投标人的法定代表人或经正式授权并对投标人有约束力的代表签字并盖章。由授权代表签字时，须在投标文件中提供“法定代表人授权书”，其格式应符合比选文件中的规定。</w:t>
            </w:r>
          </w:p>
          <w:p w14:paraId="0B52A45F">
            <w:pPr>
              <w:pStyle w:val="328"/>
              <w:keepNext w:val="0"/>
              <w:keepLines w:val="0"/>
              <w:pageBreakBefore w:val="0"/>
              <w:kinsoku/>
              <w:wordWrap/>
              <w:overflowPunct/>
              <w:topLinePunct w:val="0"/>
              <w:autoSpaceDE/>
              <w:autoSpaceDN/>
              <w:bidi w:val="0"/>
              <w:adjustRightInd/>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除投标人对错漏之处做必要修改或补充外，投标文件中不得有随意的行间插字、涂改和增删。如确有错漏之处确需要手工修改或补充，投标文件的修改必须由投标人的法定代表人或其授权代表在修改或补充之处签字并加盖投标人公章。</w:t>
            </w:r>
          </w:p>
        </w:tc>
      </w:tr>
      <w:tr w14:paraId="35507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6CDFE6A1">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3.7.2</w:t>
            </w:r>
          </w:p>
        </w:tc>
        <w:tc>
          <w:tcPr>
            <w:tcW w:w="998" w:type="pct"/>
            <w:vAlign w:val="center"/>
          </w:tcPr>
          <w:p w14:paraId="08C59396">
            <w:pPr>
              <w:pStyle w:val="328"/>
              <w:keepNext w:val="0"/>
              <w:keepLines w:val="0"/>
              <w:pageBreakBefore w:val="0"/>
              <w:kinsoku/>
              <w:wordWrap/>
              <w:overflowPunct/>
              <w:topLinePunct w:val="0"/>
              <w:autoSpaceDE/>
              <w:autoSpaceDN/>
              <w:bidi w:val="0"/>
              <w:adjustRightInd/>
              <w:spacing w:line="33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投标文件份数</w:t>
            </w:r>
          </w:p>
        </w:tc>
        <w:tc>
          <w:tcPr>
            <w:tcW w:w="3460" w:type="pct"/>
            <w:vAlign w:val="center"/>
          </w:tcPr>
          <w:p w14:paraId="46C0B145">
            <w:pPr>
              <w:keepNext w:val="0"/>
              <w:keepLines w:val="0"/>
              <w:pageBreakBefore w:val="0"/>
              <w:widowControl/>
              <w:kinsoku/>
              <w:wordWrap w:val="0"/>
              <w:overflowPunct/>
              <w:topLinePunct w:val="0"/>
              <w:autoSpaceDE/>
              <w:autoSpaceDN/>
              <w:bidi w:val="0"/>
              <w:adjustRightInd/>
              <w:snapToGrid/>
              <w:spacing w:line="336" w:lineRule="auto"/>
              <w:ind w:firstLine="480"/>
              <w:textAlignment w:val="auto"/>
              <w:rPr>
                <w:rFonts w:hint="eastAsia" w:ascii="宋体" w:hAnsi="宋体" w:eastAsia="宋体" w:cs="宋体"/>
                <w:color w:val="auto"/>
                <w:highlight w:val="none"/>
              </w:rPr>
            </w:pPr>
            <w:r>
              <w:rPr>
                <w:rFonts w:hint="eastAsia" w:ascii="宋体" w:hAnsi="宋体" w:eastAsia="宋体" w:cs="宋体"/>
                <w:b/>
                <w:bCs/>
                <w:color w:val="auto"/>
                <w:highlight w:val="none"/>
                <w:lang w:eastAsia="zh-CN"/>
              </w:rPr>
              <w:t>投标文件正本一份，副本</w:t>
            </w:r>
            <w:r>
              <w:rPr>
                <w:rFonts w:hint="eastAsia" w:ascii="宋体" w:hAnsi="宋体" w:cs="宋体"/>
                <w:b/>
                <w:bCs/>
                <w:color w:val="auto"/>
                <w:highlight w:val="none"/>
                <w:lang w:val="en-US" w:eastAsia="zh-CN"/>
              </w:rPr>
              <w:t>一</w:t>
            </w:r>
            <w:r>
              <w:rPr>
                <w:rFonts w:hint="eastAsia" w:ascii="宋体" w:hAnsi="宋体" w:eastAsia="宋体" w:cs="宋体"/>
                <w:b/>
                <w:bCs/>
                <w:color w:val="auto"/>
                <w:highlight w:val="none"/>
                <w:lang w:eastAsia="zh-CN"/>
              </w:rPr>
              <w:t>份，</w:t>
            </w:r>
            <w:r>
              <w:rPr>
                <w:rFonts w:hint="eastAsia" w:ascii="宋体" w:hAnsi="宋体" w:eastAsia="宋体" w:cs="宋体"/>
                <w:color w:val="auto"/>
                <w:highlight w:val="none"/>
              </w:rPr>
              <w:t>副本</w:t>
            </w:r>
            <w:r>
              <w:rPr>
                <w:rFonts w:hint="eastAsia" w:ascii="宋体" w:hAnsi="宋体" w:cs="宋体"/>
                <w:color w:val="auto"/>
                <w:highlight w:val="none"/>
                <w:lang w:val="en-US" w:eastAsia="zh-CN"/>
              </w:rPr>
              <w:t>可</w:t>
            </w:r>
            <w:r>
              <w:rPr>
                <w:rFonts w:hint="eastAsia" w:ascii="宋体" w:hAnsi="宋体" w:eastAsia="宋体" w:cs="宋体"/>
                <w:color w:val="auto"/>
                <w:highlight w:val="none"/>
              </w:rPr>
              <w:t>为正本的完整复印件，副本与正本不一致时以正本为准。</w:t>
            </w:r>
          </w:p>
        </w:tc>
      </w:tr>
      <w:tr w14:paraId="2449D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781DA1D5">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3.7.3</w:t>
            </w:r>
          </w:p>
        </w:tc>
        <w:tc>
          <w:tcPr>
            <w:tcW w:w="998" w:type="pct"/>
            <w:vAlign w:val="center"/>
          </w:tcPr>
          <w:p w14:paraId="60EDA715">
            <w:pPr>
              <w:pStyle w:val="328"/>
              <w:keepNext w:val="0"/>
              <w:keepLines w:val="0"/>
              <w:pageBreakBefore w:val="0"/>
              <w:kinsoku/>
              <w:wordWrap/>
              <w:overflowPunct/>
              <w:topLinePunct w:val="0"/>
              <w:autoSpaceDE/>
              <w:autoSpaceDN/>
              <w:bidi w:val="0"/>
              <w:adjustRightInd/>
              <w:spacing w:line="33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投标文件装订要求</w:t>
            </w:r>
          </w:p>
        </w:tc>
        <w:tc>
          <w:tcPr>
            <w:tcW w:w="3460" w:type="pct"/>
            <w:vAlign w:val="center"/>
          </w:tcPr>
          <w:p w14:paraId="21EC98D9">
            <w:pPr>
              <w:keepNext w:val="0"/>
              <w:keepLines w:val="0"/>
              <w:pageBreakBefore w:val="0"/>
              <w:kinsoku/>
              <w:wordWrap/>
              <w:overflowPunct/>
              <w:topLinePunct w:val="0"/>
              <w:autoSpaceDE/>
              <w:autoSpaceDN/>
              <w:bidi w:val="0"/>
              <w:adjustRightInd/>
              <w:spacing w:line="336"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1、投标文件的正本和副本均采用A4纸、使用不能轻易擦去且不易褪色的打印机打印，副本可以是正本的复印件。</w:t>
            </w:r>
          </w:p>
          <w:p w14:paraId="3B642DF7">
            <w:pPr>
              <w:pStyle w:val="328"/>
              <w:keepNext w:val="0"/>
              <w:keepLines w:val="0"/>
              <w:pageBreakBefore w:val="0"/>
              <w:kinsoku/>
              <w:wordWrap/>
              <w:overflowPunct/>
              <w:topLinePunct w:val="0"/>
              <w:autoSpaceDE/>
              <w:autoSpaceDN/>
              <w:bidi w:val="0"/>
              <w:adjustRightInd/>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2、正本和副本都应装订成册，编制目录。投标文件禁止使用活页装订，否则视为无效投标。</w:t>
            </w:r>
          </w:p>
        </w:tc>
      </w:tr>
      <w:tr w14:paraId="03746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52B113DD">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4.1.1</w:t>
            </w:r>
          </w:p>
        </w:tc>
        <w:tc>
          <w:tcPr>
            <w:tcW w:w="998" w:type="pct"/>
            <w:vAlign w:val="center"/>
          </w:tcPr>
          <w:p w14:paraId="1A1A701A">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投标文件的密封</w:t>
            </w:r>
            <w:r>
              <w:rPr>
                <w:rFonts w:hint="eastAsia" w:ascii="宋体" w:hAnsi="宋体" w:eastAsia="宋体" w:cs="宋体"/>
                <w:color w:val="auto"/>
                <w:szCs w:val="21"/>
                <w:highlight w:val="none"/>
              </w:rPr>
              <w:t>和装袋</w:t>
            </w:r>
          </w:p>
        </w:tc>
        <w:tc>
          <w:tcPr>
            <w:tcW w:w="3460" w:type="pct"/>
            <w:vAlign w:val="center"/>
          </w:tcPr>
          <w:p w14:paraId="7C2B4466">
            <w:pPr>
              <w:keepNext w:val="0"/>
              <w:keepLines w:val="0"/>
              <w:pageBreakBefore w:val="0"/>
              <w:kinsoku/>
              <w:wordWrap/>
              <w:overflowPunct/>
              <w:topLinePunct w:val="0"/>
              <w:autoSpaceDE/>
              <w:autoSpaceDN/>
              <w:bidi w:val="0"/>
              <w:adjustRightInd/>
              <w:spacing w:line="336" w:lineRule="auto"/>
              <w:ind w:firstLine="420" w:firstLineChars="200"/>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rPr>
              <w:t>投标人应将投标文件装入一个或多个外层包装(大口袋或包装箱)中，外层包装应密封并加盖投标人公章。</w:t>
            </w:r>
          </w:p>
        </w:tc>
      </w:tr>
      <w:tr w14:paraId="65124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540" w:type="pct"/>
            <w:vAlign w:val="center"/>
          </w:tcPr>
          <w:p w14:paraId="6257091B">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4.1.2</w:t>
            </w:r>
          </w:p>
        </w:tc>
        <w:tc>
          <w:tcPr>
            <w:tcW w:w="998" w:type="pct"/>
            <w:vAlign w:val="center"/>
          </w:tcPr>
          <w:p w14:paraId="7E289567">
            <w:pPr>
              <w:pStyle w:val="328"/>
              <w:keepNext w:val="0"/>
              <w:keepLines w:val="0"/>
              <w:pageBreakBefore w:val="0"/>
              <w:kinsoku/>
              <w:wordWrap/>
              <w:overflowPunct/>
              <w:topLinePunct w:val="0"/>
              <w:autoSpaceDE/>
              <w:autoSpaceDN/>
              <w:bidi w:val="0"/>
              <w:adjustRightInd/>
              <w:spacing w:line="33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投标文件外封套上写明</w:t>
            </w:r>
          </w:p>
        </w:tc>
        <w:tc>
          <w:tcPr>
            <w:tcW w:w="3460" w:type="pct"/>
            <w:vAlign w:val="center"/>
          </w:tcPr>
          <w:p w14:paraId="3B8A8866">
            <w:pPr>
              <w:pStyle w:val="328"/>
              <w:keepNext w:val="0"/>
              <w:keepLines w:val="0"/>
              <w:pageBreakBefore w:val="0"/>
              <w:kinsoku/>
              <w:wordWrap/>
              <w:overflowPunct/>
              <w:topLinePunct w:val="0"/>
              <w:autoSpaceDE/>
              <w:autoSpaceDN/>
              <w:bidi w:val="0"/>
              <w:adjustRightInd/>
              <w:spacing w:line="336"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投标人名称</w:t>
            </w:r>
            <w:r>
              <w:rPr>
                <w:rFonts w:hint="eastAsia" w:ascii="宋体" w:hAnsi="宋体" w:cs="宋体"/>
                <w:color w:val="auto"/>
                <w:sz w:val="21"/>
                <w:szCs w:val="21"/>
                <w:highlight w:val="none"/>
                <w:lang w:val="en-US" w:eastAsia="zh-CN"/>
              </w:rPr>
              <w:t>:</w:t>
            </w:r>
          </w:p>
          <w:p w14:paraId="09D9F620">
            <w:pPr>
              <w:pStyle w:val="328"/>
              <w:keepNext w:val="0"/>
              <w:keepLines w:val="0"/>
              <w:pageBreakBefore w:val="0"/>
              <w:kinsoku/>
              <w:wordWrap/>
              <w:overflowPunct/>
              <w:topLinePunct w:val="0"/>
              <w:autoSpaceDE/>
              <w:autoSpaceDN/>
              <w:bidi w:val="0"/>
              <w:adjustRightInd/>
              <w:spacing w:line="336"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投标人的地址</w:t>
            </w:r>
            <w:r>
              <w:rPr>
                <w:rFonts w:hint="eastAsia" w:ascii="宋体" w:hAnsi="宋体" w:cs="宋体"/>
                <w:color w:val="auto"/>
                <w:sz w:val="21"/>
                <w:szCs w:val="21"/>
                <w:highlight w:val="none"/>
                <w:lang w:val="en-US" w:eastAsia="zh-CN"/>
              </w:rPr>
              <w:t>:</w:t>
            </w:r>
          </w:p>
          <w:p w14:paraId="489E63CD">
            <w:pPr>
              <w:pStyle w:val="328"/>
              <w:keepNext w:val="0"/>
              <w:keepLines w:val="0"/>
              <w:pageBreakBefore w:val="0"/>
              <w:kinsoku/>
              <w:wordWrap/>
              <w:overflowPunct/>
              <w:topLinePunct w:val="0"/>
              <w:autoSpaceDE/>
              <w:autoSpaceDN/>
              <w:bidi w:val="0"/>
              <w:adjustRightInd/>
              <w:spacing w:line="336"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val="en-US" w:eastAsia="zh-CN"/>
              </w:rPr>
              <w:t>:</w:t>
            </w:r>
          </w:p>
          <w:p w14:paraId="6C198493">
            <w:pPr>
              <w:pStyle w:val="328"/>
              <w:keepNext w:val="0"/>
              <w:keepLines w:val="0"/>
              <w:pageBreakBefore w:val="0"/>
              <w:kinsoku/>
              <w:wordWrap/>
              <w:overflowPunct/>
              <w:topLinePunct w:val="0"/>
              <w:autoSpaceDE/>
              <w:autoSpaceDN/>
              <w:bidi w:val="0"/>
              <w:adjustRightInd/>
              <w:spacing w:line="336"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投标文件在投标截止时间（年 月 日 时）前不得开启 </w:t>
            </w:r>
          </w:p>
        </w:tc>
      </w:tr>
      <w:tr w14:paraId="1EF02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540" w:type="pct"/>
            <w:vAlign w:val="center"/>
          </w:tcPr>
          <w:p w14:paraId="486FAEA7">
            <w:pPr>
              <w:pStyle w:val="328"/>
              <w:keepNext w:val="0"/>
              <w:keepLines w:val="0"/>
              <w:pageBreakBefore w:val="0"/>
              <w:kinsoku/>
              <w:wordWrap/>
              <w:overflowPunct/>
              <w:topLinePunct w:val="0"/>
              <w:autoSpaceDE/>
              <w:autoSpaceDN/>
              <w:bidi w:val="0"/>
              <w:adjustRightInd/>
              <w:spacing w:line="33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4.2.2</w:t>
            </w:r>
          </w:p>
        </w:tc>
        <w:tc>
          <w:tcPr>
            <w:tcW w:w="998" w:type="pct"/>
            <w:vAlign w:val="center"/>
          </w:tcPr>
          <w:p w14:paraId="62E2AD42">
            <w:pPr>
              <w:pStyle w:val="328"/>
              <w:keepNext w:val="0"/>
              <w:keepLines w:val="0"/>
              <w:pageBreakBefore w:val="0"/>
              <w:kinsoku/>
              <w:wordWrap/>
              <w:overflowPunct/>
              <w:topLinePunct w:val="0"/>
              <w:autoSpaceDE/>
              <w:autoSpaceDN/>
              <w:bidi w:val="0"/>
              <w:adjustRightInd/>
              <w:spacing w:line="33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递交投标文件地点</w:t>
            </w:r>
          </w:p>
        </w:tc>
        <w:tc>
          <w:tcPr>
            <w:tcW w:w="3460" w:type="pct"/>
            <w:vAlign w:val="center"/>
          </w:tcPr>
          <w:p w14:paraId="24F242B0">
            <w:pPr>
              <w:pStyle w:val="356"/>
              <w:keepNext w:val="0"/>
              <w:keepLines w:val="0"/>
              <w:pageBreakBefore w:val="0"/>
              <w:kinsoku/>
              <w:wordWrap/>
              <w:overflowPunct/>
              <w:topLinePunct w:val="0"/>
              <w:autoSpaceDE/>
              <w:autoSpaceDN/>
              <w:bidi w:val="0"/>
              <w:adjustRightInd/>
              <w:spacing w:line="336" w:lineRule="auto"/>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重庆市大足区龙景路128号 未来国际A座5-12</w:t>
            </w:r>
            <w:r>
              <w:rPr>
                <w:rFonts w:hint="eastAsia" w:ascii="宋体" w:hAnsi="宋体" w:cs="宋体"/>
                <w:color w:val="auto"/>
                <w:highlight w:val="none"/>
                <w:lang w:eastAsia="zh-CN"/>
              </w:rPr>
              <w:t>（</w:t>
            </w:r>
            <w:r>
              <w:rPr>
                <w:rFonts w:hint="eastAsia" w:ascii="宋体" w:hAnsi="宋体" w:cs="宋体"/>
                <w:color w:val="auto"/>
                <w:highlight w:val="none"/>
                <w:lang w:val="en-US" w:eastAsia="zh-CN"/>
              </w:rPr>
              <w:t>重庆中诚招标代理有限公司</w:t>
            </w:r>
            <w:r>
              <w:rPr>
                <w:rFonts w:hint="eastAsia" w:ascii="宋体" w:hAnsi="宋体" w:cs="宋体"/>
                <w:color w:val="auto"/>
                <w:highlight w:val="none"/>
                <w:lang w:eastAsia="zh-CN"/>
              </w:rPr>
              <w:t>）</w:t>
            </w:r>
          </w:p>
        </w:tc>
      </w:tr>
      <w:tr w14:paraId="4D407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540" w:type="pct"/>
            <w:vAlign w:val="center"/>
          </w:tcPr>
          <w:p w14:paraId="12B3252B">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4.2.3</w:t>
            </w:r>
          </w:p>
        </w:tc>
        <w:tc>
          <w:tcPr>
            <w:tcW w:w="998" w:type="pct"/>
            <w:vAlign w:val="center"/>
          </w:tcPr>
          <w:p w14:paraId="019F4433">
            <w:pPr>
              <w:pStyle w:val="328"/>
              <w:keepNext w:val="0"/>
              <w:keepLines w:val="0"/>
              <w:pageBreakBefore w:val="0"/>
              <w:kinsoku/>
              <w:wordWrap/>
              <w:overflowPunct/>
              <w:topLinePunct w:val="0"/>
              <w:autoSpaceDE/>
              <w:autoSpaceDN/>
              <w:bidi w:val="0"/>
              <w:adjustRightInd/>
              <w:spacing w:line="33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是否退还投标文件</w:t>
            </w:r>
          </w:p>
        </w:tc>
        <w:tc>
          <w:tcPr>
            <w:tcW w:w="3460" w:type="pct"/>
            <w:vAlign w:val="center"/>
          </w:tcPr>
          <w:p w14:paraId="2305B4C5">
            <w:pPr>
              <w:pStyle w:val="328"/>
              <w:keepNext w:val="0"/>
              <w:keepLines w:val="0"/>
              <w:pageBreakBefore w:val="0"/>
              <w:kinsoku/>
              <w:wordWrap/>
              <w:overflowPunct/>
              <w:topLinePunct w:val="0"/>
              <w:autoSpaceDE/>
              <w:autoSpaceDN/>
              <w:bidi w:val="0"/>
              <w:adjustRightInd/>
              <w:spacing w:line="336"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不退还投标文件</w:t>
            </w:r>
          </w:p>
        </w:tc>
      </w:tr>
      <w:tr w14:paraId="6DF8A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39C4F797">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5.1</w:t>
            </w:r>
          </w:p>
        </w:tc>
        <w:tc>
          <w:tcPr>
            <w:tcW w:w="998" w:type="pct"/>
            <w:vAlign w:val="center"/>
          </w:tcPr>
          <w:p w14:paraId="6260B768">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开标时间和地点</w:t>
            </w:r>
          </w:p>
        </w:tc>
        <w:tc>
          <w:tcPr>
            <w:tcW w:w="3460" w:type="pct"/>
            <w:vAlign w:val="center"/>
          </w:tcPr>
          <w:p w14:paraId="7C222418">
            <w:pPr>
              <w:keepNext w:val="0"/>
              <w:keepLines w:val="0"/>
              <w:pageBreakBefore w:val="0"/>
              <w:kinsoku/>
              <w:wordWrap/>
              <w:overflowPunct/>
              <w:topLinePunct w:val="0"/>
              <w:autoSpaceDE/>
              <w:autoSpaceDN/>
              <w:bidi w:val="0"/>
              <w:adjustRightInd/>
              <w:spacing w:line="336"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开标时间：</w:t>
            </w:r>
            <w:r>
              <w:rPr>
                <w:rFonts w:hint="eastAsia" w:ascii="宋体" w:hAnsi="宋体" w:cs="宋体"/>
                <w:color w:val="auto"/>
                <w:sz w:val="21"/>
                <w:szCs w:val="21"/>
                <w:highlight w:val="none"/>
                <w:lang w:val="en-US" w:eastAsia="zh-CN"/>
              </w:rPr>
              <w:t>同投标截止时间</w:t>
            </w:r>
            <w:r>
              <w:rPr>
                <w:rFonts w:hint="eastAsia" w:ascii="宋体" w:hAnsi="宋体" w:eastAsia="宋体" w:cs="宋体"/>
                <w:color w:val="auto"/>
                <w:highlight w:val="none"/>
              </w:rPr>
              <w:t>（北京时间）</w:t>
            </w:r>
          </w:p>
          <w:p w14:paraId="3AC81350">
            <w:pPr>
              <w:keepNext w:val="0"/>
              <w:keepLines w:val="0"/>
              <w:pageBreakBefore w:val="0"/>
              <w:kinsoku/>
              <w:wordWrap/>
              <w:overflowPunct/>
              <w:topLinePunct w:val="0"/>
              <w:autoSpaceDE/>
              <w:autoSpaceDN/>
              <w:bidi w:val="0"/>
              <w:adjustRightInd/>
              <w:spacing w:line="336" w:lineRule="auto"/>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开标地点：</w:t>
            </w:r>
            <w:r>
              <w:rPr>
                <w:rFonts w:hint="eastAsia" w:ascii="宋体" w:hAnsi="宋体" w:cs="宋体"/>
                <w:color w:val="auto"/>
                <w:highlight w:val="none"/>
                <w:lang w:eastAsia="zh-CN"/>
              </w:rPr>
              <w:t>重庆市大足区龙景路128号 未来国际A座5-12（</w:t>
            </w:r>
            <w:r>
              <w:rPr>
                <w:rFonts w:hint="eastAsia" w:ascii="宋体" w:hAnsi="宋体" w:cs="宋体"/>
                <w:color w:val="auto"/>
                <w:highlight w:val="none"/>
                <w:lang w:val="en-US" w:eastAsia="zh-CN"/>
              </w:rPr>
              <w:t>重庆中诚招标代理有限公司</w:t>
            </w:r>
            <w:r>
              <w:rPr>
                <w:rFonts w:hint="eastAsia" w:ascii="宋体" w:hAnsi="宋体" w:cs="宋体"/>
                <w:color w:val="auto"/>
                <w:highlight w:val="none"/>
                <w:lang w:eastAsia="zh-CN"/>
              </w:rPr>
              <w:t>）</w:t>
            </w:r>
          </w:p>
        </w:tc>
      </w:tr>
      <w:tr w14:paraId="71B4B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540" w:type="pct"/>
            <w:vAlign w:val="center"/>
          </w:tcPr>
          <w:p w14:paraId="769BBE79">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6.1.</w:t>
            </w:r>
          </w:p>
        </w:tc>
        <w:tc>
          <w:tcPr>
            <w:tcW w:w="998" w:type="pct"/>
            <w:vAlign w:val="center"/>
          </w:tcPr>
          <w:p w14:paraId="0FFD4AF2">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评标委员</w:t>
            </w:r>
          </w:p>
          <w:p w14:paraId="48FB8D3A">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会的组建</w:t>
            </w:r>
          </w:p>
        </w:tc>
        <w:tc>
          <w:tcPr>
            <w:tcW w:w="3460" w:type="pct"/>
            <w:vAlign w:val="center"/>
          </w:tcPr>
          <w:p w14:paraId="0C15C679">
            <w:pPr>
              <w:keepNext w:val="0"/>
              <w:keepLines w:val="0"/>
              <w:pageBreakBefore w:val="0"/>
              <w:kinsoku/>
              <w:wordWrap/>
              <w:overflowPunct/>
              <w:topLinePunct w:val="0"/>
              <w:autoSpaceDE/>
              <w:autoSpaceDN/>
              <w:bidi w:val="0"/>
              <w:adjustRightInd/>
              <w:snapToGrid w:val="0"/>
              <w:spacing w:line="336" w:lineRule="auto"/>
              <w:textAlignment w:val="auto"/>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招标人依法组建评标委员会，评标委员会构成：3人。</w:t>
            </w:r>
          </w:p>
        </w:tc>
      </w:tr>
      <w:tr w14:paraId="0BF38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540" w:type="pct"/>
            <w:vAlign w:val="center"/>
          </w:tcPr>
          <w:p w14:paraId="7D9E5763">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w:t>
            </w:r>
          </w:p>
        </w:tc>
        <w:tc>
          <w:tcPr>
            <w:tcW w:w="998" w:type="pct"/>
            <w:vAlign w:val="center"/>
          </w:tcPr>
          <w:p w14:paraId="2DD0FBDC">
            <w:pPr>
              <w:pStyle w:val="328"/>
              <w:keepNext w:val="0"/>
              <w:keepLines w:val="0"/>
              <w:pageBreakBefore w:val="0"/>
              <w:kinsoku/>
              <w:wordWrap/>
              <w:overflowPunct/>
              <w:topLinePunct w:val="0"/>
              <w:autoSpaceDE/>
              <w:autoSpaceDN/>
              <w:bidi w:val="0"/>
              <w:adjustRightInd/>
              <w:spacing w:line="33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是否授权评标委员会确定中标人</w:t>
            </w:r>
          </w:p>
        </w:tc>
        <w:tc>
          <w:tcPr>
            <w:tcW w:w="3460" w:type="pct"/>
            <w:vAlign w:val="center"/>
          </w:tcPr>
          <w:p w14:paraId="40CDAD3F">
            <w:pPr>
              <w:pStyle w:val="328"/>
              <w:keepNext w:val="0"/>
              <w:keepLines w:val="0"/>
              <w:pageBreakBefore w:val="0"/>
              <w:kinsoku/>
              <w:wordWrap/>
              <w:overflowPunct/>
              <w:topLinePunct w:val="0"/>
              <w:autoSpaceDE/>
              <w:autoSpaceDN/>
              <w:bidi w:val="0"/>
              <w:adjustRightInd/>
              <w:spacing w:line="336"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评标委员会推荐中标候选人3名</w:t>
            </w:r>
          </w:p>
        </w:tc>
      </w:tr>
      <w:tr w14:paraId="01F48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540" w:type="pct"/>
            <w:vAlign w:val="center"/>
          </w:tcPr>
          <w:p w14:paraId="659C45AB">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w:t>
            </w:r>
          </w:p>
        </w:tc>
        <w:tc>
          <w:tcPr>
            <w:tcW w:w="998" w:type="pct"/>
            <w:vAlign w:val="center"/>
          </w:tcPr>
          <w:p w14:paraId="30BF447C">
            <w:pPr>
              <w:pStyle w:val="328"/>
              <w:keepNext w:val="0"/>
              <w:keepLines w:val="0"/>
              <w:pageBreakBefore w:val="0"/>
              <w:kinsoku/>
              <w:wordWrap/>
              <w:overflowPunct/>
              <w:topLinePunct w:val="0"/>
              <w:autoSpaceDE/>
              <w:autoSpaceDN/>
              <w:bidi w:val="0"/>
              <w:adjustRightInd/>
              <w:spacing w:line="33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3460" w:type="pct"/>
            <w:vAlign w:val="center"/>
          </w:tcPr>
          <w:p w14:paraId="446B0971">
            <w:pPr>
              <w:keepNext w:val="0"/>
              <w:keepLines w:val="0"/>
              <w:pageBreakBefore w:val="0"/>
              <w:widowControl/>
              <w:tabs>
                <w:tab w:val="left" w:pos="0"/>
              </w:tabs>
              <w:kinsoku/>
              <w:wordWrap/>
              <w:overflowPunct/>
              <w:topLinePunct w:val="0"/>
              <w:autoSpaceDE/>
              <w:autoSpaceDN/>
              <w:bidi w:val="0"/>
              <w:adjustRightInd/>
              <w:spacing w:line="336" w:lineRule="auto"/>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发包人以转账汇款方式支付工程款（进度款）：</w:t>
            </w:r>
          </w:p>
          <w:p w14:paraId="5B45268B">
            <w:pPr>
              <w:keepNext w:val="0"/>
              <w:keepLines w:val="0"/>
              <w:pageBreakBefore w:val="0"/>
              <w:widowControl/>
              <w:numPr>
                <w:ilvl w:val="0"/>
                <w:numId w:val="0"/>
              </w:numPr>
              <w:tabs>
                <w:tab w:val="left" w:pos="0"/>
              </w:tabs>
              <w:kinsoku/>
              <w:wordWrap/>
              <w:overflowPunct/>
              <w:topLinePunct w:val="0"/>
              <w:bidi w:val="0"/>
              <w:spacing w:line="336" w:lineRule="auto"/>
              <w:ind w:firstLine="420" w:firstLineChars="200"/>
              <w:textAlignment w:val="top"/>
              <w:rPr>
                <w:rFonts w:hint="eastAsia" w:ascii="宋体" w:hAnsi="宋体" w:eastAsia="宋体" w:cs="宋体"/>
                <w:color w:val="auto"/>
                <w:highlight w:val="none"/>
              </w:rPr>
            </w:pPr>
            <w:r>
              <w:rPr>
                <w:rFonts w:hint="eastAsia" w:ascii="宋体" w:hAnsi="宋体" w:cs="宋体"/>
                <w:color w:val="auto"/>
                <w:kern w:val="0"/>
                <w:szCs w:val="21"/>
                <w:highlight w:val="none"/>
                <w:lang w:val="en-US" w:eastAsia="zh-CN"/>
              </w:rPr>
              <w:t>1）本工程不支持预付款，</w:t>
            </w:r>
            <w:r>
              <w:rPr>
                <w:rFonts w:hint="eastAsia" w:ascii="宋体" w:hAnsi="宋体" w:eastAsia="宋体" w:cs="宋体"/>
                <w:color w:val="auto"/>
                <w:kern w:val="0"/>
                <w:szCs w:val="21"/>
                <w:highlight w:val="none"/>
              </w:rPr>
              <w:t>在上级资金到位的情况下</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工程完工并验收合格支付至合同金额的80%、审计完成后</w:t>
            </w:r>
            <w:r>
              <w:rPr>
                <w:rFonts w:hint="eastAsia" w:ascii="宋体" w:hAnsi="宋体" w:eastAsia="宋体" w:cs="宋体"/>
                <w:color w:val="auto"/>
                <w:kern w:val="0"/>
                <w:szCs w:val="21"/>
                <w:highlight w:val="none"/>
                <w:lang w:val="en-US" w:eastAsia="zh-CN"/>
              </w:rPr>
              <w:t>支付</w:t>
            </w:r>
            <w:r>
              <w:rPr>
                <w:rFonts w:hint="eastAsia" w:ascii="宋体" w:hAnsi="宋体" w:cs="宋体"/>
                <w:color w:val="auto"/>
                <w:kern w:val="0"/>
                <w:szCs w:val="21"/>
                <w:highlight w:val="none"/>
                <w:lang w:val="en-US" w:eastAsia="zh-CN"/>
              </w:rPr>
              <w:t>至</w:t>
            </w:r>
            <w:r>
              <w:rPr>
                <w:rFonts w:hint="eastAsia" w:ascii="宋体" w:hAnsi="宋体" w:eastAsia="宋体" w:cs="宋体"/>
                <w:color w:val="auto"/>
                <w:kern w:val="0"/>
                <w:szCs w:val="21"/>
                <w:highlight w:val="none"/>
                <w:lang w:val="en-US" w:eastAsia="zh-CN"/>
              </w:rPr>
              <w:t>审计审定金额97%的工程款，剩余3%作为质量保证金，保修期满后无息支付剩余的3%。</w:t>
            </w:r>
          </w:p>
        </w:tc>
      </w:tr>
      <w:tr w14:paraId="05B6F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540" w:type="pct"/>
            <w:vAlign w:val="center"/>
          </w:tcPr>
          <w:p w14:paraId="7B18EC5C">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w:t>
            </w:r>
          </w:p>
        </w:tc>
        <w:tc>
          <w:tcPr>
            <w:tcW w:w="998" w:type="pct"/>
            <w:vAlign w:val="center"/>
          </w:tcPr>
          <w:p w14:paraId="669FE49C">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履约保证金</w:t>
            </w:r>
          </w:p>
        </w:tc>
        <w:tc>
          <w:tcPr>
            <w:tcW w:w="3460" w:type="pct"/>
            <w:vAlign w:val="center"/>
          </w:tcPr>
          <w:p w14:paraId="5E8DE62E">
            <w:pPr>
              <w:pStyle w:val="38"/>
              <w:keepNext w:val="0"/>
              <w:keepLines w:val="0"/>
              <w:pageBreakBefore w:val="0"/>
              <w:kinsoku/>
              <w:wordWrap/>
              <w:overflowPunct/>
              <w:topLinePunct w:val="0"/>
              <w:autoSpaceDE/>
              <w:autoSpaceDN/>
              <w:bidi w:val="0"/>
              <w:adjustRightInd/>
              <w:spacing w:before="0" w:beforeAutospacing="0" w:after="196" w:afterAutospacing="0" w:line="336" w:lineRule="auto"/>
              <w:ind w:firstLine="420" w:firstLineChars="200"/>
              <w:jc w:val="both"/>
              <w:textAlignment w:val="auto"/>
              <w:rPr>
                <w:rFonts w:hint="eastAsia" w:ascii="宋体" w:hAnsi="宋体" w:eastAsia="宋体" w:cs="宋体"/>
                <w:color w:val="auto"/>
                <w:kern w:val="0"/>
                <w:sz w:val="21"/>
                <w:szCs w:val="21"/>
                <w:highlight w:val="none"/>
                <w:u w:val="none"/>
                <w:lang w:val="en-US" w:eastAsia="zh-CN" w:bidi="ar-SA"/>
              </w:rPr>
            </w:pPr>
            <w:r>
              <w:rPr>
                <w:rFonts w:hint="eastAsia" w:ascii="宋体" w:hAnsi="宋体" w:eastAsia="宋体" w:cs="宋体"/>
                <w:color w:val="auto"/>
                <w:kern w:val="0"/>
                <w:sz w:val="21"/>
                <w:szCs w:val="21"/>
                <w:highlight w:val="none"/>
                <w:u w:val="none"/>
                <w:lang w:val="en-US" w:eastAsia="zh-CN" w:bidi="ar-SA"/>
              </w:rPr>
              <w:t>1.履约担保的形式：现金或银行保函或项目所在地区属国有担保公司保函，采用保函形式的，保函必须为不可撤销且见索即付。</w:t>
            </w:r>
          </w:p>
          <w:p w14:paraId="568C71F9">
            <w:pPr>
              <w:keepNext w:val="0"/>
              <w:keepLines w:val="0"/>
              <w:pageBreakBefore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2.履约担保的金额：</w:t>
            </w:r>
            <w:r>
              <w:rPr>
                <w:rFonts w:hint="eastAsia" w:ascii="宋体" w:hAnsi="宋体" w:eastAsia="宋体" w:cs="宋体"/>
                <w:b/>
                <w:bCs/>
                <w:color w:val="auto"/>
                <w:kern w:val="0"/>
                <w:szCs w:val="21"/>
                <w:highlight w:val="none"/>
                <w:u w:val="single"/>
              </w:rPr>
              <w:t>中</w:t>
            </w:r>
            <w:r>
              <w:rPr>
                <w:rFonts w:hint="eastAsia" w:ascii="宋体" w:hAnsi="宋体" w:cs="宋体"/>
                <w:b/>
                <w:bCs/>
                <w:color w:val="auto"/>
                <w:kern w:val="0"/>
                <w:szCs w:val="21"/>
                <w:highlight w:val="none"/>
                <w:u w:val="single"/>
                <w:lang w:val="en-US" w:eastAsia="zh-CN"/>
              </w:rPr>
              <w:t>选</w:t>
            </w:r>
            <w:r>
              <w:rPr>
                <w:rFonts w:hint="eastAsia" w:ascii="宋体" w:hAnsi="宋体" w:eastAsia="宋体" w:cs="宋体"/>
                <w:b/>
                <w:bCs/>
                <w:color w:val="auto"/>
                <w:kern w:val="0"/>
                <w:szCs w:val="21"/>
                <w:highlight w:val="none"/>
                <w:u w:val="single"/>
              </w:rPr>
              <w:t>合同金额的10%</w:t>
            </w:r>
            <w:r>
              <w:rPr>
                <w:rFonts w:hint="eastAsia" w:ascii="宋体" w:hAnsi="宋体" w:eastAsia="宋体" w:cs="宋体"/>
                <w:color w:val="auto"/>
                <w:kern w:val="0"/>
                <w:szCs w:val="21"/>
                <w:highlight w:val="none"/>
              </w:rPr>
              <w:t>；</w:t>
            </w:r>
          </w:p>
          <w:p w14:paraId="54491C90">
            <w:pPr>
              <w:keepNext w:val="0"/>
              <w:keepLines w:val="0"/>
              <w:pageBreakBefore w:val="0"/>
              <w:kinsoku/>
              <w:wordWrap/>
              <w:overflowPunct/>
              <w:topLinePunct w:val="0"/>
              <w:autoSpaceDE/>
              <w:autoSpaceDN/>
              <w:bidi w:val="0"/>
              <w:adjustRightInd/>
              <w:snapToGrid w:val="0"/>
              <w:spacing w:after="48" w:afterLines="20"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rPr>
              <w:t>3.提交时间：</w:t>
            </w:r>
            <w:r>
              <w:rPr>
                <w:rFonts w:hint="eastAsia" w:ascii="宋体" w:hAnsi="宋体" w:eastAsia="宋体" w:cs="宋体"/>
                <w:color w:val="auto"/>
                <w:kern w:val="0"/>
                <w:sz w:val="21"/>
                <w:szCs w:val="21"/>
                <w:highlight w:val="none"/>
                <w:u w:val="none"/>
                <w:lang w:val="en-US" w:eastAsia="zh-CN" w:bidi="ar-SA"/>
              </w:rPr>
              <w:t>中选承包商</w:t>
            </w:r>
            <w:r>
              <w:rPr>
                <w:rFonts w:hint="eastAsia" w:ascii="宋体" w:hAnsi="宋体" w:eastAsia="宋体" w:cs="宋体"/>
                <w:color w:val="auto"/>
                <w:kern w:val="0"/>
                <w:szCs w:val="21"/>
                <w:highlight w:val="none"/>
                <w:u w:val="none"/>
              </w:rPr>
              <w:t>领取</w:t>
            </w:r>
            <w:r>
              <w:rPr>
                <w:rFonts w:hint="eastAsia" w:ascii="宋体" w:hAnsi="宋体" w:eastAsia="宋体" w:cs="宋体"/>
                <w:color w:val="auto"/>
                <w:kern w:val="0"/>
                <w:szCs w:val="21"/>
                <w:highlight w:val="none"/>
                <w:u w:val="none"/>
                <w:lang w:eastAsia="zh-CN"/>
              </w:rPr>
              <w:t>中选通知书</w:t>
            </w:r>
            <w:r>
              <w:rPr>
                <w:rFonts w:hint="eastAsia" w:ascii="宋体" w:hAnsi="宋体" w:eastAsia="宋体" w:cs="宋体"/>
                <w:color w:val="auto"/>
                <w:kern w:val="0"/>
                <w:szCs w:val="21"/>
                <w:highlight w:val="none"/>
                <w:u w:val="none"/>
              </w:rPr>
              <w:t>之日起10个工作日内，并作为签订施工合同的必备条件</w:t>
            </w:r>
            <w:r>
              <w:rPr>
                <w:rFonts w:hint="eastAsia" w:ascii="宋体" w:hAnsi="宋体" w:eastAsia="宋体" w:cs="宋体"/>
                <w:color w:val="auto"/>
                <w:kern w:val="0"/>
                <w:szCs w:val="21"/>
                <w:highlight w:val="none"/>
              </w:rPr>
              <w:t>。</w:t>
            </w:r>
            <w:r>
              <w:rPr>
                <w:rFonts w:hint="eastAsia" w:ascii="宋体" w:hAnsi="宋体" w:eastAsia="宋体" w:cs="宋体"/>
                <w:color w:val="auto"/>
                <w:sz w:val="21"/>
                <w:szCs w:val="21"/>
                <w:highlight w:val="none"/>
              </w:rPr>
              <w:t xml:space="preserve"> </w:t>
            </w:r>
          </w:p>
          <w:p w14:paraId="3C08CB11">
            <w:pPr>
              <w:pStyle w:val="38"/>
              <w:keepNext w:val="0"/>
              <w:keepLines w:val="0"/>
              <w:pageBreakBefore w:val="0"/>
              <w:kinsoku/>
              <w:wordWrap/>
              <w:overflowPunct/>
              <w:topLinePunct w:val="0"/>
              <w:autoSpaceDE/>
              <w:autoSpaceDN/>
              <w:bidi w:val="0"/>
              <w:adjustRightInd/>
              <w:spacing w:before="0" w:beforeAutospacing="0" w:after="196" w:afterAutospacing="0" w:line="336"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4.退还时间：</w:t>
            </w:r>
            <w:r>
              <w:rPr>
                <w:rFonts w:hint="eastAsia" w:ascii="宋体" w:hAnsi="宋体" w:eastAsia="宋体" w:cs="宋体"/>
                <w:color w:val="auto"/>
                <w:kern w:val="0"/>
                <w:sz w:val="21"/>
                <w:szCs w:val="21"/>
                <w:highlight w:val="none"/>
                <w:u w:val="none"/>
                <w:lang w:val="en-US" w:eastAsia="zh-CN" w:bidi="ar-SA"/>
              </w:rPr>
              <w:t>采用现金担保的，工程竣工验收合格后14天内退还；采用银行保函的，工程竣工验收合格后14天内退还，或按工程实际情况约定分阶段退还</w:t>
            </w:r>
            <w:r>
              <w:rPr>
                <w:rFonts w:hint="eastAsia" w:ascii="宋体" w:hAnsi="宋体" w:eastAsia="宋体" w:cs="宋体"/>
                <w:color w:val="auto"/>
                <w:sz w:val="21"/>
                <w:szCs w:val="21"/>
                <w:highlight w:val="none"/>
              </w:rPr>
              <w:t>。</w:t>
            </w:r>
          </w:p>
          <w:p w14:paraId="6088A2E1">
            <w:pPr>
              <w:keepNext w:val="0"/>
              <w:keepLines w:val="0"/>
              <w:pageBreakBefore w:val="0"/>
              <w:kinsoku/>
              <w:wordWrap/>
              <w:overflowPunct/>
              <w:topLinePunct w:val="0"/>
              <w:autoSpaceDE/>
              <w:autoSpaceDN/>
              <w:bidi w:val="0"/>
              <w:adjustRightInd/>
              <w:snapToGrid w:val="0"/>
              <w:spacing w:after="48" w:afterLines="20" w:line="336"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 贯彻落实上级文件精神，进一步减轻企业负担，主要推行以保函方式缴纳。在招投标活动中，由中标人根据自身情况自行选择缴纳方式。</w:t>
            </w:r>
          </w:p>
          <w:p w14:paraId="0A057DDA">
            <w:pPr>
              <w:keepNext w:val="0"/>
              <w:keepLines w:val="0"/>
              <w:pageBreakBefore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中标人提供虚假银行保函的，发包人取消其中标资格，投标保证金不予退还，发包人可以根据评标委员会推荐的中标候选人顺序依次确定中标人，同时招标投标行政监督部门按照信用管理办法的规定，对中标人的不良行为直接记12分，纳入黑名单。</w:t>
            </w:r>
          </w:p>
          <w:p w14:paraId="412A46C3">
            <w:pPr>
              <w:pStyle w:val="2"/>
              <w:keepNext w:val="0"/>
              <w:keepLines w:val="0"/>
              <w:pageBreakBefore w:val="0"/>
              <w:kinsoku/>
              <w:wordWrap/>
              <w:overflowPunct/>
              <w:topLinePunct w:val="0"/>
              <w:autoSpaceDE/>
              <w:autoSpaceDN/>
              <w:bidi w:val="0"/>
              <w:adjustRightInd/>
              <w:spacing w:line="336" w:lineRule="auto"/>
              <w:ind w:firstLine="420" w:firstLineChars="200"/>
              <w:textAlignment w:val="auto"/>
              <w:rPr>
                <w:rFonts w:hint="eastAsia" w:ascii="宋体" w:hAnsi="宋体" w:eastAsia="宋体" w:cs="宋体"/>
                <w:strike/>
                <w:color w:val="auto"/>
                <w:kern w:val="0"/>
                <w:szCs w:val="21"/>
                <w:highlight w:val="none"/>
              </w:rPr>
            </w:pPr>
            <w:r>
              <w:rPr>
                <w:rFonts w:hint="eastAsia" w:ascii="宋体" w:hAnsi="宋体" w:eastAsia="宋体" w:cs="宋体"/>
                <w:color w:val="auto"/>
                <w:kern w:val="0"/>
                <w:sz w:val="21"/>
                <w:szCs w:val="21"/>
                <w:highlight w:val="none"/>
              </w:rPr>
              <w:t>7.招标人自中标通知书发出之日起30日内，依法与中标人签订书面合同。如果中标人未能按要求或在法定时限内缴纳履约担保金并签订书面合同的，招标人有权取消其中标资格并没收其投标保证金。</w:t>
            </w:r>
          </w:p>
        </w:tc>
      </w:tr>
      <w:tr w14:paraId="20FEC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540" w:type="pct"/>
            <w:vAlign w:val="center"/>
          </w:tcPr>
          <w:p w14:paraId="435743DC">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bookmarkStart w:id="67" w:name="_Toc419974478"/>
            <w:bookmarkStart w:id="68" w:name="_Toc428172725"/>
            <w:bookmarkStart w:id="69" w:name="_Toc338941631"/>
            <w:bookmarkStart w:id="70" w:name="_Toc370384625"/>
            <w:bookmarkStart w:id="71" w:name="_Toc419974236"/>
            <w:bookmarkStart w:id="72" w:name="_Toc428518721"/>
            <w:bookmarkStart w:id="73" w:name="_Toc430185956"/>
            <w:bookmarkStart w:id="74" w:name="_Toc200513126"/>
            <w:bookmarkStart w:id="75" w:name="_Toc419977262"/>
            <w:bookmarkStart w:id="76" w:name="_Toc430184672"/>
            <w:r>
              <w:rPr>
                <w:rFonts w:hint="eastAsia" w:ascii="宋体" w:hAnsi="宋体" w:eastAsia="宋体" w:cs="宋体"/>
                <w:color w:val="auto"/>
                <w:kern w:val="0"/>
                <w:szCs w:val="21"/>
                <w:highlight w:val="none"/>
              </w:rPr>
              <w:t>8.3</w:t>
            </w:r>
          </w:p>
        </w:tc>
        <w:tc>
          <w:tcPr>
            <w:tcW w:w="998" w:type="pct"/>
            <w:vAlign w:val="center"/>
          </w:tcPr>
          <w:p w14:paraId="59759E1C">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代理服务费</w:t>
            </w:r>
          </w:p>
        </w:tc>
        <w:tc>
          <w:tcPr>
            <w:tcW w:w="3460" w:type="pct"/>
            <w:vAlign w:val="center"/>
          </w:tcPr>
          <w:p w14:paraId="31CBC93A">
            <w:pPr>
              <w:keepNext w:val="0"/>
              <w:keepLines w:val="0"/>
              <w:pageBreakBefore w:val="0"/>
              <w:widowControl/>
              <w:kinsoku/>
              <w:wordWrap/>
              <w:overflowPunct/>
              <w:topLinePunct w:val="0"/>
              <w:autoSpaceDE/>
              <w:autoSpaceDN/>
              <w:bidi w:val="0"/>
              <w:adjustRightInd/>
              <w:spacing w:line="336"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（1）缴纳代理服务费</w:t>
            </w:r>
          </w:p>
          <w:p w14:paraId="33EB0EF6">
            <w:pPr>
              <w:keepNext w:val="0"/>
              <w:keepLines w:val="0"/>
              <w:pageBreakBefore w:val="0"/>
              <w:widowControl/>
              <w:kinsoku/>
              <w:wordWrap/>
              <w:overflowPunct/>
              <w:topLinePunct w:val="0"/>
              <w:autoSpaceDE/>
              <w:autoSpaceDN/>
              <w:bidi w:val="0"/>
              <w:adjustRightInd/>
              <w:spacing w:line="336" w:lineRule="auto"/>
              <w:ind w:firstLine="480"/>
              <w:textAlignment w:val="auto"/>
              <w:rPr>
                <w:rFonts w:hint="default" w:ascii="宋体" w:hAnsi="宋体" w:eastAsia="宋体" w:cs="宋体"/>
                <w:color w:val="auto"/>
                <w:szCs w:val="21"/>
                <w:highlight w:val="none"/>
                <w:lang w:val="en-US"/>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本项目招标代理服务费以招标控制价为基准按照(计价格[2002]1980号)文件计取</w:t>
            </w:r>
            <w:r>
              <w:rPr>
                <w:rFonts w:hint="eastAsia" w:ascii="宋体" w:hAnsi="宋体" w:cs="宋体"/>
                <w:color w:val="auto"/>
                <w:highlight w:val="none"/>
                <w:lang w:val="en-US" w:eastAsia="zh-CN"/>
              </w:rPr>
              <w:t>。由中标单位支付。</w:t>
            </w:r>
          </w:p>
        </w:tc>
      </w:tr>
      <w:tr w14:paraId="5E56F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540" w:type="pct"/>
            <w:vAlign w:val="center"/>
          </w:tcPr>
          <w:p w14:paraId="15222E8F">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9.1</w:t>
            </w:r>
          </w:p>
        </w:tc>
        <w:tc>
          <w:tcPr>
            <w:tcW w:w="998" w:type="pct"/>
            <w:vAlign w:val="center"/>
          </w:tcPr>
          <w:p w14:paraId="7D058BAA">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投标程序</w:t>
            </w:r>
          </w:p>
        </w:tc>
        <w:tc>
          <w:tcPr>
            <w:tcW w:w="3460" w:type="pct"/>
            <w:vAlign w:val="center"/>
          </w:tcPr>
          <w:p w14:paraId="2DC228E7">
            <w:pPr>
              <w:keepNext w:val="0"/>
              <w:keepLines w:val="0"/>
              <w:pageBreakBefore w:val="0"/>
              <w:widowControl/>
              <w:kinsoku/>
              <w:wordWrap/>
              <w:overflowPunct/>
              <w:topLinePunct w:val="0"/>
              <w:autoSpaceDE/>
              <w:autoSpaceDN/>
              <w:bidi w:val="0"/>
              <w:adjustRightInd/>
              <w:spacing w:line="336"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cs="宋体"/>
                <w:color w:val="auto"/>
                <w:highlight w:val="none"/>
                <w:lang w:val="en-US" w:eastAsia="zh-CN"/>
              </w:rPr>
              <w:t>递</w:t>
            </w:r>
            <w:r>
              <w:rPr>
                <w:rFonts w:hint="eastAsia" w:ascii="宋体" w:hAnsi="宋体" w:eastAsia="宋体" w:cs="宋体"/>
                <w:color w:val="auto"/>
                <w:highlight w:val="none"/>
              </w:rPr>
              <w:t>交</w:t>
            </w:r>
            <w:r>
              <w:rPr>
                <w:rFonts w:hint="eastAsia" w:ascii="宋体" w:hAnsi="宋体" w:cs="宋体"/>
                <w:color w:val="auto"/>
                <w:highlight w:val="none"/>
                <w:lang w:eastAsia="zh-CN"/>
              </w:rPr>
              <w:t>比选文件</w:t>
            </w:r>
            <w:r>
              <w:rPr>
                <w:rFonts w:hint="eastAsia" w:ascii="宋体" w:hAnsi="宋体" w:eastAsia="宋体" w:cs="宋体"/>
                <w:color w:val="auto"/>
                <w:highlight w:val="none"/>
              </w:rPr>
              <w:t>购买费缴纳凭据复印件，加盖供应商公章；</w:t>
            </w:r>
          </w:p>
          <w:p w14:paraId="6DDD496A">
            <w:pPr>
              <w:keepNext w:val="0"/>
              <w:keepLines w:val="0"/>
              <w:pageBreakBefore w:val="0"/>
              <w:widowControl/>
              <w:kinsoku/>
              <w:wordWrap/>
              <w:overflowPunct/>
              <w:topLinePunct w:val="0"/>
              <w:autoSpaceDE/>
              <w:autoSpaceDN/>
              <w:bidi w:val="0"/>
              <w:adjustRightInd/>
              <w:spacing w:line="336"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2</w:t>
            </w:r>
            <w:r>
              <w:rPr>
                <w:rFonts w:hint="eastAsia" w:ascii="宋体" w:hAnsi="宋体" w:eastAsia="宋体" w:cs="宋体"/>
                <w:color w:val="auto"/>
                <w:highlight w:val="none"/>
              </w:rPr>
              <w:t>）递交</w:t>
            </w:r>
            <w:r>
              <w:rPr>
                <w:rFonts w:hint="eastAsia" w:ascii="宋体" w:hAnsi="宋体" w:cs="宋体"/>
                <w:color w:val="auto"/>
                <w:highlight w:val="none"/>
                <w:lang w:eastAsia="zh-CN"/>
              </w:rPr>
              <w:t>比选文件</w:t>
            </w:r>
            <w:r>
              <w:rPr>
                <w:rFonts w:hint="eastAsia" w:ascii="宋体" w:hAnsi="宋体" w:eastAsia="宋体" w:cs="宋体"/>
                <w:color w:val="auto"/>
                <w:highlight w:val="none"/>
              </w:rPr>
              <w:t>发售登记表，加盖供应商公章；</w:t>
            </w:r>
          </w:p>
          <w:p w14:paraId="7D4D5370">
            <w:pPr>
              <w:keepNext w:val="0"/>
              <w:keepLines w:val="0"/>
              <w:pageBreakBefore w:val="0"/>
              <w:widowControl/>
              <w:kinsoku/>
              <w:wordWrap/>
              <w:overflowPunct/>
              <w:topLinePunct w:val="0"/>
              <w:autoSpaceDE/>
              <w:autoSpaceDN/>
              <w:bidi w:val="0"/>
              <w:adjustRightInd/>
              <w:spacing w:line="336"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3</w:t>
            </w:r>
            <w:r>
              <w:rPr>
                <w:rFonts w:hint="eastAsia" w:ascii="宋体" w:hAnsi="宋体" w:eastAsia="宋体" w:cs="宋体"/>
                <w:color w:val="auto"/>
                <w:highlight w:val="none"/>
              </w:rPr>
              <w:t>）按规定递交投标文件。</w:t>
            </w:r>
          </w:p>
          <w:p w14:paraId="4CA25F4E">
            <w:pPr>
              <w:keepNext w:val="0"/>
              <w:keepLines w:val="0"/>
              <w:pageBreakBefore w:val="0"/>
              <w:widowControl/>
              <w:kinsoku/>
              <w:wordWrap/>
              <w:overflowPunct/>
              <w:topLinePunct w:val="0"/>
              <w:autoSpaceDE/>
              <w:autoSpaceDN/>
              <w:bidi w:val="0"/>
              <w:adjustRightInd/>
              <w:spacing w:line="336"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说明：相关原件递交起止时间：如果</w:t>
            </w:r>
            <w:r>
              <w:rPr>
                <w:rFonts w:hint="eastAsia" w:ascii="宋体" w:hAnsi="宋体" w:cs="宋体"/>
                <w:color w:val="auto"/>
                <w:highlight w:val="none"/>
                <w:lang w:eastAsia="zh-CN"/>
              </w:rPr>
              <w:t>比选文件</w:t>
            </w:r>
            <w:r>
              <w:rPr>
                <w:rFonts w:hint="eastAsia" w:ascii="宋体" w:hAnsi="宋体" w:eastAsia="宋体" w:cs="宋体"/>
                <w:color w:val="auto"/>
                <w:highlight w:val="none"/>
              </w:rPr>
              <w:t>要求必须提交的相关原件，其递交时间与投标文件递交时间一致（逾期不予受理）。</w:t>
            </w:r>
          </w:p>
        </w:tc>
      </w:tr>
      <w:tr w14:paraId="2EAC4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000" w:type="pct"/>
            <w:gridSpan w:val="3"/>
            <w:vAlign w:val="center"/>
          </w:tcPr>
          <w:p w14:paraId="43652198">
            <w:pPr>
              <w:keepNext w:val="0"/>
              <w:keepLines w:val="0"/>
              <w:pageBreakBefore w:val="0"/>
              <w:kinsoku/>
              <w:wordWrap/>
              <w:overflowPunct/>
              <w:topLinePunct w:val="0"/>
              <w:autoSpaceDE/>
              <w:autoSpaceDN/>
              <w:bidi w:val="0"/>
              <w:adjustRightInd/>
              <w:spacing w:line="336" w:lineRule="auto"/>
              <w:jc w:val="center"/>
              <w:textAlignment w:val="auto"/>
              <w:rPr>
                <w:rFonts w:hint="eastAsia" w:ascii="宋体" w:hAnsi="宋体" w:eastAsia="宋体" w:cs="宋体"/>
                <w:b/>
                <w:color w:val="auto"/>
                <w:szCs w:val="21"/>
                <w:highlight w:val="none"/>
              </w:rPr>
            </w:pPr>
            <w:bookmarkStart w:id="77" w:name="_Toc86934195"/>
            <w:r>
              <w:rPr>
                <w:rFonts w:hint="eastAsia" w:ascii="宋体" w:hAnsi="宋体" w:eastAsia="宋体" w:cs="宋体"/>
                <w:b/>
                <w:color w:val="auto"/>
                <w:szCs w:val="21"/>
                <w:highlight w:val="none"/>
              </w:rPr>
              <w:t>投标人须知前附表与投标人须知正文不一致的以投标人须知前附表内容为准。</w:t>
            </w:r>
          </w:p>
        </w:tc>
      </w:tr>
    </w:tbl>
    <w:p w14:paraId="6F98CD40">
      <w:pPr>
        <w:pStyle w:val="5"/>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78" w:name="_Toc11384"/>
    </w:p>
    <w:p w14:paraId="170383B2">
      <w:pPr>
        <w:pStyle w:val="5"/>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  总则</w:t>
      </w:r>
      <w:bookmarkEnd w:id="67"/>
      <w:bookmarkEnd w:id="68"/>
      <w:bookmarkEnd w:id="69"/>
      <w:bookmarkEnd w:id="70"/>
      <w:bookmarkEnd w:id="71"/>
      <w:bookmarkEnd w:id="72"/>
      <w:bookmarkEnd w:id="73"/>
      <w:bookmarkEnd w:id="74"/>
      <w:bookmarkEnd w:id="75"/>
      <w:bookmarkEnd w:id="76"/>
      <w:bookmarkEnd w:id="77"/>
      <w:bookmarkEnd w:id="78"/>
    </w:p>
    <w:p w14:paraId="467FC2B5">
      <w:pPr>
        <w:pStyle w:val="5"/>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79" w:name="_Toc419974237"/>
      <w:bookmarkStart w:id="80" w:name="_Toc419977263"/>
      <w:bookmarkStart w:id="81" w:name="_Toc428518722"/>
      <w:bookmarkStart w:id="82" w:name="_Toc428172726"/>
      <w:bookmarkStart w:id="83" w:name="_Toc338941632"/>
      <w:bookmarkStart w:id="84" w:name="_Toc370384626"/>
      <w:bookmarkStart w:id="85" w:name="_Toc200513127"/>
      <w:bookmarkStart w:id="86" w:name="_Toc86934196"/>
      <w:bookmarkStart w:id="87" w:name="_Toc430185957"/>
      <w:bookmarkStart w:id="88" w:name="_Toc419974479"/>
      <w:bookmarkStart w:id="89" w:name="_Toc430184673"/>
      <w:bookmarkStart w:id="90" w:name="_Toc28637"/>
      <w:r>
        <w:rPr>
          <w:rFonts w:hint="eastAsia" w:ascii="宋体" w:hAnsi="宋体" w:eastAsia="宋体" w:cs="宋体"/>
          <w:snapToGrid w:val="0"/>
          <w:color w:val="auto"/>
          <w:sz w:val="21"/>
          <w:szCs w:val="21"/>
        </w:rPr>
        <w:t>1.1  项目概况</w:t>
      </w:r>
      <w:bookmarkEnd w:id="79"/>
      <w:bookmarkEnd w:id="80"/>
      <w:bookmarkEnd w:id="81"/>
      <w:bookmarkEnd w:id="82"/>
      <w:bookmarkEnd w:id="83"/>
      <w:bookmarkEnd w:id="84"/>
      <w:bookmarkEnd w:id="85"/>
      <w:bookmarkEnd w:id="86"/>
      <w:bookmarkEnd w:id="87"/>
      <w:bookmarkEnd w:id="88"/>
      <w:bookmarkEnd w:id="89"/>
      <w:bookmarkEnd w:id="90"/>
    </w:p>
    <w:p w14:paraId="50331DC4">
      <w:pPr>
        <w:pStyle w:val="38"/>
        <w:keepNext w:val="0"/>
        <w:keepLines w:val="0"/>
        <w:pageBreakBefore w:val="0"/>
        <w:kinsoku/>
        <w:wordWrap/>
        <w:overflowPunct/>
        <w:topLinePunct w:val="0"/>
        <w:bidi w:val="0"/>
        <w:spacing w:before="0" w:beforeAutospacing="0" w:after="0" w:afterAutospacing="0" w:line="400" w:lineRule="exact"/>
        <w:ind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1.1.1  根据《中华人民共和国招标投标法》等有关法律、法规和规章的规定，本比选项目已具备比选条件，现对本项目施工进行公开比选。</w:t>
      </w:r>
    </w:p>
    <w:p w14:paraId="65112622">
      <w:pPr>
        <w:pStyle w:val="5"/>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91" w:name="_Toc17915"/>
      <w:bookmarkStart w:id="92" w:name="_Toc430184677"/>
      <w:bookmarkStart w:id="93" w:name="_Toc86934197"/>
      <w:bookmarkStart w:id="94" w:name="_Toc200513132"/>
      <w:bookmarkStart w:id="95" w:name="_Toc430185961"/>
      <w:bookmarkStart w:id="96" w:name="_Toc428518726"/>
      <w:bookmarkStart w:id="97" w:name="_Toc338941636"/>
      <w:bookmarkStart w:id="98" w:name="_Toc419974483"/>
      <w:bookmarkStart w:id="99" w:name="_Toc419977267"/>
      <w:bookmarkStart w:id="100" w:name="_Toc428172730"/>
      <w:bookmarkStart w:id="101" w:name="_Toc370384630"/>
      <w:bookmarkStart w:id="102" w:name="_Toc419974241"/>
      <w:r>
        <w:rPr>
          <w:rFonts w:hint="eastAsia" w:ascii="宋体" w:hAnsi="宋体" w:eastAsia="宋体" w:cs="宋体"/>
          <w:snapToGrid w:val="0"/>
          <w:color w:val="auto"/>
          <w:sz w:val="21"/>
          <w:szCs w:val="21"/>
        </w:rPr>
        <w:t>1.5  费用承担</w:t>
      </w:r>
      <w:bookmarkEnd w:id="91"/>
      <w:bookmarkEnd w:id="92"/>
      <w:bookmarkEnd w:id="93"/>
      <w:bookmarkEnd w:id="94"/>
      <w:bookmarkEnd w:id="95"/>
      <w:bookmarkEnd w:id="96"/>
      <w:bookmarkEnd w:id="97"/>
      <w:bookmarkEnd w:id="98"/>
      <w:bookmarkEnd w:id="99"/>
      <w:bookmarkEnd w:id="100"/>
      <w:bookmarkEnd w:id="101"/>
      <w:bookmarkEnd w:id="102"/>
      <w:r>
        <w:rPr>
          <w:rFonts w:hint="eastAsia" w:ascii="宋体" w:hAnsi="宋体" w:eastAsia="宋体" w:cs="宋体"/>
          <w:snapToGrid w:val="0"/>
          <w:color w:val="auto"/>
          <w:sz w:val="21"/>
          <w:szCs w:val="21"/>
        </w:rPr>
        <w:tab/>
      </w:r>
    </w:p>
    <w:p w14:paraId="1C7AF07A">
      <w:pPr>
        <w:keepNext w:val="0"/>
        <w:keepLines w:val="0"/>
        <w:pageBreakBefore w:val="0"/>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投标人准备和参加比选活动发生的费用自理。</w:t>
      </w:r>
    </w:p>
    <w:p w14:paraId="2DCD62ED">
      <w:pPr>
        <w:pStyle w:val="5"/>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103" w:name="_Toc200513133"/>
      <w:bookmarkStart w:id="104" w:name="_Toc29549"/>
      <w:bookmarkStart w:id="105" w:name="_Toc338941637"/>
      <w:bookmarkStart w:id="106" w:name="_Toc430185962"/>
      <w:bookmarkStart w:id="107" w:name="_Toc428172731"/>
      <w:bookmarkStart w:id="108" w:name="_Toc419977268"/>
      <w:bookmarkStart w:id="109" w:name="_Toc430184678"/>
      <w:bookmarkStart w:id="110" w:name="_Toc526309961"/>
      <w:bookmarkStart w:id="111" w:name="_Toc428518727"/>
      <w:bookmarkStart w:id="112" w:name="_Toc419974484"/>
      <w:bookmarkStart w:id="113" w:name="_Toc419974242"/>
      <w:bookmarkStart w:id="114" w:name="_Toc370384631"/>
      <w:bookmarkStart w:id="115" w:name="_Toc86934198"/>
      <w:r>
        <w:rPr>
          <w:rFonts w:hint="eastAsia" w:ascii="宋体" w:hAnsi="宋体" w:eastAsia="宋体" w:cs="宋体"/>
          <w:snapToGrid w:val="0"/>
          <w:color w:val="auto"/>
          <w:sz w:val="21"/>
          <w:szCs w:val="21"/>
        </w:rPr>
        <w:t>1.6 保密</w:t>
      </w:r>
      <w:bookmarkEnd w:id="103"/>
      <w:bookmarkEnd w:id="104"/>
      <w:bookmarkEnd w:id="105"/>
      <w:bookmarkEnd w:id="106"/>
      <w:bookmarkEnd w:id="107"/>
      <w:bookmarkEnd w:id="108"/>
      <w:bookmarkEnd w:id="109"/>
      <w:bookmarkEnd w:id="110"/>
      <w:bookmarkEnd w:id="111"/>
      <w:bookmarkEnd w:id="112"/>
      <w:bookmarkEnd w:id="113"/>
      <w:bookmarkEnd w:id="114"/>
      <w:bookmarkEnd w:id="115"/>
    </w:p>
    <w:p w14:paraId="622AE6EC">
      <w:pPr>
        <w:keepNext w:val="0"/>
        <w:keepLines w:val="0"/>
        <w:pageBreakBefore w:val="0"/>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参与比选活动的各方应对比选文件和投标文件中的商业和技术等秘密保密，违者应对由此造成的后果承担法律责任。</w:t>
      </w:r>
    </w:p>
    <w:p w14:paraId="0B08D5E6">
      <w:pPr>
        <w:pStyle w:val="5"/>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116" w:name="_Toc430185963"/>
      <w:bookmarkStart w:id="117" w:name="_Toc27047"/>
      <w:bookmarkStart w:id="118" w:name="_Toc200513134"/>
      <w:bookmarkStart w:id="119" w:name="_Toc419974243"/>
      <w:bookmarkStart w:id="120" w:name="_Toc338941638"/>
      <w:bookmarkStart w:id="121" w:name="_Toc428172732"/>
      <w:bookmarkStart w:id="122" w:name="_Toc419977269"/>
      <w:bookmarkStart w:id="123" w:name="_Toc428518728"/>
      <w:bookmarkStart w:id="124" w:name="_Toc430184679"/>
      <w:bookmarkStart w:id="125" w:name="_Toc419974485"/>
      <w:bookmarkStart w:id="126" w:name="_Toc86934199"/>
      <w:bookmarkStart w:id="127" w:name="_Toc370384632"/>
      <w:bookmarkStart w:id="128" w:name="_Toc526309962"/>
      <w:r>
        <w:rPr>
          <w:rFonts w:hint="eastAsia" w:ascii="宋体" w:hAnsi="宋体" w:eastAsia="宋体" w:cs="宋体"/>
          <w:snapToGrid w:val="0"/>
          <w:color w:val="auto"/>
          <w:sz w:val="21"/>
          <w:szCs w:val="21"/>
        </w:rPr>
        <w:t>1.7 语言文字</w:t>
      </w:r>
      <w:bookmarkEnd w:id="116"/>
      <w:bookmarkEnd w:id="117"/>
      <w:bookmarkEnd w:id="118"/>
      <w:bookmarkEnd w:id="119"/>
      <w:bookmarkEnd w:id="120"/>
      <w:bookmarkEnd w:id="121"/>
      <w:bookmarkEnd w:id="122"/>
      <w:bookmarkEnd w:id="123"/>
      <w:bookmarkEnd w:id="124"/>
      <w:bookmarkEnd w:id="125"/>
      <w:bookmarkEnd w:id="126"/>
      <w:bookmarkEnd w:id="127"/>
      <w:bookmarkEnd w:id="128"/>
    </w:p>
    <w:p w14:paraId="658C619F">
      <w:pPr>
        <w:keepNext w:val="0"/>
        <w:keepLines w:val="0"/>
        <w:pageBreakBefore w:val="0"/>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除专用术语外，与比选有关的语言均使用中文。必要时专用术语应附有中文注释。</w:t>
      </w:r>
    </w:p>
    <w:p w14:paraId="0E048E2D">
      <w:pPr>
        <w:pStyle w:val="5"/>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129" w:name="_Toc430184680"/>
      <w:bookmarkStart w:id="130" w:name="_Toc338941639"/>
      <w:bookmarkStart w:id="131" w:name="_Toc200513135"/>
      <w:bookmarkStart w:id="132" w:name="_Toc419974486"/>
      <w:bookmarkStart w:id="133" w:name="_Toc428172733"/>
      <w:bookmarkStart w:id="134" w:name="_Toc428518729"/>
      <w:bookmarkStart w:id="135" w:name="_Toc419977270"/>
      <w:bookmarkStart w:id="136" w:name="_Toc86934200"/>
      <w:bookmarkStart w:id="137" w:name="_Toc526309963"/>
      <w:bookmarkStart w:id="138" w:name="_Toc8569"/>
      <w:bookmarkStart w:id="139" w:name="_Toc430185964"/>
      <w:bookmarkStart w:id="140" w:name="_Toc419974244"/>
      <w:bookmarkStart w:id="141" w:name="_Toc370384633"/>
      <w:r>
        <w:rPr>
          <w:rFonts w:hint="eastAsia" w:ascii="宋体" w:hAnsi="宋体" w:eastAsia="宋体" w:cs="宋体"/>
          <w:snapToGrid w:val="0"/>
          <w:color w:val="auto"/>
          <w:sz w:val="21"/>
          <w:szCs w:val="21"/>
        </w:rPr>
        <w:t>1.8  计量单位</w:t>
      </w:r>
      <w:bookmarkEnd w:id="129"/>
      <w:bookmarkEnd w:id="130"/>
      <w:bookmarkEnd w:id="131"/>
      <w:bookmarkEnd w:id="132"/>
      <w:bookmarkEnd w:id="133"/>
      <w:bookmarkEnd w:id="134"/>
      <w:bookmarkEnd w:id="135"/>
      <w:bookmarkEnd w:id="136"/>
      <w:bookmarkEnd w:id="137"/>
      <w:bookmarkEnd w:id="138"/>
      <w:bookmarkEnd w:id="139"/>
      <w:bookmarkEnd w:id="140"/>
      <w:bookmarkEnd w:id="141"/>
    </w:p>
    <w:p w14:paraId="19DEF3BC">
      <w:pPr>
        <w:keepNext w:val="0"/>
        <w:keepLines w:val="0"/>
        <w:pageBreakBefore w:val="0"/>
        <w:kinsoku/>
        <w:wordWrap/>
        <w:overflowPunct/>
        <w:topLinePunct w:val="0"/>
        <w:autoSpaceDE w:val="0"/>
        <w:autoSpaceDN w:val="0"/>
        <w:bidi w:val="0"/>
        <w:adjustRightInd w:val="0"/>
        <w:snapToGrid w:val="0"/>
        <w:spacing w:line="400" w:lineRule="exact"/>
        <w:ind w:firstLine="424" w:firstLineChars="202"/>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所有计量均采用中华人民共和国法定计量单位。</w:t>
      </w:r>
    </w:p>
    <w:p w14:paraId="016C4697">
      <w:pPr>
        <w:pStyle w:val="5"/>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142" w:name="_Toc430185975"/>
      <w:bookmarkStart w:id="143" w:name="_Toc428518740"/>
      <w:bookmarkStart w:id="144" w:name="_Toc419977281"/>
      <w:bookmarkStart w:id="145" w:name="_Toc86934201"/>
      <w:bookmarkStart w:id="146" w:name="_Toc428172744"/>
      <w:bookmarkStart w:id="147" w:name="_Toc419974255"/>
      <w:bookmarkStart w:id="148" w:name="_Toc430184691"/>
      <w:bookmarkStart w:id="149" w:name="_Toc419974497"/>
      <w:bookmarkStart w:id="150" w:name="_Toc10224"/>
      <w:bookmarkStart w:id="151" w:name="_Toc338941650"/>
      <w:bookmarkStart w:id="152" w:name="_Toc370384644"/>
      <w:bookmarkStart w:id="153" w:name="_Toc200513148"/>
      <w:r>
        <w:rPr>
          <w:rFonts w:hint="eastAsia" w:ascii="宋体" w:hAnsi="宋体" w:eastAsia="宋体" w:cs="宋体"/>
          <w:snapToGrid w:val="0"/>
          <w:color w:val="auto"/>
          <w:sz w:val="21"/>
          <w:szCs w:val="21"/>
        </w:rPr>
        <w:t>3.3  投标有效期</w:t>
      </w:r>
      <w:bookmarkEnd w:id="142"/>
      <w:bookmarkEnd w:id="143"/>
      <w:bookmarkEnd w:id="144"/>
      <w:bookmarkEnd w:id="145"/>
      <w:bookmarkEnd w:id="146"/>
      <w:bookmarkEnd w:id="147"/>
      <w:bookmarkEnd w:id="148"/>
      <w:bookmarkEnd w:id="149"/>
      <w:bookmarkEnd w:id="150"/>
      <w:bookmarkEnd w:id="151"/>
      <w:bookmarkEnd w:id="152"/>
    </w:p>
    <w:p w14:paraId="718BDA3A">
      <w:pPr>
        <w:keepNext w:val="0"/>
        <w:keepLines w:val="0"/>
        <w:pageBreakBefore w:val="0"/>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3.3.1  在投标人须知前附表规定的投标有效期内，投标人不得要求撤销或修改其投标文件。</w:t>
      </w:r>
    </w:p>
    <w:p w14:paraId="41966D21">
      <w:pPr>
        <w:keepNext w:val="0"/>
        <w:keepLines w:val="0"/>
        <w:pageBreakBefore w:val="0"/>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3.3.2  出现特殊情况需要延长投标有效期的，招标人应以书面形式通知所有投标人延长投标有效期。投标人同意延长的，应相应延长其投标保证金的有效期，但不得要求或被允许修改或撤销其投标文件；投标人拒绝延长的，其投标失效，但投标人有权收回其投标保证金。</w:t>
      </w:r>
    </w:p>
    <w:bookmarkEnd w:id="153"/>
    <w:p w14:paraId="0F5BB2F5">
      <w:pPr>
        <w:keepNext w:val="0"/>
        <w:keepLines w:val="0"/>
        <w:pageBreakBefore w:val="0"/>
        <w:kinsoku/>
        <w:wordWrap/>
        <w:overflowPunct/>
        <w:topLinePunct w:val="0"/>
        <w:bidi w:val="0"/>
        <w:snapToGrid w:val="0"/>
        <w:spacing w:line="400" w:lineRule="exact"/>
        <w:ind w:right="-109"/>
        <w:textAlignment w:val="auto"/>
        <w:rPr>
          <w:rFonts w:hint="eastAsia" w:ascii="宋体" w:hAnsi="宋体" w:eastAsia="宋体" w:cs="宋体"/>
          <w:snapToGrid w:val="0"/>
          <w:color w:val="auto"/>
          <w:szCs w:val="21"/>
        </w:rPr>
      </w:pPr>
      <w:bookmarkStart w:id="154" w:name="_Toc86934203"/>
      <w:bookmarkStart w:id="155" w:name="_Toc377562417"/>
      <w:bookmarkStart w:id="156" w:name="_Toc381195127"/>
      <w:bookmarkStart w:id="157" w:name="_Toc224103343"/>
      <w:bookmarkStart w:id="158" w:name="_Toc381112795"/>
      <w:bookmarkStart w:id="159" w:name="_Toc381113475"/>
      <w:bookmarkStart w:id="160" w:name="_Toc467163746"/>
      <w:bookmarkStart w:id="161" w:name="_Toc200513152"/>
      <w:bookmarkStart w:id="162" w:name="_Toc283211704"/>
      <w:r>
        <w:rPr>
          <w:rFonts w:hint="eastAsia" w:ascii="宋体" w:hAnsi="宋体" w:eastAsia="宋体" w:cs="宋体"/>
          <w:b/>
          <w:snapToGrid w:val="0"/>
          <w:color w:val="auto"/>
          <w:kern w:val="0"/>
          <w:szCs w:val="21"/>
        </w:rPr>
        <w:t>3.7  投标文件的编制</w:t>
      </w:r>
      <w:bookmarkEnd w:id="154"/>
      <w:bookmarkEnd w:id="155"/>
      <w:bookmarkEnd w:id="156"/>
      <w:bookmarkEnd w:id="157"/>
      <w:bookmarkEnd w:id="158"/>
      <w:bookmarkEnd w:id="159"/>
      <w:bookmarkEnd w:id="160"/>
      <w:bookmarkEnd w:id="161"/>
      <w:bookmarkEnd w:id="162"/>
    </w:p>
    <w:p w14:paraId="2768C092">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3.7.1投标文件应按比选文件“投标文件格式”进行编写，如有必要，可以增加附页，作为投标文件的组成部分。</w:t>
      </w:r>
    </w:p>
    <w:p w14:paraId="22EA308D">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3.7.2 投标文件应当对招标文件有关工期、投标有效期、质量要求、技术标准和要求、招标范围等实质性内容作出响应。</w:t>
      </w:r>
    </w:p>
    <w:p w14:paraId="315207E6">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 xml:space="preserve">3.7.3投标文件应用不褪色的材料书写或打印，并由投标人的法定代表人或其委托代理人签字或加盖单位公章。委托代理人签字的，投标文件应附法定代表人签署的授权委托书。投标文件应尽量避免涂改、行间插字或删除。如果出现上述情况，改动之处应加盖单位公章或由投标人的法定代表人或其授权的代理人签字确认。签字或盖章的具体要求见投标人须知前附表。 </w:t>
      </w:r>
    </w:p>
    <w:p w14:paraId="3212AEDC">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 xml:space="preserve">3.7.4 </w:t>
      </w:r>
      <w:r>
        <w:rPr>
          <w:rFonts w:hint="eastAsia" w:ascii="宋体" w:hAnsi="宋体" w:eastAsia="宋体" w:cs="宋体"/>
          <w:color w:val="auto"/>
          <w:szCs w:val="21"/>
          <w:highlight w:val="none"/>
        </w:rPr>
        <w:t>投标文件</w:t>
      </w:r>
      <w:r>
        <w:rPr>
          <w:rFonts w:hint="eastAsia" w:ascii="宋体" w:hAnsi="宋体" w:cs="宋体"/>
          <w:color w:val="auto"/>
          <w:szCs w:val="21"/>
          <w:highlight w:val="none"/>
          <w:lang w:val="en-US" w:eastAsia="zh-CN"/>
        </w:rPr>
        <w:t>份数详</w:t>
      </w:r>
      <w:r>
        <w:rPr>
          <w:rFonts w:hint="eastAsia" w:ascii="宋体" w:hAnsi="宋体" w:eastAsia="宋体" w:cs="宋体"/>
          <w:color w:val="auto"/>
          <w:szCs w:val="21"/>
        </w:rPr>
        <w:t xml:space="preserve">见投标人须知前附表。正本和副本的封面上应清楚地标记“正本”或“副本”的字样。当副本和正本不一致时，以正本为准。 </w:t>
      </w:r>
    </w:p>
    <w:p w14:paraId="16E556C9">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 xml:space="preserve">3.7.5 投标文件的正本与副本应分别装订成册，并编制目录，具体装订要求见投标人须知前附表规定。 </w:t>
      </w:r>
    </w:p>
    <w:p w14:paraId="0909F682">
      <w:pPr>
        <w:pStyle w:val="5"/>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163" w:name="_Toc200513153"/>
      <w:bookmarkStart w:id="164" w:name="_Toc419974258"/>
      <w:bookmarkStart w:id="165" w:name="_Toc419977284"/>
      <w:bookmarkStart w:id="166" w:name="_Toc430185978"/>
      <w:bookmarkStart w:id="167" w:name="_Toc370384647"/>
      <w:bookmarkStart w:id="168" w:name="_Toc21105"/>
      <w:bookmarkStart w:id="169" w:name="_Toc428172747"/>
      <w:bookmarkStart w:id="170" w:name="_Toc428518743"/>
      <w:bookmarkStart w:id="171" w:name="_Toc338941653"/>
      <w:bookmarkStart w:id="172" w:name="_Toc430184694"/>
      <w:bookmarkStart w:id="173" w:name="_Toc419974500"/>
      <w:bookmarkStart w:id="174" w:name="_Toc86934204"/>
      <w:r>
        <w:rPr>
          <w:rFonts w:hint="eastAsia" w:ascii="宋体" w:hAnsi="宋体" w:eastAsia="宋体" w:cs="宋体"/>
          <w:snapToGrid w:val="0"/>
          <w:color w:val="auto"/>
          <w:sz w:val="21"/>
          <w:szCs w:val="21"/>
        </w:rPr>
        <w:t xml:space="preserve">4.  </w:t>
      </w:r>
      <w:bookmarkEnd w:id="163"/>
      <w:r>
        <w:rPr>
          <w:rFonts w:hint="eastAsia" w:ascii="宋体" w:hAnsi="宋体" w:eastAsia="宋体" w:cs="宋体"/>
          <w:snapToGrid w:val="0"/>
          <w:color w:val="auto"/>
          <w:sz w:val="21"/>
          <w:szCs w:val="21"/>
        </w:rPr>
        <w:t>投标文件</w:t>
      </w:r>
      <w:bookmarkEnd w:id="164"/>
      <w:bookmarkEnd w:id="165"/>
      <w:bookmarkEnd w:id="166"/>
      <w:bookmarkEnd w:id="167"/>
      <w:bookmarkEnd w:id="168"/>
      <w:bookmarkEnd w:id="169"/>
      <w:bookmarkEnd w:id="170"/>
      <w:bookmarkEnd w:id="171"/>
      <w:bookmarkEnd w:id="172"/>
      <w:bookmarkEnd w:id="173"/>
      <w:bookmarkEnd w:id="174"/>
    </w:p>
    <w:p w14:paraId="30D25B5D">
      <w:pPr>
        <w:pStyle w:val="5"/>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175" w:name="_Toc419974501"/>
      <w:bookmarkStart w:id="176" w:name="_Toc430185979"/>
      <w:bookmarkStart w:id="177" w:name="_Toc86934205"/>
      <w:bookmarkStart w:id="178" w:name="_Toc419977285"/>
      <w:bookmarkStart w:id="179" w:name="_Toc419974259"/>
      <w:bookmarkStart w:id="180" w:name="_Toc428518744"/>
      <w:bookmarkStart w:id="181" w:name="_Toc558"/>
      <w:bookmarkStart w:id="182" w:name="_Toc338941654"/>
      <w:bookmarkStart w:id="183" w:name="_Toc428172748"/>
      <w:bookmarkStart w:id="184" w:name="_Toc430184695"/>
      <w:bookmarkStart w:id="185" w:name="_Toc200513154"/>
      <w:bookmarkStart w:id="186" w:name="_Toc370384648"/>
      <w:r>
        <w:rPr>
          <w:rFonts w:hint="eastAsia" w:ascii="宋体" w:hAnsi="宋体" w:eastAsia="宋体" w:cs="宋体"/>
          <w:snapToGrid w:val="0"/>
          <w:color w:val="auto"/>
          <w:sz w:val="21"/>
          <w:szCs w:val="21"/>
        </w:rPr>
        <w:t>4.1  投标文件的密封和标记</w:t>
      </w:r>
      <w:bookmarkEnd w:id="175"/>
      <w:bookmarkEnd w:id="176"/>
      <w:bookmarkEnd w:id="177"/>
      <w:bookmarkEnd w:id="178"/>
      <w:bookmarkEnd w:id="179"/>
      <w:bookmarkEnd w:id="180"/>
      <w:bookmarkEnd w:id="181"/>
      <w:bookmarkEnd w:id="182"/>
      <w:bookmarkEnd w:id="183"/>
      <w:bookmarkEnd w:id="184"/>
      <w:bookmarkEnd w:id="185"/>
      <w:bookmarkEnd w:id="186"/>
    </w:p>
    <w:p w14:paraId="1B4C713C">
      <w:pPr>
        <w:keepNext w:val="0"/>
        <w:keepLines w:val="0"/>
        <w:pageBreakBefore w:val="0"/>
        <w:kinsoku/>
        <w:wordWrap/>
        <w:overflowPunct/>
        <w:topLinePunct w:val="0"/>
        <w:autoSpaceDE w:val="0"/>
        <w:autoSpaceDN w:val="0"/>
        <w:bidi w:val="0"/>
        <w:adjustRightInd w:val="0"/>
        <w:snapToGrid w:val="0"/>
        <w:spacing w:line="400" w:lineRule="exact"/>
        <w:ind w:left="13" w:leftChars="6" w:firstLine="344" w:firstLineChars="164"/>
        <w:jc w:val="left"/>
        <w:textAlignment w:val="auto"/>
        <w:rPr>
          <w:rFonts w:hint="eastAsia" w:ascii="宋体" w:hAnsi="宋体" w:eastAsia="宋体" w:cs="宋体"/>
          <w:snapToGrid w:val="0"/>
          <w:color w:val="auto"/>
          <w:kern w:val="0"/>
          <w:szCs w:val="21"/>
        </w:rPr>
      </w:pPr>
      <w:bookmarkStart w:id="187" w:name="_Toc200513155"/>
      <w:r>
        <w:rPr>
          <w:rFonts w:hint="eastAsia" w:ascii="宋体" w:hAnsi="宋体" w:eastAsia="宋体" w:cs="宋体"/>
          <w:snapToGrid w:val="0"/>
          <w:color w:val="auto"/>
          <w:kern w:val="0"/>
          <w:szCs w:val="21"/>
        </w:rPr>
        <w:t>4.1.1  投标文件的正本与副本密封见投标人须知前附表。</w:t>
      </w:r>
    </w:p>
    <w:p w14:paraId="019C53DC">
      <w:pPr>
        <w:keepNext w:val="0"/>
        <w:keepLines w:val="0"/>
        <w:pageBreakBefore w:val="0"/>
        <w:kinsoku/>
        <w:wordWrap/>
        <w:overflowPunct/>
        <w:topLinePunct w:val="0"/>
        <w:autoSpaceDE w:val="0"/>
        <w:autoSpaceDN w:val="0"/>
        <w:bidi w:val="0"/>
        <w:adjustRightInd w:val="0"/>
        <w:snapToGrid w:val="0"/>
        <w:spacing w:line="400" w:lineRule="exact"/>
        <w:ind w:left="13" w:leftChars="6" w:firstLine="344" w:firstLineChars="164"/>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4.1.2  投标文件的封套上应写明的内容见投标人须知前附表。</w:t>
      </w:r>
    </w:p>
    <w:p w14:paraId="0180BF1B">
      <w:pPr>
        <w:pStyle w:val="5"/>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188" w:name="_Toc27240"/>
      <w:bookmarkStart w:id="189" w:name="_Toc419974502"/>
      <w:bookmarkStart w:id="190" w:name="_Toc430185980"/>
      <w:bookmarkStart w:id="191" w:name="_Toc419977286"/>
      <w:bookmarkStart w:id="192" w:name="_Toc338941655"/>
      <w:bookmarkStart w:id="193" w:name="_Toc428172749"/>
      <w:bookmarkStart w:id="194" w:name="_Toc430184696"/>
      <w:bookmarkStart w:id="195" w:name="_Toc419974260"/>
      <w:bookmarkStart w:id="196" w:name="_Toc428518745"/>
      <w:bookmarkStart w:id="197" w:name="_Toc370384649"/>
      <w:bookmarkStart w:id="198" w:name="_Toc86934206"/>
      <w:r>
        <w:rPr>
          <w:rFonts w:hint="eastAsia" w:ascii="宋体" w:hAnsi="宋体" w:eastAsia="宋体" w:cs="宋体"/>
          <w:snapToGrid w:val="0"/>
          <w:color w:val="auto"/>
          <w:sz w:val="21"/>
          <w:szCs w:val="21"/>
        </w:rPr>
        <w:t>4.2  投标文件的递交</w:t>
      </w:r>
      <w:bookmarkEnd w:id="187"/>
      <w:bookmarkEnd w:id="188"/>
      <w:bookmarkEnd w:id="189"/>
      <w:bookmarkEnd w:id="190"/>
      <w:bookmarkEnd w:id="191"/>
      <w:bookmarkEnd w:id="192"/>
      <w:bookmarkEnd w:id="193"/>
      <w:bookmarkEnd w:id="194"/>
      <w:bookmarkEnd w:id="195"/>
      <w:bookmarkEnd w:id="196"/>
      <w:bookmarkEnd w:id="197"/>
      <w:bookmarkEnd w:id="198"/>
    </w:p>
    <w:p w14:paraId="34FDF1EA">
      <w:pPr>
        <w:keepNext w:val="0"/>
        <w:keepLines w:val="0"/>
        <w:pageBreakBefore w:val="0"/>
        <w:kinsoku/>
        <w:wordWrap/>
        <w:overflowPunct/>
        <w:topLinePunct w:val="0"/>
        <w:autoSpaceDE w:val="0"/>
        <w:autoSpaceDN w:val="0"/>
        <w:bidi w:val="0"/>
        <w:adjustRightInd w:val="0"/>
        <w:snapToGrid w:val="0"/>
        <w:spacing w:line="400" w:lineRule="exact"/>
        <w:ind w:left="359" w:leftChars="171"/>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4.2.1  投标人应在投标人须知前附表规定的投标截止时间前递交投标文件。</w:t>
      </w:r>
    </w:p>
    <w:p w14:paraId="5655E750">
      <w:pPr>
        <w:keepNext w:val="0"/>
        <w:keepLines w:val="0"/>
        <w:pageBreakBefore w:val="0"/>
        <w:kinsoku/>
        <w:wordWrap/>
        <w:overflowPunct/>
        <w:topLinePunct w:val="0"/>
        <w:autoSpaceDE w:val="0"/>
        <w:autoSpaceDN w:val="0"/>
        <w:bidi w:val="0"/>
        <w:adjustRightInd w:val="0"/>
        <w:snapToGrid w:val="0"/>
        <w:spacing w:line="400" w:lineRule="exact"/>
        <w:ind w:left="359" w:leftChars="171"/>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4.2.2  投标人递交投标文件的地点：见投标人须知前附表。</w:t>
      </w:r>
    </w:p>
    <w:p w14:paraId="03F42B03">
      <w:pPr>
        <w:keepNext w:val="0"/>
        <w:keepLines w:val="0"/>
        <w:pageBreakBefore w:val="0"/>
        <w:kinsoku/>
        <w:wordWrap/>
        <w:overflowPunct/>
        <w:topLinePunct w:val="0"/>
        <w:autoSpaceDE w:val="0"/>
        <w:autoSpaceDN w:val="0"/>
        <w:bidi w:val="0"/>
        <w:adjustRightInd w:val="0"/>
        <w:snapToGrid w:val="0"/>
        <w:spacing w:line="400" w:lineRule="exact"/>
        <w:ind w:left="359" w:leftChars="171"/>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4.2.3  除投标人须知前附表另有规定外，投标人所递交的投标文件不予退还。</w:t>
      </w:r>
    </w:p>
    <w:p w14:paraId="3D4907EA">
      <w:pPr>
        <w:keepNext w:val="0"/>
        <w:keepLines w:val="0"/>
        <w:pageBreakBefore w:val="0"/>
        <w:kinsoku/>
        <w:wordWrap/>
        <w:overflowPunct/>
        <w:topLinePunct w:val="0"/>
        <w:autoSpaceDE w:val="0"/>
        <w:autoSpaceDN w:val="0"/>
        <w:bidi w:val="0"/>
        <w:adjustRightInd w:val="0"/>
        <w:snapToGrid w:val="0"/>
        <w:spacing w:line="400" w:lineRule="exact"/>
        <w:ind w:left="359" w:leftChars="171"/>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4.2.4  逾期送达的或者未送达指定地点的投标文件，招标人不予受理。</w:t>
      </w:r>
    </w:p>
    <w:p w14:paraId="394EFDC6">
      <w:pPr>
        <w:pStyle w:val="5"/>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199" w:name="_Toc509218740"/>
      <w:bookmarkStart w:id="200" w:name="_Toc287607776"/>
      <w:bookmarkStart w:id="201" w:name="_Toc33715781"/>
      <w:bookmarkStart w:id="202" w:name="_Toc277082582"/>
      <w:bookmarkStart w:id="203" w:name="_Toc287620715"/>
      <w:bookmarkStart w:id="204" w:name="_Toc224103347"/>
      <w:bookmarkStart w:id="205" w:name="_Toc86934207"/>
      <w:bookmarkStart w:id="206" w:name="_Toc430530465"/>
      <w:bookmarkStart w:id="207" w:name="_Toc31702"/>
      <w:bookmarkStart w:id="208" w:name="_Toc200513156"/>
      <w:r>
        <w:rPr>
          <w:rFonts w:hint="eastAsia" w:ascii="宋体" w:hAnsi="宋体" w:eastAsia="宋体" w:cs="宋体"/>
          <w:snapToGrid w:val="0"/>
          <w:color w:val="auto"/>
          <w:sz w:val="21"/>
          <w:szCs w:val="21"/>
        </w:rPr>
        <w:t>4.3  投标文件的修改与撤回</w:t>
      </w:r>
      <w:bookmarkEnd w:id="199"/>
      <w:bookmarkEnd w:id="200"/>
      <w:bookmarkEnd w:id="201"/>
      <w:bookmarkEnd w:id="202"/>
      <w:bookmarkEnd w:id="203"/>
      <w:bookmarkEnd w:id="204"/>
      <w:bookmarkEnd w:id="205"/>
      <w:bookmarkEnd w:id="206"/>
      <w:bookmarkEnd w:id="207"/>
      <w:bookmarkEnd w:id="208"/>
    </w:p>
    <w:p w14:paraId="6495074D">
      <w:pPr>
        <w:keepNext w:val="0"/>
        <w:keepLines w:val="0"/>
        <w:pageBreakBefore w:val="0"/>
        <w:kinsoku/>
        <w:wordWrap/>
        <w:overflowPunct/>
        <w:topLinePunct w:val="0"/>
        <w:autoSpaceDE w:val="0"/>
        <w:autoSpaceDN w:val="0"/>
        <w:bidi w:val="0"/>
        <w:adjustRightInd w:val="0"/>
        <w:snapToGrid w:val="0"/>
        <w:spacing w:line="400" w:lineRule="exact"/>
        <w:ind w:left="359" w:leftChars="171"/>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4.3.1  在投标人须知前附表规定的投标截止时间前，投标人可以修改或撤回已递交的投标文件，但应以书面形式通知招标人。</w:t>
      </w:r>
    </w:p>
    <w:p w14:paraId="1EAE7755">
      <w:pPr>
        <w:keepNext w:val="0"/>
        <w:keepLines w:val="0"/>
        <w:pageBreakBefore w:val="0"/>
        <w:kinsoku/>
        <w:wordWrap/>
        <w:overflowPunct/>
        <w:topLinePunct w:val="0"/>
        <w:autoSpaceDE w:val="0"/>
        <w:autoSpaceDN w:val="0"/>
        <w:bidi w:val="0"/>
        <w:adjustRightInd w:val="0"/>
        <w:snapToGrid w:val="0"/>
        <w:spacing w:line="400" w:lineRule="exact"/>
        <w:ind w:left="359" w:leftChars="171"/>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4.3.2  投标人修改或撤回已递交投标文件的书面通知应按照本章第3.7.3项的要求签字或盖章。招标人收到书面通知后，向投标人出具签收凭证。</w:t>
      </w:r>
    </w:p>
    <w:p w14:paraId="1DAE7C8C">
      <w:pPr>
        <w:keepNext w:val="0"/>
        <w:keepLines w:val="0"/>
        <w:pageBreakBefore w:val="0"/>
        <w:kinsoku/>
        <w:wordWrap/>
        <w:overflowPunct/>
        <w:topLinePunct w:val="0"/>
        <w:autoSpaceDE w:val="0"/>
        <w:autoSpaceDN w:val="0"/>
        <w:bidi w:val="0"/>
        <w:adjustRightInd w:val="0"/>
        <w:snapToGrid w:val="0"/>
        <w:spacing w:line="400" w:lineRule="exact"/>
        <w:ind w:left="359" w:leftChars="171"/>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4.3.3  修改的内容为投标文件的组成部分。修改的投标文件应按照本章规定进行编制、密封、标记和递交，并标明“修改”字样。</w:t>
      </w:r>
    </w:p>
    <w:p w14:paraId="1DF429BB">
      <w:pPr>
        <w:pStyle w:val="5"/>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209" w:name="_Toc419974261"/>
      <w:bookmarkStart w:id="210" w:name="_Toc200513157"/>
      <w:bookmarkStart w:id="211" w:name="_Toc419974503"/>
      <w:bookmarkStart w:id="212" w:name="_Toc370384650"/>
      <w:bookmarkStart w:id="213" w:name="_Toc338941656"/>
      <w:bookmarkStart w:id="214" w:name="_Toc430184697"/>
      <w:bookmarkStart w:id="215" w:name="_Toc428172750"/>
      <w:bookmarkStart w:id="216" w:name="_Toc6121"/>
      <w:bookmarkStart w:id="217" w:name="_Toc419977287"/>
      <w:bookmarkStart w:id="218" w:name="_Toc86934208"/>
      <w:bookmarkStart w:id="219" w:name="_Toc430185981"/>
      <w:bookmarkStart w:id="220" w:name="_Toc428518746"/>
      <w:r>
        <w:rPr>
          <w:rFonts w:hint="eastAsia" w:ascii="宋体" w:hAnsi="宋体" w:eastAsia="宋体" w:cs="宋体"/>
          <w:snapToGrid w:val="0"/>
          <w:color w:val="auto"/>
          <w:sz w:val="21"/>
          <w:szCs w:val="21"/>
        </w:rPr>
        <w:t xml:space="preserve">5.  </w:t>
      </w:r>
      <w:bookmarkEnd w:id="209"/>
      <w:bookmarkEnd w:id="210"/>
      <w:bookmarkEnd w:id="211"/>
      <w:bookmarkEnd w:id="212"/>
      <w:bookmarkEnd w:id="213"/>
      <w:r>
        <w:rPr>
          <w:rFonts w:hint="eastAsia" w:ascii="宋体" w:hAnsi="宋体" w:eastAsia="宋体" w:cs="宋体"/>
          <w:snapToGrid w:val="0"/>
          <w:color w:val="auto"/>
          <w:sz w:val="21"/>
          <w:szCs w:val="21"/>
        </w:rPr>
        <w:t>开标</w:t>
      </w:r>
      <w:bookmarkEnd w:id="214"/>
      <w:bookmarkEnd w:id="215"/>
      <w:bookmarkEnd w:id="216"/>
      <w:bookmarkEnd w:id="217"/>
      <w:bookmarkEnd w:id="218"/>
      <w:bookmarkEnd w:id="219"/>
      <w:bookmarkEnd w:id="220"/>
    </w:p>
    <w:p w14:paraId="0FEDFD52">
      <w:pPr>
        <w:pStyle w:val="5"/>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221" w:name="_Toc370384651"/>
      <w:bookmarkStart w:id="222" w:name="_Toc430185982"/>
      <w:bookmarkStart w:id="223" w:name="_Toc86934209"/>
      <w:bookmarkStart w:id="224" w:name="_Toc428518747"/>
      <w:bookmarkStart w:id="225" w:name="_Toc338941657"/>
      <w:bookmarkStart w:id="226" w:name="_Toc1674"/>
      <w:bookmarkStart w:id="227" w:name="_Toc419974262"/>
      <w:bookmarkStart w:id="228" w:name="_Toc419974504"/>
      <w:bookmarkStart w:id="229" w:name="_Toc428172751"/>
      <w:bookmarkStart w:id="230" w:name="_Toc200513158"/>
      <w:bookmarkStart w:id="231" w:name="_Toc419977288"/>
      <w:bookmarkStart w:id="232" w:name="_Toc430184698"/>
      <w:r>
        <w:rPr>
          <w:rFonts w:hint="eastAsia" w:ascii="宋体" w:hAnsi="宋体" w:eastAsia="宋体" w:cs="宋体"/>
          <w:snapToGrid w:val="0"/>
          <w:color w:val="auto"/>
          <w:sz w:val="21"/>
          <w:szCs w:val="21"/>
        </w:rPr>
        <w:t>5.1  开标时间和地点</w:t>
      </w:r>
      <w:bookmarkEnd w:id="221"/>
      <w:bookmarkEnd w:id="222"/>
      <w:bookmarkEnd w:id="223"/>
      <w:bookmarkEnd w:id="224"/>
      <w:bookmarkEnd w:id="225"/>
      <w:bookmarkEnd w:id="226"/>
      <w:bookmarkEnd w:id="227"/>
      <w:bookmarkEnd w:id="228"/>
      <w:bookmarkEnd w:id="229"/>
      <w:bookmarkEnd w:id="230"/>
      <w:bookmarkEnd w:id="231"/>
      <w:bookmarkEnd w:id="232"/>
    </w:p>
    <w:p w14:paraId="2BC30476">
      <w:pPr>
        <w:keepNext w:val="0"/>
        <w:keepLines w:val="0"/>
        <w:pageBreakBefore w:val="0"/>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招标人在本章规定的比选截止时间和投标人须知前附表规定的地点公开比选，并邀请所有投标人的法定代表人或其委托代理人准时参加。</w:t>
      </w:r>
    </w:p>
    <w:p w14:paraId="379CAD86">
      <w:pPr>
        <w:pStyle w:val="5"/>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233" w:name="_Toc200513160"/>
      <w:bookmarkStart w:id="234" w:name="_Toc370384653"/>
      <w:bookmarkStart w:id="235" w:name="_Toc419977290"/>
      <w:bookmarkStart w:id="236" w:name="_Toc419974264"/>
      <w:bookmarkStart w:id="237" w:name="_Toc419974506"/>
      <w:bookmarkStart w:id="238" w:name="_Toc86934210"/>
      <w:bookmarkStart w:id="239" w:name="_Toc428518749"/>
      <w:bookmarkStart w:id="240" w:name="_Toc5702"/>
      <w:bookmarkStart w:id="241" w:name="_Toc430185984"/>
      <w:bookmarkStart w:id="242" w:name="_Toc428172753"/>
      <w:bookmarkStart w:id="243" w:name="_Toc430184700"/>
      <w:bookmarkStart w:id="244" w:name="_Toc338941659"/>
      <w:r>
        <w:rPr>
          <w:rFonts w:hint="eastAsia" w:ascii="宋体" w:hAnsi="宋体" w:eastAsia="宋体" w:cs="宋体"/>
          <w:snapToGrid w:val="0"/>
          <w:color w:val="auto"/>
          <w:sz w:val="21"/>
          <w:szCs w:val="21"/>
        </w:rPr>
        <w:t>6.  评</w:t>
      </w:r>
      <w:bookmarkEnd w:id="233"/>
      <w:r>
        <w:rPr>
          <w:rFonts w:hint="eastAsia" w:ascii="宋体" w:hAnsi="宋体" w:eastAsia="宋体" w:cs="宋体"/>
          <w:snapToGrid w:val="0"/>
          <w:color w:val="auto"/>
          <w:sz w:val="21"/>
          <w:szCs w:val="21"/>
        </w:rPr>
        <w:t>审</w:t>
      </w:r>
      <w:bookmarkEnd w:id="234"/>
      <w:bookmarkEnd w:id="235"/>
      <w:bookmarkEnd w:id="236"/>
      <w:bookmarkEnd w:id="237"/>
      <w:bookmarkEnd w:id="238"/>
      <w:bookmarkEnd w:id="239"/>
      <w:bookmarkEnd w:id="240"/>
      <w:bookmarkEnd w:id="241"/>
      <w:bookmarkEnd w:id="242"/>
      <w:bookmarkEnd w:id="243"/>
      <w:bookmarkEnd w:id="244"/>
    </w:p>
    <w:p w14:paraId="41E6F65E">
      <w:pPr>
        <w:pStyle w:val="5"/>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245" w:name="_Toc200513161"/>
      <w:bookmarkStart w:id="246" w:name="_Toc10152"/>
      <w:bookmarkStart w:id="247" w:name="_Toc428518750"/>
      <w:bookmarkStart w:id="248" w:name="_Toc419977291"/>
      <w:bookmarkStart w:id="249" w:name="_Toc338941660"/>
      <w:bookmarkStart w:id="250" w:name="_Toc430184701"/>
      <w:bookmarkStart w:id="251" w:name="_Toc370384654"/>
      <w:bookmarkStart w:id="252" w:name="_Toc419974507"/>
      <w:bookmarkStart w:id="253" w:name="_Toc430185985"/>
      <w:bookmarkStart w:id="254" w:name="_Toc428172754"/>
      <w:bookmarkStart w:id="255" w:name="_Toc419974265"/>
      <w:bookmarkStart w:id="256" w:name="_Toc86934211"/>
      <w:r>
        <w:rPr>
          <w:rFonts w:hint="eastAsia" w:ascii="宋体" w:hAnsi="宋体" w:eastAsia="宋体" w:cs="宋体"/>
          <w:snapToGrid w:val="0"/>
          <w:color w:val="auto"/>
          <w:sz w:val="21"/>
          <w:szCs w:val="21"/>
        </w:rPr>
        <w:t>6.1  评审委员会</w:t>
      </w:r>
      <w:bookmarkEnd w:id="245"/>
      <w:bookmarkEnd w:id="246"/>
      <w:bookmarkEnd w:id="247"/>
      <w:bookmarkEnd w:id="248"/>
      <w:bookmarkEnd w:id="249"/>
      <w:bookmarkEnd w:id="250"/>
      <w:bookmarkEnd w:id="251"/>
      <w:bookmarkEnd w:id="252"/>
      <w:bookmarkEnd w:id="253"/>
      <w:bookmarkEnd w:id="254"/>
      <w:bookmarkEnd w:id="255"/>
      <w:bookmarkEnd w:id="256"/>
    </w:p>
    <w:p w14:paraId="1B206133">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b/>
          <w:snapToGrid w:val="0"/>
          <w:color w:val="auto"/>
          <w:kern w:val="0"/>
          <w:szCs w:val="21"/>
        </w:rPr>
      </w:pPr>
      <w:bookmarkStart w:id="257" w:name="_Toc200513162"/>
      <w:r>
        <w:rPr>
          <w:rFonts w:hint="eastAsia" w:ascii="宋体" w:hAnsi="宋体" w:eastAsia="宋体" w:cs="宋体"/>
          <w:snapToGrid w:val="0"/>
          <w:color w:val="auto"/>
          <w:kern w:val="0"/>
          <w:szCs w:val="21"/>
        </w:rPr>
        <w:t xml:space="preserve">6.1.1  </w:t>
      </w:r>
      <w:r>
        <w:rPr>
          <w:rFonts w:hint="eastAsia" w:ascii="宋体" w:hAnsi="宋体" w:cs="宋体"/>
          <w:color w:val="auto"/>
          <w:kern w:val="0"/>
          <w:szCs w:val="21"/>
          <w:lang w:val="en-US" w:eastAsia="zh-CN"/>
        </w:rPr>
        <w:t>招标人依法组建评标委员会，评标委员会构成：3人</w:t>
      </w:r>
      <w:r>
        <w:rPr>
          <w:rFonts w:hint="eastAsia" w:ascii="宋体" w:hAnsi="宋体" w:eastAsia="宋体" w:cs="宋体"/>
          <w:snapToGrid w:val="0"/>
          <w:color w:val="auto"/>
          <w:kern w:val="0"/>
          <w:szCs w:val="21"/>
        </w:rPr>
        <w:t>。</w:t>
      </w:r>
    </w:p>
    <w:p w14:paraId="414D1178">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6.1.2  评审委员会成员有下列情形之一的，应当回避：</w:t>
      </w:r>
    </w:p>
    <w:p w14:paraId="5684824F">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（1）投标人或投标人的主要负责人的近亲属；</w:t>
      </w:r>
    </w:p>
    <w:p w14:paraId="708C0581">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（2）项目主管部门或者行政监督部门的人员；</w:t>
      </w:r>
    </w:p>
    <w:p w14:paraId="781223BC">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（3）与投标人有利害关系，可能影响对投标公正评审的；</w:t>
      </w:r>
    </w:p>
    <w:p w14:paraId="5CD962E8">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snapToGrid w:val="0"/>
          <w:color w:val="auto"/>
          <w:kern w:val="0"/>
          <w:szCs w:val="21"/>
        </w:rPr>
        <w:t>（4）曾因在招标、评标以及其他与招标投标有关活动中从事违法行为而受过行政处罚或刑事处罚的</w:t>
      </w:r>
      <w:r>
        <w:rPr>
          <w:rFonts w:hint="eastAsia" w:ascii="宋体" w:hAnsi="宋体" w:eastAsia="宋体" w:cs="宋体"/>
          <w:color w:val="auto"/>
          <w:kern w:val="0"/>
          <w:szCs w:val="21"/>
        </w:rPr>
        <w:t>。</w:t>
      </w:r>
    </w:p>
    <w:p w14:paraId="2FA56CB8">
      <w:pPr>
        <w:pStyle w:val="5"/>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258" w:name="_Toc428172755"/>
      <w:bookmarkStart w:id="259" w:name="_Toc370384655"/>
      <w:bookmarkStart w:id="260" w:name="_Toc419977292"/>
      <w:bookmarkStart w:id="261" w:name="_Toc430184702"/>
      <w:bookmarkStart w:id="262" w:name="_Toc419974508"/>
      <w:bookmarkStart w:id="263" w:name="_Toc30577"/>
      <w:bookmarkStart w:id="264" w:name="_Toc430185986"/>
      <w:bookmarkStart w:id="265" w:name="_Toc86934212"/>
      <w:bookmarkStart w:id="266" w:name="_Toc419974266"/>
      <w:bookmarkStart w:id="267" w:name="_Toc428518751"/>
      <w:bookmarkStart w:id="268" w:name="_Toc338941661"/>
      <w:r>
        <w:rPr>
          <w:rFonts w:hint="eastAsia" w:ascii="宋体" w:hAnsi="宋体" w:eastAsia="宋体" w:cs="宋体"/>
          <w:snapToGrid w:val="0"/>
          <w:color w:val="auto"/>
          <w:sz w:val="21"/>
          <w:szCs w:val="21"/>
        </w:rPr>
        <w:t>6.2  评审原则</w:t>
      </w:r>
      <w:bookmarkEnd w:id="257"/>
      <w:bookmarkEnd w:id="258"/>
      <w:bookmarkEnd w:id="259"/>
      <w:bookmarkEnd w:id="260"/>
      <w:bookmarkEnd w:id="261"/>
      <w:bookmarkEnd w:id="262"/>
      <w:bookmarkEnd w:id="263"/>
      <w:bookmarkEnd w:id="264"/>
      <w:bookmarkEnd w:id="265"/>
      <w:bookmarkEnd w:id="266"/>
      <w:bookmarkEnd w:id="267"/>
      <w:bookmarkEnd w:id="268"/>
    </w:p>
    <w:p w14:paraId="7323BCE1">
      <w:pPr>
        <w:keepNext w:val="0"/>
        <w:keepLines w:val="0"/>
        <w:pageBreakBefore w:val="0"/>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 xml:space="preserve">    评标活动遵循公平、公正、科学和择优的原则。</w:t>
      </w:r>
    </w:p>
    <w:p w14:paraId="09C0BC5C">
      <w:pPr>
        <w:pStyle w:val="5"/>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269" w:name="_Toc200513163"/>
      <w:bookmarkStart w:id="270" w:name="_Toc419977293"/>
      <w:bookmarkStart w:id="271" w:name="_Toc86934213"/>
      <w:bookmarkStart w:id="272" w:name="_Toc419974267"/>
      <w:bookmarkStart w:id="273" w:name="_Toc428172756"/>
      <w:bookmarkStart w:id="274" w:name="_Toc338941662"/>
      <w:bookmarkStart w:id="275" w:name="_Toc430184703"/>
      <w:bookmarkStart w:id="276" w:name="_Toc430185987"/>
      <w:bookmarkStart w:id="277" w:name="_Toc428518752"/>
      <w:bookmarkStart w:id="278" w:name="_Toc419974509"/>
      <w:bookmarkStart w:id="279" w:name="_Toc27448"/>
      <w:bookmarkStart w:id="280" w:name="_Toc370384656"/>
      <w:r>
        <w:rPr>
          <w:rFonts w:hint="eastAsia" w:ascii="宋体" w:hAnsi="宋体" w:eastAsia="宋体" w:cs="宋体"/>
          <w:snapToGrid w:val="0"/>
          <w:color w:val="auto"/>
          <w:sz w:val="21"/>
          <w:szCs w:val="21"/>
        </w:rPr>
        <w:t>6.3  评</w:t>
      </w:r>
      <w:bookmarkEnd w:id="269"/>
      <w:r>
        <w:rPr>
          <w:rFonts w:hint="eastAsia" w:ascii="宋体" w:hAnsi="宋体" w:eastAsia="宋体" w:cs="宋体"/>
          <w:snapToGrid w:val="0"/>
          <w:color w:val="auto"/>
          <w:sz w:val="21"/>
          <w:szCs w:val="21"/>
        </w:rPr>
        <w:t>审</w:t>
      </w:r>
      <w:bookmarkEnd w:id="270"/>
      <w:bookmarkEnd w:id="271"/>
      <w:bookmarkEnd w:id="272"/>
      <w:bookmarkEnd w:id="273"/>
      <w:bookmarkEnd w:id="274"/>
      <w:bookmarkEnd w:id="275"/>
      <w:bookmarkEnd w:id="276"/>
      <w:bookmarkEnd w:id="277"/>
      <w:bookmarkEnd w:id="278"/>
      <w:bookmarkEnd w:id="279"/>
      <w:bookmarkEnd w:id="280"/>
    </w:p>
    <w:p w14:paraId="2BF4334D">
      <w:pPr>
        <w:keepNext w:val="0"/>
        <w:keepLines w:val="0"/>
        <w:pageBreakBefore w:val="0"/>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eastAsia="宋体" w:cs="宋体"/>
          <w:snapToGrid w:val="0"/>
          <w:color w:val="auto"/>
          <w:szCs w:val="21"/>
        </w:rPr>
      </w:pPr>
      <w:r>
        <w:rPr>
          <w:rFonts w:hint="eastAsia" w:ascii="宋体" w:hAnsi="宋体" w:eastAsia="宋体" w:cs="宋体"/>
          <w:snapToGrid w:val="0"/>
          <w:color w:val="auto"/>
          <w:kern w:val="0"/>
          <w:szCs w:val="21"/>
        </w:rPr>
        <w:t>评审委员会按照第三章“评标办法”规定的方法、评审因素、标准和程序对投标文件进行评审。第三章“评标办法”没有规定的方法、评审因素和标准，不作为评审依据。</w:t>
      </w:r>
      <w:bookmarkStart w:id="281" w:name="_Toc370384657"/>
      <w:bookmarkStart w:id="282" w:name="_Toc419974268"/>
      <w:bookmarkStart w:id="283" w:name="_Toc428172757"/>
      <w:bookmarkStart w:id="284" w:name="_Toc200513164"/>
      <w:bookmarkStart w:id="285" w:name="_Toc338941663"/>
      <w:bookmarkStart w:id="286" w:name="_Toc419977294"/>
      <w:bookmarkStart w:id="287" w:name="_Toc419974510"/>
    </w:p>
    <w:p w14:paraId="17C17DEC">
      <w:pPr>
        <w:pStyle w:val="5"/>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288" w:name="_Toc86934214"/>
      <w:bookmarkStart w:id="289" w:name="_Toc22955"/>
      <w:bookmarkStart w:id="290" w:name="_Toc430184704"/>
      <w:bookmarkStart w:id="291" w:name="_Toc428518753"/>
      <w:bookmarkStart w:id="292" w:name="_Toc430185988"/>
      <w:r>
        <w:rPr>
          <w:rFonts w:hint="eastAsia" w:ascii="宋体" w:hAnsi="宋体" w:eastAsia="宋体" w:cs="宋体"/>
          <w:snapToGrid w:val="0"/>
          <w:color w:val="auto"/>
          <w:sz w:val="21"/>
          <w:szCs w:val="21"/>
        </w:rPr>
        <w:t>7.  合同授予</w:t>
      </w:r>
      <w:bookmarkEnd w:id="281"/>
      <w:bookmarkEnd w:id="282"/>
      <w:bookmarkEnd w:id="283"/>
      <w:bookmarkEnd w:id="284"/>
      <w:bookmarkEnd w:id="285"/>
      <w:bookmarkEnd w:id="286"/>
      <w:bookmarkEnd w:id="287"/>
      <w:bookmarkEnd w:id="288"/>
      <w:bookmarkEnd w:id="289"/>
      <w:bookmarkEnd w:id="290"/>
      <w:bookmarkEnd w:id="291"/>
      <w:bookmarkEnd w:id="292"/>
    </w:p>
    <w:p w14:paraId="3058BC0C">
      <w:pPr>
        <w:pStyle w:val="5"/>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293" w:name="_Toc5998"/>
      <w:bookmarkStart w:id="294" w:name="_Toc419974269"/>
      <w:bookmarkStart w:id="295" w:name="_Toc430184705"/>
      <w:bookmarkStart w:id="296" w:name="_Toc370384658"/>
      <w:bookmarkStart w:id="297" w:name="_Toc430185989"/>
      <w:bookmarkStart w:id="298" w:name="_Toc419977295"/>
      <w:bookmarkStart w:id="299" w:name="_Toc338941664"/>
      <w:bookmarkStart w:id="300" w:name="_Toc200513165"/>
      <w:bookmarkStart w:id="301" w:name="_Toc86934215"/>
      <w:bookmarkStart w:id="302" w:name="_Toc428518754"/>
      <w:bookmarkStart w:id="303" w:name="_Toc428172758"/>
      <w:bookmarkStart w:id="304" w:name="_Toc419974511"/>
      <w:r>
        <w:rPr>
          <w:rFonts w:hint="eastAsia" w:ascii="宋体" w:hAnsi="宋体" w:eastAsia="宋体" w:cs="宋体"/>
          <w:snapToGrid w:val="0"/>
          <w:color w:val="auto"/>
          <w:sz w:val="21"/>
          <w:szCs w:val="21"/>
        </w:rPr>
        <w:t>7.1  定标方式</w:t>
      </w:r>
      <w:bookmarkEnd w:id="293"/>
      <w:bookmarkEnd w:id="294"/>
      <w:bookmarkEnd w:id="295"/>
      <w:bookmarkEnd w:id="296"/>
      <w:bookmarkEnd w:id="297"/>
      <w:bookmarkEnd w:id="298"/>
      <w:bookmarkEnd w:id="299"/>
      <w:bookmarkEnd w:id="300"/>
      <w:bookmarkEnd w:id="301"/>
      <w:bookmarkEnd w:id="302"/>
      <w:bookmarkEnd w:id="303"/>
      <w:bookmarkEnd w:id="304"/>
    </w:p>
    <w:p w14:paraId="233CC8C7">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招标人应当确定排名第一的中标候选人为中标人，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14:paraId="20ABC80F">
      <w:pPr>
        <w:keepNext w:val="0"/>
        <w:keepLines w:val="0"/>
        <w:pageBreakBefore w:val="0"/>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评标委员会推荐中标候选人的人数见投标人须知前附表。</w:t>
      </w:r>
    </w:p>
    <w:p w14:paraId="057487CB">
      <w:pPr>
        <w:pStyle w:val="5"/>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305" w:name="_Toc370384659"/>
      <w:bookmarkStart w:id="306" w:name="_Toc419974270"/>
      <w:bookmarkStart w:id="307" w:name="_Toc419977296"/>
      <w:bookmarkStart w:id="308" w:name="_Toc200513166"/>
      <w:bookmarkStart w:id="309" w:name="_Toc428518755"/>
      <w:bookmarkStart w:id="310" w:name="_Toc86934216"/>
      <w:bookmarkStart w:id="311" w:name="_Toc430184706"/>
      <w:bookmarkStart w:id="312" w:name="_Toc20355"/>
      <w:bookmarkStart w:id="313" w:name="_Toc430185990"/>
      <w:bookmarkStart w:id="314" w:name="_Toc428172759"/>
      <w:bookmarkStart w:id="315" w:name="_Toc419974512"/>
      <w:bookmarkStart w:id="316" w:name="_Toc338941665"/>
      <w:r>
        <w:rPr>
          <w:rFonts w:hint="eastAsia" w:ascii="宋体" w:hAnsi="宋体" w:eastAsia="宋体" w:cs="宋体"/>
          <w:snapToGrid w:val="0"/>
          <w:color w:val="auto"/>
          <w:sz w:val="21"/>
          <w:szCs w:val="21"/>
        </w:rPr>
        <w:t>7.2  中标通知</w:t>
      </w:r>
      <w:bookmarkEnd w:id="305"/>
      <w:bookmarkEnd w:id="306"/>
      <w:bookmarkEnd w:id="307"/>
      <w:bookmarkEnd w:id="308"/>
      <w:bookmarkEnd w:id="309"/>
      <w:bookmarkEnd w:id="310"/>
      <w:bookmarkEnd w:id="311"/>
      <w:bookmarkEnd w:id="312"/>
      <w:bookmarkEnd w:id="313"/>
      <w:bookmarkEnd w:id="314"/>
      <w:bookmarkEnd w:id="315"/>
      <w:bookmarkEnd w:id="316"/>
    </w:p>
    <w:p w14:paraId="11E5A32A">
      <w:pPr>
        <w:keepNext w:val="0"/>
        <w:keepLines w:val="0"/>
        <w:pageBreakBefore w:val="0"/>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招标人以书面形式向中标人发出中标通知书，同时将中标结果通知未中标的投标人。</w:t>
      </w:r>
    </w:p>
    <w:p w14:paraId="073E2408">
      <w:pPr>
        <w:pStyle w:val="5"/>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317" w:name="_Toc338941667"/>
      <w:bookmarkStart w:id="318" w:name="_Toc86934217"/>
      <w:bookmarkStart w:id="319" w:name="_Toc428172761"/>
      <w:bookmarkStart w:id="320" w:name="_Toc428518757"/>
      <w:bookmarkStart w:id="321" w:name="_Toc430184708"/>
      <w:bookmarkStart w:id="322" w:name="_Toc27930"/>
      <w:bookmarkStart w:id="323" w:name="_Toc370384661"/>
      <w:bookmarkStart w:id="324" w:name="_Toc419974514"/>
      <w:bookmarkStart w:id="325" w:name="_Toc430185992"/>
      <w:bookmarkStart w:id="326" w:name="_Toc419977298"/>
      <w:bookmarkStart w:id="327" w:name="_Toc200513168"/>
      <w:bookmarkStart w:id="328" w:name="_Toc419974272"/>
      <w:r>
        <w:rPr>
          <w:rFonts w:hint="eastAsia" w:ascii="宋体" w:hAnsi="宋体" w:eastAsia="宋体" w:cs="宋体"/>
          <w:snapToGrid w:val="0"/>
          <w:color w:val="auto"/>
          <w:sz w:val="21"/>
          <w:szCs w:val="21"/>
        </w:rPr>
        <w:t>7.4  签订合同</w:t>
      </w:r>
      <w:bookmarkEnd w:id="317"/>
      <w:bookmarkEnd w:id="318"/>
      <w:bookmarkEnd w:id="319"/>
      <w:bookmarkEnd w:id="320"/>
      <w:bookmarkEnd w:id="321"/>
      <w:bookmarkEnd w:id="322"/>
      <w:bookmarkEnd w:id="323"/>
      <w:bookmarkEnd w:id="324"/>
      <w:bookmarkEnd w:id="325"/>
      <w:bookmarkEnd w:id="326"/>
      <w:bookmarkEnd w:id="327"/>
      <w:bookmarkEnd w:id="328"/>
    </w:p>
    <w:p w14:paraId="22AC6C78">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7.4.1 招标人和中标人应当自中标通知书发出之日起5天内，根据比选文件和中标人的投标文件订立书面合同。中标人无正当理由拒签合同的，招标人取消其中标资格，其投标保证金不予退还；给招标人造成的损失超过投标保证金数额的，中标人还应当对超过部分予以赔偿。</w:t>
      </w:r>
    </w:p>
    <w:p w14:paraId="173510B4">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7.4.2 发出中标通知书后，招标人无正当理由拒签合同的，招标人向中标人退还投标保证金；给中标人造成损失的，还应当赔偿损失。</w:t>
      </w:r>
    </w:p>
    <w:p w14:paraId="27BB12D5">
      <w:pPr>
        <w:pStyle w:val="5"/>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329" w:name="_Toc10650"/>
      <w:bookmarkStart w:id="330" w:name="_Toc27165"/>
      <w:bookmarkStart w:id="331" w:name="_Toc29212973"/>
      <w:bookmarkStart w:id="332" w:name="_Toc13567"/>
      <w:bookmarkStart w:id="333" w:name="_Toc255759369"/>
      <w:bookmarkStart w:id="334" w:name="_Toc86934218"/>
      <w:bookmarkStart w:id="335" w:name="_Toc21467"/>
      <w:bookmarkStart w:id="336" w:name="_Toc13894"/>
      <w:bookmarkStart w:id="337" w:name="_Toc18266"/>
      <w:bookmarkStart w:id="338" w:name="_Toc14094206"/>
      <w:bookmarkStart w:id="339" w:name="_Toc10366"/>
      <w:bookmarkStart w:id="340" w:name="_Toc7360"/>
      <w:bookmarkStart w:id="341" w:name="_Toc10258"/>
      <w:bookmarkStart w:id="342" w:name="_Toc257799458"/>
      <w:bookmarkStart w:id="343" w:name="_Toc17406"/>
      <w:bookmarkStart w:id="344" w:name="_Toc5963"/>
      <w:bookmarkStart w:id="345" w:name="_Toc22970"/>
      <w:bookmarkStart w:id="346" w:name="_Toc200513172"/>
      <w:r>
        <w:rPr>
          <w:rFonts w:hint="eastAsia" w:ascii="宋体" w:hAnsi="宋体" w:eastAsia="宋体" w:cs="宋体"/>
          <w:snapToGrid w:val="0"/>
          <w:color w:val="auto"/>
          <w:sz w:val="21"/>
          <w:szCs w:val="21"/>
        </w:rPr>
        <w:t>8. 重新招标和不再招标</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r>
        <w:rPr>
          <w:rFonts w:hint="eastAsia" w:ascii="宋体" w:hAnsi="宋体" w:eastAsia="宋体" w:cs="宋体"/>
          <w:snapToGrid w:val="0"/>
          <w:color w:val="auto"/>
          <w:sz w:val="21"/>
          <w:szCs w:val="21"/>
        </w:rPr>
        <w:t xml:space="preserve"> </w:t>
      </w:r>
    </w:p>
    <w:p w14:paraId="1C1CD878">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8.1 重新招标</w:t>
      </w:r>
    </w:p>
    <w:p w14:paraId="3899064C">
      <w:pPr>
        <w:keepNext w:val="0"/>
        <w:keepLines w:val="0"/>
        <w:pageBreakBefore w:val="0"/>
        <w:kinsoku/>
        <w:wordWrap/>
        <w:overflowPunct/>
        <w:topLinePunct w:val="0"/>
        <w:bidi w:val="0"/>
        <w:spacing w:line="400" w:lineRule="exact"/>
        <w:ind w:firstLine="210" w:firstLineChars="100"/>
        <w:jc w:val="left"/>
        <w:textAlignment w:val="auto"/>
        <w:rPr>
          <w:rFonts w:hint="eastAsia" w:ascii="宋体" w:hAnsi="宋体" w:eastAsia="宋体" w:cs="宋体"/>
          <w:color w:val="auto"/>
          <w:szCs w:val="21"/>
        </w:rPr>
      </w:pPr>
      <w:r>
        <w:rPr>
          <w:rFonts w:hint="eastAsia" w:ascii="宋体" w:hAnsi="宋体" w:eastAsia="宋体" w:cs="宋体"/>
          <w:color w:val="auto"/>
          <w:szCs w:val="21"/>
        </w:rPr>
        <w:t>有下列情形之一的，招标人将重新招标：</w:t>
      </w:r>
    </w:p>
    <w:p w14:paraId="0E98C298">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（1）投标截止时间止，投标人少于3个的；</w:t>
      </w:r>
    </w:p>
    <w:p w14:paraId="707169E3">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（2）合格投标人少于3个并且不具有竞争性；</w:t>
      </w:r>
    </w:p>
    <w:p w14:paraId="373347C1">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（3）经评标委员会评审后否决所有投标的。</w:t>
      </w:r>
    </w:p>
    <w:p w14:paraId="18C24055">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8.2 不再招标和继续评标</w:t>
      </w:r>
    </w:p>
    <w:p w14:paraId="78C5CA8F">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重新招标后合格投标人仍少于 3个并且不具有竞争性或所有投标被否决的，属于必须审批或核准的工程建设项目，经原审批或核准部门批准后可以不再进行招标；重新招标后合格投标人仍少于 3个，经评委会认定具有竞争性的按正常程序继续进行评标定标。</w:t>
      </w:r>
    </w:p>
    <w:p w14:paraId="012E69E9">
      <w:pPr>
        <w:pStyle w:val="5"/>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color w:val="auto"/>
          <w:sz w:val="21"/>
          <w:szCs w:val="21"/>
        </w:rPr>
      </w:pPr>
      <w:bookmarkStart w:id="347" w:name="_Toc25790"/>
      <w:bookmarkStart w:id="348" w:name="_Toc5989"/>
      <w:bookmarkStart w:id="349" w:name="_Toc86934219"/>
      <w:bookmarkStart w:id="350" w:name="_Toc14901"/>
      <w:bookmarkStart w:id="351" w:name="_Toc2285"/>
      <w:bookmarkStart w:id="352" w:name="_Toc22256"/>
      <w:bookmarkStart w:id="353" w:name="_Toc16834"/>
      <w:bookmarkStart w:id="354" w:name="_Toc29942"/>
      <w:bookmarkStart w:id="355" w:name="_Toc29212974"/>
      <w:bookmarkStart w:id="356" w:name="_Toc24261"/>
      <w:bookmarkStart w:id="357" w:name="_Toc14094207"/>
      <w:bookmarkStart w:id="358" w:name="_Toc22447"/>
      <w:bookmarkStart w:id="359" w:name="_Toc7307"/>
      <w:bookmarkStart w:id="360" w:name="_Toc8547"/>
      <w:bookmarkStart w:id="361" w:name="_Toc16560"/>
      <w:r>
        <w:rPr>
          <w:rFonts w:hint="eastAsia" w:ascii="宋体" w:hAnsi="宋体" w:eastAsia="宋体" w:cs="宋体"/>
          <w:snapToGrid w:val="0"/>
          <w:color w:val="auto"/>
          <w:sz w:val="21"/>
          <w:szCs w:val="21"/>
        </w:rPr>
        <w:t>9. 纪律和监督</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r>
        <w:rPr>
          <w:rFonts w:hint="eastAsia" w:ascii="宋体" w:hAnsi="宋体" w:eastAsia="宋体" w:cs="宋体"/>
          <w:color w:val="auto"/>
          <w:sz w:val="21"/>
          <w:szCs w:val="21"/>
        </w:rPr>
        <w:t xml:space="preserve"> </w:t>
      </w:r>
    </w:p>
    <w:p w14:paraId="02F2DBCF">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9.1 对招标人的纪律要求</w:t>
      </w:r>
    </w:p>
    <w:p w14:paraId="69FEE8DA">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招标人不得泄漏招标投标活动中应当保密的情况和资料，不得与投标人串通损害国家利益、社会公共利益或者他人合法权益。</w:t>
      </w:r>
    </w:p>
    <w:p w14:paraId="2297690A">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9.2 对投标人的纪律要求</w:t>
      </w:r>
    </w:p>
    <w:p w14:paraId="40420950">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610059D2">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9.3 对评标委员会成员的纪律要求</w:t>
      </w:r>
    </w:p>
    <w:p w14:paraId="612CF76C">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 xml:space="preserve">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 </w:t>
      </w:r>
    </w:p>
    <w:p w14:paraId="5E3216F7">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9.4 对与评标活动有关的工作人员的纪律要求</w:t>
      </w:r>
    </w:p>
    <w:p w14:paraId="4F8599CE">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 xml:space="preserve">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 </w:t>
      </w:r>
    </w:p>
    <w:p w14:paraId="33CF870F">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9.5 投诉</w:t>
      </w:r>
    </w:p>
    <w:p w14:paraId="29BF6501">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 xml:space="preserve">投标人和其他利害关系人认为本次招标活动违反法律、法规规定的，有权向有关行政监督部门投诉。 </w:t>
      </w:r>
    </w:p>
    <w:bookmarkEnd w:id="346"/>
    <w:p w14:paraId="5F49F748">
      <w:pPr>
        <w:pStyle w:val="5"/>
        <w:spacing w:after="120" w:afterLines="50" w:line="360" w:lineRule="auto"/>
        <w:jc w:val="both"/>
        <w:rPr>
          <w:rFonts w:hint="eastAsia" w:ascii="宋体" w:hAnsi="宋体" w:eastAsia="宋体" w:cs="宋体"/>
          <w:bCs/>
          <w:color w:val="auto"/>
          <w:sz w:val="32"/>
          <w:szCs w:val="32"/>
          <w:highlight w:val="none"/>
        </w:rPr>
      </w:pPr>
      <w:bookmarkStart w:id="362" w:name="_Toc419974521"/>
      <w:bookmarkStart w:id="363" w:name="_Toc430184715"/>
      <w:bookmarkStart w:id="364" w:name="_Toc428518764"/>
      <w:bookmarkStart w:id="365" w:name="_Toc338941674"/>
      <w:bookmarkStart w:id="366" w:name="_Toc419977305"/>
      <w:bookmarkStart w:id="367" w:name="_Toc428172768"/>
      <w:bookmarkStart w:id="368" w:name="_Toc86934220"/>
      <w:bookmarkStart w:id="369" w:name="_Toc430185999"/>
      <w:bookmarkStart w:id="370" w:name="_Toc370384668"/>
      <w:bookmarkStart w:id="371" w:name="_Toc419974279"/>
      <w:bookmarkStart w:id="372" w:name="_Toc17130"/>
    </w:p>
    <w:p w14:paraId="54158431">
      <w:pPr>
        <w:pStyle w:val="5"/>
        <w:spacing w:after="120" w:afterLines="50" w:line="360" w:lineRule="auto"/>
        <w:ind w:firstLine="3213" w:firstLineChars="1000"/>
        <w:jc w:val="both"/>
        <w:rPr>
          <w:rFonts w:hint="eastAsia" w:ascii="宋体" w:hAnsi="宋体" w:eastAsia="宋体" w:cs="宋体"/>
          <w:color w:val="auto"/>
          <w:szCs w:val="21"/>
          <w:highlight w:val="none"/>
        </w:rPr>
      </w:pPr>
      <w:r>
        <w:rPr>
          <w:rFonts w:hint="eastAsia" w:ascii="宋体" w:hAnsi="宋体" w:eastAsia="宋体" w:cs="宋体"/>
          <w:bCs/>
          <w:color w:val="auto"/>
          <w:sz w:val="32"/>
          <w:szCs w:val="32"/>
          <w:highlight w:val="none"/>
        </w:rPr>
        <w:t xml:space="preserve">第三章 </w:t>
      </w:r>
      <w:r>
        <w:rPr>
          <w:rFonts w:hint="eastAsia" w:ascii="宋体" w:hAnsi="宋体" w:eastAsia="宋体" w:cs="宋体"/>
          <w:color w:val="auto"/>
          <w:sz w:val="32"/>
          <w:szCs w:val="32"/>
          <w:highlight w:val="none"/>
        </w:rPr>
        <w:t>评标办法</w:t>
      </w:r>
      <w:bookmarkEnd w:id="362"/>
      <w:bookmarkEnd w:id="363"/>
      <w:bookmarkEnd w:id="364"/>
      <w:bookmarkEnd w:id="365"/>
      <w:bookmarkEnd w:id="366"/>
      <w:bookmarkEnd w:id="367"/>
      <w:bookmarkEnd w:id="368"/>
      <w:bookmarkEnd w:id="369"/>
      <w:bookmarkEnd w:id="370"/>
      <w:bookmarkEnd w:id="371"/>
      <w:bookmarkEnd w:id="372"/>
      <w:bookmarkStart w:id="373" w:name="_Toc428518765"/>
      <w:bookmarkStart w:id="374" w:name="_Toc430184716"/>
      <w:bookmarkStart w:id="375" w:name="_Toc419977306"/>
      <w:bookmarkStart w:id="376" w:name="_Toc430186000"/>
      <w:bookmarkStart w:id="377" w:name="_Toc428172769"/>
    </w:p>
    <w:p w14:paraId="1E96ACB7">
      <w:pPr>
        <w:pStyle w:val="5"/>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Cs w:val="24"/>
        </w:rPr>
      </w:pPr>
      <w:bookmarkStart w:id="378" w:name="_Toc5832"/>
      <w:bookmarkStart w:id="379" w:name="_Toc8106"/>
      <w:bookmarkStart w:id="380" w:name="_Toc5623"/>
      <w:bookmarkStart w:id="381" w:name="_Toc18231882"/>
      <w:bookmarkStart w:id="382" w:name="_Toc5405"/>
      <w:bookmarkStart w:id="383" w:name="_Toc18604"/>
      <w:bookmarkStart w:id="384" w:name="_Toc13457"/>
      <w:bookmarkStart w:id="385" w:name="_Toc28563"/>
      <w:bookmarkStart w:id="386" w:name="_Toc7374"/>
      <w:bookmarkStart w:id="387" w:name="_Toc3524"/>
      <w:bookmarkStart w:id="388" w:name="_Toc86934221"/>
      <w:bookmarkStart w:id="389" w:name="_Toc10079"/>
      <w:bookmarkStart w:id="390" w:name="_Toc14094211"/>
      <w:bookmarkStart w:id="391" w:name="_Toc255759373"/>
      <w:bookmarkStart w:id="392" w:name="_Toc297197555"/>
      <w:bookmarkStart w:id="393" w:name="_Toc257799462"/>
      <w:bookmarkStart w:id="394" w:name="_Toc297283398"/>
      <w:r>
        <w:rPr>
          <w:rFonts w:hint="eastAsia" w:ascii="宋体" w:hAnsi="宋体" w:eastAsia="宋体" w:cs="宋体"/>
          <w:color w:val="auto"/>
          <w:szCs w:val="24"/>
        </w:rPr>
        <w:t>1、评标原则</w:t>
      </w:r>
      <w:bookmarkEnd w:id="378"/>
      <w:bookmarkEnd w:id="379"/>
      <w:bookmarkEnd w:id="380"/>
      <w:bookmarkEnd w:id="381"/>
      <w:bookmarkEnd w:id="382"/>
      <w:bookmarkEnd w:id="383"/>
      <w:bookmarkEnd w:id="384"/>
      <w:bookmarkEnd w:id="385"/>
      <w:bookmarkEnd w:id="386"/>
      <w:bookmarkEnd w:id="387"/>
      <w:bookmarkEnd w:id="388"/>
      <w:bookmarkEnd w:id="389"/>
    </w:p>
    <w:p w14:paraId="73933E8A">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1.1 本次评标采用综合评分法。</w:t>
      </w:r>
    </w:p>
    <w:p w14:paraId="1BBA67AE">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 xml:space="preserve">1.1.1本次评标办法采用“综合评分法”，总分100 分，分值保留小数点后两位，第三位四舍五入，中间用插入法。 </w:t>
      </w:r>
    </w:p>
    <w:p w14:paraId="5B69F7AD">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 xml:space="preserve">1.1.2本项目评标由评标专家根据本评标办法各自打分、分项计分。以服务、商务和价格得分之和为各投标人的最终得分（综合得分）。评标专家对各投标人最终得分（综合得分）按照从高到低进行排序，最高者为第一名，依次类推确定得分排名顺序。最终得分（综合得分）相同的投标人，报价低者排名在前；最终得分（综合得分）及投标报价都相同的，则由评标专家投票表决，得票数高者为中标候选人。评标专家依据得分高低排名顺序推荐三名中标候选人给招标人。由招标人确定排名第一的中标候选人为中标人。若出现得分第一名投标人放弃中标，不能按招标文件规定签订合同等原因取消中标资格，则按得分排名顺序依次确定得分第二名投标人为中标人；若得分第二名投标人放弃中标，不能按招标文件规定签订合同等原因取消中标资格，则得分排名顺序第三名投标人为中标人。 </w:t>
      </w:r>
    </w:p>
    <w:p w14:paraId="2BDD908A">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 xml:space="preserve">1.1.3评标委员会认为分项报价明显低于市场价项的，将要求投标人现场进行澄清、说明。 </w:t>
      </w:r>
    </w:p>
    <w:p w14:paraId="221F92BA">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 xml:space="preserve">1.1.4违反本评标办法的打分无效。 </w:t>
      </w:r>
    </w:p>
    <w:p w14:paraId="5FFE55F2">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1.2 本次评标按初步评审、详细评审、评标委员会编写评标报告推荐中标候选人程序进行。初步评审包括投标文件的形式评审、资格评审和响应性评审。详细评审包括服务评价、商务评价和价格评价。</w:t>
      </w:r>
    </w:p>
    <w:p w14:paraId="569AA34D">
      <w:pPr>
        <w:pStyle w:val="5"/>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Cs w:val="24"/>
        </w:rPr>
      </w:pPr>
      <w:bookmarkStart w:id="395" w:name="_Toc14814"/>
      <w:bookmarkStart w:id="396" w:name="_Toc18231883"/>
      <w:bookmarkStart w:id="397" w:name="_Toc16575"/>
      <w:bookmarkStart w:id="398" w:name="_Toc8777"/>
      <w:bookmarkStart w:id="399" w:name="_Toc30374"/>
      <w:bookmarkStart w:id="400" w:name="_Toc23168"/>
      <w:bookmarkStart w:id="401" w:name="_Toc29738"/>
      <w:bookmarkStart w:id="402" w:name="_Toc16704"/>
      <w:bookmarkStart w:id="403" w:name="_Toc31120"/>
      <w:bookmarkStart w:id="404" w:name="_Toc11871"/>
      <w:bookmarkStart w:id="405" w:name="_Toc18856"/>
      <w:bookmarkStart w:id="406" w:name="_Toc86934222"/>
      <w:r>
        <w:rPr>
          <w:rFonts w:hint="eastAsia" w:ascii="宋体" w:hAnsi="宋体" w:eastAsia="宋体" w:cs="宋体"/>
          <w:color w:val="auto"/>
          <w:szCs w:val="24"/>
        </w:rPr>
        <w:t>2、初步评审</w:t>
      </w:r>
      <w:bookmarkEnd w:id="395"/>
      <w:bookmarkEnd w:id="396"/>
      <w:bookmarkEnd w:id="397"/>
      <w:bookmarkEnd w:id="398"/>
      <w:bookmarkEnd w:id="399"/>
      <w:bookmarkEnd w:id="400"/>
      <w:bookmarkEnd w:id="401"/>
      <w:bookmarkEnd w:id="402"/>
      <w:bookmarkEnd w:id="403"/>
      <w:bookmarkEnd w:id="404"/>
      <w:bookmarkEnd w:id="405"/>
      <w:bookmarkEnd w:id="406"/>
      <w:r>
        <w:rPr>
          <w:rFonts w:hint="eastAsia" w:ascii="宋体" w:hAnsi="宋体" w:eastAsia="宋体" w:cs="宋体"/>
          <w:color w:val="auto"/>
          <w:szCs w:val="24"/>
        </w:rPr>
        <w:t xml:space="preserve"> </w:t>
      </w:r>
    </w:p>
    <w:p w14:paraId="5CAEDD93">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2.1 投标文件的澄清</w:t>
      </w:r>
    </w:p>
    <w:p w14:paraId="5D57E27D">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为了有助于对投标文件的检查和评审，评标委员会可以单独要求投标人澄清其投标文件。投标人的答复均应采用书面形式。但投标人的澄清不得修改投标报价或投标文件中的其它实质性内容。经澄清的内容需由投标人签字确认后作为投标文件的组成部分。评标委员会不接受投标人主动提出的澄清、说明或补正。评标委员会对投标人提交的澄清、说明或补正有疑问的，可以要求投标人进一步澄清、说明或补正，直至满足评标委员会的要求。</w:t>
      </w:r>
    </w:p>
    <w:p w14:paraId="7A95FD33">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cs="宋体"/>
          <w:color w:val="auto"/>
          <w:szCs w:val="21"/>
          <w:lang w:val="en-US" w:eastAsia="zh-CN"/>
        </w:rPr>
        <w:t>2</w:t>
      </w:r>
      <w:r>
        <w:rPr>
          <w:rFonts w:hint="eastAsia" w:ascii="宋体" w:hAnsi="宋体" w:eastAsia="宋体" w:cs="宋体"/>
          <w:color w:val="auto"/>
          <w:szCs w:val="21"/>
        </w:rPr>
        <w:t xml:space="preserve"> 资格评审 </w:t>
      </w:r>
    </w:p>
    <w:p w14:paraId="6ED5D3B7">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cs="宋体"/>
          <w:color w:val="auto"/>
          <w:szCs w:val="21"/>
          <w:lang w:val="en-US" w:eastAsia="zh-CN"/>
        </w:rPr>
        <w:t>2</w:t>
      </w:r>
      <w:r>
        <w:rPr>
          <w:rFonts w:hint="eastAsia" w:ascii="宋体" w:hAnsi="宋体" w:eastAsia="宋体" w:cs="宋体"/>
          <w:color w:val="auto"/>
          <w:szCs w:val="21"/>
        </w:rPr>
        <w:t>.1 评标委员会依据招标文件的规定，对投标人的资格证明资料进行审查，以确定投标人是否具备招标文件规定的投标资格；未满足招标文件的资格规定的投标将被否决投标。（具体投标人资格要求见招标文件第二章“投标人须知前附表”第1.4.1项规定）</w:t>
      </w:r>
    </w:p>
    <w:p w14:paraId="33D1319F">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cs="宋体"/>
          <w:color w:val="auto"/>
          <w:szCs w:val="21"/>
          <w:lang w:val="en-US" w:eastAsia="zh-CN"/>
        </w:rPr>
        <w:t>3</w:t>
      </w:r>
      <w:r>
        <w:rPr>
          <w:rFonts w:hint="eastAsia" w:ascii="宋体" w:hAnsi="宋体" w:eastAsia="宋体" w:cs="宋体"/>
          <w:color w:val="auto"/>
          <w:szCs w:val="21"/>
        </w:rPr>
        <w:t xml:space="preserve"> 形式评审</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12"/>
        <w:gridCol w:w="1812"/>
        <w:gridCol w:w="6167"/>
      </w:tblGrid>
      <w:tr w14:paraId="7B3C8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exact"/>
          <w:tblHeader/>
          <w:jc w:val="center"/>
        </w:trPr>
        <w:tc>
          <w:tcPr>
            <w:tcW w:w="1612" w:type="dxa"/>
            <w:vMerge w:val="restart"/>
            <w:tcBorders>
              <w:top w:val="single" w:color="000000" w:sz="4" w:space="0"/>
              <w:left w:val="single" w:color="000000" w:sz="4" w:space="0"/>
              <w:right w:val="single" w:color="000000" w:sz="4" w:space="0"/>
            </w:tcBorders>
            <w:vAlign w:val="center"/>
          </w:tcPr>
          <w:p w14:paraId="40EFED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形式评审标准</w:t>
            </w:r>
          </w:p>
        </w:tc>
        <w:tc>
          <w:tcPr>
            <w:tcW w:w="1812" w:type="dxa"/>
            <w:tcBorders>
              <w:top w:val="single" w:color="000000" w:sz="4" w:space="0"/>
              <w:left w:val="single" w:color="000000" w:sz="4" w:space="0"/>
              <w:bottom w:val="single" w:color="000000" w:sz="4" w:space="0"/>
              <w:right w:val="single" w:color="000000" w:sz="4" w:space="0"/>
            </w:tcBorders>
            <w:vAlign w:val="center"/>
          </w:tcPr>
          <w:p w14:paraId="549860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评审因素</w:t>
            </w:r>
          </w:p>
        </w:tc>
        <w:tc>
          <w:tcPr>
            <w:tcW w:w="6167" w:type="dxa"/>
            <w:tcBorders>
              <w:top w:val="single" w:color="000000" w:sz="4" w:space="0"/>
              <w:left w:val="single" w:color="000000" w:sz="4" w:space="0"/>
              <w:bottom w:val="single" w:color="000000" w:sz="4" w:space="0"/>
              <w:right w:val="single" w:color="000000" w:sz="4" w:space="0"/>
            </w:tcBorders>
            <w:vAlign w:val="center"/>
          </w:tcPr>
          <w:p w14:paraId="63DA30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评审标准</w:t>
            </w:r>
          </w:p>
        </w:tc>
      </w:tr>
      <w:tr w14:paraId="47B85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36" w:hRule="atLeast"/>
          <w:tblHeader/>
          <w:jc w:val="center"/>
        </w:trPr>
        <w:tc>
          <w:tcPr>
            <w:tcW w:w="1612" w:type="dxa"/>
            <w:vMerge w:val="continue"/>
            <w:tcBorders>
              <w:left w:val="single" w:color="000000" w:sz="4" w:space="0"/>
              <w:right w:val="single" w:color="000000" w:sz="4" w:space="0"/>
            </w:tcBorders>
            <w:vAlign w:val="center"/>
          </w:tcPr>
          <w:p w14:paraId="20DB35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rPr>
            </w:pPr>
          </w:p>
        </w:tc>
        <w:tc>
          <w:tcPr>
            <w:tcW w:w="1812" w:type="dxa"/>
            <w:tcBorders>
              <w:top w:val="single" w:color="000000" w:sz="4" w:space="0"/>
              <w:left w:val="single" w:color="000000" w:sz="4" w:space="0"/>
              <w:right w:val="single" w:color="000000" w:sz="4" w:space="0"/>
            </w:tcBorders>
            <w:vAlign w:val="center"/>
          </w:tcPr>
          <w:p w14:paraId="2C1840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投标人名称</w:t>
            </w:r>
          </w:p>
        </w:tc>
        <w:tc>
          <w:tcPr>
            <w:tcW w:w="6167" w:type="dxa"/>
            <w:tcBorders>
              <w:top w:val="single" w:color="000000" w:sz="4" w:space="0"/>
              <w:left w:val="single" w:color="000000" w:sz="4" w:space="0"/>
              <w:right w:val="single" w:color="000000" w:sz="4" w:space="0"/>
            </w:tcBorders>
            <w:vAlign w:val="center"/>
          </w:tcPr>
          <w:p w14:paraId="2345127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Cs w:val="21"/>
              </w:rPr>
            </w:pPr>
            <w:r>
              <w:rPr>
                <w:rFonts w:hint="eastAsia" w:ascii="宋体" w:hAnsi="宋体" w:eastAsia="宋体" w:cs="宋体"/>
                <w:color w:val="auto"/>
                <w:szCs w:val="21"/>
              </w:rPr>
              <w:t>与营业执照一致（若投标人在更名期间，需提供投标人当地行政部门出具的相关证明文件）</w:t>
            </w:r>
          </w:p>
        </w:tc>
      </w:tr>
      <w:tr w14:paraId="7E758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36" w:hRule="atLeast"/>
          <w:tblHeader/>
          <w:jc w:val="center"/>
        </w:trPr>
        <w:tc>
          <w:tcPr>
            <w:tcW w:w="1612" w:type="dxa"/>
            <w:vMerge w:val="continue"/>
            <w:tcBorders>
              <w:left w:val="single" w:color="000000" w:sz="4" w:space="0"/>
              <w:right w:val="single" w:color="000000" w:sz="4" w:space="0"/>
            </w:tcBorders>
            <w:vAlign w:val="center"/>
          </w:tcPr>
          <w:p w14:paraId="4DD1DC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rPr>
            </w:pPr>
          </w:p>
        </w:tc>
        <w:tc>
          <w:tcPr>
            <w:tcW w:w="1812" w:type="dxa"/>
            <w:tcBorders>
              <w:top w:val="single" w:color="000000" w:sz="4" w:space="0"/>
              <w:left w:val="single" w:color="000000" w:sz="4" w:space="0"/>
              <w:right w:val="single" w:color="000000" w:sz="4" w:space="0"/>
            </w:tcBorders>
            <w:vAlign w:val="center"/>
          </w:tcPr>
          <w:p w14:paraId="69E9BF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投标文件签字盖章</w:t>
            </w:r>
          </w:p>
        </w:tc>
        <w:tc>
          <w:tcPr>
            <w:tcW w:w="6167" w:type="dxa"/>
            <w:tcBorders>
              <w:top w:val="single" w:color="000000" w:sz="4" w:space="0"/>
              <w:left w:val="single" w:color="000000" w:sz="4" w:space="0"/>
              <w:right w:val="single" w:color="000000" w:sz="4" w:space="0"/>
            </w:tcBorders>
            <w:vAlign w:val="center"/>
          </w:tcPr>
          <w:p w14:paraId="05CD5F6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Cs w:val="21"/>
              </w:rPr>
            </w:pPr>
            <w:r>
              <w:rPr>
                <w:rFonts w:hint="eastAsia" w:ascii="宋体" w:hAnsi="宋体" w:eastAsia="宋体" w:cs="宋体"/>
                <w:color w:val="auto"/>
                <w:szCs w:val="21"/>
              </w:rPr>
              <w:t>投标文件的签字盖章符合第二章投标人须知前附表第3.7.3项的规定；</w:t>
            </w:r>
          </w:p>
        </w:tc>
      </w:tr>
      <w:tr w14:paraId="0C8DF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36" w:hRule="atLeast"/>
          <w:tblHeader/>
          <w:jc w:val="center"/>
        </w:trPr>
        <w:tc>
          <w:tcPr>
            <w:tcW w:w="1612" w:type="dxa"/>
            <w:vMerge w:val="continue"/>
            <w:tcBorders>
              <w:left w:val="single" w:color="000000" w:sz="4" w:space="0"/>
              <w:right w:val="single" w:color="000000" w:sz="4" w:space="0"/>
            </w:tcBorders>
            <w:vAlign w:val="center"/>
          </w:tcPr>
          <w:p w14:paraId="1F75C7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rPr>
            </w:pPr>
          </w:p>
        </w:tc>
        <w:tc>
          <w:tcPr>
            <w:tcW w:w="1812" w:type="dxa"/>
            <w:tcBorders>
              <w:top w:val="single" w:color="000000" w:sz="4" w:space="0"/>
              <w:left w:val="single" w:color="000000" w:sz="4" w:space="0"/>
              <w:right w:val="single" w:color="000000" w:sz="4" w:space="0"/>
            </w:tcBorders>
            <w:vAlign w:val="center"/>
          </w:tcPr>
          <w:p w14:paraId="220799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投标文件的编制</w:t>
            </w:r>
          </w:p>
        </w:tc>
        <w:tc>
          <w:tcPr>
            <w:tcW w:w="6167" w:type="dxa"/>
            <w:tcBorders>
              <w:top w:val="single" w:color="000000" w:sz="4" w:space="0"/>
              <w:left w:val="single" w:color="000000" w:sz="4" w:space="0"/>
              <w:right w:val="single" w:color="000000" w:sz="4" w:space="0"/>
            </w:tcBorders>
            <w:vAlign w:val="center"/>
          </w:tcPr>
          <w:p w14:paraId="28843B3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Cs w:val="21"/>
              </w:rPr>
            </w:pPr>
            <w:r>
              <w:rPr>
                <w:rFonts w:hint="eastAsia" w:ascii="宋体" w:hAnsi="宋体" w:eastAsia="宋体" w:cs="宋体"/>
                <w:color w:val="auto"/>
                <w:szCs w:val="21"/>
              </w:rPr>
              <w:t>投标文件的编制符合第二章投标人须知前附表第3.7.1、3.7.2、3.7.3项的规定；</w:t>
            </w:r>
          </w:p>
        </w:tc>
      </w:tr>
      <w:tr w14:paraId="5CB2D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36" w:hRule="atLeast"/>
          <w:tblHeader/>
          <w:jc w:val="center"/>
        </w:trPr>
        <w:tc>
          <w:tcPr>
            <w:tcW w:w="1612" w:type="dxa"/>
            <w:vMerge w:val="continue"/>
            <w:tcBorders>
              <w:left w:val="single" w:color="000000" w:sz="4" w:space="0"/>
              <w:right w:val="single" w:color="000000" w:sz="4" w:space="0"/>
            </w:tcBorders>
            <w:vAlign w:val="center"/>
          </w:tcPr>
          <w:p w14:paraId="11D1DD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rPr>
            </w:pPr>
          </w:p>
        </w:tc>
        <w:tc>
          <w:tcPr>
            <w:tcW w:w="1812" w:type="dxa"/>
            <w:tcBorders>
              <w:top w:val="single" w:color="000000" w:sz="4" w:space="0"/>
              <w:left w:val="single" w:color="000000" w:sz="4" w:space="0"/>
              <w:right w:val="single" w:color="000000" w:sz="4" w:space="0"/>
            </w:tcBorders>
            <w:vAlign w:val="center"/>
          </w:tcPr>
          <w:p w14:paraId="5B6BDC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报价唯一</w:t>
            </w:r>
          </w:p>
        </w:tc>
        <w:tc>
          <w:tcPr>
            <w:tcW w:w="6167" w:type="dxa"/>
            <w:tcBorders>
              <w:top w:val="single" w:color="000000" w:sz="4" w:space="0"/>
              <w:left w:val="single" w:color="000000" w:sz="4" w:space="0"/>
              <w:right w:val="single" w:color="000000" w:sz="4" w:space="0"/>
            </w:tcBorders>
            <w:vAlign w:val="center"/>
          </w:tcPr>
          <w:p w14:paraId="4FD0ABB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Cs w:val="21"/>
              </w:rPr>
            </w:pPr>
            <w:r>
              <w:rPr>
                <w:rFonts w:hint="eastAsia" w:ascii="宋体" w:hAnsi="宋体" w:eastAsia="宋体" w:cs="宋体"/>
                <w:color w:val="auto"/>
                <w:szCs w:val="21"/>
              </w:rPr>
              <w:t>只能有一个有效报价，在招标文件没有规定的情况下，不得提交选择性报价。</w:t>
            </w:r>
          </w:p>
        </w:tc>
      </w:tr>
      <w:tr w14:paraId="7D1B8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10" w:hRule="atLeast"/>
          <w:tblHeader/>
          <w:jc w:val="center"/>
        </w:trPr>
        <w:tc>
          <w:tcPr>
            <w:tcW w:w="1612" w:type="dxa"/>
            <w:vMerge w:val="continue"/>
            <w:tcBorders>
              <w:left w:val="single" w:color="000000" w:sz="4" w:space="0"/>
              <w:right w:val="single" w:color="000000" w:sz="4" w:space="0"/>
            </w:tcBorders>
            <w:vAlign w:val="center"/>
          </w:tcPr>
          <w:p w14:paraId="41C3F5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rPr>
            </w:pPr>
          </w:p>
        </w:tc>
        <w:tc>
          <w:tcPr>
            <w:tcW w:w="1812" w:type="dxa"/>
            <w:tcBorders>
              <w:top w:val="single" w:color="000000" w:sz="4" w:space="0"/>
              <w:left w:val="single" w:color="000000" w:sz="4" w:space="0"/>
              <w:right w:val="single" w:color="000000" w:sz="4" w:space="0"/>
            </w:tcBorders>
            <w:vAlign w:val="center"/>
          </w:tcPr>
          <w:p w14:paraId="6D6E19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备选投标方案</w:t>
            </w:r>
          </w:p>
        </w:tc>
        <w:tc>
          <w:tcPr>
            <w:tcW w:w="6167" w:type="dxa"/>
            <w:tcBorders>
              <w:top w:val="single" w:color="000000" w:sz="4" w:space="0"/>
              <w:left w:val="single" w:color="000000" w:sz="4" w:space="0"/>
              <w:right w:val="single" w:color="000000" w:sz="4" w:space="0"/>
            </w:tcBorders>
            <w:vAlign w:val="center"/>
          </w:tcPr>
          <w:p w14:paraId="0453868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Cs w:val="21"/>
              </w:rPr>
            </w:pPr>
            <w:r>
              <w:rPr>
                <w:rFonts w:hint="eastAsia" w:ascii="宋体" w:hAnsi="宋体" w:eastAsia="宋体" w:cs="宋体"/>
                <w:color w:val="auto"/>
                <w:szCs w:val="21"/>
              </w:rPr>
              <w:t>不允许有备选投标方案</w:t>
            </w:r>
          </w:p>
        </w:tc>
      </w:tr>
      <w:tr w14:paraId="4482D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36" w:hRule="atLeast"/>
          <w:tblHeader/>
          <w:jc w:val="center"/>
        </w:trPr>
        <w:tc>
          <w:tcPr>
            <w:tcW w:w="1612" w:type="dxa"/>
            <w:vMerge w:val="continue"/>
            <w:tcBorders>
              <w:left w:val="single" w:color="000000" w:sz="4" w:space="0"/>
              <w:right w:val="single" w:color="000000" w:sz="4" w:space="0"/>
            </w:tcBorders>
            <w:vAlign w:val="center"/>
          </w:tcPr>
          <w:p w14:paraId="1F5E4BA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rPr>
            </w:pPr>
          </w:p>
        </w:tc>
        <w:tc>
          <w:tcPr>
            <w:tcW w:w="1812" w:type="dxa"/>
            <w:tcBorders>
              <w:top w:val="single" w:color="000000" w:sz="4" w:space="0"/>
              <w:left w:val="single" w:color="000000" w:sz="4" w:space="0"/>
              <w:right w:val="single" w:color="000000" w:sz="4" w:space="0"/>
            </w:tcBorders>
            <w:vAlign w:val="center"/>
          </w:tcPr>
          <w:p w14:paraId="079576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委托代理人</w:t>
            </w:r>
          </w:p>
        </w:tc>
        <w:tc>
          <w:tcPr>
            <w:tcW w:w="6167" w:type="dxa"/>
            <w:tcBorders>
              <w:top w:val="single" w:color="000000" w:sz="4" w:space="0"/>
              <w:left w:val="single" w:color="000000" w:sz="4" w:space="0"/>
              <w:right w:val="single" w:color="000000" w:sz="4" w:space="0"/>
            </w:tcBorders>
            <w:vAlign w:val="center"/>
          </w:tcPr>
          <w:p w14:paraId="3A70C4F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Cs w:val="21"/>
              </w:rPr>
            </w:pPr>
            <w:r>
              <w:rPr>
                <w:rFonts w:hint="eastAsia" w:ascii="宋体" w:hAnsi="宋体" w:eastAsia="宋体" w:cs="宋体"/>
                <w:color w:val="auto"/>
                <w:szCs w:val="21"/>
              </w:rPr>
              <w:t>投标人法定代表人的委托代理人有法定代表人签署的授权委托书，且其授权委托书符合招标文件规定的格式。</w:t>
            </w:r>
          </w:p>
        </w:tc>
      </w:tr>
    </w:tbl>
    <w:p w14:paraId="3CDCAB95">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2.4 响应性评审</w:t>
      </w:r>
    </w:p>
    <w:p w14:paraId="79608165">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rPr>
      </w:pPr>
      <w:r>
        <w:rPr>
          <w:rFonts w:hint="eastAsia" w:ascii="宋体" w:hAnsi="宋体" w:eastAsia="宋体" w:cs="宋体"/>
          <w:color w:val="auto"/>
          <w:szCs w:val="21"/>
        </w:rPr>
        <w:t>2.4.1 评标委员会依据招标文件的规定，从投标文件对招标文件的响应程度进行审查，以确定投标人是否对招标文件的实质性要求作出响应。开标后，不允许投标人对其未实质上响应招标文件要求或存在重大偏差或保留的投标文件内容进行修改。</w:t>
      </w:r>
      <w:bookmarkEnd w:id="390"/>
      <w:bookmarkEnd w:id="391"/>
      <w:bookmarkEnd w:id="392"/>
      <w:bookmarkEnd w:id="393"/>
      <w:bookmarkEnd w:id="394"/>
    </w:p>
    <w:p w14:paraId="42194158">
      <w:pPr>
        <w:pStyle w:val="5"/>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Cs w:val="24"/>
        </w:rPr>
      </w:pPr>
      <w:bookmarkStart w:id="407" w:name="_Toc297283400"/>
      <w:bookmarkStart w:id="408" w:name="_Toc31988"/>
      <w:bookmarkStart w:id="409" w:name="_Toc6019"/>
      <w:bookmarkStart w:id="410" w:name="_Toc7011"/>
      <w:bookmarkStart w:id="411" w:name="_Toc297197557"/>
      <w:bookmarkStart w:id="412" w:name="_Toc86934223"/>
      <w:bookmarkStart w:id="413" w:name="_Toc12153"/>
      <w:bookmarkStart w:id="414" w:name="_Toc20489"/>
      <w:bookmarkStart w:id="415" w:name="_Toc18871"/>
      <w:bookmarkStart w:id="416" w:name="_Toc26695"/>
      <w:bookmarkStart w:id="417" w:name="_Toc19867"/>
      <w:bookmarkStart w:id="418" w:name="_Toc257799464"/>
      <w:bookmarkStart w:id="419" w:name="_Toc20204"/>
      <w:bookmarkStart w:id="420" w:name="_Toc14094213"/>
      <w:bookmarkStart w:id="421" w:name="_Toc255759375"/>
      <w:bookmarkStart w:id="422" w:name="_Toc4566"/>
      <w:r>
        <w:rPr>
          <w:rFonts w:hint="eastAsia" w:ascii="宋体" w:hAnsi="宋体" w:eastAsia="宋体" w:cs="宋体"/>
          <w:color w:val="auto"/>
          <w:szCs w:val="24"/>
        </w:rPr>
        <w:t>3、详细评审</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73853075">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3.1 评标委员会只对通过了初步评审的投标人进行详细评审。</w:t>
      </w:r>
    </w:p>
    <w:p w14:paraId="62ED4F62">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3.2 评标委员会如果发现投标报价存在计算或表述上的错误要进行修正，并以修正后的评标价作为价格评价的依据。评标价仅供评标用，不能作为中标签约的合同价。</w:t>
      </w:r>
    </w:p>
    <w:p w14:paraId="1694E03E">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3.3 投标报价存在计算或表述上的错误按下列原则进行修正：</w:t>
      </w:r>
    </w:p>
    <w:p w14:paraId="15E911FD">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（1）如果用数字表示的金额与用文字表示的金额不一致，将以文字表示的金额为准。</w:t>
      </w:r>
    </w:p>
    <w:p w14:paraId="2B8B7FEB">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（2）当单价与数量的乘积与合价不符时，以合价为准修正单价；当单价有明显的小数点错位的，应以纠正后的单价为准,并修改合价。</w:t>
      </w:r>
    </w:p>
    <w:p w14:paraId="69F23932">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（3）分项合价之和与总价不符时，以总价为准修正分项合价。</w:t>
      </w:r>
    </w:p>
    <w:p w14:paraId="5DFD5136">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4"/>
        </w:rPr>
      </w:pPr>
      <w:r>
        <w:rPr>
          <w:rFonts w:hint="eastAsia" w:ascii="宋体" w:hAnsi="宋体" w:eastAsia="宋体" w:cs="宋体"/>
          <w:color w:val="auto"/>
          <w:szCs w:val="21"/>
        </w:rPr>
        <w:t>3.4 评标委员会按上述修正方法得到投标人的评标价后应要求投标人进行确认。如果投标人不接受修正后的评标价，则其投标将被拒绝。</w:t>
      </w:r>
      <w:bookmarkStart w:id="423" w:name="_Toc86934224"/>
    </w:p>
    <w:p w14:paraId="697E699E">
      <w:pPr>
        <w:pStyle w:val="5"/>
        <w:numPr>
          <w:ilvl w:val="0"/>
          <w:numId w:val="1"/>
        </w:numPr>
        <w:spacing w:line="360" w:lineRule="auto"/>
        <w:rPr>
          <w:rFonts w:hint="eastAsia" w:ascii="宋体" w:hAnsi="宋体" w:eastAsia="宋体" w:cs="宋体"/>
          <w:color w:val="auto"/>
        </w:rPr>
      </w:pPr>
      <w:bookmarkStart w:id="424" w:name="_Toc1657"/>
      <w:r>
        <w:rPr>
          <w:rFonts w:hint="eastAsia" w:ascii="宋体" w:hAnsi="宋体" w:eastAsia="宋体" w:cs="宋体"/>
          <w:color w:val="auto"/>
          <w:szCs w:val="24"/>
        </w:rPr>
        <w:t>评审评分标准</w:t>
      </w:r>
      <w:bookmarkEnd w:id="423"/>
      <w:bookmarkEnd w:id="424"/>
    </w:p>
    <w:tbl>
      <w:tblPr>
        <w:tblStyle w:val="43"/>
        <w:tblpPr w:leftFromText="180" w:rightFromText="180" w:vertAnchor="text" w:tblpXSpec="center" w:tblpY="1"/>
        <w:tblOverlap w:val="never"/>
        <w:tblW w:w="10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200"/>
        <w:gridCol w:w="919"/>
        <w:gridCol w:w="4817"/>
        <w:gridCol w:w="2675"/>
      </w:tblGrid>
      <w:tr w14:paraId="3888C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41" w:type="dxa"/>
            <w:vAlign w:val="center"/>
          </w:tcPr>
          <w:p w14:paraId="56EC8B26">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序号</w:t>
            </w:r>
          </w:p>
        </w:tc>
        <w:tc>
          <w:tcPr>
            <w:tcW w:w="1200" w:type="dxa"/>
            <w:vAlign w:val="center"/>
          </w:tcPr>
          <w:p w14:paraId="2321E016">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评分因素</w:t>
            </w:r>
          </w:p>
        </w:tc>
        <w:tc>
          <w:tcPr>
            <w:tcW w:w="919" w:type="dxa"/>
            <w:vAlign w:val="center"/>
          </w:tcPr>
          <w:p w14:paraId="549B3A96">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分值</w:t>
            </w:r>
          </w:p>
        </w:tc>
        <w:tc>
          <w:tcPr>
            <w:tcW w:w="4817" w:type="dxa"/>
            <w:vAlign w:val="center"/>
          </w:tcPr>
          <w:p w14:paraId="397C68AA">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评分标准</w:t>
            </w:r>
          </w:p>
        </w:tc>
        <w:tc>
          <w:tcPr>
            <w:tcW w:w="2675" w:type="dxa"/>
            <w:vAlign w:val="center"/>
          </w:tcPr>
          <w:p w14:paraId="68F8069D">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说明</w:t>
            </w:r>
          </w:p>
        </w:tc>
      </w:tr>
      <w:tr w14:paraId="4E182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41" w:type="dxa"/>
            <w:vAlign w:val="center"/>
          </w:tcPr>
          <w:p w14:paraId="3817BBC1">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1</w:t>
            </w:r>
          </w:p>
        </w:tc>
        <w:tc>
          <w:tcPr>
            <w:tcW w:w="1200" w:type="dxa"/>
            <w:vAlign w:val="center"/>
          </w:tcPr>
          <w:p w14:paraId="1657911A">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投标报价</w:t>
            </w:r>
          </w:p>
        </w:tc>
        <w:tc>
          <w:tcPr>
            <w:tcW w:w="919" w:type="dxa"/>
            <w:vAlign w:val="center"/>
          </w:tcPr>
          <w:p w14:paraId="52D8418B">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cs="宋体"/>
                <w:color w:val="auto"/>
                <w:szCs w:val="21"/>
                <w:lang w:val="en-US" w:eastAsia="zh-CN"/>
              </w:rPr>
              <w:t>3</w:t>
            </w:r>
            <w:r>
              <w:rPr>
                <w:rFonts w:hint="eastAsia" w:ascii="宋体" w:hAnsi="宋体" w:eastAsia="宋体" w:cs="宋体"/>
                <w:color w:val="auto"/>
                <w:szCs w:val="21"/>
              </w:rPr>
              <w:t>0</w:t>
            </w:r>
          </w:p>
        </w:tc>
        <w:tc>
          <w:tcPr>
            <w:tcW w:w="4817" w:type="dxa"/>
            <w:vAlign w:val="center"/>
          </w:tcPr>
          <w:p w14:paraId="1358F820">
            <w:pPr>
              <w:keepNext w:val="0"/>
              <w:keepLines w:val="0"/>
              <w:pageBreakBefore w:val="0"/>
              <w:widowControl w:val="0"/>
              <w:kinsoku/>
              <w:overflowPunct/>
              <w:topLinePunct w:val="0"/>
              <w:autoSpaceDE/>
              <w:autoSpaceDN/>
              <w:bidi w:val="0"/>
              <w:adjustRightInd/>
              <w:spacing w:line="40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初步评审合格投标人的投标总报价均先得基本分</w:t>
            </w:r>
            <w:r>
              <w:rPr>
                <w:rFonts w:hint="eastAsia" w:ascii="宋体" w:hAnsi="宋体" w:eastAsia="宋体" w:cs="宋体"/>
                <w:color w:val="auto"/>
                <w:szCs w:val="21"/>
                <w:lang w:val="en-US" w:eastAsia="zh-CN"/>
              </w:rPr>
              <w:t>3</w:t>
            </w:r>
            <w:r>
              <w:rPr>
                <w:rFonts w:hint="eastAsia" w:ascii="宋体" w:hAnsi="宋体" w:eastAsia="宋体" w:cs="宋体"/>
                <w:color w:val="auto"/>
                <w:szCs w:val="21"/>
              </w:rPr>
              <w:t>0分；所有初审合格的报价取算术平均值做基准价，在此基础上，投标总报价与评标准基价相比，每增加1%扣0.2分，每减少1%扣0.1分，扣完为止。</w:t>
            </w:r>
          </w:p>
          <w:p w14:paraId="0CBB5632">
            <w:pPr>
              <w:keepNext w:val="0"/>
              <w:keepLines w:val="0"/>
              <w:pageBreakBefore w:val="0"/>
              <w:widowControl w:val="0"/>
              <w:kinsoku/>
              <w:overflowPunct/>
              <w:topLinePunct w:val="0"/>
              <w:autoSpaceDE/>
              <w:autoSpaceDN/>
              <w:bidi w:val="0"/>
              <w:adjustRightInd/>
              <w:spacing w:line="40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按插入法计算得分，以上计算结果取小数点后两位，第三位四舍五入。</w:t>
            </w:r>
          </w:p>
        </w:tc>
        <w:tc>
          <w:tcPr>
            <w:tcW w:w="2675" w:type="dxa"/>
            <w:vAlign w:val="center"/>
          </w:tcPr>
          <w:p w14:paraId="2BF97DDE">
            <w:pPr>
              <w:pStyle w:val="373"/>
              <w:keepNext w:val="0"/>
              <w:keepLines w:val="0"/>
              <w:pageBreakBefore w:val="0"/>
              <w:widowControl w:val="0"/>
              <w:kinsoku/>
              <w:wordWrap/>
              <w:overflowPunct/>
              <w:topLinePunct w:val="0"/>
              <w:autoSpaceDE/>
              <w:autoSpaceDN/>
              <w:bidi w:val="0"/>
              <w:adjustRightInd/>
              <w:snapToGrid/>
              <w:spacing w:before="0" w:after="0" w:line="400" w:lineRule="exact"/>
              <w:ind w:firstLine="422" w:firstLineChars="200"/>
              <w:jc w:val="both"/>
              <w:textAlignment w:val="auto"/>
              <w:rPr>
                <w:rFonts w:hint="eastAsia" w:ascii="宋体" w:hAnsi="宋体" w:eastAsia="宋体" w:cs="宋体"/>
                <w:color w:val="auto"/>
                <w:sz w:val="21"/>
                <w:szCs w:val="21"/>
              </w:rPr>
            </w:pPr>
          </w:p>
        </w:tc>
      </w:tr>
      <w:tr w14:paraId="7DDE0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41" w:type="dxa"/>
            <w:vMerge w:val="restart"/>
            <w:vAlign w:val="center"/>
          </w:tcPr>
          <w:p w14:paraId="3ED050A1">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2</w:t>
            </w:r>
          </w:p>
        </w:tc>
        <w:tc>
          <w:tcPr>
            <w:tcW w:w="1200" w:type="dxa"/>
            <w:vMerge w:val="restart"/>
            <w:vAlign w:val="center"/>
          </w:tcPr>
          <w:p w14:paraId="654408B8">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技术部分</w:t>
            </w:r>
          </w:p>
        </w:tc>
        <w:tc>
          <w:tcPr>
            <w:tcW w:w="919" w:type="dxa"/>
            <w:vMerge w:val="restart"/>
            <w:vAlign w:val="center"/>
          </w:tcPr>
          <w:p w14:paraId="055D33B5">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2"/>
                <w:szCs w:val="22"/>
              </w:rPr>
            </w:pPr>
            <w:r>
              <w:rPr>
                <w:rFonts w:hint="eastAsia" w:ascii="宋体" w:hAnsi="宋体" w:cs="宋体"/>
                <w:color w:val="auto"/>
                <w:sz w:val="22"/>
                <w:szCs w:val="22"/>
                <w:lang w:val="en-US" w:eastAsia="zh-CN"/>
              </w:rPr>
              <w:t>6</w:t>
            </w:r>
            <w:r>
              <w:rPr>
                <w:rFonts w:hint="eastAsia" w:ascii="宋体" w:hAnsi="宋体" w:eastAsia="宋体" w:cs="宋体"/>
                <w:color w:val="auto"/>
                <w:sz w:val="22"/>
                <w:szCs w:val="22"/>
              </w:rPr>
              <w:t>0</w:t>
            </w:r>
          </w:p>
        </w:tc>
        <w:tc>
          <w:tcPr>
            <w:tcW w:w="4817" w:type="dxa"/>
            <w:vAlign w:val="center"/>
          </w:tcPr>
          <w:p w14:paraId="200B1B79">
            <w:pPr>
              <w:keepNext w:val="0"/>
              <w:keepLines w:val="0"/>
              <w:pageBreakBefore w:val="0"/>
              <w:widowControl w:val="0"/>
              <w:kinsoku/>
              <w:overflowPunct/>
              <w:topLinePunct w:val="0"/>
              <w:autoSpaceDE/>
              <w:autoSpaceDN/>
              <w:bidi w:val="0"/>
              <w:adjustRightInd/>
              <w:spacing w:line="400" w:lineRule="exact"/>
              <w:jc w:val="left"/>
              <w:textAlignment w:val="auto"/>
              <w:rPr>
                <w:rFonts w:hint="eastAsia" w:ascii="宋体" w:hAnsi="宋体" w:eastAsia="宋体" w:cs="宋体"/>
                <w:color w:val="auto"/>
                <w:szCs w:val="21"/>
              </w:rPr>
            </w:pPr>
            <w:r>
              <w:rPr>
                <w:rFonts w:hint="eastAsia" w:ascii="宋体" w:hAnsi="宋体" w:eastAsia="宋体" w:cs="宋体"/>
                <w:color w:val="auto"/>
                <w:sz w:val="21"/>
              </w:rPr>
              <w:t>1.施工方案与技术措施，根据方案实际性、可行性、科学性、合理性进行评审</w:t>
            </w:r>
            <w:r>
              <w:rPr>
                <w:rFonts w:hint="eastAsia" w:ascii="宋体" w:hAnsi="宋体" w:eastAsia="宋体" w:cs="宋体"/>
                <w:color w:val="auto"/>
                <w:sz w:val="21"/>
                <w:lang w:eastAsia="zh-CN"/>
              </w:rPr>
              <w:t>。满分1</w:t>
            </w:r>
            <w:r>
              <w:rPr>
                <w:rFonts w:hint="eastAsia" w:ascii="宋体" w:hAnsi="宋体" w:eastAsia="宋体" w:cs="宋体"/>
                <w:color w:val="auto"/>
                <w:sz w:val="21"/>
                <w:lang w:val="en-US" w:eastAsia="zh-CN"/>
              </w:rPr>
              <w:t>5</w:t>
            </w:r>
            <w:r>
              <w:rPr>
                <w:rFonts w:hint="eastAsia" w:ascii="宋体" w:hAnsi="宋体" w:eastAsia="宋体" w:cs="宋体"/>
                <w:color w:val="auto"/>
                <w:sz w:val="21"/>
                <w:lang w:eastAsia="zh-CN"/>
              </w:rPr>
              <w:t>分（优</w:t>
            </w:r>
            <w:r>
              <w:rPr>
                <w:rFonts w:hint="eastAsia" w:ascii="宋体" w:hAnsi="宋体" w:eastAsia="宋体" w:cs="宋体"/>
                <w:color w:val="auto"/>
                <w:sz w:val="21"/>
                <w:lang w:val="en-US" w:eastAsia="zh-CN"/>
              </w:rPr>
              <w:t>15</w:t>
            </w:r>
            <w:r>
              <w:rPr>
                <w:rFonts w:hint="eastAsia" w:ascii="宋体" w:hAnsi="宋体" w:eastAsia="宋体" w:cs="宋体"/>
                <w:color w:val="auto"/>
                <w:sz w:val="21"/>
                <w:lang w:eastAsia="zh-CN"/>
              </w:rPr>
              <w:t>分，良得</w:t>
            </w:r>
            <w:r>
              <w:rPr>
                <w:rFonts w:hint="eastAsia" w:ascii="宋体" w:hAnsi="宋体" w:eastAsia="宋体" w:cs="宋体"/>
                <w:color w:val="auto"/>
                <w:sz w:val="21"/>
                <w:lang w:val="en-US" w:eastAsia="zh-CN"/>
              </w:rPr>
              <w:t>10</w:t>
            </w:r>
            <w:r>
              <w:rPr>
                <w:rFonts w:hint="eastAsia" w:ascii="宋体" w:hAnsi="宋体" w:eastAsia="宋体" w:cs="宋体"/>
                <w:color w:val="auto"/>
                <w:sz w:val="21"/>
                <w:lang w:eastAsia="zh-CN"/>
              </w:rPr>
              <w:t>分，一般</w:t>
            </w:r>
            <w:r>
              <w:rPr>
                <w:rFonts w:hint="eastAsia" w:ascii="宋体" w:hAnsi="宋体" w:eastAsia="宋体" w:cs="宋体"/>
                <w:color w:val="auto"/>
                <w:sz w:val="21"/>
                <w:lang w:val="en-US" w:eastAsia="zh-CN"/>
              </w:rPr>
              <w:t>5</w:t>
            </w:r>
            <w:r>
              <w:rPr>
                <w:rFonts w:hint="eastAsia" w:ascii="宋体" w:hAnsi="宋体" w:eastAsia="宋体" w:cs="宋体"/>
                <w:color w:val="auto"/>
                <w:sz w:val="21"/>
                <w:lang w:eastAsia="zh-CN"/>
              </w:rPr>
              <w:t>分，差</w:t>
            </w:r>
            <w:r>
              <w:rPr>
                <w:rFonts w:hint="eastAsia" w:ascii="宋体" w:hAnsi="宋体" w:eastAsia="宋体" w:cs="宋体"/>
                <w:color w:val="auto"/>
                <w:sz w:val="21"/>
                <w:lang w:val="en-US" w:eastAsia="zh-CN"/>
              </w:rPr>
              <w:t>0</w:t>
            </w:r>
            <w:r>
              <w:rPr>
                <w:rFonts w:hint="eastAsia" w:ascii="宋体" w:hAnsi="宋体" w:eastAsia="宋体" w:cs="宋体"/>
                <w:color w:val="auto"/>
                <w:sz w:val="21"/>
                <w:lang w:eastAsia="zh-CN"/>
              </w:rPr>
              <w:t>分）</w:t>
            </w:r>
          </w:p>
        </w:tc>
        <w:tc>
          <w:tcPr>
            <w:tcW w:w="2675" w:type="dxa"/>
            <w:vMerge w:val="restart"/>
            <w:vAlign w:val="center"/>
          </w:tcPr>
          <w:p w14:paraId="7380E56A">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提供方案（格式自拟）</w:t>
            </w:r>
          </w:p>
        </w:tc>
      </w:tr>
      <w:tr w14:paraId="334B2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41" w:type="dxa"/>
            <w:vMerge w:val="continue"/>
            <w:vAlign w:val="center"/>
          </w:tcPr>
          <w:p w14:paraId="36B26200">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p>
        </w:tc>
        <w:tc>
          <w:tcPr>
            <w:tcW w:w="1200" w:type="dxa"/>
            <w:vMerge w:val="continue"/>
            <w:vAlign w:val="center"/>
          </w:tcPr>
          <w:p w14:paraId="2BCFF1B1">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p>
        </w:tc>
        <w:tc>
          <w:tcPr>
            <w:tcW w:w="919" w:type="dxa"/>
            <w:vMerge w:val="continue"/>
            <w:vAlign w:val="center"/>
          </w:tcPr>
          <w:p w14:paraId="1DBD902B">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cs="宋体"/>
                <w:color w:val="auto"/>
                <w:sz w:val="22"/>
                <w:szCs w:val="22"/>
                <w:lang w:val="en-US" w:eastAsia="zh-CN"/>
              </w:rPr>
            </w:pPr>
          </w:p>
        </w:tc>
        <w:tc>
          <w:tcPr>
            <w:tcW w:w="4817" w:type="dxa"/>
            <w:vAlign w:val="center"/>
          </w:tcPr>
          <w:p w14:paraId="3860B206">
            <w:pPr>
              <w:keepNext w:val="0"/>
              <w:keepLines w:val="0"/>
              <w:pageBreakBefore w:val="0"/>
              <w:widowControl w:val="0"/>
              <w:kinsoku/>
              <w:overflowPunct/>
              <w:topLinePunct w:val="0"/>
              <w:autoSpaceDE/>
              <w:autoSpaceDN/>
              <w:bidi w:val="0"/>
              <w:adjustRightInd/>
              <w:spacing w:line="400" w:lineRule="exact"/>
              <w:jc w:val="left"/>
              <w:textAlignment w:val="auto"/>
              <w:rPr>
                <w:rFonts w:hint="eastAsia" w:ascii="宋体" w:hAnsi="宋体" w:eastAsia="宋体" w:cs="宋体"/>
                <w:color w:val="auto"/>
                <w:szCs w:val="21"/>
              </w:rPr>
            </w:pPr>
            <w:r>
              <w:rPr>
                <w:rFonts w:hint="eastAsia" w:ascii="宋体" w:hAnsi="宋体" w:eastAsia="宋体" w:cs="宋体"/>
                <w:color w:val="auto"/>
                <w:sz w:val="21"/>
                <w:lang w:val="en-US" w:eastAsia="zh-CN"/>
              </w:rPr>
              <w:t>2</w:t>
            </w:r>
            <w:r>
              <w:rPr>
                <w:rFonts w:hint="eastAsia" w:ascii="宋体" w:hAnsi="宋体" w:eastAsia="宋体" w:cs="宋体"/>
                <w:color w:val="auto"/>
                <w:sz w:val="21"/>
              </w:rPr>
              <w:t>.安全管理体系与措施，</w:t>
            </w:r>
            <w:r>
              <w:rPr>
                <w:rFonts w:hint="eastAsia" w:ascii="宋体" w:hAnsi="宋体" w:eastAsia="宋体" w:cs="宋体"/>
                <w:color w:val="auto"/>
                <w:sz w:val="21"/>
                <w:lang w:eastAsia="zh-CN"/>
              </w:rPr>
              <w:t>安全管理体系完整，对应措施得当，</w:t>
            </w:r>
            <w:r>
              <w:rPr>
                <w:rFonts w:hint="eastAsia" w:ascii="宋体" w:hAnsi="宋体" w:eastAsia="宋体" w:cs="宋体"/>
                <w:color w:val="auto"/>
                <w:sz w:val="21"/>
              </w:rPr>
              <w:t>根据方案实际性、可行性、科学性、合理性进行评审</w:t>
            </w:r>
            <w:r>
              <w:rPr>
                <w:rFonts w:hint="eastAsia" w:ascii="宋体" w:hAnsi="宋体" w:eastAsia="宋体" w:cs="宋体"/>
                <w:color w:val="auto"/>
                <w:sz w:val="21"/>
                <w:lang w:eastAsia="zh-CN"/>
              </w:rPr>
              <w:t>。</w:t>
            </w:r>
            <w:r>
              <w:rPr>
                <w:rFonts w:hint="eastAsia" w:ascii="宋体" w:hAnsi="宋体" w:eastAsia="宋体" w:cs="宋体"/>
                <w:color w:val="auto"/>
                <w:sz w:val="21"/>
                <w:lang w:val="zh-CN"/>
              </w:rPr>
              <w:t>满分1</w:t>
            </w:r>
            <w:r>
              <w:rPr>
                <w:rFonts w:hint="eastAsia" w:ascii="宋体" w:hAnsi="宋体" w:eastAsia="宋体" w:cs="宋体"/>
                <w:color w:val="auto"/>
                <w:sz w:val="21"/>
                <w:lang w:val="en-US" w:eastAsia="zh-CN"/>
              </w:rPr>
              <w:t>5</w:t>
            </w:r>
            <w:r>
              <w:rPr>
                <w:rFonts w:hint="eastAsia" w:ascii="宋体" w:hAnsi="宋体" w:eastAsia="宋体" w:cs="宋体"/>
                <w:color w:val="auto"/>
                <w:sz w:val="21"/>
                <w:lang w:val="zh-CN"/>
              </w:rPr>
              <w:t>分</w:t>
            </w:r>
            <w:r>
              <w:rPr>
                <w:rFonts w:hint="eastAsia" w:ascii="宋体" w:hAnsi="宋体" w:eastAsia="宋体" w:cs="宋体"/>
                <w:color w:val="auto"/>
                <w:sz w:val="21"/>
                <w:lang w:eastAsia="zh-CN"/>
              </w:rPr>
              <w:t>（优</w:t>
            </w:r>
            <w:r>
              <w:rPr>
                <w:rFonts w:hint="eastAsia" w:ascii="宋体" w:hAnsi="宋体" w:eastAsia="宋体" w:cs="宋体"/>
                <w:color w:val="auto"/>
                <w:sz w:val="21"/>
                <w:lang w:val="en-US" w:eastAsia="zh-CN"/>
              </w:rPr>
              <w:t>15</w:t>
            </w:r>
            <w:r>
              <w:rPr>
                <w:rFonts w:hint="eastAsia" w:ascii="宋体" w:hAnsi="宋体" w:eastAsia="宋体" w:cs="宋体"/>
                <w:color w:val="auto"/>
                <w:sz w:val="21"/>
                <w:lang w:eastAsia="zh-CN"/>
              </w:rPr>
              <w:t>分，良得</w:t>
            </w:r>
            <w:r>
              <w:rPr>
                <w:rFonts w:hint="eastAsia" w:ascii="宋体" w:hAnsi="宋体" w:eastAsia="宋体" w:cs="宋体"/>
                <w:color w:val="auto"/>
                <w:sz w:val="21"/>
                <w:lang w:val="en-US" w:eastAsia="zh-CN"/>
              </w:rPr>
              <w:t>10</w:t>
            </w:r>
            <w:r>
              <w:rPr>
                <w:rFonts w:hint="eastAsia" w:ascii="宋体" w:hAnsi="宋体" w:eastAsia="宋体" w:cs="宋体"/>
                <w:color w:val="auto"/>
                <w:sz w:val="21"/>
                <w:lang w:eastAsia="zh-CN"/>
              </w:rPr>
              <w:t>分，一般</w:t>
            </w:r>
            <w:r>
              <w:rPr>
                <w:rFonts w:hint="eastAsia" w:ascii="宋体" w:hAnsi="宋体" w:eastAsia="宋体" w:cs="宋体"/>
                <w:color w:val="auto"/>
                <w:sz w:val="21"/>
                <w:lang w:val="en-US" w:eastAsia="zh-CN"/>
              </w:rPr>
              <w:t>5</w:t>
            </w:r>
            <w:r>
              <w:rPr>
                <w:rFonts w:hint="eastAsia" w:ascii="宋体" w:hAnsi="宋体" w:eastAsia="宋体" w:cs="宋体"/>
                <w:color w:val="auto"/>
                <w:sz w:val="21"/>
                <w:lang w:eastAsia="zh-CN"/>
              </w:rPr>
              <w:t>分，差</w:t>
            </w:r>
            <w:r>
              <w:rPr>
                <w:rFonts w:hint="eastAsia" w:ascii="宋体" w:hAnsi="宋体" w:eastAsia="宋体" w:cs="宋体"/>
                <w:color w:val="auto"/>
                <w:sz w:val="21"/>
                <w:lang w:val="en-US" w:eastAsia="zh-CN"/>
              </w:rPr>
              <w:t>0</w:t>
            </w:r>
            <w:r>
              <w:rPr>
                <w:rFonts w:hint="eastAsia" w:ascii="宋体" w:hAnsi="宋体" w:eastAsia="宋体" w:cs="宋体"/>
                <w:color w:val="auto"/>
                <w:sz w:val="21"/>
                <w:lang w:eastAsia="zh-CN"/>
              </w:rPr>
              <w:t>分）</w:t>
            </w:r>
          </w:p>
        </w:tc>
        <w:tc>
          <w:tcPr>
            <w:tcW w:w="2675" w:type="dxa"/>
            <w:vMerge w:val="continue"/>
            <w:vAlign w:val="center"/>
          </w:tcPr>
          <w:p w14:paraId="728A72D1">
            <w:pPr>
              <w:pStyle w:val="373"/>
              <w:keepNext w:val="0"/>
              <w:keepLines w:val="0"/>
              <w:pageBreakBefore w:val="0"/>
              <w:widowControl w:val="0"/>
              <w:kinsoku/>
              <w:wordWrap/>
              <w:overflowPunct/>
              <w:topLinePunct w:val="0"/>
              <w:autoSpaceDE/>
              <w:autoSpaceDN/>
              <w:bidi w:val="0"/>
              <w:adjustRightInd/>
              <w:snapToGrid/>
              <w:spacing w:before="0" w:after="0" w:line="400" w:lineRule="exact"/>
              <w:ind w:firstLine="422" w:firstLineChars="200"/>
              <w:jc w:val="both"/>
              <w:textAlignment w:val="auto"/>
              <w:rPr>
                <w:rFonts w:hint="eastAsia" w:ascii="宋体" w:hAnsi="宋体" w:eastAsia="宋体" w:cs="宋体"/>
                <w:color w:val="auto"/>
                <w:sz w:val="21"/>
                <w:szCs w:val="21"/>
              </w:rPr>
            </w:pPr>
          </w:p>
        </w:tc>
      </w:tr>
      <w:tr w14:paraId="4999F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41" w:type="dxa"/>
            <w:vMerge w:val="continue"/>
            <w:vAlign w:val="center"/>
          </w:tcPr>
          <w:p w14:paraId="551E421A">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p>
        </w:tc>
        <w:tc>
          <w:tcPr>
            <w:tcW w:w="1200" w:type="dxa"/>
            <w:vMerge w:val="continue"/>
            <w:vAlign w:val="center"/>
          </w:tcPr>
          <w:p w14:paraId="186CB875">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p>
        </w:tc>
        <w:tc>
          <w:tcPr>
            <w:tcW w:w="919" w:type="dxa"/>
            <w:vMerge w:val="continue"/>
            <w:vAlign w:val="center"/>
          </w:tcPr>
          <w:p w14:paraId="1FB9C3A7">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cs="宋体"/>
                <w:color w:val="auto"/>
                <w:sz w:val="22"/>
                <w:szCs w:val="22"/>
                <w:lang w:val="en-US" w:eastAsia="zh-CN"/>
              </w:rPr>
            </w:pPr>
          </w:p>
        </w:tc>
        <w:tc>
          <w:tcPr>
            <w:tcW w:w="4817" w:type="dxa"/>
            <w:vAlign w:val="center"/>
          </w:tcPr>
          <w:p w14:paraId="779D8153">
            <w:pPr>
              <w:keepNext w:val="0"/>
              <w:keepLines w:val="0"/>
              <w:pageBreakBefore w:val="0"/>
              <w:widowControl w:val="0"/>
              <w:kinsoku/>
              <w:overflowPunct/>
              <w:topLinePunct w:val="0"/>
              <w:autoSpaceDE/>
              <w:autoSpaceDN/>
              <w:bidi w:val="0"/>
              <w:adjustRightInd/>
              <w:spacing w:line="400" w:lineRule="exact"/>
              <w:jc w:val="left"/>
              <w:textAlignment w:val="auto"/>
              <w:rPr>
                <w:rFonts w:hint="eastAsia" w:ascii="宋体" w:hAnsi="宋体" w:eastAsia="宋体" w:cs="宋体"/>
                <w:color w:val="auto"/>
                <w:szCs w:val="21"/>
              </w:rPr>
            </w:pPr>
            <w:r>
              <w:rPr>
                <w:rFonts w:hint="eastAsia" w:ascii="宋体" w:hAnsi="宋体" w:eastAsia="宋体" w:cs="宋体"/>
                <w:color w:val="auto"/>
                <w:sz w:val="21"/>
                <w:lang w:val="en-US" w:eastAsia="zh-CN"/>
              </w:rPr>
              <w:t>3</w:t>
            </w:r>
            <w:r>
              <w:rPr>
                <w:rFonts w:hint="eastAsia" w:ascii="宋体" w:hAnsi="宋体" w:eastAsia="宋体" w:cs="宋体"/>
                <w:color w:val="auto"/>
                <w:sz w:val="21"/>
              </w:rPr>
              <w:t>.</w:t>
            </w:r>
            <w:r>
              <w:rPr>
                <w:rFonts w:hint="eastAsia" w:ascii="宋体" w:hAnsi="宋体" w:eastAsia="宋体" w:cs="宋体"/>
                <w:color w:val="auto"/>
                <w:sz w:val="21"/>
                <w:lang w:val="en-US" w:eastAsia="zh-CN"/>
              </w:rPr>
              <w:t xml:space="preserve"> </w:t>
            </w:r>
            <w:r>
              <w:rPr>
                <w:rFonts w:hint="eastAsia" w:ascii="宋体" w:hAnsi="宋体" w:eastAsia="宋体" w:cs="宋体"/>
                <w:color w:val="auto"/>
                <w:szCs w:val="21"/>
              </w:rPr>
              <w:t>质量管理体系与措施</w:t>
            </w:r>
            <w:r>
              <w:rPr>
                <w:rFonts w:hint="eastAsia" w:ascii="宋体" w:hAnsi="宋体" w:eastAsia="宋体" w:cs="宋体"/>
                <w:color w:val="auto"/>
                <w:sz w:val="21"/>
                <w:lang w:val="en-US" w:eastAsia="zh-CN"/>
              </w:rPr>
              <w:t>，对质量管理体系措施完整，对应措施得当，根据方案实际性、可行性、科学性、针对性进行评审</w:t>
            </w:r>
            <w:r>
              <w:rPr>
                <w:rFonts w:hint="eastAsia" w:ascii="宋体" w:hAnsi="宋体" w:eastAsia="宋体" w:cs="宋体"/>
                <w:color w:val="auto"/>
                <w:sz w:val="21"/>
                <w:lang w:eastAsia="zh-CN"/>
              </w:rPr>
              <w:t>。</w:t>
            </w:r>
            <w:r>
              <w:rPr>
                <w:rFonts w:hint="eastAsia" w:ascii="宋体" w:hAnsi="宋体" w:eastAsia="宋体" w:cs="宋体"/>
                <w:color w:val="auto"/>
                <w:sz w:val="21"/>
                <w:lang w:val="zh-CN"/>
              </w:rPr>
              <w:t>满分1</w:t>
            </w:r>
            <w:r>
              <w:rPr>
                <w:rFonts w:hint="eastAsia" w:ascii="宋体" w:hAnsi="宋体" w:eastAsia="宋体" w:cs="宋体"/>
                <w:color w:val="auto"/>
                <w:sz w:val="21"/>
                <w:lang w:val="en-US" w:eastAsia="zh-CN"/>
              </w:rPr>
              <w:t>5</w:t>
            </w:r>
            <w:r>
              <w:rPr>
                <w:rFonts w:hint="eastAsia" w:ascii="宋体" w:hAnsi="宋体" w:eastAsia="宋体" w:cs="宋体"/>
                <w:color w:val="auto"/>
                <w:sz w:val="21"/>
                <w:lang w:val="zh-CN"/>
              </w:rPr>
              <w:t>分</w:t>
            </w:r>
            <w:r>
              <w:rPr>
                <w:rFonts w:hint="eastAsia" w:ascii="宋体" w:hAnsi="宋体" w:eastAsia="宋体" w:cs="宋体"/>
                <w:color w:val="auto"/>
                <w:sz w:val="21"/>
                <w:lang w:eastAsia="zh-CN"/>
              </w:rPr>
              <w:t>（优</w:t>
            </w:r>
            <w:r>
              <w:rPr>
                <w:rFonts w:hint="eastAsia" w:ascii="宋体" w:hAnsi="宋体" w:eastAsia="宋体" w:cs="宋体"/>
                <w:color w:val="auto"/>
                <w:sz w:val="21"/>
                <w:lang w:val="en-US" w:eastAsia="zh-CN"/>
              </w:rPr>
              <w:t>15</w:t>
            </w:r>
            <w:r>
              <w:rPr>
                <w:rFonts w:hint="eastAsia" w:ascii="宋体" w:hAnsi="宋体" w:eastAsia="宋体" w:cs="宋体"/>
                <w:color w:val="auto"/>
                <w:sz w:val="21"/>
                <w:lang w:eastAsia="zh-CN"/>
              </w:rPr>
              <w:t>分，良得</w:t>
            </w:r>
            <w:r>
              <w:rPr>
                <w:rFonts w:hint="eastAsia" w:ascii="宋体" w:hAnsi="宋体" w:eastAsia="宋体" w:cs="宋体"/>
                <w:color w:val="auto"/>
                <w:sz w:val="21"/>
                <w:lang w:val="en-US" w:eastAsia="zh-CN"/>
              </w:rPr>
              <w:t>10</w:t>
            </w:r>
            <w:r>
              <w:rPr>
                <w:rFonts w:hint="eastAsia" w:ascii="宋体" w:hAnsi="宋体" w:eastAsia="宋体" w:cs="宋体"/>
                <w:color w:val="auto"/>
                <w:sz w:val="21"/>
                <w:lang w:eastAsia="zh-CN"/>
              </w:rPr>
              <w:t>分，一般</w:t>
            </w:r>
            <w:r>
              <w:rPr>
                <w:rFonts w:hint="eastAsia" w:ascii="宋体" w:hAnsi="宋体" w:eastAsia="宋体" w:cs="宋体"/>
                <w:color w:val="auto"/>
                <w:sz w:val="21"/>
                <w:lang w:val="en-US" w:eastAsia="zh-CN"/>
              </w:rPr>
              <w:t>5</w:t>
            </w:r>
            <w:r>
              <w:rPr>
                <w:rFonts w:hint="eastAsia" w:ascii="宋体" w:hAnsi="宋体" w:eastAsia="宋体" w:cs="宋体"/>
                <w:color w:val="auto"/>
                <w:sz w:val="21"/>
                <w:lang w:eastAsia="zh-CN"/>
              </w:rPr>
              <w:t>分，差</w:t>
            </w:r>
            <w:r>
              <w:rPr>
                <w:rFonts w:hint="eastAsia" w:ascii="宋体" w:hAnsi="宋体" w:eastAsia="宋体" w:cs="宋体"/>
                <w:color w:val="auto"/>
                <w:sz w:val="21"/>
                <w:lang w:val="en-US" w:eastAsia="zh-CN"/>
              </w:rPr>
              <w:t>0</w:t>
            </w:r>
            <w:r>
              <w:rPr>
                <w:rFonts w:hint="eastAsia" w:ascii="宋体" w:hAnsi="宋体" w:eastAsia="宋体" w:cs="宋体"/>
                <w:color w:val="auto"/>
                <w:sz w:val="21"/>
                <w:lang w:eastAsia="zh-CN"/>
              </w:rPr>
              <w:t>分）</w:t>
            </w:r>
          </w:p>
        </w:tc>
        <w:tc>
          <w:tcPr>
            <w:tcW w:w="2675" w:type="dxa"/>
            <w:vMerge w:val="continue"/>
            <w:vAlign w:val="center"/>
          </w:tcPr>
          <w:p w14:paraId="4E0006A8">
            <w:pPr>
              <w:pStyle w:val="373"/>
              <w:keepNext w:val="0"/>
              <w:keepLines w:val="0"/>
              <w:pageBreakBefore w:val="0"/>
              <w:widowControl w:val="0"/>
              <w:kinsoku/>
              <w:wordWrap/>
              <w:overflowPunct/>
              <w:topLinePunct w:val="0"/>
              <w:autoSpaceDE/>
              <w:autoSpaceDN/>
              <w:bidi w:val="0"/>
              <w:adjustRightInd/>
              <w:snapToGrid/>
              <w:spacing w:before="0" w:after="0" w:line="400" w:lineRule="exact"/>
              <w:ind w:firstLine="422" w:firstLineChars="200"/>
              <w:jc w:val="both"/>
              <w:textAlignment w:val="auto"/>
              <w:rPr>
                <w:rFonts w:hint="eastAsia" w:ascii="宋体" w:hAnsi="宋体" w:eastAsia="宋体" w:cs="宋体"/>
                <w:color w:val="auto"/>
                <w:sz w:val="21"/>
                <w:szCs w:val="21"/>
              </w:rPr>
            </w:pPr>
          </w:p>
        </w:tc>
      </w:tr>
      <w:tr w14:paraId="553CB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41" w:type="dxa"/>
            <w:vMerge w:val="continue"/>
            <w:vAlign w:val="center"/>
          </w:tcPr>
          <w:p w14:paraId="55F7EC03">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p>
        </w:tc>
        <w:tc>
          <w:tcPr>
            <w:tcW w:w="1200" w:type="dxa"/>
            <w:vMerge w:val="continue"/>
            <w:vAlign w:val="center"/>
          </w:tcPr>
          <w:p w14:paraId="2AD35454">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p>
        </w:tc>
        <w:tc>
          <w:tcPr>
            <w:tcW w:w="919" w:type="dxa"/>
            <w:vMerge w:val="continue"/>
            <w:vAlign w:val="center"/>
          </w:tcPr>
          <w:p w14:paraId="35B4FCE3">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2"/>
                <w:szCs w:val="22"/>
              </w:rPr>
            </w:pPr>
          </w:p>
        </w:tc>
        <w:tc>
          <w:tcPr>
            <w:tcW w:w="4817" w:type="dxa"/>
            <w:vAlign w:val="center"/>
          </w:tcPr>
          <w:p w14:paraId="0B6A8E0C">
            <w:pPr>
              <w:keepNext w:val="0"/>
              <w:keepLines w:val="0"/>
              <w:pageBreakBefore w:val="0"/>
              <w:widowControl w:val="0"/>
              <w:numPr>
                <w:ilvl w:val="0"/>
                <w:numId w:val="0"/>
              </w:numPr>
              <w:kinsoku/>
              <w:overflowPunct/>
              <w:topLinePunct w:val="0"/>
              <w:autoSpaceDE/>
              <w:autoSpaceDN/>
              <w:bidi w:val="0"/>
              <w:adjustRightInd/>
              <w:spacing w:line="400" w:lineRule="exact"/>
              <w:ind w:leftChars="0"/>
              <w:jc w:val="left"/>
              <w:textAlignment w:val="auto"/>
              <w:rPr>
                <w:rFonts w:hint="eastAsia" w:ascii="宋体" w:hAnsi="宋体" w:eastAsia="宋体" w:cs="宋体"/>
                <w:color w:val="auto"/>
                <w:szCs w:val="21"/>
              </w:rPr>
            </w:pPr>
            <w:r>
              <w:rPr>
                <w:rFonts w:hint="eastAsia" w:ascii="宋体" w:hAnsi="宋体" w:eastAsia="宋体" w:cs="宋体"/>
                <w:color w:val="auto"/>
                <w:sz w:val="21"/>
                <w:lang w:val="en-US" w:eastAsia="zh-CN"/>
              </w:rPr>
              <w:t>4.</w:t>
            </w:r>
            <w:r>
              <w:rPr>
                <w:rFonts w:hint="eastAsia" w:ascii="宋体" w:hAnsi="宋体" w:eastAsia="宋体" w:cs="宋体"/>
                <w:color w:val="auto"/>
                <w:szCs w:val="21"/>
              </w:rPr>
              <w:t>工程进度计划与措施</w:t>
            </w:r>
            <w:r>
              <w:rPr>
                <w:rFonts w:hint="eastAsia" w:ascii="宋体" w:hAnsi="宋体" w:eastAsia="宋体" w:cs="宋体"/>
                <w:color w:val="auto"/>
                <w:szCs w:val="21"/>
                <w:lang w:eastAsia="zh-CN"/>
              </w:rPr>
              <w:t>，</w:t>
            </w:r>
            <w:r>
              <w:rPr>
                <w:rFonts w:hint="eastAsia" w:ascii="宋体" w:hAnsi="宋体" w:eastAsia="宋体" w:cs="宋体"/>
                <w:color w:val="auto"/>
                <w:sz w:val="21"/>
                <w:lang w:val="en-US" w:eastAsia="zh-CN"/>
              </w:rPr>
              <w:t>组织协调方法是否得当、措施切实可行，根据方案实际性、可行性、科学性、针对性进行评审。</w:t>
            </w:r>
            <w:r>
              <w:rPr>
                <w:rFonts w:hint="eastAsia" w:ascii="宋体" w:hAnsi="宋体" w:eastAsia="宋体" w:cs="宋体"/>
                <w:color w:val="auto"/>
                <w:sz w:val="21"/>
                <w:lang w:val="zh-CN"/>
              </w:rPr>
              <w:t>满分1</w:t>
            </w:r>
            <w:r>
              <w:rPr>
                <w:rFonts w:hint="eastAsia" w:ascii="宋体" w:hAnsi="宋体" w:eastAsia="宋体" w:cs="宋体"/>
                <w:color w:val="auto"/>
                <w:sz w:val="21"/>
                <w:lang w:val="en-US" w:eastAsia="zh-CN"/>
              </w:rPr>
              <w:t>5</w:t>
            </w:r>
            <w:r>
              <w:rPr>
                <w:rFonts w:hint="eastAsia" w:ascii="宋体" w:hAnsi="宋体" w:eastAsia="宋体" w:cs="宋体"/>
                <w:color w:val="auto"/>
                <w:sz w:val="21"/>
                <w:lang w:val="zh-CN"/>
              </w:rPr>
              <w:t>分</w:t>
            </w:r>
            <w:r>
              <w:rPr>
                <w:rFonts w:hint="eastAsia" w:ascii="宋体" w:hAnsi="宋体" w:eastAsia="宋体" w:cs="宋体"/>
                <w:color w:val="auto"/>
                <w:sz w:val="21"/>
                <w:lang w:eastAsia="zh-CN"/>
              </w:rPr>
              <w:t>（优</w:t>
            </w:r>
            <w:r>
              <w:rPr>
                <w:rFonts w:hint="eastAsia" w:ascii="宋体" w:hAnsi="宋体" w:eastAsia="宋体" w:cs="宋体"/>
                <w:color w:val="auto"/>
                <w:sz w:val="21"/>
                <w:lang w:val="en-US" w:eastAsia="zh-CN"/>
              </w:rPr>
              <w:t>15</w:t>
            </w:r>
            <w:r>
              <w:rPr>
                <w:rFonts w:hint="eastAsia" w:ascii="宋体" w:hAnsi="宋体" w:eastAsia="宋体" w:cs="宋体"/>
                <w:color w:val="auto"/>
                <w:sz w:val="21"/>
                <w:lang w:eastAsia="zh-CN"/>
              </w:rPr>
              <w:t>分，良得</w:t>
            </w:r>
            <w:r>
              <w:rPr>
                <w:rFonts w:hint="eastAsia" w:ascii="宋体" w:hAnsi="宋体" w:eastAsia="宋体" w:cs="宋体"/>
                <w:color w:val="auto"/>
                <w:sz w:val="21"/>
                <w:lang w:val="en-US" w:eastAsia="zh-CN"/>
              </w:rPr>
              <w:t>10</w:t>
            </w:r>
            <w:r>
              <w:rPr>
                <w:rFonts w:hint="eastAsia" w:ascii="宋体" w:hAnsi="宋体" w:eastAsia="宋体" w:cs="宋体"/>
                <w:color w:val="auto"/>
                <w:sz w:val="21"/>
                <w:lang w:eastAsia="zh-CN"/>
              </w:rPr>
              <w:t>分，一般</w:t>
            </w:r>
            <w:r>
              <w:rPr>
                <w:rFonts w:hint="eastAsia" w:ascii="宋体" w:hAnsi="宋体" w:eastAsia="宋体" w:cs="宋体"/>
                <w:color w:val="auto"/>
                <w:sz w:val="21"/>
                <w:lang w:val="en-US" w:eastAsia="zh-CN"/>
              </w:rPr>
              <w:t>5</w:t>
            </w:r>
            <w:r>
              <w:rPr>
                <w:rFonts w:hint="eastAsia" w:ascii="宋体" w:hAnsi="宋体" w:eastAsia="宋体" w:cs="宋体"/>
                <w:color w:val="auto"/>
                <w:sz w:val="21"/>
                <w:lang w:eastAsia="zh-CN"/>
              </w:rPr>
              <w:t>分，差</w:t>
            </w:r>
            <w:r>
              <w:rPr>
                <w:rFonts w:hint="eastAsia" w:ascii="宋体" w:hAnsi="宋体" w:eastAsia="宋体" w:cs="宋体"/>
                <w:color w:val="auto"/>
                <w:sz w:val="21"/>
                <w:lang w:val="en-US" w:eastAsia="zh-CN"/>
              </w:rPr>
              <w:t>0</w:t>
            </w:r>
            <w:r>
              <w:rPr>
                <w:rFonts w:hint="eastAsia" w:ascii="宋体" w:hAnsi="宋体" w:eastAsia="宋体" w:cs="宋体"/>
                <w:color w:val="auto"/>
                <w:sz w:val="21"/>
                <w:lang w:eastAsia="zh-CN"/>
              </w:rPr>
              <w:t>分）</w:t>
            </w:r>
          </w:p>
        </w:tc>
        <w:tc>
          <w:tcPr>
            <w:tcW w:w="2675" w:type="dxa"/>
            <w:vMerge w:val="continue"/>
            <w:vAlign w:val="center"/>
          </w:tcPr>
          <w:p w14:paraId="5AD8BCF6">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p>
        </w:tc>
      </w:tr>
      <w:tr w14:paraId="66790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41" w:type="dxa"/>
            <w:vAlign w:val="center"/>
          </w:tcPr>
          <w:p w14:paraId="37CF2509">
            <w:pPr>
              <w:keepNext w:val="0"/>
              <w:keepLines w:val="0"/>
              <w:pageBreakBefore w:val="0"/>
              <w:widowControl w:val="0"/>
              <w:numPr>
                <w:ilvl w:val="0"/>
                <w:numId w:val="0"/>
              </w:numPr>
              <w:kinsoku/>
              <w:wordWrap w:val="0"/>
              <w:overflowPunct/>
              <w:topLinePunct w:val="0"/>
              <w:autoSpaceDE/>
              <w:autoSpaceDN/>
              <w:bidi w:val="0"/>
              <w:adjustRightInd/>
              <w:snapToGrid w:val="0"/>
              <w:spacing w:line="400" w:lineRule="exact"/>
              <w:ind w:left="0" w:leftChars="0" w:firstLine="0" w:firstLineChars="0"/>
              <w:jc w:val="center"/>
              <w:textAlignment w:val="auto"/>
              <w:rPr>
                <w:rFonts w:hint="eastAsia" w:ascii="宋体" w:hAnsi="宋体" w:eastAsia="宋体" w:cs="宋体"/>
                <w:color w:val="auto"/>
                <w:szCs w:val="21"/>
              </w:rPr>
            </w:pPr>
            <w:bookmarkStart w:id="425" w:name="_Toc10512"/>
            <w:bookmarkStart w:id="426" w:name="_Toc86934225"/>
            <w:bookmarkStart w:id="427" w:name="_Toc257799466"/>
            <w:bookmarkStart w:id="428" w:name="_Toc7961"/>
            <w:bookmarkStart w:id="429" w:name="_Toc18797"/>
            <w:bookmarkStart w:id="430" w:name="_Toc21543"/>
            <w:bookmarkStart w:id="431" w:name="_Toc255759377"/>
            <w:bookmarkStart w:id="432" w:name="_Toc12863"/>
            <w:bookmarkStart w:id="433" w:name="_Toc14094215"/>
            <w:bookmarkStart w:id="434" w:name="_Toc6266"/>
            <w:bookmarkStart w:id="435" w:name="_Toc31611"/>
            <w:bookmarkStart w:id="436" w:name="_Toc297197559"/>
            <w:bookmarkStart w:id="437" w:name="_Toc3501"/>
            <w:bookmarkStart w:id="438" w:name="_Toc297283412"/>
            <w:bookmarkStart w:id="439" w:name="_Toc3737"/>
            <w:bookmarkStart w:id="440" w:name="_Toc30959"/>
            <w:r>
              <w:rPr>
                <w:rFonts w:hint="eastAsia" w:ascii="宋体" w:hAnsi="宋体" w:eastAsia="宋体" w:cs="宋体"/>
                <w:color w:val="auto"/>
                <w:kern w:val="2"/>
                <w:sz w:val="21"/>
                <w:szCs w:val="21"/>
                <w:highlight w:val="none"/>
                <w:lang w:val="en-US" w:eastAsia="zh-CN" w:bidi="ar-SA"/>
              </w:rPr>
              <w:t>3</w:t>
            </w:r>
          </w:p>
        </w:tc>
        <w:tc>
          <w:tcPr>
            <w:tcW w:w="1200" w:type="dxa"/>
            <w:vAlign w:val="center"/>
          </w:tcPr>
          <w:p w14:paraId="5C79C70E">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highlight w:val="none"/>
              </w:rPr>
              <w:t>商务部分</w:t>
            </w:r>
          </w:p>
        </w:tc>
        <w:tc>
          <w:tcPr>
            <w:tcW w:w="919" w:type="dxa"/>
            <w:vAlign w:val="center"/>
          </w:tcPr>
          <w:p w14:paraId="4C9E3697">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cs="宋体"/>
                <w:color w:val="auto"/>
                <w:szCs w:val="21"/>
                <w:lang w:val="en-US" w:eastAsia="zh-CN"/>
              </w:rPr>
            </w:pPr>
            <w:r>
              <w:rPr>
                <w:rFonts w:hint="eastAsia" w:ascii="宋体" w:hAnsi="宋体" w:eastAsia="宋体" w:cs="宋体"/>
                <w:color w:val="auto"/>
                <w:szCs w:val="21"/>
                <w:highlight w:val="none"/>
              </w:rPr>
              <w:t>10</w:t>
            </w:r>
          </w:p>
        </w:tc>
        <w:tc>
          <w:tcPr>
            <w:tcW w:w="4817" w:type="dxa"/>
            <w:vAlign w:val="center"/>
          </w:tcPr>
          <w:p w14:paraId="7C90C275">
            <w:pPr>
              <w:keepNext w:val="0"/>
              <w:keepLines w:val="0"/>
              <w:pageBreakBefore w:val="0"/>
              <w:widowControl w:val="0"/>
              <w:kinsoku/>
              <w:wordWrap w:val="0"/>
              <w:overflowPunct/>
              <w:topLinePunct w:val="0"/>
              <w:autoSpaceDE/>
              <w:autoSpaceDN/>
              <w:bidi w:val="0"/>
              <w:adjustRightInd/>
              <w:snapToGrid w:val="0"/>
              <w:spacing w:line="400" w:lineRule="exact"/>
              <w:textAlignment w:val="auto"/>
              <w:rPr>
                <w:rFonts w:hint="eastAsia" w:ascii="宋体" w:hAnsi="宋体" w:eastAsia="宋体" w:cs="宋体"/>
                <w:color w:val="auto"/>
                <w:szCs w:val="21"/>
              </w:rPr>
            </w:pPr>
            <w:r>
              <w:rPr>
                <w:rFonts w:hint="eastAsia" w:ascii="宋体" w:hAnsi="宋体" w:eastAsia="宋体" w:cs="宋体"/>
                <w:color w:val="auto"/>
                <w:szCs w:val="21"/>
                <w:highlight w:val="none"/>
              </w:rPr>
              <w:t>从20</w:t>
            </w:r>
            <w:r>
              <w:rPr>
                <w:rFonts w:hint="eastAsia" w:ascii="宋体" w:hAnsi="宋体" w:cs="宋体"/>
                <w:color w:val="auto"/>
                <w:szCs w:val="21"/>
                <w:highlight w:val="none"/>
                <w:lang w:val="en-US" w:eastAsia="zh-CN"/>
              </w:rPr>
              <w:t>22</w:t>
            </w:r>
            <w:r>
              <w:rPr>
                <w:rFonts w:hint="eastAsia" w:ascii="宋体" w:hAnsi="宋体" w:eastAsia="宋体" w:cs="宋体"/>
                <w:color w:val="auto"/>
                <w:szCs w:val="21"/>
                <w:highlight w:val="none"/>
              </w:rPr>
              <w:t>年1月1日至投标截止日前，</w:t>
            </w:r>
            <w:r>
              <w:rPr>
                <w:rFonts w:hint="eastAsia" w:ascii="宋体" w:hAnsi="宋体" w:cs="宋体"/>
                <w:color w:val="auto"/>
                <w:szCs w:val="21"/>
                <w:highlight w:val="none"/>
                <w:lang w:val="en-US" w:eastAsia="zh-CN"/>
              </w:rPr>
              <w:t>具有公路</w:t>
            </w:r>
            <w:r>
              <w:rPr>
                <w:rFonts w:hint="eastAsia" w:ascii="宋体" w:hAnsi="宋体" w:eastAsia="宋体" w:cs="宋体"/>
                <w:color w:val="auto"/>
                <w:szCs w:val="21"/>
                <w:highlight w:val="none"/>
              </w:rPr>
              <w:t>工程类似业绩，每提供1个得5分，最多得10分，未提供得0分。</w:t>
            </w:r>
          </w:p>
        </w:tc>
        <w:tc>
          <w:tcPr>
            <w:tcW w:w="2675" w:type="dxa"/>
            <w:vAlign w:val="center"/>
          </w:tcPr>
          <w:p w14:paraId="4F487321">
            <w:pPr>
              <w:keepNext w:val="0"/>
              <w:keepLines w:val="0"/>
              <w:pageBreakBefore w:val="0"/>
              <w:widowControl w:val="0"/>
              <w:kinsoku/>
              <w:wordWrap w:val="0"/>
              <w:overflowPunct/>
              <w:topLinePunct w:val="0"/>
              <w:autoSpaceDE/>
              <w:autoSpaceDN/>
              <w:bidi w:val="0"/>
              <w:adjustRightInd/>
              <w:snapToGrid w:val="0"/>
              <w:spacing w:line="400" w:lineRule="exact"/>
              <w:jc w:val="both"/>
              <w:textAlignment w:val="auto"/>
              <w:rPr>
                <w:rFonts w:hint="eastAsia" w:ascii="宋体" w:hAnsi="宋体" w:eastAsia="宋体" w:cs="宋体"/>
                <w:color w:val="auto"/>
                <w:szCs w:val="21"/>
              </w:rPr>
            </w:pPr>
            <w:r>
              <w:rPr>
                <w:rFonts w:hint="eastAsia" w:ascii="宋体" w:hAnsi="宋体" w:eastAsia="宋体" w:cs="宋体"/>
                <w:color w:val="auto"/>
                <w:highlight w:val="none"/>
              </w:rPr>
              <w:t>提供合同或中标通知书等有效证明文件扫描件，原件备查。</w:t>
            </w:r>
            <w:r>
              <w:rPr>
                <w:rFonts w:hint="eastAsia" w:ascii="宋体" w:hAnsi="宋体" w:cs="宋体"/>
                <w:color w:val="auto"/>
                <w:highlight w:val="none"/>
                <w:lang w:val="en-US" w:eastAsia="zh-CN"/>
              </w:rPr>
              <w:t xml:space="preserve"> </w:t>
            </w:r>
          </w:p>
        </w:tc>
      </w:tr>
      <w:bookmarkEnd w:id="373"/>
      <w:bookmarkEnd w:id="374"/>
      <w:bookmarkEnd w:id="375"/>
      <w:bookmarkEnd w:id="376"/>
      <w:bookmarkEnd w:id="377"/>
    </w:tbl>
    <w:p w14:paraId="584B6E67">
      <w:pPr>
        <w:pStyle w:val="5"/>
        <w:keepNext w:val="0"/>
        <w:keepLines w:val="0"/>
        <w:pageBreakBefore w:val="0"/>
        <w:widowControl w:val="0"/>
        <w:numPr>
          <w:ilvl w:val="0"/>
          <w:numId w:val="0"/>
        </w:numPr>
        <w:kinsoku/>
        <w:wordWrap/>
        <w:overflowPunct/>
        <w:topLinePunct w:val="0"/>
        <w:bidi w:val="0"/>
        <w:snapToGrid/>
        <w:spacing w:line="400" w:lineRule="exact"/>
        <w:textAlignment w:val="auto"/>
        <w:rPr>
          <w:rFonts w:hint="eastAsia" w:ascii="宋体" w:hAnsi="宋体" w:eastAsia="宋体" w:cs="宋体"/>
          <w:b/>
          <w:color w:val="auto"/>
          <w:kern w:val="0"/>
          <w:sz w:val="24"/>
          <w:lang w:val="en-US" w:eastAsia="zh-CN" w:bidi="ar-SA"/>
        </w:rPr>
      </w:pPr>
    </w:p>
    <w:p w14:paraId="1CEF9496">
      <w:pPr>
        <w:pStyle w:val="5"/>
        <w:keepNext w:val="0"/>
        <w:keepLines w:val="0"/>
        <w:pageBreakBefore w:val="0"/>
        <w:widowControl w:val="0"/>
        <w:numPr>
          <w:ilvl w:val="0"/>
          <w:numId w:val="0"/>
        </w:numPr>
        <w:kinsoku/>
        <w:wordWrap/>
        <w:overflowPunct/>
        <w:topLinePunct w:val="0"/>
        <w:bidi w:val="0"/>
        <w:snapToGrid/>
        <w:spacing w:line="400" w:lineRule="exact"/>
        <w:textAlignment w:val="auto"/>
        <w:rPr>
          <w:rFonts w:hint="eastAsia" w:ascii="宋体" w:hAnsi="宋体" w:eastAsia="宋体" w:cs="宋体"/>
          <w:color w:val="auto"/>
        </w:rPr>
      </w:pPr>
      <w:r>
        <w:rPr>
          <w:rFonts w:hint="eastAsia" w:ascii="宋体" w:hAnsi="宋体" w:eastAsia="宋体" w:cs="宋体"/>
          <w:b/>
          <w:color w:val="auto"/>
          <w:kern w:val="0"/>
          <w:sz w:val="24"/>
          <w:lang w:val="en-US" w:eastAsia="zh-CN" w:bidi="ar-SA"/>
        </w:rPr>
        <w:t>5、</w:t>
      </w:r>
      <w:r>
        <w:rPr>
          <w:rFonts w:hint="eastAsia" w:ascii="宋体" w:hAnsi="宋体" w:eastAsia="宋体" w:cs="宋体"/>
          <w:color w:val="auto"/>
          <w:szCs w:val="24"/>
        </w:rPr>
        <w:t>评标报告</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6FC5B904">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评标委员会完成评标后,应当向招标人提出书面评标报告。评标报告由评标委员会全体成员签字。对评标结论持有异议的评标委员可以书面方式阐述其不同意见和理由。评标委员会成员拒绝在评标报告上签字且不陈述其不同意见和理由的，视为同意评标结论。评标委员会应当对此作出书面说明并记录在案。评标委员会推荐的中标候选人应当限定在一至三人，并标明排列顺序。</w:t>
      </w:r>
    </w:p>
    <w:p w14:paraId="5C6ED30B">
      <w:pPr>
        <w:pStyle w:val="5"/>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Cs w:val="24"/>
        </w:rPr>
      </w:pPr>
      <w:bookmarkStart w:id="441" w:name="_Toc297197560"/>
      <w:bookmarkStart w:id="442" w:name="_Toc14442"/>
      <w:bookmarkStart w:id="443" w:name="_Toc22478"/>
      <w:bookmarkStart w:id="444" w:name="_Toc9441"/>
      <w:bookmarkStart w:id="445" w:name="_Toc28014"/>
      <w:bookmarkStart w:id="446" w:name="_Toc17655"/>
      <w:bookmarkStart w:id="447" w:name="_Toc18284"/>
      <w:bookmarkStart w:id="448" w:name="_Toc23296"/>
      <w:bookmarkStart w:id="449" w:name="_Toc9549"/>
      <w:bookmarkStart w:id="450" w:name="_Toc8417"/>
      <w:bookmarkStart w:id="451" w:name="_Toc297283413"/>
      <w:bookmarkStart w:id="452" w:name="_Toc14094216"/>
      <w:bookmarkStart w:id="453" w:name="_Toc86934226"/>
      <w:bookmarkStart w:id="454" w:name="_Toc9432"/>
      <w:r>
        <w:rPr>
          <w:rFonts w:hint="eastAsia" w:ascii="宋体" w:hAnsi="宋体" w:eastAsia="宋体" w:cs="宋体"/>
          <w:color w:val="auto"/>
          <w:szCs w:val="24"/>
        </w:rPr>
        <w:t>6、评标保密</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14:paraId="65CF8FA4">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rPr>
      </w:pPr>
      <w:r>
        <w:rPr>
          <w:rFonts w:hint="eastAsia" w:ascii="宋体" w:hAnsi="宋体" w:eastAsia="宋体" w:cs="宋体"/>
          <w:color w:val="auto"/>
          <w:szCs w:val="21"/>
        </w:rPr>
        <w:t>开标后，直至授予中标人合同为止，凡属于对投标文件的审查、澄清、评价、比较有关的资料和中标候选人的推荐情况，以及与评标有关的其他任何情况均严格保密。</w:t>
      </w:r>
    </w:p>
    <w:p w14:paraId="4C433BED">
      <w:pPr>
        <w:rPr>
          <w:rFonts w:hint="eastAsia" w:ascii="宋体" w:hAnsi="宋体" w:eastAsia="宋体" w:cs="宋体"/>
          <w:color w:val="auto"/>
        </w:rPr>
      </w:pPr>
    </w:p>
    <w:p w14:paraId="4FC5D7B6">
      <w:pPr>
        <w:rPr>
          <w:rFonts w:hint="eastAsia" w:ascii="宋体" w:hAnsi="宋体" w:eastAsia="宋体" w:cs="宋体"/>
          <w:color w:val="auto"/>
        </w:rPr>
      </w:pPr>
    </w:p>
    <w:p w14:paraId="22574DF4">
      <w:pPr>
        <w:pStyle w:val="5"/>
        <w:numPr>
          <w:ilvl w:val="0"/>
          <w:numId w:val="2"/>
        </w:numPr>
        <w:spacing w:after="120" w:afterLines="50" w:line="360" w:lineRule="auto"/>
        <w:jc w:val="center"/>
        <w:rPr>
          <w:rFonts w:hint="eastAsia" w:ascii="宋体" w:hAnsi="宋体" w:eastAsia="宋体" w:cs="宋体"/>
          <w:b w:val="0"/>
          <w:bCs/>
          <w:color w:val="auto"/>
          <w:sz w:val="32"/>
          <w:szCs w:val="32"/>
        </w:rPr>
        <w:sectPr>
          <w:footerReference r:id="rId3" w:type="default"/>
          <w:pgSz w:w="11907" w:h="16840"/>
          <w:pgMar w:top="1134" w:right="1191" w:bottom="1134" w:left="1304" w:header="851" w:footer="992" w:gutter="0"/>
          <w:pgNumType w:fmt="decimal" w:start="1"/>
          <w:cols w:space="720" w:num="1"/>
          <w:docGrid w:linePitch="380" w:charSpace="-5735"/>
        </w:sectPr>
      </w:pPr>
      <w:bookmarkStart w:id="455" w:name="招标文件04章合同条款及格式"/>
      <w:bookmarkEnd w:id="455"/>
      <w:bookmarkStart w:id="456" w:name="招标文件03章02评标办法综合评估法02附件02"/>
      <w:bookmarkEnd w:id="456"/>
      <w:bookmarkStart w:id="457" w:name="_Toc430186004"/>
      <w:bookmarkStart w:id="458" w:name="_Toc428518770"/>
      <w:bookmarkStart w:id="459" w:name="_Toc430184720"/>
      <w:bookmarkStart w:id="460" w:name="_Toc419974284"/>
      <w:bookmarkStart w:id="461" w:name="_Toc428172774"/>
      <w:bookmarkStart w:id="462" w:name="_Toc370384673"/>
      <w:bookmarkStart w:id="463" w:name="_Toc419974526"/>
      <w:bookmarkStart w:id="464" w:name="_Toc338941679"/>
      <w:bookmarkStart w:id="465" w:name="_Toc419977311"/>
    </w:p>
    <w:p w14:paraId="21EA594F">
      <w:pPr>
        <w:pStyle w:val="5"/>
        <w:numPr>
          <w:ilvl w:val="0"/>
          <w:numId w:val="0"/>
        </w:numPr>
        <w:spacing w:line="360" w:lineRule="auto"/>
        <w:jc w:val="center"/>
        <w:rPr>
          <w:rFonts w:hint="eastAsia" w:ascii="宋体" w:hAnsi="宋体" w:eastAsia="宋体" w:cs="宋体"/>
          <w:color w:val="auto"/>
          <w:kern w:val="2"/>
          <w:sz w:val="32"/>
          <w:szCs w:val="32"/>
        </w:rPr>
      </w:pPr>
      <w:bookmarkStart w:id="466" w:name="_Toc14076"/>
      <w:bookmarkStart w:id="467" w:name="_Toc534185765"/>
      <w:bookmarkStart w:id="468" w:name="_Toc12845"/>
      <w:bookmarkStart w:id="469" w:name="_Toc351203494"/>
      <w:bookmarkStart w:id="470" w:name="_Toc509218786"/>
      <w:bookmarkStart w:id="471" w:name="_Toc57905907"/>
      <w:r>
        <w:rPr>
          <w:rFonts w:hint="eastAsia" w:ascii="宋体" w:hAnsi="宋体" w:eastAsia="宋体" w:cs="宋体"/>
          <w:b/>
          <w:color w:val="auto"/>
          <w:kern w:val="2"/>
          <w:sz w:val="44"/>
          <w:szCs w:val="44"/>
          <w:lang w:val="en-US" w:eastAsia="zh-CN" w:bidi="ar-SA"/>
        </w:rPr>
        <w:t xml:space="preserve">第四章 </w:t>
      </w:r>
      <w:r>
        <w:rPr>
          <w:rFonts w:hint="eastAsia" w:ascii="宋体" w:hAnsi="宋体" w:eastAsia="宋体" w:cs="宋体"/>
          <w:color w:val="auto"/>
          <w:kern w:val="2"/>
          <w:sz w:val="44"/>
          <w:szCs w:val="44"/>
        </w:rPr>
        <w:t>合同条款及格式</w:t>
      </w:r>
      <w:bookmarkEnd w:id="466"/>
    </w:p>
    <w:bookmarkEnd w:id="467"/>
    <w:bookmarkEnd w:id="468"/>
    <w:bookmarkEnd w:id="469"/>
    <w:bookmarkEnd w:id="470"/>
    <w:bookmarkEnd w:id="471"/>
    <w:p w14:paraId="35EF5B08">
      <w:pPr>
        <w:pStyle w:val="5"/>
        <w:numPr>
          <w:ilvl w:val="0"/>
          <w:numId w:val="0"/>
        </w:numPr>
        <w:spacing w:after="120" w:afterLines="50" w:line="360" w:lineRule="auto"/>
        <w:jc w:val="both"/>
        <w:rPr>
          <w:rFonts w:hint="eastAsia" w:ascii="宋体" w:hAnsi="宋体" w:eastAsia="宋体" w:cs="宋体"/>
          <w:color w:val="auto"/>
          <w:szCs w:val="21"/>
        </w:rPr>
      </w:pPr>
    </w:p>
    <w:p w14:paraId="5D2FA10F">
      <w:pPr>
        <w:pStyle w:val="3"/>
        <w:ind w:left="0" w:leftChars="0" w:firstLine="2080" w:firstLineChars="400"/>
        <w:jc w:val="both"/>
        <w:rPr>
          <w:rFonts w:hint="eastAsia" w:ascii="宋体" w:hAnsi="宋体" w:eastAsia="宋体" w:cs="宋体"/>
          <w:color w:val="auto"/>
          <w:sz w:val="52"/>
          <w:szCs w:val="52"/>
          <w:highlight w:val="none"/>
        </w:rPr>
      </w:pPr>
    </w:p>
    <w:p w14:paraId="2AE9D6C6">
      <w:pPr>
        <w:pStyle w:val="3"/>
        <w:ind w:left="0" w:leftChars="0" w:firstLine="2080" w:firstLineChars="400"/>
        <w:jc w:val="both"/>
        <w:rPr>
          <w:rFonts w:hint="eastAsia" w:ascii="宋体" w:hAnsi="宋体" w:eastAsia="宋体" w:cs="宋体"/>
          <w:color w:val="auto"/>
          <w:sz w:val="52"/>
          <w:szCs w:val="52"/>
          <w:highlight w:val="none"/>
        </w:rPr>
      </w:pPr>
    </w:p>
    <w:p w14:paraId="2A054C41">
      <w:pPr>
        <w:pStyle w:val="3"/>
        <w:ind w:left="0" w:leftChars="0" w:firstLine="2080" w:firstLineChars="400"/>
        <w:jc w:val="both"/>
        <w:rPr>
          <w:rFonts w:hint="eastAsia" w:ascii="宋体" w:hAnsi="宋体" w:eastAsia="宋体" w:cs="宋体"/>
          <w:color w:val="auto"/>
          <w:sz w:val="52"/>
          <w:szCs w:val="52"/>
          <w:highlight w:val="none"/>
        </w:rPr>
      </w:pPr>
    </w:p>
    <w:p w14:paraId="38318315">
      <w:pPr>
        <w:pStyle w:val="3"/>
        <w:ind w:left="0" w:leftChars="0" w:firstLine="2080" w:firstLineChars="400"/>
        <w:jc w:val="both"/>
        <w:rPr>
          <w:rFonts w:hint="eastAsia" w:ascii="宋体" w:hAnsi="宋体" w:eastAsia="宋体" w:cs="宋体"/>
          <w:color w:val="auto"/>
          <w:sz w:val="52"/>
          <w:szCs w:val="52"/>
          <w:highlight w:val="none"/>
        </w:rPr>
      </w:pPr>
    </w:p>
    <w:p w14:paraId="0409EC86">
      <w:pPr>
        <w:pStyle w:val="3"/>
        <w:ind w:left="0" w:leftChars="0" w:firstLine="2080" w:firstLineChars="400"/>
        <w:jc w:val="both"/>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建设工程项目施工合同</w:t>
      </w:r>
    </w:p>
    <w:p w14:paraId="75332438">
      <w:pPr>
        <w:jc w:val="center"/>
        <w:rPr>
          <w:rFonts w:hint="eastAsia" w:ascii="宋体" w:hAnsi="宋体" w:eastAsia="宋体" w:cs="宋体"/>
          <w:b/>
          <w:color w:val="auto"/>
          <w:sz w:val="28"/>
          <w:szCs w:val="28"/>
          <w:highlight w:val="none"/>
        </w:rPr>
      </w:pPr>
    </w:p>
    <w:p w14:paraId="3728BD9B">
      <w:pPr>
        <w:jc w:val="center"/>
        <w:rPr>
          <w:rFonts w:hint="eastAsia" w:ascii="宋体" w:hAnsi="宋体" w:eastAsia="宋体" w:cs="宋体"/>
          <w:b/>
          <w:color w:val="auto"/>
          <w:sz w:val="28"/>
          <w:szCs w:val="28"/>
          <w:highlight w:val="none"/>
        </w:rPr>
      </w:pPr>
    </w:p>
    <w:p w14:paraId="6F13E748">
      <w:pPr>
        <w:jc w:val="center"/>
        <w:rPr>
          <w:rFonts w:hint="eastAsia" w:ascii="宋体" w:hAnsi="宋体" w:eastAsia="宋体" w:cs="宋体"/>
          <w:b/>
          <w:color w:val="auto"/>
          <w:sz w:val="28"/>
          <w:szCs w:val="28"/>
          <w:highlight w:val="none"/>
        </w:rPr>
      </w:pPr>
    </w:p>
    <w:p w14:paraId="63B07F71">
      <w:pPr>
        <w:jc w:val="center"/>
        <w:rPr>
          <w:rFonts w:hint="eastAsia" w:ascii="宋体" w:hAnsi="宋体" w:eastAsia="宋体" w:cs="宋体"/>
          <w:b/>
          <w:color w:val="auto"/>
          <w:sz w:val="28"/>
          <w:szCs w:val="28"/>
          <w:highlight w:val="none"/>
        </w:rPr>
      </w:pPr>
    </w:p>
    <w:p w14:paraId="0630C5C4">
      <w:pPr>
        <w:rPr>
          <w:rFonts w:hint="eastAsia" w:ascii="宋体" w:hAnsi="宋体" w:eastAsia="宋体" w:cs="宋体"/>
          <w:b/>
          <w:color w:val="auto"/>
          <w:sz w:val="28"/>
          <w:szCs w:val="28"/>
          <w:highlight w:val="none"/>
        </w:rPr>
      </w:pPr>
    </w:p>
    <w:p w14:paraId="6F8C5F4D">
      <w:pPr>
        <w:jc w:val="center"/>
        <w:rPr>
          <w:rFonts w:hint="eastAsia" w:ascii="宋体" w:hAnsi="宋体" w:eastAsia="宋体" w:cs="宋体"/>
          <w:b/>
          <w:color w:val="auto"/>
          <w:sz w:val="28"/>
          <w:szCs w:val="28"/>
          <w:highlight w:val="none"/>
        </w:rPr>
      </w:pPr>
    </w:p>
    <w:p w14:paraId="089BD946">
      <w:pPr>
        <w:jc w:val="center"/>
        <w:rPr>
          <w:rFonts w:hint="eastAsia" w:ascii="宋体" w:hAnsi="宋体" w:eastAsia="宋体" w:cs="宋体"/>
          <w:b/>
          <w:color w:val="auto"/>
          <w:sz w:val="28"/>
          <w:szCs w:val="28"/>
          <w:highlight w:val="none"/>
        </w:rPr>
      </w:pPr>
    </w:p>
    <w:p w14:paraId="57ACCE9B">
      <w:pPr>
        <w:spacing w:line="320" w:lineRule="atLeast"/>
        <w:textAlignment w:val="center"/>
        <w:rPr>
          <w:rFonts w:hint="eastAsia" w:ascii="宋体" w:hAnsi="宋体" w:eastAsia="宋体" w:cs="宋体"/>
          <w:color w:val="auto"/>
          <w:spacing w:val="-20"/>
          <w:kern w:val="10"/>
          <w:sz w:val="28"/>
          <w:szCs w:val="28"/>
          <w:highlight w:val="none"/>
        </w:rPr>
      </w:pPr>
    </w:p>
    <w:p w14:paraId="12663FAA">
      <w:pPr>
        <w:spacing w:line="320" w:lineRule="atLeast"/>
        <w:textAlignment w:val="center"/>
        <w:rPr>
          <w:rFonts w:hint="eastAsia" w:ascii="宋体" w:hAnsi="宋体" w:eastAsia="宋体" w:cs="宋体"/>
          <w:color w:val="auto"/>
          <w:spacing w:val="-20"/>
          <w:kern w:val="10"/>
          <w:sz w:val="28"/>
          <w:szCs w:val="28"/>
          <w:highlight w:val="none"/>
        </w:rPr>
      </w:pPr>
    </w:p>
    <w:p w14:paraId="5D559986">
      <w:pPr>
        <w:spacing w:line="320" w:lineRule="atLeast"/>
        <w:textAlignment w:val="center"/>
        <w:rPr>
          <w:rFonts w:hint="eastAsia" w:ascii="宋体" w:hAnsi="宋体" w:eastAsia="宋体" w:cs="宋体"/>
          <w:color w:val="auto"/>
          <w:spacing w:val="-20"/>
          <w:kern w:val="10"/>
          <w:sz w:val="28"/>
          <w:szCs w:val="28"/>
          <w:highlight w:val="none"/>
        </w:rPr>
      </w:pPr>
    </w:p>
    <w:p w14:paraId="614D783A">
      <w:pPr>
        <w:spacing w:line="320" w:lineRule="atLeast"/>
        <w:textAlignment w:val="center"/>
        <w:rPr>
          <w:rFonts w:hint="eastAsia" w:ascii="宋体" w:hAnsi="宋体" w:eastAsia="宋体" w:cs="宋体"/>
          <w:b/>
          <w:color w:val="auto"/>
          <w:spacing w:val="-20"/>
          <w:kern w:val="10"/>
          <w:sz w:val="32"/>
          <w:szCs w:val="32"/>
          <w:highlight w:val="none"/>
        </w:rPr>
      </w:pPr>
      <w:r>
        <w:rPr>
          <w:rFonts w:hint="eastAsia" w:ascii="宋体" w:hAnsi="宋体" w:eastAsia="宋体" w:cs="宋体"/>
          <w:b/>
          <w:color w:val="auto"/>
          <w:spacing w:val="-20"/>
          <w:kern w:val="10"/>
          <w:sz w:val="32"/>
          <w:szCs w:val="32"/>
          <w:highlight w:val="none"/>
        </w:rPr>
        <w:t xml:space="preserve">                         中华人民共和国建设部　　</w:t>
      </w:r>
    </w:p>
    <w:p w14:paraId="03079782">
      <w:pPr>
        <w:spacing w:line="320" w:lineRule="atLeast"/>
        <w:jc w:val="center"/>
        <w:textAlignment w:val="center"/>
        <w:rPr>
          <w:rFonts w:hint="eastAsia" w:ascii="宋体" w:hAnsi="宋体" w:eastAsia="宋体" w:cs="宋体"/>
          <w:b/>
          <w:color w:val="auto"/>
          <w:spacing w:val="-20"/>
          <w:kern w:val="10"/>
          <w:sz w:val="32"/>
          <w:szCs w:val="32"/>
          <w:highlight w:val="none"/>
        </w:rPr>
      </w:pPr>
      <w:r>
        <w:rPr>
          <w:rFonts w:hint="eastAsia" w:ascii="宋体" w:hAnsi="宋体" w:eastAsia="宋体" w:cs="宋体"/>
          <w:b/>
          <w:color w:val="auto"/>
          <w:spacing w:val="-20"/>
          <w:kern w:val="10"/>
          <w:sz w:val="32"/>
          <w:szCs w:val="32"/>
          <w:highlight w:val="none"/>
        </w:rPr>
        <w:t xml:space="preserve">                                    制定</w:t>
      </w:r>
    </w:p>
    <w:p w14:paraId="4F8737AD">
      <w:pPr>
        <w:spacing w:line="320" w:lineRule="atLeast"/>
        <w:textAlignment w:val="center"/>
        <w:rPr>
          <w:rFonts w:hint="eastAsia" w:ascii="宋体" w:hAnsi="宋体" w:eastAsia="宋体" w:cs="宋体"/>
          <w:b/>
          <w:color w:val="auto"/>
          <w:spacing w:val="-20"/>
          <w:kern w:val="10"/>
          <w:sz w:val="32"/>
          <w:szCs w:val="32"/>
          <w:highlight w:val="none"/>
        </w:rPr>
      </w:pPr>
      <w:r>
        <w:rPr>
          <w:rFonts w:hint="eastAsia" w:ascii="宋体" w:hAnsi="宋体" w:eastAsia="宋体" w:cs="宋体"/>
          <w:b/>
          <w:color w:val="auto"/>
          <w:spacing w:val="-20"/>
          <w:kern w:val="10"/>
          <w:sz w:val="32"/>
          <w:szCs w:val="32"/>
          <w:highlight w:val="none"/>
        </w:rPr>
        <w:t xml:space="preserve">                         国家工商行政管理总局 </w:t>
      </w:r>
    </w:p>
    <w:p w14:paraId="7C631886">
      <w:pPr>
        <w:pStyle w:val="3"/>
        <w:spacing w:before="0" w:after="0" w:line="500" w:lineRule="exact"/>
        <w:ind w:left="0" w:leftChars="0" w:firstLine="2800" w:firstLineChars="1000"/>
        <w:jc w:val="both"/>
        <w:rPr>
          <w:rFonts w:hint="eastAsia" w:ascii="宋体" w:hAnsi="宋体" w:eastAsia="宋体" w:cs="宋体"/>
          <w:b w:val="0"/>
          <w:color w:val="auto"/>
          <w:kern w:val="0"/>
          <w:sz w:val="28"/>
          <w:szCs w:val="40"/>
          <w:highlight w:val="none"/>
        </w:rPr>
      </w:pPr>
    </w:p>
    <w:p w14:paraId="4A7968B8">
      <w:pPr>
        <w:pStyle w:val="3"/>
        <w:spacing w:before="0" w:after="0" w:line="500" w:lineRule="exact"/>
        <w:ind w:left="0" w:leftChars="0" w:firstLine="2800" w:firstLineChars="1000"/>
        <w:jc w:val="both"/>
        <w:rPr>
          <w:rFonts w:hint="eastAsia" w:ascii="宋体" w:hAnsi="宋体" w:eastAsia="宋体" w:cs="宋体"/>
          <w:b w:val="0"/>
          <w:color w:val="auto"/>
          <w:kern w:val="0"/>
          <w:sz w:val="28"/>
          <w:szCs w:val="40"/>
          <w:highlight w:val="none"/>
        </w:rPr>
      </w:pPr>
    </w:p>
    <w:p w14:paraId="57C12021">
      <w:pPr>
        <w:pStyle w:val="3"/>
        <w:spacing w:before="0" w:after="0" w:line="500" w:lineRule="exact"/>
        <w:ind w:left="0" w:leftChars="0" w:firstLine="2800" w:firstLineChars="1000"/>
        <w:jc w:val="both"/>
        <w:rPr>
          <w:rFonts w:hint="eastAsia" w:ascii="宋体" w:hAnsi="宋体" w:eastAsia="宋体" w:cs="宋体"/>
          <w:b w:val="0"/>
          <w:color w:val="auto"/>
          <w:kern w:val="0"/>
          <w:sz w:val="28"/>
          <w:szCs w:val="40"/>
          <w:highlight w:val="none"/>
        </w:rPr>
      </w:pPr>
    </w:p>
    <w:p w14:paraId="4AC87240">
      <w:pPr>
        <w:pStyle w:val="3"/>
        <w:spacing w:before="0" w:after="0" w:line="500" w:lineRule="exact"/>
        <w:ind w:left="0" w:leftChars="0" w:firstLine="2800" w:firstLineChars="1000"/>
        <w:jc w:val="both"/>
        <w:rPr>
          <w:rFonts w:hint="eastAsia" w:ascii="宋体" w:hAnsi="宋体" w:eastAsia="宋体" w:cs="宋体"/>
          <w:b w:val="0"/>
          <w:color w:val="auto"/>
          <w:kern w:val="0"/>
          <w:sz w:val="28"/>
          <w:szCs w:val="40"/>
          <w:highlight w:val="none"/>
        </w:rPr>
      </w:pPr>
    </w:p>
    <w:p w14:paraId="310DBE7D">
      <w:pPr>
        <w:pStyle w:val="3"/>
        <w:spacing w:before="0" w:after="0" w:line="500" w:lineRule="exact"/>
        <w:ind w:left="0" w:leftChars="0" w:firstLine="2800" w:firstLineChars="1000"/>
        <w:jc w:val="both"/>
        <w:rPr>
          <w:rFonts w:hint="eastAsia" w:ascii="宋体" w:hAnsi="宋体" w:eastAsia="宋体" w:cs="宋体"/>
          <w:b w:val="0"/>
          <w:color w:val="auto"/>
          <w:kern w:val="0"/>
          <w:sz w:val="28"/>
          <w:szCs w:val="40"/>
          <w:highlight w:val="none"/>
        </w:rPr>
      </w:pPr>
    </w:p>
    <w:p w14:paraId="27765B73">
      <w:pPr>
        <w:pStyle w:val="3"/>
        <w:spacing w:before="0" w:after="0" w:line="500" w:lineRule="exact"/>
        <w:ind w:left="0" w:leftChars="0" w:firstLine="0" w:firstLineChars="0"/>
        <w:jc w:val="both"/>
        <w:rPr>
          <w:rFonts w:hint="eastAsia" w:ascii="宋体" w:hAnsi="宋体" w:eastAsia="宋体" w:cs="宋体"/>
          <w:b w:val="0"/>
          <w:color w:val="auto"/>
          <w:kern w:val="0"/>
          <w:sz w:val="28"/>
          <w:szCs w:val="40"/>
          <w:highlight w:val="none"/>
        </w:rPr>
      </w:pPr>
    </w:p>
    <w:p w14:paraId="3439C2ED">
      <w:pPr>
        <w:pStyle w:val="3"/>
        <w:spacing w:before="0" w:after="0" w:line="500" w:lineRule="exact"/>
        <w:ind w:left="0" w:leftChars="0" w:firstLine="3640" w:firstLineChars="1300"/>
        <w:jc w:val="both"/>
        <w:rPr>
          <w:rFonts w:hint="eastAsia" w:ascii="宋体" w:hAnsi="宋体" w:eastAsia="宋体" w:cs="宋体"/>
          <w:b w:val="0"/>
          <w:color w:val="auto"/>
          <w:kern w:val="0"/>
          <w:sz w:val="28"/>
          <w:szCs w:val="40"/>
          <w:highlight w:val="none"/>
        </w:rPr>
      </w:pPr>
      <w:r>
        <w:rPr>
          <w:rFonts w:hint="eastAsia" w:ascii="宋体" w:hAnsi="宋体" w:eastAsia="宋体" w:cs="宋体"/>
          <w:b w:val="0"/>
          <w:color w:val="auto"/>
          <w:kern w:val="0"/>
          <w:sz w:val="28"/>
          <w:szCs w:val="40"/>
          <w:highlight w:val="none"/>
        </w:rPr>
        <w:t>第一部分 合同协议书</w:t>
      </w:r>
    </w:p>
    <w:p w14:paraId="417D6ECB">
      <w:pPr>
        <w:pStyle w:val="3"/>
        <w:spacing w:before="0" w:after="0" w:line="500" w:lineRule="exact"/>
        <w:rPr>
          <w:rFonts w:hint="eastAsia" w:ascii="宋体" w:hAnsi="宋体" w:eastAsia="宋体" w:cs="宋体"/>
          <w:b w:val="0"/>
          <w:color w:val="auto"/>
          <w:kern w:val="0"/>
          <w:sz w:val="28"/>
          <w:szCs w:val="40"/>
          <w:highlight w:val="none"/>
        </w:rPr>
      </w:pPr>
    </w:p>
    <w:p w14:paraId="50722AE0">
      <w:pPr>
        <w:pStyle w:val="3"/>
        <w:spacing w:before="0" w:after="0" w:line="500" w:lineRule="exact"/>
        <w:ind w:left="0" w:leftChars="0" w:firstLine="0" w:firstLineChars="0"/>
        <w:jc w:val="both"/>
        <w:rPr>
          <w:rFonts w:hint="eastAsia" w:ascii="宋体" w:hAnsi="宋体" w:eastAsia="宋体" w:cs="宋体"/>
          <w:b w:val="0"/>
          <w:color w:val="auto"/>
          <w:kern w:val="0"/>
          <w:sz w:val="22"/>
          <w:szCs w:val="22"/>
          <w:highlight w:val="none"/>
          <w:u w:val="single"/>
          <w:lang w:val="en-US" w:eastAsia="zh-CN"/>
        </w:rPr>
      </w:pPr>
      <w:r>
        <w:rPr>
          <w:rFonts w:hint="eastAsia" w:ascii="宋体" w:hAnsi="宋体" w:eastAsia="宋体" w:cs="宋体"/>
          <w:b w:val="0"/>
          <w:color w:val="auto"/>
          <w:kern w:val="0"/>
          <w:sz w:val="22"/>
          <w:szCs w:val="22"/>
          <w:highlight w:val="none"/>
        </w:rPr>
        <w:t>发包人（全称）：</w:t>
      </w:r>
      <w:r>
        <w:rPr>
          <w:rFonts w:hint="eastAsia" w:ascii="宋体" w:hAnsi="宋体" w:eastAsia="宋体" w:cs="宋体"/>
          <w:b w:val="0"/>
          <w:color w:val="auto"/>
          <w:kern w:val="0"/>
          <w:sz w:val="22"/>
          <w:szCs w:val="22"/>
          <w:highlight w:val="none"/>
          <w:u w:val="single"/>
          <w:lang w:val="en-US" w:eastAsia="zh-CN"/>
        </w:rPr>
        <w:t xml:space="preserve">                             </w:t>
      </w:r>
    </w:p>
    <w:p w14:paraId="792D5CCF">
      <w:pPr>
        <w:pStyle w:val="3"/>
        <w:spacing w:before="0" w:after="0" w:line="500" w:lineRule="exact"/>
        <w:ind w:left="0" w:leftChars="0" w:firstLine="0" w:firstLineChars="0"/>
        <w:jc w:val="both"/>
        <w:rPr>
          <w:rFonts w:hint="eastAsia" w:ascii="宋体" w:hAnsi="宋体" w:eastAsia="宋体" w:cs="宋体"/>
          <w:b w:val="0"/>
          <w:color w:val="auto"/>
          <w:kern w:val="0"/>
          <w:sz w:val="22"/>
          <w:szCs w:val="22"/>
          <w:highlight w:val="none"/>
          <w:u w:val="single"/>
          <w:lang w:val="en-US" w:eastAsia="zh-CN"/>
        </w:rPr>
      </w:pPr>
      <w:r>
        <w:rPr>
          <w:rFonts w:hint="eastAsia" w:ascii="宋体" w:hAnsi="宋体" w:eastAsia="宋体" w:cs="宋体"/>
          <w:b w:val="0"/>
          <w:color w:val="auto"/>
          <w:kern w:val="0"/>
          <w:sz w:val="22"/>
          <w:szCs w:val="22"/>
          <w:highlight w:val="none"/>
        </w:rPr>
        <w:t>承包人（全称）：</w:t>
      </w:r>
      <w:r>
        <w:rPr>
          <w:rFonts w:hint="eastAsia" w:ascii="宋体" w:hAnsi="宋体" w:eastAsia="宋体" w:cs="宋体"/>
          <w:b w:val="0"/>
          <w:color w:val="auto"/>
          <w:kern w:val="0"/>
          <w:sz w:val="22"/>
          <w:szCs w:val="22"/>
          <w:highlight w:val="none"/>
          <w:u w:val="single"/>
          <w:lang w:val="en-US" w:eastAsia="zh-CN"/>
        </w:rPr>
        <w:t xml:space="preserve">                              </w:t>
      </w:r>
    </w:p>
    <w:p w14:paraId="5C30646B">
      <w:pPr>
        <w:pStyle w:val="3"/>
        <w:spacing w:before="0" w:after="0" w:line="500" w:lineRule="exact"/>
        <w:ind w:left="0" w:leftChars="0" w:firstLine="220" w:firstLineChars="100"/>
        <w:jc w:val="both"/>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根据《中华人民共和国民法典》、《中华人民共和国建筑法》及有关法律、法规规定，遵循平等、自愿、公平和诚实信用的原则，双方就 工程施工及有关事项协商一致，共同达成如下协议：</w:t>
      </w:r>
    </w:p>
    <w:p w14:paraId="49B2364E">
      <w:pPr>
        <w:pStyle w:val="3"/>
        <w:spacing w:before="0" w:after="0" w:line="500" w:lineRule="exact"/>
        <w:ind w:left="0" w:leftChars="0" w:firstLine="0" w:firstLineChars="0"/>
        <w:jc w:val="both"/>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一、工程概况</w:t>
      </w:r>
    </w:p>
    <w:p w14:paraId="523EEEA9">
      <w:pPr>
        <w:pStyle w:val="3"/>
        <w:spacing w:before="0" w:after="0" w:line="500" w:lineRule="exact"/>
        <w:ind w:left="0" w:leftChars="0" w:firstLine="0" w:firstLineChars="0"/>
        <w:jc w:val="left"/>
        <w:rPr>
          <w:rFonts w:hint="eastAsia" w:ascii="宋体" w:hAnsi="宋体" w:eastAsia="宋体" w:cs="宋体"/>
          <w:b w:val="0"/>
          <w:color w:val="auto"/>
          <w:kern w:val="0"/>
          <w:sz w:val="21"/>
          <w:szCs w:val="21"/>
          <w:highlight w:val="none"/>
        </w:rPr>
      </w:pPr>
      <w:bookmarkStart w:id="472" w:name="_Toc1144"/>
      <w:bookmarkStart w:id="473" w:name="_Toc3544"/>
      <w:bookmarkStart w:id="474" w:name="_Toc18212"/>
      <w:bookmarkStart w:id="475" w:name="_Toc15153"/>
      <w:bookmarkStart w:id="476" w:name="_Toc30701"/>
      <w:bookmarkStart w:id="477" w:name="_Toc29669"/>
      <w:bookmarkStart w:id="478" w:name="_Toc30181"/>
      <w:bookmarkStart w:id="479" w:name="_Toc15326"/>
      <w:bookmarkStart w:id="480" w:name="_Toc32363"/>
      <w:bookmarkStart w:id="481" w:name="_Toc18044"/>
      <w:r>
        <w:rPr>
          <w:rFonts w:hint="eastAsia" w:ascii="宋体" w:hAnsi="宋体" w:eastAsia="宋体" w:cs="宋体"/>
          <w:b w:val="0"/>
          <w:color w:val="auto"/>
          <w:kern w:val="0"/>
          <w:sz w:val="21"/>
          <w:szCs w:val="21"/>
          <w:highlight w:val="none"/>
        </w:rPr>
        <w:t>1.工程名称：</w:t>
      </w:r>
      <w:r>
        <w:rPr>
          <w:rFonts w:hint="eastAsia" w:ascii="宋体" w:hAnsi="宋体" w:eastAsia="宋体" w:cs="宋体"/>
          <w:b w:val="0"/>
          <w:color w:val="auto"/>
          <w:kern w:val="0"/>
          <w:sz w:val="21"/>
          <w:szCs w:val="21"/>
          <w:highlight w:val="none"/>
          <w:u w:val="single"/>
          <w:lang w:val="en-US" w:eastAsia="zh-CN"/>
        </w:rPr>
        <w:t xml:space="preserve">                      </w:t>
      </w:r>
      <w:r>
        <w:rPr>
          <w:rFonts w:hint="eastAsia" w:ascii="宋体" w:hAnsi="宋体" w:eastAsia="宋体" w:cs="宋体"/>
          <w:b w:val="0"/>
          <w:color w:val="auto"/>
          <w:kern w:val="0"/>
          <w:sz w:val="21"/>
          <w:szCs w:val="21"/>
          <w:highlight w:val="none"/>
        </w:rPr>
        <w:t>。</w:t>
      </w:r>
      <w:bookmarkEnd w:id="472"/>
      <w:bookmarkEnd w:id="473"/>
      <w:bookmarkEnd w:id="474"/>
      <w:bookmarkEnd w:id="475"/>
      <w:bookmarkEnd w:id="476"/>
      <w:bookmarkEnd w:id="477"/>
      <w:bookmarkEnd w:id="478"/>
      <w:bookmarkEnd w:id="479"/>
      <w:bookmarkEnd w:id="480"/>
      <w:bookmarkEnd w:id="481"/>
    </w:p>
    <w:p w14:paraId="4DFB7ABB">
      <w:pPr>
        <w:pStyle w:val="3"/>
        <w:spacing w:before="0" w:after="0" w:line="500" w:lineRule="exact"/>
        <w:ind w:left="0" w:leftChars="0" w:firstLine="0" w:firstLineChars="0"/>
        <w:jc w:val="left"/>
        <w:rPr>
          <w:rFonts w:hint="eastAsia" w:ascii="宋体" w:hAnsi="宋体" w:eastAsia="宋体" w:cs="宋体"/>
          <w:b w:val="0"/>
          <w:color w:val="auto"/>
          <w:kern w:val="0"/>
          <w:sz w:val="21"/>
          <w:szCs w:val="21"/>
          <w:highlight w:val="none"/>
        </w:rPr>
      </w:pPr>
      <w:bookmarkStart w:id="482" w:name="_Toc12715"/>
      <w:bookmarkStart w:id="483" w:name="_Toc4739"/>
      <w:bookmarkStart w:id="484" w:name="_Toc21361"/>
      <w:bookmarkStart w:id="485" w:name="_Toc17280"/>
      <w:bookmarkStart w:id="486" w:name="_Toc22578"/>
      <w:bookmarkStart w:id="487" w:name="_Toc31732"/>
      <w:bookmarkStart w:id="488" w:name="_Toc17336"/>
      <w:bookmarkStart w:id="489" w:name="_Toc11125"/>
      <w:bookmarkStart w:id="490" w:name="_Toc5980"/>
      <w:bookmarkStart w:id="491" w:name="_Toc23600"/>
      <w:r>
        <w:rPr>
          <w:rFonts w:hint="eastAsia" w:ascii="宋体" w:hAnsi="宋体" w:eastAsia="宋体" w:cs="宋体"/>
          <w:b w:val="0"/>
          <w:color w:val="auto"/>
          <w:kern w:val="0"/>
          <w:sz w:val="21"/>
          <w:szCs w:val="21"/>
          <w:highlight w:val="none"/>
        </w:rPr>
        <w:t>2.工程地点：</w:t>
      </w:r>
      <w:r>
        <w:rPr>
          <w:rFonts w:hint="eastAsia" w:ascii="宋体" w:hAnsi="宋体" w:eastAsia="宋体" w:cs="宋体"/>
          <w:b w:val="0"/>
          <w:color w:val="auto"/>
          <w:kern w:val="0"/>
          <w:sz w:val="21"/>
          <w:szCs w:val="21"/>
          <w:highlight w:val="none"/>
          <w:u w:val="single"/>
          <w:lang w:val="en-US" w:eastAsia="zh-CN"/>
        </w:rPr>
        <w:t xml:space="preserve">                      </w:t>
      </w:r>
      <w:r>
        <w:rPr>
          <w:rFonts w:hint="eastAsia" w:ascii="宋体" w:hAnsi="宋体" w:eastAsia="宋体" w:cs="宋体"/>
          <w:b w:val="0"/>
          <w:color w:val="auto"/>
          <w:kern w:val="0"/>
          <w:sz w:val="21"/>
          <w:szCs w:val="21"/>
          <w:highlight w:val="none"/>
        </w:rPr>
        <w:t>。</w:t>
      </w:r>
      <w:bookmarkEnd w:id="482"/>
      <w:bookmarkEnd w:id="483"/>
      <w:bookmarkEnd w:id="484"/>
      <w:bookmarkEnd w:id="485"/>
      <w:bookmarkEnd w:id="486"/>
      <w:bookmarkEnd w:id="487"/>
      <w:bookmarkEnd w:id="488"/>
      <w:bookmarkEnd w:id="489"/>
      <w:bookmarkEnd w:id="490"/>
      <w:bookmarkEnd w:id="491"/>
    </w:p>
    <w:p w14:paraId="4F779964">
      <w:pPr>
        <w:pStyle w:val="3"/>
        <w:spacing w:before="0" w:after="0" w:line="500" w:lineRule="exact"/>
        <w:ind w:left="0" w:leftChars="0" w:firstLine="0" w:firstLineChars="0"/>
        <w:jc w:val="left"/>
        <w:rPr>
          <w:rFonts w:hint="eastAsia" w:ascii="宋体" w:hAnsi="宋体" w:eastAsia="宋体" w:cs="宋体"/>
          <w:b w:val="0"/>
          <w:color w:val="auto"/>
          <w:kern w:val="0"/>
          <w:sz w:val="21"/>
          <w:szCs w:val="21"/>
          <w:highlight w:val="none"/>
        </w:rPr>
      </w:pPr>
      <w:bookmarkStart w:id="492" w:name="_Toc1765"/>
      <w:bookmarkStart w:id="493" w:name="_Toc3269"/>
      <w:bookmarkStart w:id="494" w:name="_Toc30631"/>
      <w:bookmarkStart w:id="495" w:name="_Toc26791"/>
      <w:bookmarkStart w:id="496" w:name="_Toc32496"/>
      <w:bookmarkStart w:id="497" w:name="_Toc16092"/>
      <w:bookmarkStart w:id="498" w:name="_Toc15204"/>
      <w:bookmarkStart w:id="499" w:name="_Toc22431"/>
      <w:bookmarkStart w:id="500" w:name="_Toc7397"/>
      <w:bookmarkStart w:id="501" w:name="_Toc7521"/>
      <w:r>
        <w:rPr>
          <w:rFonts w:hint="eastAsia" w:ascii="宋体" w:hAnsi="宋体" w:eastAsia="宋体" w:cs="宋体"/>
          <w:b w:val="0"/>
          <w:color w:val="auto"/>
          <w:kern w:val="0"/>
          <w:sz w:val="21"/>
          <w:szCs w:val="21"/>
          <w:highlight w:val="none"/>
          <w:lang w:val="en-US" w:eastAsia="zh-CN"/>
        </w:rPr>
        <w:t>3</w:t>
      </w:r>
      <w:r>
        <w:rPr>
          <w:rFonts w:hint="eastAsia" w:ascii="宋体" w:hAnsi="宋体" w:eastAsia="宋体" w:cs="宋体"/>
          <w:b w:val="0"/>
          <w:color w:val="auto"/>
          <w:kern w:val="0"/>
          <w:sz w:val="21"/>
          <w:szCs w:val="21"/>
          <w:highlight w:val="none"/>
        </w:rPr>
        <w:t>.资金来源：</w:t>
      </w:r>
      <w:r>
        <w:rPr>
          <w:rFonts w:hint="eastAsia" w:ascii="宋体" w:hAnsi="宋体" w:eastAsia="宋体" w:cs="宋体"/>
          <w:b w:val="0"/>
          <w:color w:val="auto"/>
          <w:kern w:val="0"/>
          <w:sz w:val="21"/>
          <w:szCs w:val="21"/>
          <w:highlight w:val="none"/>
          <w:u w:val="single"/>
          <w:lang w:val="en-US" w:eastAsia="zh-CN"/>
        </w:rPr>
        <w:t xml:space="preserve">                       </w:t>
      </w:r>
      <w:r>
        <w:rPr>
          <w:rFonts w:hint="eastAsia" w:ascii="宋体" w:hAnsi="宋体" w:eastAsia="宋体" w:cs="宋体"/>
          <w:b w:val="0"/>
          <w:color w:val="auto"/>
          <w:kern w:val="0"/>
          <w:sz w:val="21"/>
          <w:szCs w:val="21"/>
          <w:highlight w:val="none"/>
        </w:rPr>
        <w:t xml:space="preserve"> 。</w:t>
      </w:r>
      <w:bookmarkEnd w:id="492"/>
      <w:bookmarkEnd w:id="493"/>
      <w:bookmarkEnd w:id="494"/>
      <w:bookmarkEnd w:id="495"/>
      <w:bookmarkEnd w:id="496"/>
      <w:bookmarkEnd w:id="497"/>
      <w:bookmarkEnd w:id="498"/>
      <w:bookmarkEnd w:id="499"/>
      <w:bookmarkEnd w:id="500"/>
      <w:bookmarkEnd w:id="501"/>
    </w:p>
    <w:p w14:paraId="3518A4B3">
      <w:pPr>
        <w:pStyle w:val="3"/>
        <w:spacing w:before="0" w:after="0" w:line="500" w:lineRule="exact"/>
        <w:ind w:left="0" w:leftChars="0" w:firstLine="0" w:firstLineChars="0"/>
        <w:jc w:val="left"/>
        <w:rPr>
          <w:rFonts w:hint="eastAsia" w:ascii="宋体" w:hAnsi="宋体" w:eastAsia="宋体" w:cs="宋体"/>
          <w:b w:val="0"/>
          <w:color w:val="auto"/>
          <w:kern w:val="0"/>
          <w:sz w:val="21"/>
          <w:szCs w:val="21"/>
          <w:highlight w:val="none"/>
        </w:rPr>
      </w:pPr>
      <w:bookmarkStart w:id="502" w:name="_Toc27105"/>
      <w:bookmarkStart w:id="503" w:name="_Toc30894"/>
      <w:bookmarkStart w:id="504" w:name="_Toc30618"/>
      <w:bookmarkStart w:id="505" w:name="_Toc24301"/>
      <w:bookmarkStart w:id="506" w:name="_Toc28396"/>
      <w:bookmarkStart w:id="507" w:name="_Toc30543"/>
      <w:bookmarkStart w:id="508" w:name="_Toc29538"/>
      <w:bookmarkStart w:id="509" w:name="_Toc19889"/>
      <w:bookmarkStart w:id="510" w:name="_Toc26015"/>
      <w:bookmarkStart w:id="511" w:name="_Toc19286"/>
      <w:r>
        <w:rPr>
          <w:rFonts w:hint="eastAsia" w:ascii="宋体" w:hAnsi="宋体" w:eastAsia="宋体" w:cs="宋体"/>
          <w:b w:val="0"/>
          <w:color w:val="auto"/>
          <w:kern w:val="0"/>
          <w:sz w:val="21"/>
          <w:szCs w:val="21"/>
          <w:highlight w:val="none"/>
          <w:lang w:val="en-US" w:eastAsia="zh-CN"/>
        </w:rPr>
        <w:t>4</w:t>
      </w:r>
      <w:r>
        <w:rPr>
          <w:rFonts w:hint="eastAsia" w:ascii="宋体" w:hAnsi="宋体" w:eastAsia="宋体" w:cs="宋体"/>
          <w:b w:val="0"/>
          <w:color w:val="auto"/>
          <w:kern w:val="0"/>
          <w:sz w:val="21"/>
          <w:szCs w:val="21"/>
          <w:highlight w:val="none"/>
        </w:rPr>
        <w:t>.工程内容：</w:t>
      </w:r>
      <w:r>
        <w:rPr>
          <w:rFonts w:hint="eastAsia" w:ascii="宋体" w:hAnsi="宋体" w:eastAsia="宋体" w:cs="宋体"/>
          <w:b w:val="0"/>
          <w:color w:val="auto"/>
          <w:kern w:val="0"/>
          <w:sz w:val="21"/>
          <w:szCs w:val="21"/>
          <w:highlight w:val="none"/>
          <w:u w:val="single"/>
          <w:lang w:val="en-US" w:eastAsia="zh-CN"/>
        </w:rPr>
        <w:t xml:space="preserve">                       </w:t>
      </w:r>
      <w:r>
        <w:rPr>
          <w:rFonts w:hint="eastAsia" w:ascii="宋体" w:hAnsi="宋体" w:eastAsia="宋体" w:cs="宋体"/>
          <w:b w:val="0"/>
          <w:color w:val="auto"/>
          <w:kern w:val="0"/>
          <w:sz w:val="21"/>
          <w:szCs w:val="21"/>
          <w:highlight w:val="none"/>
        </w:rPr>
        <w:t>。</w:t>
      </w:r>
      <w:bookmarkEnd w:id="502"/>
      <w:bookmarkEnd w:id="503"/>
      <w:bookmarkEnd w:id="504"/>
      <w:bookmarkEnd w:id="505"/>
      <w:bookmarkEnd w:id="506"/>
      <w:bookmarkEnd w:id="507"/>
      <w:bookmarkEnd w:id="508"/>
      <w:bookmarkEnd w:id="509"/>
      <w:bookmarkEnd w:id="510"/>
      <w:bookmarkEnd w:id="511"/>
    </w:p>
    <w:p w14:paraId="29BE8F5F">
      <w:pPr>
        <w:pStyle w:val="3"/>
        <w:spacing w:before="0" w:after="0" w:line="500" w:lineRule="exact"/>
        <w:ind w:left="0" w:leftChars="0" w:firstLine="0" w:firstLineChars="0"/>
        <w:jc w:val="left"/>
        <w:rPr>
          <w:rFonts w:hint="eastAsia" w:ascii="宋体" w:hAnsi="宋体" w:eastAsia="宋体" w:cs="宋体"/>
          <w:b w:val="0"/>
          <w:color w:val="auto"/>
          <w:kern w:val="0"/>
          <w:sz w:val="21"/>
          <w:szCs w:val="21"/>
          <w:highlight w:val="none"/>
        </w:rPr>
      </w:pPr>
      <w:bookmarkStart w:id="512" w:name="_Toc24147"/>
      <w:bookmarkStart w:id="513" w:name="_Toc15692"/>
      <w:bookmarkStart w:id="514" w:name="_Toc27296"/>
      <w:bookmarkStart w:id="515" w:name="_Toc5428"/>
      <w:bookmarkStart w:id="516" w:name="_Toc3788"/>
      <w:bookmarkStart w:id="517" w:name="_Toc31934"/>
      <w:bookmarkStart w:id="518" w:name="_Toc25202"/>
      <w:bookmarkStart w:id="519" w:name="_Toc20574"/>
      <w:bookmarkStart w:id="520" w:name="_Toc22014"/>
      <w:bookmarkStart w:id="521" w:name="_Toc26386"/>
      <w:r>
        <w:rPr>
          <w:rFonts w:hint="eastAsia" w:ascii="宋体" w:hAnsi="宋体" w:eastAsia="宋体" w:cs="宋体"/>
          <w:b w:val="0"/>
          <w:color w:val="auto"/>
          <w:kern w:val="0"/>
          <w:sz w:val="21"/>
          <w:szCs w:val="21"/>
          <w:highlight w:val="none"/>
          <w:lang w:val="en-US" w:eastAsia="zh-CN"/>
        </w:rPr>
        <w:t>5</w:t>
      </w:r>
      <w:r>
        <w:rPr>
          <w:rFonts w:hint="eastAsia" w:ascii="宋体" w:hAnsi="宋体" w:eastAsia="宋体" w:cs="宋体"/>
          <w:b w:val="0"/>
          <w:color w:val="auto"/>
          <w:kern w:val="0"/>
          <w:sz w:val="21"/>
          <w:szCs w:val="21"/>
          <w:highlight w:val="none"/>
        </w:rPr>
        <w:t>.工程承包范围：</w:t>
      </w:r>
      <w:r>
        <w:rPr>
          <w:rFonts w:hint="eastAsia" w:ascii="宋体" w:hAnsi="宋体" w:eastAsia="宋体" w:cs="宋体"/>
          <w:b w:val="0"/>
          <w:color w:val="auto"/>
          <w:kern w:val="0"/>
          <w:sz w:val="21"/>
          <w:szCs w:val="21"/>
          <w:highlight w:val="none"/>
          <w:u w:val="single"/>
          <w:lang w:val="en-US" w:eastAsia="zh-CN"/>
        </w:rPr>
        <w:t xml:space="preserve">                     </w:t>
      </w:r>
      <w:r>
        <w:rPr>
          <w:rFonts w:hint="eastAsia" w:ascii="宋体" w:hAnsi="宋体" w:eastAsia="宋体" w:cs="宋体"/>
          <w:b w:val="0"/>
          <w:color w:val="auto"/>
          <w:kern w:val="0"/>
          <w:sz w:val="21"/>
          <w:szCs w:val="21"/>
          <w:highlight w:val="none"/>
        </w:rPr>
        <w:t xml:space="preserve"> 。</w:t>
      </w:r>
      <w:bookmarkEnd w:id="512"/>
      <w:bookmarkEnd w:id="513"/>
      <w:bookmarkEnd w:id="514"/>
      <w:bookmarkEnd w:id="515"/>
      <w:bookmarkEnd w:id="516"/>
      <w:bookmarkEnd w:id="517"/>
      <w:bookmarkEnd w:id="518"/>
      <w:bookmarkEnd w:id="519"/>
      <w:bookmarkEnd w:id="520"/>
      <w:bookmarkEnd w:id="521"/>
    </w:p>
    <w:p w14:paraId="2C8DADF0">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二、合同工期</w:t>
      </w:r>
    </w:p>
    <w:p w14:paraId="5AE39D6B">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承包人</w:t>
      </w:r>
      <w:r>
        <w:rPr>
          <w:rFonts w:hint="eastAsia" w:ascii="宋体" w:hAnsi="宋体" w:eastAsia="宋体" w:cs="宋体"/>
          <w:b w:val="0"/>
          <w:color w:val="auto"/>
          <w:kern w:val="0"/>
          <w:sz w:val="22"/>
          <w:szCs w:val="22"/>
          <w:highlight w:val="none"/>
          <w:lang w:eastAsia="zh-CN"/>
        </w:rPr>
        <w:t>比选</w:t>
      </w:r>
      <w:r>
        <w:rPr>
          <w:rFonts w:hint="eastAsia" w:ascii="宋体" w:hAnsi="宋体" w:eastAsia="宋体" w:cs="宋体"/>
          <w:b w:val="0"/>
          <w:color w:val="auto"/>
          <w:kern w:val="0"/>
          <w:sz w:val="22"/>
          <w:szCs w:val="22"/>
          <w:highlight w:val="none"/>
        </w:rPr>
        <w:t>函中承诺的工期：</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日历天。</w:t>
      </w:r>
    </w:p>
    <w:p w14:paraId="1F2BE8FA">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计划开工日期：</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年</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月</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日，实际开工日期以监理工程师签发的工程开工通知明确的开工日期为准。</w:t>
      </w:r>
    </w:p>
    <w:p w14:paraId="05D6B66A">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计划竣工日期：</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年</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月</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日，实际竣工日期以工程竣工验收合格之日为准。</w:t>
      </w:r>
    </w:p>
    <w:p w14:paraId="0FD3C2FD">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工期总日历天数</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天。工期总日历天数与根据前述计划开竣工日期计算的工期天数不一致的，以工期总日历天数为准。</w:t>
      </w:r>
    </w:p>
    <w:p w14:paraId="512C47F7">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三、质量标准</w:t>
      </w:r>
    </w:p>
    <w:p w14:paraId="0039569A">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lang w:val="en-US" w:eastAsia="zh-CN"/>
        </w:rPr>
        <w:t xml:space="preserve"> </w:t>
      </w:r>
      <w:r>
        <w:rPr>
          <w:rFonts w:hint="eastAsia" w:ascii="宋体" w:hAnsi="宋体" w:eastAsia="宋体" w:cs="宋体"/>
          <w:b w:val="0"/>
          <w:color w:val="auto"/>
          <w:kern w:val="0"/>
          <w:sz w:val="22"/>
          <w:szCs w:val="22"/>
          <w:highlight w:val="none"/>
        </w:rPr>
        <w:t>工程质量符合强制性质量标准，符合国家和重庆市现行有关施工质量验收规范要求，并达到</w:t>
      </w:r>
    </w:p>
    <w:p w14:paraId="37D93736">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合格标准。</w:t>
      </w:r>
    </w:p>
    <w:p w14:paraId="2A573B30">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四、签约合同价与合同价格形式</w:t>
      </w:r>
    </w:p>
    <w:p w14:paraId="4C7B2488">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1.承包人</w:t>
      </w:r>
      <w:r>
        <w:rPr>
          <w:rFonts w:hint="eastAsia" w:ascii="宋体" w:hAnsi="宋体" w:eastAsia="宋体" w:cs="宋体"/>
          <w:b w:val="0"/>
          <w:color w:val="auto"/>
          <w:kern w:val="0"/>
          <w:sz w:val="22"/>
          <w:szCs w:val="22"/>
          <w:highlight w:val="none"/>
          <w:lang w:eastAsia="zh-CN"/>
        </w:rPr>
        <w:t>比选</w:t>
      </w:r>
      <w:r>
        <w:rPr>
          <w:rFonts w:hint="eastAsia" w:ascii="宋体" w:hAnsi="宋体" w:eastAsia="宋体" w:cs="宋体"/>
          <w:b w:val="0"/>
          <w:color w:val="auto"/>
          <w:kern w:val="0"/>
          <w:sz w:val="22"/>
          <w:szCs w:val="22"/>
          <w:highlight w:val="none"/>
        </w:rPr>
        <w:t>函中承诺的</w:t>
      </w:r>
      <w:r>
        <w:rPr>
          <w:rFonts w:hint="eastAsia" w:ascii="宋体" w:hAnsi="宋体" w:eastAsia="宋体" w:cs="宋体"/>
          <w:b w:val="0"/>
          <w:color w:val="auto"/>
          <w:kern w:val="0"/>
          <w:sz w:val="22"/>
          <w:szCs w:val="22"/>
          <w:highlight w:val="none"/>
          <w:lang w:eastAsia="zh-CN"/>
        </w:rPr>
        <w:t>中选</w:t>
      </w:r>
      <w:r>
        <w:rPr>
          <w:rFonts w:hint="eastAsia" w:ascii="宋体" w:hAnsi="宋体" w:eastAsia="宋体" w:cs="宋体"/>
          <w:b w:val="0"/>
          <w:color w:val="auto"/>
          <w:kern w:val="0"/>
          <w:sz w:val="22"/>
          <w:szCs w:val="22"/>
          <w:highlight w:val="none"/>
        </w:rPr>
        <w:t>价为：</w:t>
      </w:r>
    </w:p>
    <w:p w14:paraId="74B930A5">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人民币（大写）</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 xml:space="preserve"> （¥ </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元）；</w:t>
      </w:r>
    </w:p>
    <w:p w14:paraId="4C4D980C">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2.签约合同价为：</w:t>
      </w:r>
    </w:p>
    <w:p w14:paraId="3642D495">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人民币（大写）</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 xml:space="preserve"> （¥ </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元）；</w:t>
      </w:r>
    </w:p>
    <w:p w14:paraId="21735236">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其中：</w:t>
      </w:r>
    </w:p>
    <w:p w14:paraId="2894C881">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（1）安全</w:t>
      </w:r>
      <w:r>
        <w:rPr>
          <w:rFonts w:hint="eastAsia" w:ascii="宋体" w:hAnsi="宋体" w:eastAsia="宋体" w:cs="宋体"/>
          <w:b w:val="0"/>
          <w:color w:val="auto"/>
          <w:kern w:val="0"/>
          <w:sz w:val="22"/>
          <w:szCs w:val="22"/>
          <w:highlight w:val="none"/>
          <w:lang w:val="en-US" w:eastAsia="zh-CN"/>
        </w:rPr>
        <w:t>生产</w:t>
      </w:r>
      <w:r>
        <w:rPr>
          <w:rFonts w:hint="eastAsia" w:ascii="宋体" w:hAnsi="宋体" w:eastAsia="宋体" w:cs="宋体"/>
          <w:b w:val="0"/>
          <w:color w:val="auto"/>
          <w:kern w:val="0"/>
          <w:sz w:val="22"/>
          <w:szCs w:val="22"/>
          <w:highlight w:val="none"/>
        </w:rPr>
        <w:t>费：</w:t>
      </w:r>
    </w:p>
    <w:p w14:paraId="7B483458">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人民币（大写）</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 xml:space="preserve">（¥ </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元）；</w:t>
      </w:r>
    </w:p>
    <w:p w14:paraId="7AACAD61">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（2）材料和工程设备暂估价金额：</w:t>
      </w:r>
    </w:p>
    <w:p w14:paraId="6BFB0039">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人民币（大写）</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 xml:space="preserve"> 元）；</w:t>
      </w:r>
    </w:p>
    <w:p w14:paraId="4C549908">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（3）专业工程暂估价金额：</w:t>
      </w:r>
    </w:p>
    <w:p w14:paraId="139864B6">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人民币（大写）</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 xml:space="preserve">（¥ </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元）；</w:t>
      </w:r>
    </w:p>
    <w:p w14:paraId="33E6CBEB">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（4）暂列金额：</w:t>
      </w:r>
    </w:p>
    <w:p w14:paraId="4D697C7C">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人民币（大写）</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 xml:space="preserve">（¥ </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元）。</w:t>
      </w:r>
    </w:p>
    <w:p w14:paraId="3C6B3AB5">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（5）人工费（工资款）</w:t>
      </w:r>
    </w:p>
    <w:p w14:paraId="29222DF1">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该项目实行人工费（工资款）与其他工程款分账管理，发包人将应付工程款中的人工费（工资款），以不低于已完成合同价款的</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，农民工工资单独支付至承包人设立的农民工工资专用账户。</w:t>
      </w:r>
    </w:p>
    <w:p w14:paraId="074211FA">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3.合同价格形式：</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w:t>
      </w:r>
    </w:p>
    <w:p w14:paraId="6304A304">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lang w:eastAsia="zh-CN"/>
        </w:rPr>
      </w:pPr>
      <w:r>
        <w:rPr>
          <w:rFonts w:hint="eastAsia" w:ascii="宋体" w:hAnsi="宋体" w:eastAsia="宋体" w:cs="宋体"/>
          <w:b w:val="0"/>
          <w:color w:val="auto"/>
          <w:kern w:val="0"/>
          <w:sz w:val="22"/>
          <w:szCs w:val="22"/>
          <w:highlight w:val="none"/>
        </w:rPr>
        <w:t>五、项目经理及</w:t>
      </w:r>
      <w:r>
        <w:rPr>
          <w:rFonts w:hint="eastAsia" w:ascii="宋体" w:hAnsi="宋体" w:eastAsia="宋体" w:cs="宋体"/>
          <w:b w:val="0"/>
          <w:color w:val="auto"/>
          <w:kern w:val="0"/>
          <w:sz w:val="22"/>
          <w:szCs w:val="22"/>
          <w:highlight w:val="none"/>
          <w:lang w:eastAsia="zh-CN"/>
        </w:rPr>
        <w:t>项目总工</w:t>
      </w:r>
    </w:p>
    <w:p w14:paraId="4069BF02">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承包人</w:t>
      </w:r>
      <w:r>
        <w:rPr>
          <w:rFonts w:hint="eastAsia" w:ascii="宋体" w:hAnsi="宋体" w:eastAsia="宋体" w:cs="宋体"/>
          <w:b w:val="0"/>
          <w:color w:val="auto"/>
          <w:kern w:val="0"/>
          <w:sz w:val="22"/>
          <w:szCs w:val="22"/>
          <w:highlight w:val="none"/>
          <w:lang w:eastAsia="zh-CN"/>
        </w:rPr>
        <w:t>比选申请文件</w:t>
      </w:r>
      <w:r>
        <w:rPr>
          <w:rFonts w:hint="eastAsia" w:ascii="宋体" w:hAnsi="宋体" w:eastAsia="宋体" w:cs="宋体"/>
          <w:b w:val="0"/>
          <w:color w:val="auto"/>
          <w:kern w:val="0"/>
          <w:sz w:val="22"/>
          <w:szCs w:val="22"/>
          <w:highlight w:val="none"/>
        </w:rPr>
        <w:t>中承诺的项目经理：</w:t>
      </w:r>
    </w:p>
    <w:p w14:paraId="59A2F016">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姓</w:t>
      </w:r>
      <w:r>
        <w:rPr>
          <w:rFonts w:hint="eastAsia" w:ascii="宋体" w:hAnsi="宋体" w:eastAsia="宋体" w:cs="宋体"/>
          <w:b w:val="0"/>
          <w:color w:val="auto"/>
          <w:kern w:val="0"/>
          <w:sz w:val="22"/>
          <w:szCs w:val="22"/>
          <w:highlight w:val="none"/>
          <w:lang w:val="en-US" w:eastAsia="zh-CN"/>
        </w:rPr>
        <w:t xml:space="preserve">      </w:t>
      </w:r>
      <w:r>
        <w:rPr>
          <w:rFonts w:hint="eastAsia" w:ascii="宋体" w:hAnsi="宋体" w:eastAsia="宋体" w:cs="宋体"/>
          <w:b w:val="0"/>
          <w:color w:val="auto"/>
          <w:kern w:val="0"/>
          <w:sz w:val="22"/>
          <w:szCs w:val="22"/>
          <w:highlight w:val="none"/>
        </w:rPr>
        <w:t>名：</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w:t>
      </w:r>
    </w:p>
    <w:p w14:paraId="5676D629">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身份证号码：</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 xml:space="preserve"> ，</w:t>
      </w:r>
    </w:p>
    <w:p w14:paraId="693F17AD">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建造师注册证书号：</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 xml:space="preserve"> 。</w:t>
      </w:r>
    </w:p>
    <w:p w14:paraId="2BE99200">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承包人</w:t>
      </w:r>
      <w:r>
        <w:rPr>
          <w:rFonts w:hint="eastAsia" w:ascii="宋体" w:hAnsi="宋体" w:eastAsia="宋体" w:cs="宋体"/>
          <w:b w:val="0"/>
          <w:color w:val="auto"/>
          <w:kern w:val="0"/>
          <w:sz w:val="22"/>
          <w:szCs w:val="22"/>
          <w:highlight w:val="none"/>
          <w:lang w:eastAsia="zh-CN"/>
        </w:rPr>
        <w:t>比选申请文件</w:t>
      </w:r>
      <w:r>
        <w:rPr>
          <w:rFonts w:hint="eastAsia" w:ascii="宋体" w:hAnsi="宋体" w:eastAsia="宋体" w:cs="宋体"/>
          <w:b w:val="0"/>
          <w:color w:val="auto"/>
          <w:kern w:val="0"/>
          <w:sz w:val="22"/>
          <w:szCs w:val="22"/>
          <w:highlight w:val="none"/>
        </w:rPr>
        <w:t>中承诺的</w:t>
      </w:r>
      <w:r>
        <w:rPr>
          <w:rFonts w:hint="eastAsia" w:ascii="宋体" w:hAnsi="宋体" w:eastAsia="宋体" w:cs="宋体"/>
          <w:b w:val="0"/>
          <w:color w:val="auto"/>
          <w:kern w:val="0"/>
          <w:sz w:val="22"/>
          <w:szCs w:val="22"/>
          <w:highlight w:val="none"/>
          <w:lang w:eastAsia="zh-CN"/>
        </w:rPr>
        <w:t>项目总工</w:t>
      </w:r>
      <w:r>
        <w:rPr>
          <w:rFonts w:hint="eastAsia" w:ascii="宋体" w:hAnsi="宋体" w:eastAsia="宋体" w:cs="宋体"/>
          <w:b w:val="0"/>
          <w:color w:val="auto"/>
          <w:kern w:val="0"/>
          <w:sz w:val="22"/>
          <w:szCs w:val="22"/>
          <w:highlight w:val="none"/>
        </w:rPr>
        <w:t>：</w:t>
      </w:r>
    </w:p>
    <w:p w14:paraId="1E555F31">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姓</w:t>
      </w:r>
      <w:r>
        <w:rPr>
          <w:rFonts w:hint="eastAsia" w:ascii="宋体" w:hAnsi="宋体" w:eastAsia="宋体" w:cs="宋体"/>
          <w:b w:val="0"/>
          <w:color w:val="auto"/>
          <w:kern w:val="0"/>
          <w:sz w:val="22"/>
          <w:szCs w:val="22"/>
          <w:highlight w:val="none"/>
          <w:lang w:val="en-US" w:eastAsia="zh-CN"/>
        </w:rPr>
        <w:t xml:space="preserve">      </w:t>
      </w:r>
      <w:r>
        <w:rPr>
          <w:rFonts w:hint="eastAsia" w:ascii="宋体" w:hAnsi="宋体" w:eastAsia="宋体" w:cs="宋体"/>
          <w:b w:val="0"/>
          <w:color w:val="auto"/>
          <w:kern w:val="0"/>
          <w:sz w:val="22"/>
          <w:szCs w:val="22"/>
          <w:highlight w:val="none"/>
        </w:rPr>
        <w:t>名：</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 xml:space="preserve"> ，</w:t>
      </w:r>
    </w:p>
    <w:p w14:paraId="06C7F7AC">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身份证号码：</w:t>
      </w:r>
      <w:r>
        <w:rPr>
          <w:rFonts w:hint="eastAsia" w:ascii="宋体" w:hAnsi="宋体" w:eastAsia="宋体" w:cs="宋体"/>
          <w:b w:val="0"/>
          <w:color w:val="auto"/>
          <w:kern w:val="0"/>
          <w:sz w:val="22"/>
          <w:szCs w:val="22"/>
          <w:highlight w:val="none"/>
          <w:u w:val="single"/>
        </w:rPr>
        <w:t xml:space="preserve"> </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w:t>
      </w:r>
    </w:p>
    <w:p w14:paraId="410CD41C">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证书名称及号码：</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 xml:space="preserve"> 。</w:t>
      </w:r>
    </w:p>
    <w:p w14:paraId="5CAFCCF8">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六、合同文件构成</w:t>
      </w:r>
    </w:p>
    <w:p w14:paraId="31E62995">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合同由以下文件构成：</w:t>
      </w:r>
    </w:p>
    <w:p w14:paraId="3F3B8DA5">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（1）合同协议书；</w:t>
      </w:r>
    </w:p>
    <w:p w14:paraId="6CC60E5F">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（2）</w:t>
      </w:r>
      <w:r>
        <w:rPr>
          <w:rFonts w:hint="eastAsia" w:ascii="宋体" w:hAnsi="宋体" w:eastAsia="宋体" w:cs="宋体"/>
          <w:b w:val="0"/>
          <w:color w:val="auto"/>
          <w:kern w:val="0"/>
          <w:sz w:val="22"/>
          <w:szCs w:val="22"/>
          <w:highlight w:val="none"/>
          <w:lang w:eastAsia="zh-CN"/>
        </w:rPr>
        <w:t>中选通知书</w:t>
      </w:r>
      <w:r>
        <w:rPr>
          <w:rFonts w:hint="eastAsia" w:ascii="宋体" w:hAnsi="宋体" w:eastAsia="宋体" w:cs="宋体"/>
          <w:b w:val="0"/>
          <w:color w:val="auto"/>
          <w:kern w:val="0"/>
          <w:sz w:val="22"/>
          <w:szCs w:val="22"/>
          <w:highlight w:val="none"/>
        </w:rPr>
        <w:t>；</w:t>
      </w:r>
    </w:p>
    <w:p w14:paraId="74427C58">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（3）</w:t>
      </w:r>
      <w:r>
        <w:rPr>
          <w:rFonts w:hint="eastAsia" w:ascii="宋体" w:hAnsi="宋体" w:eastAsia="宋体" w:cs="宋体"/>
          <w:b w:val="0"/>
          <w:color w:val="auto"/>
          <w:kern w:val="0"/>
          <w:sz w:val="22"/>
          <w:szCs w:val="22"/>
          <w:highlight w:val="none"/>
          <w:lang w:eastAsia="zh-CN"/>
        </w:rPr>
        <w:t>比选</w:t>
      </w:r>
      <w:r>
        <w:rPr>
          <w:rFonts w:hint="eastAsia" w:ascii="宋体" w:hAnsi="宋体" w:eastAsia="宋体" w:cs="宋体"/>
          <w:b w:val="0"/>
          <w:color w:val="auto"/>
          <w:kern w:val="0"/>
          <w:sz w:val="22"/>
          <w:szCs w:val="22"/>
          <w:highlight w:val="none"/>
        </w:rPr>
        <w:t>函及</w:t>
      </w:r>
      <w:r>
        <w:rPr>
          <w:rFonts w:hint="eastAsia" w:ascii="宋体" w:hAnsi="宋体" w:eastAsia="宋体" w:cs="宋体"/>
          <w:b w:val="0"/>
          <w:color w:val="auto"/>
          <w:kern w:val="0"/>
          <w:sz w:val="22"/>
          <w:szCs w:val="22"/>
          <w:highlight w:val="none"/>
          <w:lang w:eastAsia="zh-CN"/>
        </w:rPr>
        <w:t>比选</w:t>
      </w:r>
      <w:r>
        <w:rPr>
          <w:rFonts w:hint="eastAsia" w:ascii="宋体" w:hAnsi="宋体" w:eastAsia="宋体" w:cs="宋体"/>
          <w:b w:val="0"/>
          <w:color w:val="auto"/>
          <w:kern w:val="0"/>
          <w:sz w:val="22"/>
          <w:szCs w:val="22"/>
          <w:highlight w:val="none"/>
        </w:rPr>
        <w:t>函附录；</w:t>
      </w:r>
    </w:p>
    <w:p w14:paraId="30D02648">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（4）专用合同条款及其附件；</w:t>
      </w:r>
    </w:p>
    <w:p w14:paraId="008BE822">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（5）通用合同条款；</w:t>
      </w:r>
    </w:p>
    <w:p w14:paraId="5EAAE89B">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（6）</w:t>
      </w:r>
      <w:r>
        <w:rPr>
          <w:rFonts w:hint="eastAsia" w:ascii="宋体" w:hAnsi="宋体" w:eastAsia="宋体" w:cs="宋体"/>
          <w:b w:val="0"/>
          <w:color w:val="auto"/>
          <w:kern w:val="0"/>
          <w:sz w:val="22"/>
          <w:szCs w:val="22"/>
          <w:highlight w:val="none"/>
          <w:lang w:eastAsia="zh-CN"/>
        </w:rPr>
        <w:t>比选申请文件</w:t>
      </w:r>
      <w:r>
        <w:rPr>
          <w:rFonts w:hint="eastAsia" w:ascii="宋体" w:hAnsi="宋体" w:eastAsia="宋体" w:cs="宋体"/>
          <w:b w:val="0"/>
          <w:color w:val="auto"/>
          <w:kern w:val="0"/>
          <w:sz w:val="22"/>
          <w:szCs w:val="22"/>
          <w:highlight w:val="none"/>
        </w:rPr>
        <w:t>（</w:t>
      </w:r>
      <w:r>
        <w:rPr>
          <w:rFonts w:hint="eastAsia" w:ascii="宋体" w:hAnsi="宋体" w:eastAsia="宋体" w:cs="宋体"/>
          <w:b w:val="0"/>
          <w:color w:val="auto"/>
          <w:kern w:val="0"/>
          <w:sz w:val="22"/>
          <w:szCs w:val="22"/>
          <w:highlight w:val="none"/>
          <w:lang w:eastAsia="zh-CN"/>
        </w:rPr>
        <w:t>比选</w:t>
      </w:r>
      <w:r>
        <w:rPr>
          <w:rFonts w:hint="eastAsia" w:ascii="宋体" w:hAnsi="宋体" w:eastAsia="宋体" w:cs="宋体"/>
          <w:b w:val="0"/>
          <w:color w:val="auto"/>
          <w:kern w:val="0"/>
          <w:sz w:val="22"/>
          <w:szCs w:val="22"/>
          <w:highlight w:val="none"/>
        </w:rPr>
        <w:t>函及</w:t>
      </w:r>
      <w:r>
        <w:rPr>
          <w:rFonts w:hint="eastAsia" w:ascii="宋体" w:hAnsi="宋体" w:eastAsia="宋体" w:cs="宋体"/>
          <w:b w:val="0"/>
          <w:color w:val="auto"/>
          <w:kern w:val="0"/>
          <w:sz w:val="22"/>
          <w:szCs w:val="22"/>
          <w:highlight w:val="none"/>
          <w:lang w:eastAsia="zh-CN"/>
        </w:rPr>
        <w:t>比选</w:t>
      </w:r>
      <w:r>
        <w:rPr>
          <w:rFonts w:hint="eastAsia" w:ascii="宋体" w:hAnsi="宋体" w:eastAsia="宋体" w:cs="宋体"/>
          <w:b w:val="0"/>
          <w:color w:val="auto"/>
          <w:kern w:val="0"/>
          <w:sz w:val="22"/>
          <w:szCs w:val="22"/>
          <w:highlight w:val="none"/>
        </w:rPr>
        <w:t>函附录除外）；</w:t>
      </w:r>
    </w:p>
    <w:p w14:paraId="5DAB7DE7">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（7）</w:t>
      </w:r>
      <w:r>
        <w:rPr>
          <w:rFonts w:hint="eastAsia" w:ascii="宋体" w:hAnsi="宋体" w:eastAsia="宋体" w:cs="宋体"/>
          <w:b w:val="0"/>
          <w:color w:val="auto"/>
          <w:kern w:val="0"/>
          <w:sz w:val="22"/>
          <w:szCs w:val="22"/>
          <w:highlight w:val="none"/>
          <w:lang w:eastAsia="zh-CN"/>
        </w:rPr>
        <w:t>比选文件</w:t>
      </w:r>
      <w:r>
        <w:rPr>
          <w:rFonts w:hint="eastAsia" w:ascii="宋体" w:hAnsi="宋体" w:eastAsia="宋体" w:cs="宋体"/>
          <w:b w:val="0"/>
          <w:color w:val="auto"/>
          <w:kern w:val="0"/>
          <w:sz w:val="22"/>
          <w:szCs w:val="22"/>
          <w:highlight w:val="none"/>
        </w:rPr>
        <w:t>及修改文件；</w:t>
      </w:r>
    </w:p>
    <w:p w14:paraId="5B72DA60">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（8）技术标准和要求；</w:t>
      </w:r>
    </w:p>
    <w:p w14:paraId="56F4AA78">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（9）图纸；</w:t>
      </w:r>
    </w:p>
    <w:p w14:paraId="0B52C395">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（10）其他合同文件。</w:t>
      </w:r>
    </w:p>
    <w:p w14:paraId="0E0436D9">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在合同订立、履行过程中形成的与合同有关的书面形式的文件均构成合同文件组成部分。</w:t>
      </w:r>
    </w:p>
    <w:p w14:paraId="29CDB4C5">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上述各项合同文件包括合同当事人就该项合同文件所作出的补充和修改，属于同一类内容的文件，应以最新签署的为准。专用合同条款及其附件须经合同当事人签名或盖章。</w:t>
      </w:r>
    </w:p>
    <w:p w14:paraId="06067309">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七、承诺</w:t>
      </w:r>
    </w:p>
    <w:p w14:paraId="09F342D3">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1.发包人承诺按照法律规定履行项目审批手续、筹集工程建设资金并按照合同约定的期限和方式支付合同价款。</w:t>
      </w:r>
    </w:p>
    <w:p w14:paraId="381EF369">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lang w:val="en-US" w:eastAsia="zh-CN"/>
        </w:rPr>
        <w:t>2.</w:t>
      </w:r>
      <w:r>
        <w:rPr>
          <w:rFonts w:hint="eastAsia" w:ascii="宋体" w:hAnsi="宋体" w:eastAsia="宋体" w:cs="宋体"/>
          <w:b w:val="0"/>
          <w:color w:val="auto"/>
          <w:kern w:val="0"/>
          <w:sz w:val="22"/>
          <w:szCs w:val="22"/>
          <w:highlight w:val="none"/>
        </w:rPr>
        <w:t>承包人承诺按照法律规定及合同约定组织完成工程施工，确保工程质量和安全，不进行转包及违法分包，并在缺陷责任期及保修期内承担相应的工程维修责任。</w:t>
      </w:r>
    </w:p>
    <w:p w14:paraId="534ACF87">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lang w:val="en-US" w:eastAsia="zh-CN"/>
        </w:rPr>
        <w:t>3.</w:t>
      </w:r>
      <w:r>
        <w:rPr>
          <w:rFonts w:hint="eastAsia" w:ascii="宋体" w:hAnsi="宋体" w:eastAsia="宋体" w:cs="宋体"/>
          <w:b w:val="0"/>
          <w:color w:val="auto"/>
          <w:kern w:val="0"/>
          <w:sz w:val="22"/>
          <w:szCs w:val="22"/>
          <w:highlight w:val="none"/>
        </w:rPr>
        <w:t>发包人和承包人通过招</w:t>
      </w:r>
      <w:r>
        <w:rPr>
          <w:rFonts w:hint="eastAsia" w:ascii="宋体" w:hAnsi="宋体" w:eastAsia="宋体" w:cs="宋体"/>
          <w:b w:val="0"/>
          <w:color w:val="auto"/>
          <w:kern w:val="0"/>
          <w:sz w:val="22"/>
          <w:szCs w:val="22"/>
          <w:highlight w:val="none"/>
          <w:lang w:eastAsia="zh-CN"/>
        </w:rPr>
        <w:t>比选</w:t>
      </w:r>
      <w:r>
        <w:rPr>
          <w:rFonts w:hint="eastAsia" w:ascii="宋体" w:hAnsi="宋体" w:eastAsia="宋体" w:cs="宋体"/>
          <w:b w:val="0"/>
          <w:color w:val="auto"/>
          <w:kern w:val="0"/>
          <w:sz w:val="22"/>
          <w:szCs w:val="22"/>
          <w:highlight w:val="none"/>
        </w:rPr>
        <w:t>形式签订合同的，双方理解并承诺不再就同一工程另行签订与合同实质性内容相背离的协议。</w:t>
      </w:r>
    </w:p>
    <w:p w14:paraId="2B813CD6">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八、词语含义</w:t>
      </w:r>
    </w:p>
    <w:p w14:paraId="321B2432">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本协议书中词语含义与专用合同条款及通用合同条款中赋予的含义相同。</w:t>
      </w:r>
    </w:p>
    <w:p w14:paraId="156FD45D">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九、签订时间</w:t>
      </w:r>
    </w:p>
    <w:p w14:paraId="361B47BF">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合同于</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 xml:space="preserve"> 年</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月</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 xml:space="preserve"> 日签订</w:t>
      </w:r>
    </w:p>
    <w:p w14:paraId="41396BFE">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十、签订地点</w:t>
      </w:r>
    </w:p>
    <w:p w14:paraId="3DA1D904">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合同在</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签订。</w:t>
      </w:r>
    </w:p>
    <w:p w14:paraId="6311F946">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十一、补充协议</w:t>
      </w:r>
    </w:p>
    <w:p w14:paraId="118DC4E8">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合同未尽事宜，合同当事人另行签订补充协议，补充协议是合同的组成部分。</w:t>
      </w:r>
    </w:p>
    <w:p w14:paraId="38478376">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十二、合同生效</w:t>
      </w:r>
    </w:p>
    <w:p w14:paraId="4F44FD19">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合同在以下条件全部满足之后生效：</w:t>
      </w:r>
    </w:p>
    <w:p w14:paraId="2E4736DF">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1.合同经双方法定代表人或其委托代理人签名并加盖单位公章或合同专用章；</w:t>
      </w:r>
    </w:p>
    <w:p w14:paraId="02252489">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2.采用保函形式递交履约担保的，承包人按合同约定向发包人提交履约担保后；</w:t>
      </w:r>
    </w:p>
    <w:p w14:paraId="57B62A9C">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 xml:space="preserve">3. </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w:t>
      </w:r>
    </w:p>
    <w:p w14:paraId="65F21345">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十三、合同份数</w:t>
      </w:r>
    </w:p>
    <w:p w14:paraId="23B43FED">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合同一式</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份，其中正本</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份，双方各持</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 xml:space="preserve"> 份，副本</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 xml:space="preserve">份，双方各执 </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份。</w:t>
      </w:r>
    </w:p>
    <w:p w14:paraId="564C80B2">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副本与正本不一致时，以正本为准。</w:t>
      </w:r>
    </w:p>
    <w:p w14:paraId="43E5C9FE">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（以下为签名盖章页）。</w:t>
      </w:r>
    </w:p>
    <w:p w14:paraId="439A9FCE">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发包人：</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（盖单位公章或合同专用章）</w:t>
      </w:r>
    </w:p>
    <w:p w14:paraId="0E20FA32">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法定代表人或其委托代理人：</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 xml:space="preserve"> （签名）</w:t>
      </w:r>
    </w:p>
    <w:p w14:paraId="61D30BF9">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统一社会信用代码：</w:t>
      </w:r>
      <w:r>
        <w:rPr>
          <w:rFonts w:hint="eastAsia" w:ascii="宋体" w:hAnsi="宋体" w:eastAsia="宋体" w:cs="宋体"/>
          <w:b w:val="0"/>
          <w:color w:val="auto"/>
          <w:kern w:val="0"/>
          <w:sz w:val="22"/>
          <w:szCs w:val="22"/>
          <w:highlight w:val="none"/>
          <w:u w:val="single"/>
          <w:lang w:val="en-US" w:eastAsia="zh-CN"/>
        </w:rPr>
        <w:t xml:space="preserve">                              </w:t>
      </w:r>
    </w:p>
    <w:p w14:paraId="54206A8C">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纳税人识别号：</w:t>
      </w:r>
      <w:r>
        <w:rPr>
          <w:rFonts w:hint="eastAsia" w:ascii="宋体" w:hAnsi="宋体" w:eastAsia="宋体" w:cs="宋体"/>
          <w:b w:val="0"/>
          <w:color w:val="auto"/>
          <w:kern w:val="0"/>
          <w:sz w:val="22"/>
          <w:szCs w:val="22"/>
          <w:highlight w:val="none"/>
          <w:u w:val="single"/>
          <w:lang w:val="en-US" w:eastAsia="zh-CN"/>
        </w:rPr>
        <w:t xml:space="preserve">                              </w:t>
      </w:r>
    </w:p>
    <w:p w14:paraId="7BABB9FD">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地 址：</w:t>
      </w:r>
      <w:r>
        <w:rPr>
          <w:rFonts w:hint="eastAsia" w:ascii="宋体" w:hAnsi="宋体" w:eastAsia="宋体" w:cs="宋体"/>
          <w:b w:val="0"/>
          <w:color w:val="auto"/>
          <w:kern w:val="0"/>
          <w:sz w:val="22"/>
          <w:szCs w:val="22"/>
          <w:highlight w:val="none"/>
          <w:u w:val="single"/>
          <w:lang w:val="en-US" w:eastAsia="zh-CN"/>
        </w:rPr>
        <w:t xml:space="preserve">                              </w:t>
      </w:r>
    </w:p>
    <w:p w14:paraId="630BC6A3">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电 话：</w:t>
      </w:r>
      <w:r>
        <w:rPr>
          <w:rFonts w:hint="eastAsia" w:ascii="宋体" w:hAnsi="宋体" w:eastAsia="宋体" w:cs="宋体"/>
          <w:b w:val="0"/>
          <w:color w:val="auto"/>
          <w:kern w:val="0"/>
          <w:sz w:val="22"/>
          <w:szCs w:val="22"/>
          <w:highlight w:val="none"/>
          <w:u w:val="single"/>
          <w:lang w:val="en-US" w:eastAsia="zh-CN"/>
        </w:rPr>
        <w:t xml:space="preserve">                              </w:t>
      </w:r>
    </w:p>
    <w:p w14:paraId="563DD99D">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开户银行：</w:t>
      </w:r>
      <w:r>
        <w:rPr>
          <w:rFonts w:hint="eastAsia" w:ascii="宋体" w:hAnsi="宋体" w:eastAsia="宋体" w:cs="宋体"/>
          <w:b w:val="0"/>
          <w:color w:val="auto"/>
          <w:kern w:val="0"/>
          <w:sz w:val="22"/>
          <w:szCs w:val="22"/>
          <w:highlight w:val="none"/>
          <w:u w:val="single"/>
          <w:lang w:val="en-US" w:eastAsia="zh-CN"/>
        </w:rPr>
        <w:t xml:space="preserve">                              </w:t>
      </w:r>
    </w:p>
    <w:p w14:paraId="29FF6CFF">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账 号：</w:t>
      </w:r>
      <w:r>
        <w:rPr>
          <w:rFonts w:hint="eastAsia" w:ascii="宋体" w:hAnsi="宋体" w:eastAsia="宋体" w:cs="宋体"/>
          <w:b w:val="0"/>
          <w:color w:val="auto"/>
          <w:kern w:val="0"/>
          <w:sz w:val="22"/>
          <w:szCs w:val="22"/>
          <w:highlight w:val="none"/>
          <w:u w:val="single"/>
          <w:lang w:val="en-US" w:eastAsia="zh-CN"/>
        </w:rPr>
        <w:t xml:space="preserve">                              </w:t>
      </w:r>
    </w:p>
    <w:p w14:paraId="6686FF2E">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承包人：</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 xml:space="preserve"> （盖单位公章或合同专用章）</w:t>
      </w:r>
    </w:p>
    <w:p w14:paraId="27E77A27">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法定代表人或其委托代理人：</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 xml:space="preserve"> （签名）</w:t>
      </w:r>
    </w:p>
    <w:p w14:paraId="7045FB4E">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统一社会信用代码：</w:t>
      </w:r>
      <w:r>
        <w:rPr>
          <w:rFonts w:hint="eastAsia" w:ascii="宋体" w:hAnsi="宋体" w:eastAsia="宋体" w:cs="宋体"/>
          <w:b w:val="0"/>
          <w:color w:val="auto"/>
          <w:kern w:val="0"/>
          <w:sz w:val="22"/>
          <w:szCs w:val="22"/>
          <w:highlight w:val="none"/>
          <w:u w:val="single"/>
          <w:lang w:val="en-US" w:eastAsia="zh-CN"/>
        </w:rPr>
        <w:t xml:space="preserve">                              </w:t>
      </w:r>
    </w:p>
    <w:p w14:paraId="38C447E3">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纳税人识别号：</w:t>
      </w:r>
      <w:r>
        <w:rPr>
          <w:rFonts w:hint="eastAsia" w:ascii="宋体" w:hAnsi="宋体" w:eastAsia="宋体" w:cs="宋体"/>
          <w:b w:val="0"/>
          <w:color w:val="auto"/>
          <w:kern w:val="0"/>
          <w:sz w:val="22"/>
          <w:szCs w:val="22"/>
          <w:highlight w:val="none"/>
          <w:u w:val="single"/>
          <w:lang w:val="en-US" w:eastAsia="zh-CN"/>
        </w:rPr>
        <w:t xml:space="preserve">                              </w:t>
      </w:r>
    </w:p>
    <w:p w14:paraId="25FAD5CD">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地 址：</w:t>
      </w:r>
      <w:r>
        <w:rPr>
          <w:rFonts w:hint="eastAsia" w:ascii="宋体" w:hAnsi="宋体" w:eastAsia="宋体" w:cs="宋体"/>
          <w:b w:val="0"/>
          <w:color w:val="auto"/>
          <w:kern w:val="0"/>
          <w:sz w:val="22"/>
          <w:szCs w:val="22"/>
          <w:highlight w:val="none"/>
          <w:u w:val="single"/>
          <w:lang w:val="en-US" w:eastAsia="zh-CN"/>
        </w:rPr>
        <w:t xml:space="preserve">                              </w:t>
      </w:r>
    </w:p>
    <w:p w14:paraId="24662411">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电 话：</w:t>
      </w:r>
      <w:r>
        <w:rPr>
          <w:rFonts w:hint="eastAsia" w:ascii="宋体" w:hAnsi="宋体" w:eastAsia="宋体" w:cs="宋体"/>
          <w:b w:val="0"/>
          <w:color w:val="auto"/>
          <w:kern w:val="0"/>
          <w:sz w:val="22"/>
          <w:szCs w:val="22"/>
          <w:highlight w:val="none"/>
          <w:u w:val="single"/>
          <w:lang w:val="en-US" w:eastAsia="zh-CN"/>
        </w:rPr>
        <w:t xml:space="preserve">                              </w:t>
      </w:r>
    </w:p>
    <w:p w14:paraId="05722963">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开户银行：</w:t>
      </w:r>
      <w:r>
        <w:rPr>
          <w:rFonts w:hint="eastAsia" w:ascii="宋体" w:hAnsi="宋体" w:eastAsia="宋体" w:cs="宋体"/>
          <w:b w:val="0"/>
          <w:color w:val="auto"/>
          <w:kern w:val="0"/>
          <w:sz w:val="22"/>
          <w:szCs w:val="22"/>
          <w:highlight w:val="none"/>
          <w:u w:val="single"/>
          <w:lang w:val="en-US" w:eastAsia="zh-CN"/>
        </w:rPr>
        <w:t xml:space="preserve">                              </w:t>
      </w:r>
    </w:p>
    <w:p w14:paraId="5470DE47">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账 号：</w:t>
      </w:r>
      <w:r>
        <w:rPr>
          <w:rFonts w:hint="eastAsia" w:ascii="宋体" w:hAnsi="宋体" w:eastAsia="宋体" w:cs="宋体"/>
          <w:b w:val="0"/>
          <w:color w:val="auto"/>
          <w:kern w:val="0"/>
          <w:sz w:val="22"/>
          <w:szCs w:val="22"/>
          <w:highlight w:val="none"/>
          <w:u w:val="single"/>
          <w:lang w:val="en-US" w:eastAsia="zh-CN"/>
        </w:rPr>
        <w:t xml:space="preserve">                              </w:t>
      </w:r>
    </w:p>
    <w:p w14:paraId="482C802C">
      <w:pPr>
        <w:pStyle w:val="3"/>
        <w:spacing w:before="0" w:after="0" w:line="500" w:lineRule="exact"/>
        <w:ind w:left="0" w:leftChars="0" w:firstLine="0" w:firstLineChars="0"/>
        <w:jc w:val="left"/>
        <w:rPr>
          <w:rFonts w:hint="eastAsia" w:ascii="宋体" w:hAnsi="宋体" w:eastAsia="宋体" w:cs="宋体"/>
          <w:color w:val="auto"/>
          <w:highlight w:val="none"/>
        </w:rPr>
      </w:pPr>
      <w:r>
        <w:rPr>
          <w:rFonts w:hint="eastAsia" w:ascii="宋体" w:hAnsi="宋体" w:eastAsia="宋体" w:cs="宋体"/>
          <w:b w:val="0"/>
          <w:color w:val="auto"/>
          <w:kern w:val="0"/>
          <w:sz w:val="22"/>
          <w:szCs w:val="22"/>
          <w:highlight w:val="none"/>
        </w:rPr>
        <w:t>签约时间：</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年</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 xml:space="preserve">月 </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日</w:t>
      </w:r>
    </w:p>
    <w:p w14:paraId="2154BC1A">
      <w:pPr>
        <w:rPr>
          <w:rFonts w:hint="eastAsia"/>
          <w:color w:val="auto"/>
          <w:highlight w:val="none"/>
        </w:rPr>
      </w:pPr>
    </w:p>
    <w:p w14:paraId="64576F02">
      <w:pPr>
        <w:pStyle w:val="4"/>
        <w:spacing w:before="100" w:after="100" w:line="360" w:lineRule="auto"/>
        <w:jc w:val="center"/>
        <w:rPr>
          <w:rFonts w:hint="eastAsia" w:ascii="宋体" w:hAnsi="宋体" w:eastAsia="宋体" w:cs="宋体"/>
          <w:bCs w:val="0"/>
          <w:snapToGrid w:val="0"/>
          <w:color w:val="auto"/>
          <w:highlight w:val="none"/>
          <w:lang w:eastAsia="zh-CN"/>
        </w:rPr>
      </w:pPr>
    </w:p>
    <w:p w14:paraId="4DD04FEB">
      <w:pPr>
        <w:pStyle w:val="4"/>
        <w:spacing w:before="100" w:after="100" w:line="360" w:lineRule="auto"/>
        <w:jc w:val="center"/>
        <w:rPr>
          <w:rFonts w:hint="eastAsia" w:ascii="宋体" w:hAnsi="宋体" w:eastAsia="宋体" w:cs="宋体"/>
          <w:bCs w:val="0"/>
          <w:snapToGrid w:val="0"/>
          <w:color w:val="auto"/>
          <w:highlight w:val="none"/>
          <w:lang w:eastAsia="zh-CN"/>
        </w:rPr>
      </w:pPr>
    </w:p>
    <w:p w14:paraId="2486E581">
      <w:pPr>
        <w:pStyle w:val="4"/>
        <w:spacing w:before="100" w:after="100" w:line="360" w:lineRule="auto"/>
        <w:jc w:val="center"/>
        <w:rPr>
          <w:rFonts w:hint="eastAsia" w:ascii="宋体" w:hAnsi="宋体" w:eastAsia="宋体" w:cs="宋体"/>
          <w:bCs w:val="0"/>
          <w:snapToGrid w:val="0"/>
          <w:color w:val="auto"/>
          <w:highlight w:val="none"/>
          <w:lang w:eastAsia="zh-CN"/>
        </w:rPr>
      </w:pPr>
    </w:p>
    <w:p w14:paraId="5BFA9557">
      <w:pPr>
        <w:pStyle w:val="4"/>
        <w:spacing w:before="100" w:after="100" w:line="360" w:lineRule="auto"/>
        <w:jc w:val="center"/>
        <w:rPr>
          <w:rFonts w:hint="eastAsia" w:ascii="宋体" w:hAnsi="宋体" w:eastAsia="宋体" w:cs="宋体"/>
          <w:bCs w:val="0"/>
          <w:snapToGrid w:val="0"/>
          <w:color w:val="auto"/>
          <w:highlight w:val="none"/>
          <w:lang w:eastAsia="zh-CN"/>
        </w:rPr>
      </w:pPr>
    </w:p>
    <w:p w14:paraId="567AEF22">
      <w:pPr>
        <w:pStyle w:val="4"/>
        <w:spacing w:before="100" w:after="100" w:line="360" w:lineRule="auto"/>
        <w:jc w:val="center"/>
        <w:rPr>
          <w:rFonts w:hint="eastAsia" w:ascii="宋体" w:hAnsi="宋体" w:eastAsia="宋体" w:cs="宋体"/>
          <w:bCs w:val="0"/>
          <w:snapToGrid w:val="0"/>
          <w:color w:val="auto"/>
          <w:highlight w:val="none"/>
          <w:lang w:eastAsia="zh-CN"/>
        </w:rPr>
      </w:pPr>
    </w:p>
    <w:p w14:paraId="004FF8DD">
      <w:pPr>
        <w:pStyle w:val="4"/>
        <w:spacing w:before="100" w:after="100" w:line="360" w:lineRule="auto"/>
        <w:jc w:val="center"/>
        <w:rPr>
          <w:rFonts w:hint="eastAsia" w:ascii="宋体" w:hAnsi="宋体" w:eastAsia="宋体" w:cs="宋体"/>
          <w:bCs w:val="0"/>
          <w:snapToGrid w:val="0"/>
          <w:color w:val="auto"/>
          <w:highlight w:val="none"/>
          <w:lang w:eastAsia="zh-CN"/>
        </w:rPr>
      </w:pPr>
    </w:p>
    <w:p w14:paraId="1577CFEE">
      <w:pPr>
        <w:pStyle w:val="4"/>
        <w:spacing w:before="100" w:after="100" w:line="360" w:lineRule="auto"/>
        <w:jc w:val="center"/>
        <w:rPr>
          <w:rFonts w:hint="eastAsia" w:ascii="宋体" w:hAnsi="宋体" w:eastAsia="宋体" w:cs="宋体"/>
          <w:bCs w:val="0"/>
          <w:snapToGrid w:val="0"/>
          <w:color w:val="auto"/>
          <w:highlight w:val="none"/>
          <w:lang w:eastAsia="zh-CN"/>
        </w:rPr>
      </w:pPr>
    </w:p>
    <w:p w14:paraId="5E24E82A">
      <w:pPr>
        <w:rPr>
          <w:rFonts w:hint="eastAsia"/>
          <w:lang w:eastAsia="zh-CN"/>
        </w:rPr>
      </w:pPr>
    </w:p>
    <w:p w14:paraId="5178E782">
      <w:pPr>
        <w:pStyle w:val="4"/>
        <w:spacing w:before="100" w:after="100" w:line="360" w:lineRule="auto"/>
        <w:jc w:val="center"/>
        <w:rPr>
          <w:rStyle w:val="154"/>
          <w:rFonts w:hint="eastAsia" w:ascii="宋体" w:hAnsi="宋体" w:eastAsia="宋体" w:cs="宋体"/>
          <w:b/>
          <w:bCs/>
          <w:color w:val="auto"/>
          <w:highlight w:val="none"/>
          <w:lang w:val="en-US" w:eastAsia="zh-CN"/>
        </w:rPr>
      </w:pPr>
      <w:r>
        <w:rPr>
          <w:rFonts w:hint="eastAsia" w:ascii="宋体" w:hAnsi="宋体" w:eastAsia="宋体" w:cs="宋体"/>
          <w:bCs w:val="0"/>
          <w:snapToGrid w:val="0"/>
          <w:color w:val="auto"/>
          <w:highlight w:val="none"/>
          <w:lang w:eastAsia="zh-CN"/>
        </w:rPr>
        <w:t>第二部分</w:t>
      </w:r>
      <w:r>
        <w:rPr>
          <w:rFonts w:hint="eastAsia" w:ascii="宋体" w:hAnsi="宋体" w:eastAsia="宋体" w:cs="宋体"/>
          <w:bCs w:val="0"/>
          <w:snapToGrid w:val="0"/>
          <w:color w:val="auto"/>
          <w:highlight w:val="none"/>
          <w:lang w:val="en-US" w:eastAsia="zh-CN"/>
        </w:rPr>
        <w:t xml:space="preserve">  </w:t>
      </w:r>
      <w:r>
        <w:rPr>
          <w:rFonts w:hint="eastAsia" w:ascii="宋体" w:hAnsi="宋体" w:eastAsia="宋体" w:cs="宋体"/>
          <w:bCs w:val="0"/>
          <w:snapToGrid w:val="0"/>
          <w:color w:val="auto"/>
          <w:highlight w:val="none"/>
        </w:rPr>
        <w:t>通用</w:t>
      </w:r>
      <w:r>
        <w:rPr>
          <w:rStyle w:val="154"/>
          <w:rFonts w:hint="eastAsia" w:ascii="宋体" w:hAnsi="宋体" w:eastAsia="宋体" w:cs="宋体"/>
          <w:b/>
          <w:bCs/>
          <w:color w:val="auto"/>
          <w:highlight w:val="none"/>
        </w:rPr>
        <w:t>合同条款</w:t>
      </w:r>
      <w:r>
        <w:rPr>
          <w:rStyle w:val="154"/>
          <w:rFonts w:hint="eastAsia" w:ascii="宋体" w:hAnsi="宋体" w:eastAsia="宋体" w:cs="宋体"/>
          <w:b w:val="0"/>
          <w:bCs w:val="0"/>
          <w:color w:val="auto"/>
          <w:highlight w:val="none"/>
          <w:lang w:val="en-US" w:eastAsia="zh-CN"/>
        </w:rPr>
        <w:t>(略）</w:t>
      </w:r>
    </w:p>
    <w:p w14:paraId="5576ACBB">
      <w:pPr>
        <w:spacing w:line="360" w:lineRule="auto"/>
        <w:ind w:firstLine="420" w:firstLineChars="200"/>
        <w:jc w:val="left"/>
        <w:rPr>
          <w:rFonts w:hint="eastAsia" w:ascii="宋体" w:hAnsi="宋体" w:eastAsia="宋体" w:cs="宋体"/>
          <w:i/>
          <w:color w:val="auto"/>
          <w:highlight w:val="none"/>
        </w:rPr>
      </w:pPr>
      <w:r>
        <w:rPr>
          <w:rFonts w:hint="eastAsia" w:ascii="宋体" w:hAnsi="宋体" w:eastAsia="宋体" w:cs="宋体"/>
          <w:i/>
          <w:color w:val="auto"/>
          <w:highlight w:val="none"/>
        </w:rPr>
        <w:t>[提示：“通用合同条款”采用《中华人民共和国标准施工</w:t>
      </w:r>
      <w:r>
        <w:rPr>
          <w:rFonts w:hint="eastAsia" w:ascii="宋体" w:hAnsi="宋体" w:eastAsia="宋体" w:cs="宋体"/>
          <w:i/>
          <w:color w:val="auto"/>
          <w:highlight w:val="none"/>
          <w:lang w:eastAsia="zh-CN"/>
        </w:rPr>
        <w:t>比选文件</w:t>
      </w:r>
      <w:r>
        <w:rPr>
          <w:rFonts w:hint="eastAsia" w:ascii="宋体" w:hAnsi="宋体" w:eastAsia="宋体" w:cs="宋体"/>
          <w:i/>
          <w:color w:val="auto"/>
          <w:highlight w:val="none"/>
        </w:rPr>
        <w:t>（2007版）》第四章第一节的“通用合同条款”。]</w:t>
      </w:r>
    </w:p>
    <w:p w14:paraId="05FC4DFD">
      <w:pPr>
        <w:pStyle w:val="3"/>
        <w:spacing w:before="0" w:after="0" w:line="360" w:lineRule="auto"/>
        <w:jc w:val="center"/>
        <w:rPr>
          <w:rFonts w:hint="eastAsia" w:ascii="宋体" w:hAnsi="宋体" w:eastAsia="宋体" w:cs="宋体"/>
          <w:bCs/>
          <w:color w:val="auto"/>
          <w:kern w:val="0"/>
          <w:sz w:val="32"/>
          <w:szCs w:val="44"/>
          <w:highlight w:val="none"/>
          <w:lang w:eastAsia="zh-CN"/>
        </w:rPr>
      </w:pPr>
    </w:p>
    <w:p w14:paraId="3ED5989C">
      <w:pPr>
        <w:pStyle w:val="3"/>
        <w:spacing w:before="0" w:after="0" w:line="360" w:lineRule="auto"/>
        <w:jc w:val="center"/>
        <w:rPr>
          <w:rFonts w:hint="eastAsia" w:ascii="宋体" w:hAnsi="宋体" w:eastAsia="宋体" w:cs="宋体"/>
          <w:bCs/>
          <w:color w:val="auto"/>
          <w:kern w:val="0"/>
          <w:sz w:val="32"/>
          <w:szCs w:val="44"/>
          <w:highlight w:val="none"/>
        </w:rPr>
      </w:pPr>
    </w:p>
    <w:p w14:paraId="0071E4D1">
      <w:pPr>
        <w:pStyle w:val="3"/>
        <w:spacing w:before="0" w:after="0" w:line="360" w:lineRule="auto"/>
        <w:jc w:val="center"/>
        <w:rPr>
          <w:rFonts w:hint="eastAsia" w:ascii="宋体" w:hAnsi="宋体" w:eastAsia="宋体" w:cs="宋体"/>
          <w:bCs/>
          <w:color w:val="auto"/>
          <w:kern w:val="0"/>
          <w:sz w:val="32"/>
          <w:szCs w:val="44"/>
          <w:highlight w:val="none"/>
        </w:rPr>
      </w:pPr>
    </w:p>
    <w:p w14:paraId="2D285451">
      <w:pPr>
        <w:rPr>
          <w:rFonts w:hint="eastAsia" w:ascii="宋体" w:hAnsi="宋体" w:eastAsia="宋体" w:cs="宋体"/>
          <w:bCs/>
          <w:color w:val="auto"/>
          <w:kern w:val="0"/>
          <w:sz w:val="32"/>
          <w:szCs w:val="44"/>
          <w:highlight w:val="none"/>
        </w:rPr>
      </w:pPr>
    </w:p>
    <w:p w14:paraId="171C7864">
      <w:pPr>
        <w:pStyle w:val="2"/>
        <w:rPr>
          <w:rFonts w:hint="eastAsia" w:ascii="宋体" w:hAnsi="宋体" w:eastAsia="宋体" w:cs="宋体"/>
          <w:bCs/>
          <w:color w:val="auto"/>
          <w:kern w:val="0"/>
          <w:sz w:val="32"/>
          <w:szCs w:val="44"/>
          <w:highlight w:val="none"/>
        </w:rPr>
      </w:pPr>
    </w:p>
    <w:p w14:paraId="26F419C2">
      <w:pPr>
        <w:rPr>
          <w:rFonts w:hint="eastAsia" w:ascii="宋体" w:hAnsi="宋体" w:eastAsia="宋体" w:cs="宋体"/>
          <w:bCs/>
          <w:color w:val="auto"/>
          <w:kern w:val="0"/>
          <w:sz w:val="32"/>
          <w:szCs w:val="44"/>
          <w:highlight w:val="none"/>
        </w:rPr>
      </w:pPr>
    </w:p>
    <w:p w14:paraId="0E31E101">
      <w:pPr>
        <w:pStyle w:val="2"/>
        <w:rPr>
          <w:rFonts w:hint="eastAsia" w:ascii="宋体" w:hAnsi="宋体" w:eastAsia="宋体" w:cs="宋体"/>
          <w:bCs/>
          <w:color w:val="auto"/>
          <w:kern w:val="0"/>
          <w:sz w:val="32"/>
          <w:szCs w:val="44"/>
          <w:highlight w:val="none"/>
          <w:lang w:eastAsia="zh-CN"/>
        </w:rPr>
      </w:pPr>
    </w:p>
    <w:p w14:paraId="48ED8975">
      <w:pPr>
        <w:rPr>
          <w:rFonts w:hint="eastAsia" w:ascii="宋体" w:hAnsi="宋体" w:eastAsia="宋体" w:cs="宋体"/>
          <w:color w:val="auto"/>
          <w:highlight w:val="none"/>
        </w:rPr>
      </w:pPr>
    </w:p>
    <w:p w14:paraId="50252360">
      <w:pPr>
        <w:pStyle w:val="2"/>
        <w:rPr>
          <w:rFonts w:hint="eastAsia" w:ascii="宋体" w:hAnsi="宋体" w:eastAsia="宋体" w:cs="宋体"/>
          <w:color w:val="auto"/>
          <w:highlight w:val="none"/>
          <w:lang w:eastAsia="zh-CN"/>
        </w:rPr>
      </w:pPr>
    </w:p>
    <w:p w14:paraId="6730AA01">
      <w:pPr>
        <w:rPr>
          <w:rFonts w:hint="eastAsia" w:ascii="宋体" w:hAnsi="宋体" w:eastAsia="宋体" w:cs="宋体"/>
          <w:color w:val="auto"/>
          <w:highlight w:val="none"/>
        </w:rPr>
      </w:pPr>
    </w:p>
    <w:p w14:paraId="61D729A1">
      <w:pPr>
        <w:pStyle w:val="2"/>
        <w:rPr>
          <w:rFonts w:hint="eastAsia" w:ascii="宋体" w:hAnsi="宋体" w:eastAsia="宋体" w:cs="宋体"/>
          <w:color w:val="auto"/>
          <w:highlight w:val="none"/>
          <w:lang w:eastAsia="zh-CN"/>
        </w:rPr>
      </w:pPr>
    </w:p>
    <w:p w14:paraId="1F128D75">
      <w:pPr>
        <w:rPr>
          <w:rFonts w:hint="eastAsia" w:ascii="宋体" w:hAnsi="宋体" w:eastAsia="宋体" w:cs="宋体"/>
          <w:color w:val="auto"/>
          <w:highlight w:val="none"/>
        </w:rPr>
      </w:pPr>
    </w:p>
    <w:p w14:paraId="11CBD7FC">
      <w:pPr>
        <w:pStyle w:val="2"/>
        <w:rPr>
          <w:rFonts w:hint="eastAsia" w:ascii="宋体" w:hAnsi="宋体" w:eastAsia="宋体" w:cs="宋体"/>
          <w:color w:val="auto"/>
          <w:highlight w:val="none"/>
          <w:lang w:eastAsia="zh-CN"/>
        </w:rPr>
      </w:pPr>
    </w:p>
    <w:p w14:paraId="17E25623">
      <w:pPr>
        <w:rPr>
          <w:rFonts w:hint="eastAsia" w:ascii="宋体" w:hAnsi="宋体" w:eastAsia="宋体" w:cs="宋体"/>
          <w:color w:val="auto"/>
          <w:highlight w:val="none"/>
        </w:rPr>
      </w:pPr>
    </w:p>
    <w:p w14:paraId="74F2671B">
      <w:pPr>
        <w:pStyle w:val="2"/>
        <w:rPr>
          <w:rFonts w:hint="eastAsia" w:ascii="宋体" w:hAnsi="宋体" w:eastAsia="宋体" w:cs="宋体"/>
          <w:color w:val="auto"/>
          <w:highlight w:val="none"/>
          <w:lang w:eastAsia="zh-CN"/>
        </w:rPr>
      </w:pPr>
    </w:p>
    <w:p w14:paraId="57964F34">
      <w:pPr>
        <w:rPr>
          <w:rFonts w:hint="eastAsia" w:ascii="宋体" w:hAnsi="宋体" w:eastAsia="宋体" w:cs="宋体"/>
          <w:color w:val="auto"/>
          <w:highlight w:val="none"/>
        </w:rPr>
      </w:pPr>
    </w:p>
    <w:p w14:paraId="638A0E17">
      <w:pPr>
        <w:pStyle w:val="2"/>
        <w:rPr>
          <w:rFonts w:hint="eastAsia" w:ascii="宋体" w:hAnsi="宋体" w:eastAsia="宋体" w:cs="宋体"/>
          <w:color w:val="auto"/>
          <w:highlight w:val="none"/>
          <w:lang w:eastAsia="zh-CN"/>
        </w:rPr>
      </w:pPr>
    </w:p>
    <w:p w14:paraId="696E15EB">
      <w:pPr>
        <w:rPr>
          <w:rFonts w:hint="eastAsia" w:ascii="宋体" w:hAnsi="宋体" w:eastAsia="宋体" w:cs="宋体"/>
          <w:color w:val="auto"/>
          <w:highlight w:val="none"/>
        </w:rPr>
      </w:pPr>
    </w:p>
    <w:p w14:paraId="24F6EF4E">
      <w:pPr>
        <w:pStyle w:val="2"/>
        <w:rPr>
          <w:rFonts w:hint="eastAsia" w:ascii="宋体" w:hAnsi="宋体" w:eastAsia="宋体" w:cs="宋体"/>
          <w:color w:val="auto"/>
          <w:highlight w:val="none"/>
          <w:lang w:eastAsia="zh-CN"/>
        </w:rPr>
      </w:pPr>
    </w:p>
    <w:p w14:paraId="3A64B596">
      <w:pPr>
        <w:rPr>
          <w:rFonts w:hint="eastAsia" w:ascii="宋体" w:hAnsi="宋体" w:eastAsia="宋体" w:cs="宋体"/>
          <w:color w:val="auto"/>
          <w:highlight w:val="none"/>
        </w:rPr>
      </w:pPr>
    </w:p>
    <w:p w14:paraId="40C2BE9B">
      <w:pPr>
        <w:pStyle w:val="2"/>
        <w:rPr>
          <w:rFonts w:hint="eastAsia" w:ascii="宋体" w:hAnsi="宋体" w:eastAsia="宋体" w:cs="宋体"/>
          <w:color w:val="auto"/>
          <w:highlight w:val="none"/>
        </w:rPr>
      </w:pPr>
    </w:p>
    <w:p w14:paraId="4321F264">
      <w:pPr>
        <w:rPr>
          <w:rFonts w:hint="eastAsia" w:ascii="宋体" w:hAnsi="宋体" w:eastAsia="宋体" w:cs="宋体"/>
          <w:color w:val="auto"/>
          <w:highlight w:val="none"/>
        </w:rPr>
      </w:pPr>
    </w:p>
    <w:p w14:paraId="6A6FB3B2">
      <w:pPr>
        <w:pStyle w:val="2"/>
        <w:rPr>
          <w:rFonts w:hint="eastAsia" w:ascii="宋体" w:hAnsi="宋体" w:eastAsia="宋体" w:cs="宋体"/>
          <w:color w:val="auto"/>
          <w:highlight w:val="none"/>
        </w:rPr>
      </w:pPr>
    </w:p>
    <w:p w14:paraId="12297F06">
      <w:pPr>
        <w:rPr>
          <w:rFonts w:hint="eastAsia" w:ascii="宋体" w:hAnsi="宋体" w:eastAsia="宋体" w:cs="宋体"/>
          <w:color w:val="auto"/>
          <w:highlight w:val="none"/>
        </w:rPr>
      </w:pPr>
    </w:p>
    <w:p w14:paraId="3BCF38CC">
      <w:pPr>
        <w:pStyle w:val="2"/>
        <w:rPr>
          <w:rFonts w:hint="eastAsia" w:ascii="宋体" w:hAnsi="宋体" w:eastAsia="宋体" w:cs="宋体"/>
          <w:color w:val="auto"/>
          <w:highlight w:val="none"/>
        </w:rPr>
      </w:pPr>
    </w:p>
    <w:p w14:paraId="2E2C659C">
      <w:pPr>
        <w:rPr>
          <w:rFonts w:hint="eastAsia" w:ascii="宋体" w:hAnsi="宋体" w:eastAsia="宋体" w:cs="宋体"/>
          <w:color w:val="auto"/>
          <w:highlight w:val="none"/>
        </w:rPr>
      </w:pPr>
    </w:p>
    <w:p w14:paraId="71648AAD">
      <w:pPr>
        <w:pStyle w:val="2"/>
        <w:rPr>
          <w:rFonts w:hint="eastAsia" w:ascii="宋体" w:hAnsi="宋体" w:eastAsia="宋体" w:cs="宋体"/>
          <w:color w:val="auto"/>
          <w:highlight w:val="none"/>
        </w:rPr>
      </w:pPr>
    </w:p>
    <w:p w14:paraId="74387A8B">
      <w:pPr>
        <w:rPr>
          <w:rFonts w:hint="eastAsia" w:ascii="宋体" w:hAnsi="宋体" w:eastAsia="宋体" w:cs="宋体"/>
          <w:color w:val="auto"/>
          <w:highlight w:val="none"/>
        </w:rPr>
      </w:pPr>
    </w:p>
    <w:p w14:paraId="3CC38FD5">
      <w:pPr>
        <w:pStyle w:val="2"/>
        <w:rPr>
          <w:rFonts w:hint="eastAsia" w:ascii="宋体" w:hAnsi="宋体" w:eastAsia="宋体" w:cs="宋体"/>
          <w:color w:val="auto"/>
          <w:highlight w:val="none"/>
        </w:rPr>
      </w:pPr>
    </w:p>
    <w:p w14:paraId="3B734713">
      <w:pPr>
        <w:rPr>
          <w:rFonts w:hint="eastAsia" w:ascii="宋体" w:hAnsi="宋体" w:eastAsia="宋体" w:cs="宋体"/>
          <w:color w:val="auto"/>
          <w:highlight w:val="none"/>
        </w:rPr>
      </w:pPr>
    </w:p>
    <w:p w14:paraId="12EAE70D">
      <w:pPr>
        <w:pStyle w:val="2"/>
        <w:rPr>
          <w:rFonts w:hint="eastAsia" w:ascii="宋体" w:hAnsi="宋体" w:eastAsia="宋体" w:cs="宋体"/>
          <w:color w:val="auto"/>
          <w:highlight w:val="none"/>
        </w:rPr>
      </w:pPr>
    </w:p>
    <w:p w14:paraId="09BA0386">
      <w:pPr>
        <w:rPr>
          <w:rFonts w:hint="eastAsia" w:ascii="宋体" w:hAnsi="宋体" w:eastAsia="宋体" w:cs="宋体"/>
          <w:color w:val="auto"/>
          <w:highlight w:val="none"/>
        </w:rPr>
      </w:pPr>
    </w:p>
    <w:p w14:paraId="44D114B4">
      <w:pPr>
        <w:pStyle w:val="2"/>
        <w:rPr>
          <w:rFonts w:hint="eastAsia" w:ascii="宋体" w:hAnsi="宋体" w:eastAsia="宋体" w:cs="宋体"/>
          <w:color w:val="auto"/>
          <w:highlight w:val="none"/>
        </w:rPr>
      </w:pPr>
    </w:p>
    <w:p w14:paraId="6485C906">
      <w:pPr>
        <w:rPr>
          <w:rFonts w:hint="eastAsia" w:ascii="宋体" w:hAnsi="宋体" w:eastAsia="宋体" w:cs="宋体"/>
          <w:color w:val="auto"/>
          <w:highlight w:val="none"/>
        </w:rPr>
      </w:pPr>
    </w:p>
    <w:p w14:paraId="17ECC48D">
      <w:pPr>
        <w:pStyle w:val="2"/>
        <w:rPr>
          <w:rFonts w:hint="eastAsia" w:ascii="宋体" w:hAnsi="宋体" w:eastAsia="宋体" w:cs="宋体"/>
          <w:color w:val="auto"/>
          <w:highlight w:val="none"/>
        </w:rPr>
      </w:pPr>
    </w:p>
    <w:p w14:paraId="0C9721BD">
      <w:pPr>
        <w:rPr>
          <w:rFonts w:hint="eastAsia" w:ascii="宋体" w:hAnsi="宋体" w:eastAsia="宋体" w:cs="宋体"/>
          <w:color w:val="auto"/>
          <w:highlight w:val="none"/>
        </w:rPr>
      </w:pPr>
    </w:p>
    <w:p w14:paraId="0F29CFBC">
      <w:pPr>
        <w:pStyle w:val="2"/>
        <w:rPr>
          <w:rFonts w:hint="eastAsia" w:ascii="宋体" w:hAnsi="宋体" w:eastAsia="宋体" w:cs="宋体"/>
          <w:color w:val="auto"/>
          <w:highlight w:val="none"/>
        </w:rPr>
      </w:pPr>
    </w:p>
    <w:p w14:paraId="535C865A">
      <w:pPr>
        <w:rPr>
          <w:rFonts w:hint="eastAsia" w:ascii="宋体" w:hAnsi="宋体" w:eastAsia="宋体" w:cs="宋体"/>
          <w:color w:val="auto"/>
          <w:highlight w:val="none"/>
        </w:rPr>
      </w:pPr>
    </w:p>
    <w:p w14:paraId="4C206409">
      <w:pPr>
        <w:pStyle w:val="2"/>
        <w:rPr>
          <w:rFonts w:hint="eastAsia"/>
          <w:color w:val="auto"/>
        </w:rPr>
      </w:pPr>
    </w:p>
    <w:p w14:paraId="3BD9172E">
      <w:pPr>
        <w:pStyle w:val="4"/>
        <w:jc w:val="center"/>
        <w:rPr>
          <w:rStyle w:val="154"/>
          <w:rFonts w:hint="eastAsia" w:ascii="宋体" w:hAnsi="宋体" w:eastAsia="宋体" w:cs="宋体"/>
          <w:b/>
          <w:bCs/>
          <w:color w:val="auto"/>
          <w:highlight w:val="none"/>
        </w:rPr>
      </w:pPr>
      <w:bookmarkStart w:id="522" w:name="_Toc57795964"/>
      <w:r>
        <w:rPr>
          <w:rStyle w:val="154"/>
          <w:rFonts w:hint="eastAsia" w:ascii="宋体" w:hAnsi="宋体" w:eastAsia="宋体" w:cs="宋体"/>
          <w:b/>
          <w:bCs/>
          <w:color w:val="auto"/>
          <w:highlight w:val="none"/>
        </w:rPr>
        <w:t>第</w:t>
      </w:r>
      <w:r>
        <w:rPr>
          <w:rStyle w:val="154"/>
          <w:rFonts w:hint="eastAsia" w:ascii="宋体" w:hAnsi="宋体" w:eastAsia="宋体" w:cs="宋体"/>
          <w:b/>
          <w:bCs/>
          <w:color w:val="auto"/>
          <w:highlight w:val="none"/>
          <w:lang w:eastAsia="zh-CN"/>
        </w:rPr>
        <w:t>三部分</w:t>
      </w:r>
      <w:r>
        <w:rPr>
          <w:rStyle w:val="154"/>
          <w:rFonts w:hint="eastAsia" w:ascii="宋体" w:hAnsi="宋体" w:eastAsia="宋体" w:cs="宋体"/>
          <w:b/>
          <w:bCs/>
          <w:color w:val="auto"/>
          <w:highlight w:val="none"/>
        </w:rPr>
        <w:t xml:space="preserve"> 专用合同条款</w:t>
      </w:r>
      <w:bookmarkEnd w:id="522"/>
    </w:p>
    <w:p w14:paraId="2765BF50">
      <w:pPr>
        <w:spacing w:line="360" w:lineRule="auto"/>
        <w:ind w:firstLine="420" w:firstLineChars="200"/>
        <w:jc w:val="left"/>
        <w:rPr>
          <w:rFonts w:hint="eastAsia" w:ascii="宋体" w:hAnsi="宋体" w:eastAsia="宋体" w:cs="宋体"/>
          <w:i/>
          <w:color w:val="auto"/>
          <w:highlight w:val="none"/>
        </w:rPr>
      </w:pPr>
      <w:r>
        <w:rPr>
          <w:rFonts w:hint="eastAsia" w:ascii="宋体" w:hAnsi="宋体" w:eastAsia="宋体" w:cs="宋体"/>
          <w:i/>
          <w:color w:val="auto"/>
          <w:highlight w:val="none"/>
        </w:rPr>
        <w:t>[提示：“专用合同条款”中宋体字部分采用《中华人民共和国公路工程标准施工</w:t>
      </w:r>
      <w:r>
        <w:rPr>
          <w:rFonts w:hint="eastAsia" w:ascii="宋体" w:hAnsi="宋体" w:eastAsia="宋体" w:cs="宋体"/>
          <w:i/>
          <w:color w:val="auto"/>
          <w:highlight w:val="none"/>
          <w:lang w:eastAsia="zh-CN"/>
        </w:rPr>
        <w:t>比选文件</w:t>
      </w:r>
      <w:r>
        <w:rPr>
          <w:rFonts w:hint="eastAsia" w:ascii="宋体" w:hAnsi="宋体" w:eastAsia="宋体" w:cs="宋体"/>
          <w:i/>
          <w:color w:val="auto"/>
          <w:highlight w:val="none"/>
        </w:rPr>
        <w:t>（2018版）》第四章第二节的“专用合同条款”。“专用合同条款”中仿宋字体部分由</w:t>
      </w:r>
      <w:r>
        <w:rPr>
          <w:rFonts w:hint="eastAsia" w:ascii="宋体" w:hAnsi="宋体" w:eastAsia="宋体" w:cs="宋体"/>
          <w:i/>
          <w:color w:val="auto"/>
          <w:highlight w:val="none"/>
          <w:lang w:eastAsia="zh-CN"/>
        </w:rPr>
        <w:t>发包人</w:t>
      </w:r>
      <w:r>
        <w:rPr>
          <w:rFonts w:hint="eastAsia" w:ascii="宋体" w:hAnsi="宋体" w:eastAsia="宋体" w:cs="宋体"/>
          <w:i/>
          <w:color w:val="auto"/>
          <w:highlight w:val="none"/>
        </w:rPr>
        <w:t>根据项目实际情况进行补充、细化，补充和细化的内容不得与“通用合同条款”的内容相抵触。]</w:t>
      </w:r>
    </w:p>
    <w:p w14:paraId="5685E08E">
      <w:pPr>
        <w:pStyle w:val="2"/>
        <w:rPr>
          <w:rFonts w:hint="eastAsia" w:ascii="宋体" w:hAnsi="宋体" w:eastAsia="宋体" w:cs="宋体"/>
          <w:i/>
          <w:color w:val="auto"/>
          <w:highlight w:val="none"/>
        </w:rPr>
      </w:pPr>
    </w:p>
    <w:p w14:paraId="5092E5C4">
      <w:pPr>
        <w:pStyle w:val="5"/>
        <w:spacing w:before="0" w:after="0" w:line="360" w:lineRule="auto"/>
        <w:rPr>
          <w:rFonts w:hint="eastAsia" w:ascii="宋体" w:hAnsi="宋体" w:eastAsia="宋体" w:cs="宋体"/>
          <w:color w:val="auto"/>
          <w:highlight w:val="none"/>
        </w:rPr>
      </w:pPr>
      <w:bookmarkStart w:id="523" w:name="_Toc57795965"/>
      <w:r>
        <w:rPr>
          <w:rFonts w:hint="eastAsia" w:ascii="宋体" w:hAnsi="宋体" w:eastAsia="宋体" w:cs="宋体"/>
          <w:color w:val="auto"/>
          <w:highlight w:val="none"/>
        </w:rPr>
        <w:t>1、一般约定</w:t>
      </w:r>
      <w:bookmarkEnd w:id="523"/>
    </w:p>
    <w:p w14:paraId="2F93E71F">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1.1 词语定义</w:t>
      </w:r>
    </w:p>
    <w:p w14:paraId="4D165F68">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1.1.1 合同</w:t>
      </w:r>
    </w:p>
    <w:p w14:paraId="397BFE87">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第 1.1.1.6 目细化为：</w:t>
      </w:r>
    </w:p>
    <w:p w14:paraId="08E84B8F">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技术规范：指本合同所约定的技术标准和要求，是合同文件的组成部分。通用合同条款中“技术标准和要求”一词具有相同含义。</w:t>
      </w:r>
    </w:p>
    <w:p w14:paraId="012646D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第 1.1.1.8 目细化为：</w:t>
      </w:r>
    </w:p>
    <w:p w14:paraId="293FF2B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已标价工程量清单：指构成合同文件组成部分的已标明价格、经算术性错误修正及其他错误修正（如有）且承包人已确认的最终的工程量清单，包括工程量清单说明、</w:t>
      </w:r>
      <w:r>
        <w:rPr>
          <w:rFonts w:hint="eastAsia" w:ascii="宋体" w:hAnsi="宋体" w:eastAsia="宋体" w:cs="宋体"/>
          <w:color w:val="auto"/>
          <w:kern w:val="0"/>
          <w:szCs w:val="21"/>
          <w:highlight w:val="none"/>
          <w:lang w:eastAsia="zh-CN" w:bidi="ar"/>
        </w:rPr>
        <w:t>比选</w:t>
      </w:r>
      <w:r>
        <w:rPr>
          <w:rFonts w:hint="eastAsia" w:ascii="宋体" w:hAnsi="宋体" w:eastAsia="宋体" w:cs="宋体"/>
          <w:color w:val="auto"/>
          <w:kern w:val="0"/>
          <w:szCs w:val="21"/>
          <w:highlight w:val="none"/>
          <w:lang w:bidi="ar"/>
        </w:rPr>
        <w:t>报价说明、计日工说明、其他说明及工程量清单各项表格（工程量清单表 5.1～表 5.5）。</w:t>
      </w:r>
    </w:p>
    <w:p w14:paraId="0C5C1B38">
      <w:pPr>
        <w:pStyle w:val="2"/>
        <w:spacing w:after="0" w:line="360" w:lineRule="auto"/>
        <w:ind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本项补充第 1.1.1.10</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bidi="ar"/>
        </w:rPr>
        <w:t>1.1.1.12目：</w:t>
      </w:r>
    </w:p>
    <w:p w14:paraId="2A2296B3">
      <w:pPr>
        <w:widowControl/>
        <w:spacing w:line="360" w:lineRule="auto"/>
        <w:ind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1.1.1.10 补遗书：指发出</w:t>
      </w:r>
      <w:r>
        <w:rPr>
          <w:rFonts w:hint="eastAsia" w:ascii="宋体" w:hAnsi="宋体" w:eastAsia="宋体" w:cs="宋体"/>
          <w:color w:val="auto"/>
          <w:kern w:val="0"/>
          <w:sz w:val="21"/>
          <w:szCs w:val="21"/>
          <w:highlight w:val="none"/>
          <w:lang w:eastAsia="zh-CN" w:bidi="ar"/>
        </w:rPr>
        <w:t>比选文件</w:t>
      </w:r>
      <w:r>
        <w:rPr>
          <w:rFonts w:hint="eastAsia" w:ascii="宋体" w:hAnsi="宋体" w:eastAsia="宋体" w:cs="宋体"/>
          <w:color w:val="auto"/>
          <w:kern w:val="0"/>
          <w:sz w:val="21"/>
          <w:szCs w:val="21"/>
          <w:highlight w:val="none"/>
          <w:lang w:bidi="ar"/>
        </w:rPr>
        <w:t>之后由</w:t>
      </w:r>
      <w:r>
        <w:rPr>
          <w:rFonts w:hint="eastAsia" w:ascii="宋体" w:hAnsi="宋体" w:eastAsia="宋体" w:cs="宋体"/>
          <w:color w:val="auto"/>
          <w:kern w:val="0"/>
          <w:sz w:val="21"/>
          <w:szCs w:val="21"/>
          <w:highlight w:val="none"/>
          <w:lang w:eastAsia="zh-CN" w:bidi="ar"/>
        </w:rPr>
        <w:t>发包人</w:t>
      </w:r>
      <w:r>
        <w:rPr>
          <w:rFonts w:hint="eastAsia" w:ascii="宋体" w:hAnsi="宋体" w:eastAsia="宋体" w:cs="宋体"/>
          <w:color w:val="auto"/>
          <w:kern w:val="0"/>
          <w:sz w:val="21"/>
          <w:szCs w:val="21"/>
          <w:highlight w:val="none"/>
          <w:lang w:bidi="ar"/>
        </w:rPr>
        <w:t>向已取得</w:t>
      </w:r>
      <w:r>
        <w:rPr>
          <w:rFonts w:hint="eastAsia" w:ascii="宋体" w:hAnsi="宋体" w:eastAsia="宋体" w:cs="宋体"/>
          <w:color w:val="auto"/>
          <w:kern w:val="0"/>
          <w:sz w:val="21"/>
          <w:szCs w:val="21"/>
          <w:highlight w:val="none"/>
          <w:lang w:eastAsia="zh-CN" w:bidi="ar"/>
        </w:rPr>
        <w:t>比选文件</w:t>
      </w:r>
      <w:r>
        <w:rPr>
          <w:rFonts w:hint="eastAsia" w:ascii="宋体" w:hAnsi="宋体" w:eastAsia="宋体" w:cs="宋体"/>
          <w:color w:val="auto"/>
          <w:kern w:val="0"/>
          <w:sz w:val="21"/>
          <w:szCs w:val="21"/>
          <w:highlight w:val="none"/>
          <w:lang w:bidi="ar"/>
        </w:rPr>
        <w:t>的</w:t>
      </w:r>
      <w:r>
        <w:rPr>
          <w:rFonts w:hint="eastAsia" w:ascii="宋体" w:hAnsi="宋体" w:eastAsia="宋体" w:cs="宋体"/>
          <w:color w:val="auto"/>
          <w:kern w:val="0"/>
          <w:sz w:val="21"/>
          <w:szCs w:val="21"/>
          <w:highlight w:val="none"/>
          <w:lang w:eastAsia="zh-CN" w:bidi="ar"/>
        </w:rPr>
        <w:t>比选申请人</w:t>
      </w:r>
      <w:r>
        <w:rPr>
          <w:rFonts w:hint="eastAsia" w:ascii="宋体" w:hAnsi="宋体" w:eastAsia="宋体" w:cs="宋体"/>
          <w:color w:val="auto"/>
          <w:kern w:val="0"/>
          <w:sz w:val="21"/>
          <w:szCs w:val="21"/>
          <w:highlight w:val="none"/>
          <w:lang w:bidi="ar"/>
        </w:rPr>
        <w:t>发出的、编号的对</w:t>
      </w:r>
      <w:r>
        <w:rPr>
          <w:rFonts w:hint="eastAsia" w:ascii="宋体" w:hAnsi="宋体" w:eastAsia="宋体" w:cs="宋体"/>
          <w:color w:val="auto"/>
          <w:kern w:val="0"/>
          <w:sz w:val="21"/>
          <w:szCs w:val="21"/>
          <w:highlight w:val="none"/>
          <w:lang w:eastAsia="zh-CN" w:bidi="ar"/>
        </w:rPr>
        <w:t>比选文件</w:t>
      </w:r>
      <w:r>
        <w:rPr>
          <w:rFonts w:hint="eastAsia" w:ascii="宋体" w:hAnsi="宋体" w:eastAsia="宋体" w:cs="宋体"/>
          <w:color w:val="auto"/>
          <w:kern w:val="0"/>
          <w:sz w:val="21"/>
          <w:szCs w:val="21"/>
          <w:highlight w:val="none"/>
          <w:lang w:bidi="ar"/>
        </w:rPr>
        <w:t>所作的澄清、修改书。</w:t>
      </w:r>
    </w:p>
    <w:p w14:paraId="76C86CD3">
      <w:pPr>
        <w:pStyle w:val="2"/>
        <w:spacing w:after="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1.1.1.11 重大设计变更：</w:t>
      </w:r>
      <w:r>
        <w:rPr>
          <w:rFonts w:hint="eastAsia" w:ascii="宋体" w:hAnsi="宋体" w:eastAsia="宋体" w:cs="宋体"/>
          <w:color w:val="auto"/>
          <w:kern w:val="0"/>
          <w:sz w:val="21"/>
          <w:szCs w:val="21"/>
          <w:highlight w:val="none"/>
          <w:u w:val="single"/>
        </w:rPr>
        <w:t>是指《重庆市交通委员会关于发布重庆市公路工程设计变更管理办法的通知》（渝交委路〔2012〕32号）第五条第（一）款规定情形之一的属于重大设计变更</w:t>
      </w:r>
      <w:r>
        <w:rPr>
          <w:rFonts w:hint="eastAsia" w:ascii="宋体" w:hAnsi="宋体" w:eastAsia="宋体" w:cs="宋体"/>
          <w:color w:val="auto"/>
          <w:kern w:val="0"/>
          <w:sz w:val="21"/>
          <w:szCs w:val="21"/>
          <w:highlight w:val="none"/>
        </w:rPr>
        <w:t>。</w:t>
      </w:r>
    </w:p>
    <w:p w14:paraId="30247C19">
      <w:pPr>
        <w:pStyle w:val="2"/>
        <w:spacing w:after="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1.1.1.12 公章：专指法定单位名称章。</w:t>
      </w:r>
    </w:p>
    <w:p w14:paraId="0264DACA">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1.1.2 合同当事人和人员 </w:t>
      </w:r>
    </w:p>
    <w:p w14:paraId="6A55D878">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1.1.2.2 发包人：</w:t>
      </w:r>
    </w:p>
    <w:p w14:paraId="70AEBBC1">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发包人：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2441A823">
      <w:pPr>
        <w:pStyle w:val="2"/>
        <w:spacing w:after="0" w:line="360" w:lineRule="auto"/>
        <w:ind w:firstLine="440" w:firstLineChars="200"/>
        <w:jc w:val="left"/>
        <w:rPr>
          <w:rFonts w:hint="eastAsia" w:ascii="宋体" w:hAnsi="宋体" w:eastAsia="宋体" w:cs="宋体"/>
          <w:color w:val="auto"/>
          <w:sz w:val="22"/>
          <w:szCs w:val="16"/>
          <w:highlight w:val="none"/>
          <w:lang w:bidi="ar"/>
        </w:rPr>
      </w:pPr>
      <w:r>
        <w:rPr>
          <w:rFonts w:hint="eastAsia" w:ascii="宋体" w:hAnsi="宋体" w:eastAsia="宋体" w:cs="宋体"/>
          <w:color w:val="auto"/>
          <w:sz w:val="22"/>
          <w:szCs w:val="16"/>
          <w:highlight w:val="none"/>
          <w:lang w:bidi="ar"/>
        </w:rPr>
        <w:t>地址：</w:t>
      </w:r>
      <w:r>
        <w:rPr>
          <w:rFonts w:hint="eastAsia" w:ascii="宋体" w:hAnsi="宋体" w:eastAsia="宋体" w:cs="宋体"/>
          <w:color w:val="auto"/>
          <w:sz w:val="22"/>
          <w:szCs w:val="16"/>
          <w:highlight w:val="none"/>
          <w:u w:val="single"/>
          <w:lang w:bidi="ar"/>
        </w:rPr>
        <w:t xml:space="preserve">        </w:t>
      </w:r>
      <w:r>
        <w:rPr>
          <w:rFonts w:hint="eastAsia" w:ascii="宋体" w:hAnsi="宋体" w:eastAsia="宋体" w:cs="宋体"/>
          <w:color w:val="auto"/>
          <w:sz w:val="22"/>
          <w:szCs w:val="16"/>
          <w:highlight w:val="none"/>
          <w:lang w:bidi="ar"/>
        </w:rPr>
        <w:t>。</w:t>
      </w:r>
    </w:p>
    <w:p w14:paraId="10AEBAF1">
      <w:pPr>
        <w:pStyle w:val="2"/>
        <w:spacing w:after="0" w:line="360" w:lineRule="auto"/>
        <w:ind w:firstLine="440" w:firstLineChars="200"/>
        <w:jc w:val="left"/>
        <w:rPr>
          <w:rFonts w:hint="eastAsia" w:ascii="宋体" w:hAnsi="宋体" w:eastAsia="宋体" w:cs="宋体"/>
          <w:color w:val="auto"/>
          <w:sz w:val="22"/>
          <w:szCs w:val="16"/>
          <w:highlight w:val="none"/>
          <w:lang w:bidi="ar"/>
        </w:rPr>
      </w:pPr>
      <w:r>
        <w:rPr>
          <w:rFonts w:hint="eastAsia" w:ascii="宋体" w:hAnsi="宋体" w:eastAsia="宋体" w:cs="宋体"/>
          <w:color w:val="auto"/>
          <w:sz w:val="22"/>
          <w:szCs w:val="16"/>
          <w:highlight w:val="none"/>
          <w:lang w:bidi="ar"/>
        </w:rPr>
        <w:t>邮编：</w:t>
      </w:r>
      <w:r>
        <w:rPr>
          <w:rFonts w:hint="eastAsia" w:ascii="宋体" w:hAnsi="宋体" w:eastAsia="宋体" w:cs="宋体"/>
          <w:color w:val="auto"/>
          <w:sz w:val="22"/>
          <w:szCs w:val="16"/>
          <w:highlight w:val="none"/>
          <w:u w:val="single"/>
          <w:lang w:bidi="ar"/>
        </w:rPr>
        <w:t xml:space="preserve">        </w:t>
      </w:r>
      <w:r>
        <w:rPr>
          <w:rFonts w:hint="eastAsia" w:ascii="宋体" w:hAnsi="宋体" w:eastAsia="宋体" w:cs="宋体"/>
          <w:color w:val="auto"/>
          <w:sz w:val="22"/>
          <w:szCs w:val="16"/>
          <w:highlight w:val="none"/>
          <w:lang w:bidi="ar"/>
        </w:rPr>
        <w:t>。</w:t>
      </w:r>
    </w:p>
    <w:p w14:paraId="6D775D7A">
      <w:pPr>
        <w:pStyle w:val="2"/>
        <w:spacing w:after="0" w:line="360" w:lineRule="auto"/>
        <w:ind w:firstLine="440" w:firstLineChars="200"/>
        <w:jc w:val="left"/>
        <w:rPr>
          <w:rFonts w:hint="eastAsia" w:ascii="宋体" w:hAnsi="宋体" w:eastAsia="宋体" w:cs="宋体"/>
          <w:color w:val="auto"/>
          <w:sz w:val="22"/>
          <w:szCs w:val="16"/>
          <w:highlight w:val="none"/>
          <w:lang w:bidi="ar"/>
        </w:rPr>
      </w:pPr>
      <w:r>
        <w:rPr>
          <w:rFonts w:hint="eastAsia" w:ascii="宋体" w:hAnsi="宋体" w:eastAsia="宋体" w:cs="宋体"/>
          <w:color w:val="auto"/>
          <w:sz w:val="22"/>
          <w:szCs w:val="16"/>
          <w:highlight w:val="none"/>
          <w:lang w:bidi="ar"/>
        </w:rPr>
        <w:t>1.1.2.6 监理单位：</w:t>
      </w:r>
    </w:p>
    <w:p w14:paraId="500BEABF">
      <w:pPr>
        <w:pStyle w:val="2"/>
        <w:spacing w:after="0" w:line="360" w:lineRule="auto"/>
        <w:ind w:firstLine="440" w:firstLineChars="200"/>
        <w:jc w:val="left"/>
        <w:rPr>
          <w:rFonts w:hint="eastAsia" w:ascii="宋体" w:hAnsi="宋体" w:eastAsia="宋体" w:cs="宋体"/>
          <w:color w:val="auto"/>
          <w:sz w:val="22"/>
          <w:szCs w:val="16"/>
          <w:highlight w:val="none"/>
          <w:lang w:bidi="ar"/>
        </w:rPr>
      </w:pPr>
      <w:r>
        <w:rPr>
          <w:rFonts w:hint="eastAsia" w:ascii="宋体" w:hAnsi="宋体" w:eastAsia="宋体" w:cs="宋体"/>
          <w:color w:val="auto"/>
          <w:sz w:val="22"/>
          <w:szCs w:val="16"/>
          <w:highlight w:val="none"/>
          <w:lang w:bidi="ar"/>
        </w:rPr>
        <w:t>监理单位：</w:t>
      </w:r>
      <w:r>
        <w:rPr>
          <w:rFonts w:hint="eastAsia" w:ascii="宋体" w:hAnsi="宋体" w:eastAsia="宋体" w:cs="宋体"/>
          <w:color w:val="auto"/>
          <w:sz w:val="22"/>
          <w:szCs w:val="16"/>
          <w:highlight w:val="none"/>
          <w:u w:val="single"/>
          <w:lang w:bidi="ar"/>
        </w:rPr>
        <w:t xml:space="preserve">        </w:t>
      </w:r>
      <w:r>
        <w:rPr>
          <w:rFonts w:hint="eastAsia" w:ascii="宋体" w:hAnsi="宋体" w:eastAsia="宋体" w:cs="宋体"/>
          <w:color w:val="auto"/>
          <w:sz w:val="22"/>
          <w:szCs w:val="16"/>
          <w:highlight w:val="none"/>
          <w:lang w:bidi="ar"/>
        </w:rPr>
        <w:t>。</w:t>
      </w:r>
    </w:p>
    <w:p w14:paraId="1269A8AC">
      <w:pPr>
        <w:pStyle w:val="2"/>
        <w:spacing w:after="0" w:line="360" w:lineRule="auto"/>
        <w:ind w:firstLine="440" w:firstLineChars="200"/>
        <w:jc w:val="left"/>
        <w:rPr>
          <w:rFonts w:hint="eastAsia" w:ascii="宋体" w:hAnsi="宋体" w:eastAsia="宋体" w:cs="宋体"/>
          <w:color w:val="auto"/>
          <w:sz w:val="22"/>
          <w:szCs w:val="16"/>
          <w:highlight w:val="none"/>
          <w:lang w:bidi="ar"/>
        </w:rPr>
      </w:pPr>
      <w:r>
        <w:rPr>
          <w:rFonts w:hint="eastAsia" w:ascii="宋体" w:hAnsi="宋体" w:eastAsia="宋体" w:cs="宋体"/>
          <w:color w:val="auto"/>
          <w:sz w:val="22"/>
          <w:szCs w:val="16"/>
          <w:highlight w:val="none"/>
          <w:lang w:bidi="ar"/>
        </w:rPr>
        <w:t>地址：</w:t>
      </w:r>
      <w:r>
        <w:rPr>
          <w:rFonts w:hint="eastAsia" w:ascii="宋体" w:hAnsi="宋体" w:eastAsia="宋体" w:cs="宋体"/>
          <w:color w:val="auto"/>
          <w:sz w:val="22"/>
          <w:szCs w:val="16"/>
          <w:highlight w:val="none"/>
          <w:u w:val="single"/>
          <w:lang w:bidi="ar"/>
        </w:rPr>
        <w:t xml:space="preserve">        </w:t>
      </w:r>
      <w:r>
        <w:rPr>
          <w:rFonts w:hint="eastAsia" w:ascii="宋体" w:hAnsi="宋体" w:eastAsia="宋体" w:cs="宋体"/>
          <w:color w:val="auto"/>
          <w:sz w:val="22"/>
          <w:szCs w:val="16"/>
          <w:highlight w:val="none"/>
          <w:lang w:bidi="ar"/>
        </w:rPr>
        <w:t>。</w:t>
      </w:r>
    </w:p>
    <w:p w14:paraId="2B2B06D9">
      <w:pPr>
        <w:pStyle w:val="2"/>
        <w:spacing w:after="0" w:line="360" w:lineRule="auto"/>
        <w:ind w:firstLine="440" w:firstLineChars="200"/>
        <w:jc w:val="left"/>
        <w:rPr>
          <w:rFonts w:hint="eastAsia" w:ascii="宋体" w:hAnsi="宋体" w:eastAsia="宋体" w:cs="宋体"/>
          <w:color w:val="auto"/>
          <w:sz w:val="22"/>
          <w:szCs w:val="16"/>
          <w:highlight w:val="none"/>
          <w:lang w:bidi="ar"/>
        </w:rPr>
      </w:pPr>
      <w:r>
        <w:rPr>
          <w:rFonts w:hint="eastAsia" w:ascii="宋体" w:hAnsi="宋体" w:eastAsia="宋体" w:cs="宋体"/>
          <w:color w:val="auto"/>
          <w:sz w:val="22"/>
          <w:szCs w:val="16"/>
          <w:highlight w:val="none"/>
          <w:lang w:bidi="ar"/>
        </w:rPr>
        <w:t>邮编：</w:t>
      </w:r>
      <w:r>
        <w:rPr>
          <w:rFonts w:hint="eastAsia" w:ascii="宋体" w:hAnsi="宋体" w:eastAsia="宋体" w:cs="宋体"/>
          <w:color w:val="auto"/>
          <w:sz w:val="22"/>
          <w:szCs w:val="16"/>
          <w:highlight w:val="none"/>
          <w:u w:val="single"/>
          <w:lang w:bidi="ar"/>
        </w:rPr>
        <w:t xml:space="preserve">        </w:t>
      </w:r>
      <w:r>
        <w:rPr>
          <w:rFonts w:hint="eastAsia" w:ascii="宋体" w:hAnsi="宋体" w:eastAsia="宋体" w:cs="宋体"/>
          <w:color w:val="auto"/>
          <w:sz w:val="22"/>
          <w:szCs w:val="16"/>
          <w:highlight w:val="none"/>
          <w:lang w:bidi="ar"/>
        </w:rPr>
        <w:t>。</w:t>
      </w:r>
    </w:p>
    <w:p w14:paraId="1B411D50">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本项补充第 1.1.2.8 目：</w:t>
      </w:r>
    </w:p>
    <w:p w14:paraId="180F71E9">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1.1.2.8 承包人项目总工：指由承包人书面委派常驻现场负责管理本合同工程的总工程师或技术总负责人。</w:t>
      </w:r>
    </w:p>
    <w:p w14:paraId="5DC15ED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1.1.3 工程和设备</w:t>
      </w:r>
    </w:p>
    <w:p w14:paraId="520B1A73">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第 1.1.3.4 目细化为：</w:t>
      </w:r>
    </w:p>
    <w:p w14:paraId="6B16D8DE">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单位工程：指在建设项目中，根据签订的合同，具有独立施工条件的工程。</w:t>
      </w:r>
    </w:p>
    <w:p w14:paraId="28FDCE8A">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第 1.1.3.10 目细化为：</w:t>
      </w:r>
    </w:p>
    <w:p w14:paraId="3375D83B">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永久占地：指为实施本合同工程而需要的一切永久占用的土地，包括公路两侧路权范围内的用地。</w:t>
      </w:r>
    </w:p>
    <w:p w14:paraId="287DB229">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第 1.1.3.11 目细化为：</w:t>
      </w:r>
    </w:p>
    <w:p w14:paraId="7570028B">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临时占地：指为实施本合同工程而需要的一切临时占用的土地，包括施工所用的临时支线、便道、便桥和现场的临时出入通道，以及生产（办公）、生活等临时设施用地等。</w:t>
      </w:r>
    </w:p>
    <w:p w14:paraId="03810434">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本项补充第 1.1.3.12 ～1.1.3.13 目：</w:t>
      </w:r>
    </w:p>
    <w:p w14:paraId="79F34B9F">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1.1.3.12 分部工程：指在单位工程中，按结构部位、路段长度及施工特点或施工任务划分的若干个工程。</w:t>
      </w:r>
    </w:p>
    <w:p w14:paraId="568A13C1">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1.1.3.13 分项工程：指在分部工程中，按不同的施工方法、材料、工序及路段长度等划分的若干个工程。</w:t>
      </w:r>
    </w:p>
    <w:p w14:paraId="0AE54E7D">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1.1.4 日期</w:t>
      </w:r>
    </w:p>
    <w:p w14:paraId="4E731479">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第 1.1.4.5 细化为：</w:t>
      </w:r>
    </w:p>
    <w:p w14:paraId="1B7F10A1">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缺陷责任期：自实际交工日期起计算</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val="en-US" w:eastAsia="zh-CN" w:bidi="ar"/>
        </w:rPr>
        <w:t>24个</w:t>
      </w:r>
      <w:r>
        <w:rPr>
          <w:rFonts w:hint="eastAsia" w:ascii="宋体" w:hAnsi="宋体" w:eastAsia="宋体" w:cs="宋体"/>
          <w:color w:val="auto"/>
          <w:kern w:val="0"/>
          <w:szCs w:val="21"/>
          <w:highlight w:val="none"/>
          <w:u w:val="single"/>
          <w:lang w:bidi="ar"/>
        </w:rPr>
        <w:t>月</w:t>
      </w:r>
      <w:r>
        <w:rPr>
          <w:rFonts w:hint="eastAsia" w:ascii="宋体" w:hAnsi="宋体" w:eastAsia="宋体" w:cs="宋体"/>
          <w:color w:val="auto"/>
          <w:kern w:val="0"/>
          <w:szCs w:val="21"/>
          <w:highlight w:val="none"/>
          <w:lang w:bidi="ar"/>
        </w:rPr>
        <w:t>。</w:t>
      </w:r>
    </w:p>
    <w:p w14:paraId="6F7F22F7">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1.1.6 其他</w:t>
      </w:r>
    </w:p>
    <w:p w14:paraId="0695BB04">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本项补充第 1.1.6.2 ～1.1.6.9 目：</w:t>
      </w:r>
    </w:p>
    <w:p w14:paraId="1662763B">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1.1.6.2 竣工验收：指《公路工程竣（交）工验收办法》中的竣工验收。通用合同条款中“国家验收”一词具有相同含义。</w:t>
      </w:r>
    </w:p>
    <w:p w14:paraId="1BABBA4A">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1.1.6.3 交工：指《公路工程竣（交）工验收办法》中的交工。通用合同条款中“竣工”一词具有相同含义。</w:t>
      </w:r>
    </w:p>
    <w:p w14:paraId="2EB74E99">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1.1.6.4 交工验收：指《公路工程竣（交）工验收办法》中的交工验收。通用合同条款中“竣工验收”一词具有相同含义。</w:t>
      </w:r>
    </w:p>
    <w:p w14:paraId="6A54E5B0">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1.1.6.5 交工验收证书：指《公路工程竣（交）工验收办法》中的交工验收证书。通用合同条款中“工程接收证书”一词具有相同含义。</w:t>
      </w:r>
    </w:p>
    <w:p w14:paraId="61CC7C1D">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1.1.6.6 转包：指承包人违反法律和不履行合同规定的责任和义务，将</w:t>
      </w:r>
      <w:r>
        <w:rPr>
          <w:rFonts w:hint="eastAsia" w:ascii="宋体" w:hAnsi="宋体" w:eastAsia="宋体" w:cs="宋体"/>
          <w:color w:val="auto"/>
          <w:kern w:val="0"/>
          <w:szCs w:val="21"/>
          <w:highlight w:val="none"/>
          <w:lang w:eastAsia="zh-CN" w:bidi="ar"/>
        </w:rPr>
        <w:t>中选</w:t>
      </w:r>
      <w:r>
        <w:rPr>
          <w:rFonts w:hint="eastAsia" w:ascii="宋体" w:hAnsi="宋体" w:eastAsia="宋体" w:cs="宋体"/>
          <w:color w:val="auto"/>
          <w:kern w:val="0"/>
          <w:szCs w:val="21"/>
          <w:highlight w:val="none"/>
          <w:lang w:bidi="ar"/>
        </w:rPr>
        <w:t>工程全部委托或以专业分包的名义将</w:t>
      </w:r>
      <w:r>
        <w:rPr>
          <w:rFonts w:hint="eastAsia" w:ascii="宋体" w:hAnsi="宋体" w:eastAsia="宋体" w:cs="宋体"/>
          <w:color w:val="auto"/>
          <w:kern w:val="0"/>
          <w:szCs w:val="21"/>
          <w:highlight w:val="none"/>
          <w:lang w:eastAsia="zh-CN" w:bidi="ar"/>
        </w:rPr>
        <w:t>中选</w:t>
      </w:r>
      <w:r>
        <w:rPr>
          <w:rFonts w:hint="eastAsia" w:ascii="宋体" w:hAnsi="宋体" w:eastAsia="宋体" w:cs="宋体"/>
          <w:color w:val="auto"/>
          <w:kern w:val="0"/>
          <w:szCs w:val="21"/>
          <w:highlight w:val="none"/>
          <w:lang w:bidi="ar"/>
        </w:rPr>
        <w:t>工程肢解后全部委托给其他施工企业施工的行为。</w:t>
      </w:r>
    </w:p>
    <w:p w14:paraId="437F2F32">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1.1.6.7 专业分包：指承包人与具有相应资格的施工企业签订专业分包合同，由分包人承担承包人委托的分部工程、分项工程或适合专业化队伍施工的其他工程，整体结算，并能独立控制工程质量、施工进度、材料采购、生产安全的施工行为。</w:t>
      </w:r>
    </w:p>
    <w:p w14:paraId="047747F8">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1.1.6.8 劳务分包：指承包人与具有施工劳务资质的劳务企业签订劳务分包合同，由劳务企业提供劳务人员及机具，由承包人统一组织施工、统一控制工程质量、施工进度、材料采购、生产安全的施工行为。</w:t>
      </w:r>
    </w:p>
    <w:p w14:paraId="24112546">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1.1.6.9 雇用民工：指承包人与具有相应劳动能力的自然人签订劳动合同，由承包人统一组织管理，从事分项工程施工或配套工程施工的行为。</w:t>
      </w:r>
    </w:p>
    <w:p w14:paraId="3DB647C0">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1.4 合同文件的优先顺序</w:t>
      </w:r>
    </w:p>
    <w:p w14:paraId="357F8EB8">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本款约定为：</w:t>
      </w:r>
    </w:p>
    <w:p w14:paraId="4FA81057">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组成合同的各项文件应互相解释，互为说明，解释合同文件的优先顺序如下：</w:t>
      </w:r>
    </w:p>
    <w:p w14:paraId="0B651CCF">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（1）合同协议书及各种合同附件（含评标期间和合同谈判过程中的澄清文件和补充资料）；</w:t>
      </w:r>
    </w:p>
    <w:p w14:paraId="7A16073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eastAsia="zh-CN" w:bidi="ar"/>
        </w:rPr>
        <w:t>中选通知书</w:t>
      </w:r>
      <w:r>
        <w:rPr>
          <w:rFonts w:hint="eastAsia" w:ascii="宋体" w:hAnsi="宋体" w:eastAsia="宋体" w:cs="宋体"/>
          <w:color w:val="auto"/>
          <w:kern w:val="0"/>
          <w:szCs w:val="21"/>
          <w:highlight w:val="none"/>
          <w:lang w:bidi="ar"/>
        </w:rPr>
        <w:t>；</w:t>
      </w:r>
    </w:p>
    <w:p w14:paraId="468A6FC4">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eastAsia="zh-CN" w:bidi="ar"/>
        </w:rPr>
        <w:t>比选</w:t>
      </w:r>
      <w:r>
        <w:rPr>
          <w:rFonts w:hint="eastAsia" w:ascii="宋体" w:hAnsi="宋体" w:eastAsia="宋体" w:cs="宋体"/>
          <w:color w:val="auto"/>
          <w:kern w:val="0"/>
          <w:szCs w:val="21"/>
          <w:highlight w:val="none"/>
          <w:lang w:bidi="ar"/>
        </w:rPr>
        <w:t>函及</w:t>
      </w:r>
      <w:r>
        <w:rPr>
          <w:rFonts w:hint="eastAsia" w:ascii="宋体" w:hAnsi="宋体" w:eastAsia="宋体" w:cs="宋体"/>
          <w:color w:val="auto"/>
          <w:kern w:val="0"/>
          <w:szCs w:val="21"/>
          <w:highlight w:val="none"/>
          <w:lang w:eastAsia="zh-CN" w:bidi="ar"/>
        </w:rPr>
        <w:t>比选</w:t>
      </w:r>
      <w:r>
        <w:rPr>
          <w:rFonts w:hint="eastAsia" w:ascii="宋体" w:hAnsi="宋体" w:eastAsia="宋体" w:cs="宋体"/>
          <w:color w:val="auto"/>
          <w:kern w:val="0"/>
          <w:szCs w:val="21"/>
          <w:highlight w:val="none"/>
          <w:lang w:bidi="ar"/>
        </w:rPr>
        <w:t>函附录；</w:t>
      </w:r>
    </w:p>
    <w:p w14:paraId="4DE611C7">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（4）专用合同条款；</w:t>
      </w:r>
    </w:p>
    <w:p w14:paraId="6585E268">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（5）通用合同条款；</w:t>
      </w:r>
    </w:p>
    <w:p w14:paraId="49D03EB1">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（6）工程量清单计量规则；</w:t>
      </w:r>
    </w:p>
    <w:p w14:paraId="7EB4A089">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（7）技术规范；</w:t>
      </w:r>
    </w:p>
    <w:p w14:paraId="699D40A4">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（8）图纸；</w:t>
      </w:r>
    </w:p>
    <w:p w14:paraId="6CFEC26F">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（9）已标价工程量清单；</w:t>
      </w:r>
    </w:p>
    <w:p w14:paraId="55110CE4">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（10）承包人有关人员、设备投入的承诺及</w:t>
      </w:r>
      <w:r>
        <w:rPr>
          <w:rFonts w:hint="eastAsia" w:ascii="宋体" w:hAnsi="宋体" w:eastAsia="宋体" w:cs="宋体"/>
          <w:color w:val="auto"/>
          <w:kern w:val="0"/>
          <w:szCs w:val="21"/>
          <w:highlight w:val="none"/>
          <w:lang w:eastAsia="zh-CN" w:bidi="ar"/>
        </w:rPr>
        <w:t>比选申请文件</w:t>
      </w:r>
      <w:r>
        <w:rPr>
          <w:rFonts w:hint="eastAsia" w:ascii="宋体" w:hAnsi="宋体" w:eastAsia="宋体" w:cs="宋体"/>
          <w:color w:val="auto"/>
          <w:kern w:val="0"/>
          <w:szCs w:val="21"/>
          <w:highlight w:val="none"/>
          <w:lang w:bidi="ar"/>
        </w:rPr>
        <w:t>中的施工组织设计；</w:t>
      </w:r>
    </w:p>
    <w:p w14:paraId="3347A8D5">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w:t>
      </w:r>
      <w:r>
        <w:rPr>
          <w:rFonts w:hint="eastAsia" w:ascii="宋体" w:hAnsi="宋体" w:eastAsia="宋体" w:cs="宋体"/>
          <w:color w:val="auto"/>
          <w:kern w:val="0"/>
          <w:szCs w:val="21"/>
          <w:highlight w:val="none"/>
          <w:u w:val="single"/>
          <w:lang w:bidi="ar"/>
        </w:rPr>
        <w:t>其他合同文件</w:t>
      </w:r>
      <w:r>
        <w:rPr>
          <w:rFonts w:hint="eastAsia" w:ascii="宋体" w:hAnsi="宋体" w:eastAsia="宋体" w:cs="宋体"/>
          <w:color w:val="auto"/>
          <w:kern w:val="0"/>
          <w:szCs w:val="21"/>
          <w:highlight w:val="none"/>
          <w:lang w:bidi="ar"/>
        </w:rPr>
        <w:t>。</w:t>
      </w:r>
    </w:p>
    <w:p w14:paraId="4E59B398">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1.5 合同协议书</w:t>
      </w:r>
    </w:p>
    <w:p w14:paraId="25494D11">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本款补充：</w:t>
      </w:r>
    </w:p>
    <w:p w14:paraId="0EE6CC82">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制备本合同文件的费用由发包人承担。在合同协议书签订并生效之前，</w:t>
      </w:r>
      <w:r>
        <w:rPr>
          <w:rFonts w:hint="eastAsia" w:ascii="宋体" w:hAnsi="宋体" w:eastAsia="宋体" w:cs="宋体"/>
          <w:color w:val="auto"/>
          <w:kern w:val="0"/>
          <w:szCs w:val="21"/>
          <w:highlight w:val="none"/>
          <w:lang w:eastAsia="zh-CN" w:bidi="ar"/>
        </w:rPr>
        <w:t>比选</w:t>
      </w:r>
      <w:r>
        <w:rPr>
          <w:rFonts w:hint="eastAsia" w:ascii="宋体" w:hAnsi="宋体" w:eastAsia="宋体" w:cs="宋体"/>
          <w:color w:val="auto"/>
          <w:kern w:val="0"/>
          <w:szCs w:val="21"/>
          <w:highlight w:val="none"/>
          <w:lang w:bidi="ar"/>
        </w:rPr>
        <w:t>函和</w:t>
      </w:r>
      <w:r>
        <w:rPr>
          <w:rFonts w:hint="eastAsia" w:ascii="宋体" w:hAnsi="宋体" w:eastAsia="宋体" w:cs="宋体"/>
          <w:color w:val="auto"/>
          <w:kern w:val="0"/>
          <w:szCs w:val="21"/>
          <w:highlight w:val="none"/>
          <w:lang w:eastAsia="zh-CN" w:bidi="ar"/>
        </w:rPr>
        <w:t>中选通知书</w:t>
      </w:r>
      <w:r>
        <w:rPr>
          <w:rFonts w:hint="eastAsia" w:ascii="宋体" w:hAnsi="宋体" w:eastAsia="宋体" w:cs="宋体"/>
          <w:color w:val="auto"/>
          <w:kern w:val="0"/>
          <w:szCs w:val="21"/>
          <w:highlight w:val="none"/>
          <w:lang w:bidi="ar"/>
        </w:rPr>
        <w:t>将对双方具有约束力。</w:t>
      </w:r>
    </w:p>
    <w:p w14:paraId="5817A236">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1.6 图纸和承包人文件</w:t>
      </w:r>
    </w:p>
    <w:p w14:paraId="3B1E0AE8">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1.6.1 图纸的提供</w:t>
      </w:r>
    </w:p>
    <w:p w14:paraId="78B420AA">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本项细化为：</w:t>
      </w:r>
    </w:p>
    <w:p w14:paraId="1FDA457C">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监理人应在发出</w:t>
      </w:r>
      <w:r>
        <w:rPr>
          <w:rFonts w:hint="eastAsia" w:ascii="宋体" w:hAnsi="宋体" w:eastAsia="宋体" w:cs="宋体"/>
          <w:color w:val="auto"/>
          <w:kern w:val="0"/>
          <w:szCs w:val="21"/>
          <w:highlight w:val="none"/>
          <w:lang w:eastAsia="zh-CN" w:bidi="ar"/>
        </w:rPr>
        <w:t>中选通知书</w:t>
      </w:r>
      <w:r>
        <w:rPr>
          <w:rFonts w:hint="eastAsia" w:ascii="宋体" w:hAnsi="宋体" w:eastAsia="宋体" w:cs="宋体"/>
          <w:color w:val="auto"/>
          <w:kern w:val="0"/>
          <w:szCs w:val="21"/>
          <w:highlight w:val="none"/>
          <w:lang w:bidi="ar"/>
        </w:rPr>
        <w:t>之后 42 天内，向承包人免费提供由发包人或其委托的设计单位设计的施工图纸、技术规范和其他技术资料 2 份，并向承包人进行技术交底。承包人需要更多份数时，应自费复制。由于发包人未按时提供图纸造成工期延误的，按第 11.3 款的约定办理。</w:t>
      </w:r>
    </w:p>
    <w:p w14:paraId="6F7DEFA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 图纸的修改</w:t>
      </w:r>
    </w:p>
    <w:p w14:paraId="29E66E1C">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rPr>
        <w:t>图纸需要修改和补充的，应由监理人取得发包人同意后，在该工程或工程相应部位施工前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天签发修改图纸给承包人。</w:t>
      </w:r>
    </w:p>
    <w:p w14:paraId="0CF31A60">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1.6.2 承包人提供的文件</w:t>
      </w:r>
    </w:p>
    <w:p w14:paraId="42C59BB6">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本项细化为：</w:t>
      </w:r>
    </w:p>
    <w:p w14:paraId="5B691ADF">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有下列情形之一的，承包人应免费向监理人提交相关部分工程的施工图纸 3 份，并附必要的计算书、技术资料，或施工工艺图、设备安装图及安装设备的使用和维护手册各 2 份供监理人批准。</w:t>
      </w:r>
    </w:p>
    <w:p w14:paraId="3E228D9D">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（1）为使第 1.6.1 项所述的施工图纸适合于经施工测量后的纵、横断面；</w:t>
      </w:r>
    </w:p>
    <w:p w14:paraId="15D108F1">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（2）为使第 1.6.1 项所述的施工图纸适合于现场具体地形；</w:t>
      </w:r>
    </w:p>
    <w:p w14:paraId="00EF5A13">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（3）为使第 1.6.1 项所述的施工图纸适合于因尺寸与位置变化而引起局部变更；</w:t>
      </w:r>
    </w:p>
    <w:p w14:paraId="46F873DB">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（4）由于合同要求与施工需要。</w:t>
      </w:r>
    </w:p>
    <w:p w14:paraId="36068066">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此类图纸应按监理人规定的格式和图幅绘制。监理人在收到由承包人绘制的上述工程、工艺图纸、计算书和有关技术资料后</w:t>
      </w:r>
      <w:r>
        <w:rPr>
          <w:rFonts w:hint="eastAsia" w:ascii="宋体" w:hAnsi="宋体" w:eastAsia="宋体" w:cs="宋体"/>
          <w:color w:val="auto"/>
          <w:kern w:val="0"/>
          <w:szCs w:val="21"/>
          <w:highlight w:val="none"/>
          <w:u w:val="single"/>
          <w:lang w:bidi="ar"/>
        </w:rPr>
        <w:t xml:space="preserve"> 14 天</w:t>
      </w:r>
      <w:r>
        <w:rPr>
          <w:rFonts w:hint="eastAsia" w:ascii="宋体" w:hAnsi="宋体" w:eastAsia="宋体" w:cs="宋体"/>
          <w:color w:val="auto"/>
          <w:kern w:val="0"/>
          <w:szCs w:val="21"/>
          <w:highlight w:val="none"/>
          <w:lang w:bidi="ar"/>
        </w:rPr>
        <w:t>内应予批准或提出修改要求，承包人应按监理人提出的要求作出修改，重新向监理人提交，监理人应在</w:t>
      </w:r>
      <w:r>
        <w:rPr>
          <w:rFonts w:hint="eastAsia" w:ascii="宋体" w:hAnsi="宋体" w:eastAsia="宋体" w:cs="宋体"/>
          <w:color w:val="auto"/>
          <w:kern w:val="0"/>
          <w:szCs w:val="21"/>
          <w:highlight w:val="none"/>
          <w:u w:val="single"/>
          <w:lang w:bidi="ar"/>
        </w:rPr>
        <w:t xml:space="preserve"> 7 天</w:t>
      </w:r>
      <w:r>
        <w:rPr>
          <w:rFonts w:hint="eastAsia" w:ascii="宋体" w:hAnsi="宋体" w:eastAsia="宋体" w:cs="宋体"/>
          <w:color w:val="auto"/>
          <w:kern w:val="0"/>
          <w:szCs w:val="21"/>
          <w:highlight w:val="none"/>
          <w:lang w:bidi="ar"/>
        </w:rPr>
        <w:t>内批准或提出进一步的修改意见。</w:t>
      </w:r>
    </w:p>
    <w:p w14:paraId="7E25072B">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1.6.4 图纸的错误</w:t>
      </w:r>
    </w:p>
    <w:p w14:paraId="6198814C">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本项细化为：</w:t>
      </w:r>
    </w:p>
    <w:p w14:paraId="13C766EB">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当承包人在查阅合同文件或在本合同工程实施过程中，发现有关的工程设计、技术规范、图纸或其他资料中的任何差错、遗漏或缺陷后，应及时通知监理人。监理人接到该通知后，应立即就此作出决定，并通知承包人和发包人。</w:t>
      </w:r>
    </w:p>
    <w:p w14:paraId="275423A6">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在收到发包人提供的图纸后，承包人应对收到的图纸进行仔细核查，并在开始施工前，将发现的图纸存在的差错、遗漏或缺陷及时通知监理人。监理人接到该通知后，应附相关意见并立即报送发包人，发包人应在收到监理人报送的通知后作出决定。</w:t>
      </w:r>
    </w:p>
    <w:p w14:paraId="2198025F">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承包人不得利用图纸的差错、遗漏或缺陷，从中获得不正当的利益。</w:t>
      </w:r>
    </w:p>
    <w:p w14:paraId="06DFC33E">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1.9 严禁贿赂</w:t>
      </w:r>
    </w:p>
    <w:p w14:paraId="790243BC">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本款补充：</w:t>
      </w:r>
    </w:p>
    <w:p w14:paraId="7036FDAF">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在合同执行过程中，发包人和承包人应严格履行《廉政合同》约定的双方在廉政建设方面的权利和义务以及应承担的违约责任。承包人如果用行贿、送礼或其他不正当手段企图影响或已经影响了发包人或监理人的行为和（或）欲获得或已获得超出合同规定以外的额外费用，则发包人应按有关法纪严肃处理当事人，且承包人应对其上述行为造成的工程损害、发包人的经济损失等承担一切责任，并予赔偿。情节严重者，发包人有权终止承包人在本合同项下的承包。</w:t>
      </w:r>
    </w:p>
    <w:p w14:paraId="5F81C1E9">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本条补充第 1.13 款：</w:t>
      </w:r>
    </w:p>
    <w:p w14:paraId="01D826E0">
      <w:pPr>
        <w:widowControl/>
        <w:spacing w:line="360" w:lineRule="auto"/>
        <w:jc w:val="lef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1.13知识产权</w:t>
      </w:r>
    </w:p>
    <w:p w14:paraId="3EF5D58F">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1.13.1 关于发包人提供给承包人的图纸、发包人为实施工程自行编制或委托编制的技术规范以及反映发包人关于合同要求或其他类似性质的文件的著作权的归属：属于发包人。</w:t>
      </w:r>
    </w:p>
    <w:p w14:paraId="6D14C3C2">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发包人提供的上述文件的使用限制的要求：承包人可以为实现合同目的而复制、使用此类文件，但不能用于与合同无关的其他事项。未经发包人书面同意，承包人不得为了合同以外的目的而复制、使用上述文件或将之提供给任何第三方。</w:t>
      </w:r>
    </w:p>
    <w:p w14:paraId="107733A0">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1.13.2 承包人为实施工程所编制的文件，除署名权以外的著作权属于发包人，承包人可因实施工程的运行、调试、维修、改造等目的而复制、使用此类文件，但不能用于与合同无关的其他事项。</w:t>
      </w:r>
    </w:p>
    <w:p w14:paraId="184ABA85">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1.13.3 合同当事人保证在履行合同过程中不侵犯对方及第三方的知识产权。</w:t>
      </w:r>
    </w:p>
    <w:p w14:paraId="08536A75">
      <w:pPr>
        <w:pStyle w:val="5"/>
        <w:spacing w:before="0" w:after="0" w:line="360" w:lineRule="auto"/>
        <w:jc w:val="left"/>
        <w:rPr>
          <w:rFonts w:hint="eastAsia" w:ascii="宋体" w:hAnsi="宋体" w:eastAsia="宋体" w:cs="宋体"/>
          <w:color w:val="auto"/>
          <w:highlight w:val="none"/>
        </w:rPr>
      </w:pPr>
      <w:bookmarkStart w:id="524" w:name="_Toc57795966"/>
      <w:r>
        <w:rPr>
          <w:rFonts w:hint="eastAsia" w:ascii="宋体" w:hAnsi="宋体" w:eastAsia="宋体" w:cs="宋体"/>
          <w:color w:val="auto"/>
          <w:highlight w:val="none"/>
        </w:rPr>
        <w:t>2、发包人义务</w:t>
      </w:r>
      <w:bookmarkEnd w:id="524"/>
    </w:p>
    <w:p w14:paraId="5F229382">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2.3 提供施工场地</w:t>
      </w:r>
    </w:p>
    <w:p w14:paraId="1E0F0D41">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本款补充：</w:t>
      </w:r>
    </w:p>
    <w:p w14:paraId="277FBBF1">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发包人负责办理永久占地的征用及与之有关的拆迁赔偿手续并承担相关费用。承包人在按第 10 条规定提交施工进度计划的同时，应向监理人提交一份按施工先后次序所需的永久占地计划。监理人应在收到此计划后的 14 天内审核并转报发包人核备。发包人应在监理人发出本工程或分部工程开工通知之前，对承包人开工所需的永久占地办妥征用手续和相关拆迁赔偿手续，通知承包人使用，以使承包人能够及时开工；此后按承包人提交并经监理人同意的合同进度计划的安排，分期（也可以一次）将施工所需的其余永久占地办妥征用以及拆迁赔偿手续，通知承包人使用，以使承包人能够连续不间断地施工。由于承包人施工考虑不周或措施不当等原因而造成的超计划占地或拆迁等所发生的征用和赔偿费用，应由承包人承担。</w:t>
      </w:r>
    </w:p>
    <w:p w14:paraId="1BAE2362">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由于发包人未能按照本项规定办妥永久占地征用手续，影响承包人及时使用永久占地造成的费用增加和（或）工期延误应由发包人承担。由于承包人未能按照本项规定提交占地计划，影响发包人办理永久占地征用手续造成的费用增加和（或）工期延误由承包人承担。</w:t>
      </w:r>
    </w:p>
    <w:p w14:paraId="16E9E365">
      <w:pPr>
        <w:pStyle w:val="2"/>
        <w:spacing w:after="0"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发包人提供的施工场地范围为：</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。施工场地的提供采用以下第</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种方式：</w:t>
      </w:r>
    </w:p>
    <w:p w14:paraId="7119DCA8">
      <w:pPr>
        <w:pStyle w:val="2"/>
        <w:spacing w:after="0"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（1）一次提供全部施工场地：发包人于开工前向承包人提供合同工程用地范围内的施工场地。</w:t>
      </w:r>
    </w:p>
    <w:p w14:paraId="7B9C2F25">
      <w:pPr>
        <w:pStyle w:val="2"/>
        <w:spacing w:after="0"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（2）分次提供全部施工场地：发包人按约定的时间分次向承包人提供合同工程用地范围内的施工场地。</w:t>
      </w:r>
    </w:p>
    <w:p w14:paraId="7045B2A0">
      <w:pPr>
        <w:pStyle w:val="2"/>
        <w:spacing w:after="0"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承包人编制的施工组织计划已充分考虑了施工场地提供的因素。承包人自行勘察的施工场地范围为：                      。</w:t>
      </w:r>
    </w:p>
    <w:p w14:paraId="20726BBA">
      <w:pPr>
        <w:pStyle w:val="2"/>
        <w:spacing w:after="0"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关于发包人应负责提供其他施工所需要条件的要求：    。</w:t>
      </w:r>
    </w:p>
    <w:p w14:paraId="6932D4F6">
      <w:pPr>
        <w:pStyle w:val="2"/>
        <w:spacing w:after="0"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发包人代表</w:t>
      </w:r>
    </w:p>
    <w:p w14:paraId="6BE37AE1">
      <w:pPr>
        <w:pStyle w:val="2"/>
        <w:spacing w:after="0"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姓    名：      ；</w:t>
      </w:r>
    </w:p>
    <w:p w14:paraId="1C2FEE12">
      <w:pPr>
        <w:pStyle w:val="2"/>
        <w:spacing w:after="0"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身份证号：      ；</w:t>
      </w:r>
    </w:p>
    <w:p w14:paraId="21182715">
      <w:pPr>
        <w:pStyle w:val="2"/>
        <w:spacing w:after="0"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职    务：      ；</w:t>
      </w:r>
    </w:p>
    <w:p w14:paraId="3E84D4F4">
      <w:pPr>
        <w:pStyle w:val="2"/>
        <w:spacing w:after="0"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联系方式：      ；</w:t>
      </w:r>
    </w:p>
    <w:p w14:paraId="05FAC32E">
      <w:pPr>
        <w:pStyle w:val="2"/>
        <w:spacing w:after="0"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联系地址：      ；</w:t>
      </w:r>
    </w:p>
    <w:p w14:paraId="6F477BCC">
      <w:pPr>
        <w:pStyle w:val="2"/>
        <w:spacing w:after="0"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邮    编：      ；</w:t>
      </w:r>
    </w:p>
    <w:p w14:paraId="3023F96F">
      <w:pPr>
        <w:pStyle w:val="2"/>
        <w:spacing w:after="0"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发包人对发包人代表的授权范围如下：代表发包人对项目建设进行协调、管控、审查，确保安全、质量、环保、进度、成本可控，及时处理项目相关问题，向承包人、监理人等下达各类指令。由发包人授权的，以授权书载明的授权范围为准。</w:t>
      </w:r>
    </w:p>
    <w:p w14:paraId="4901D328">
      <w:pPr>
        <w:pStyle w:val="2"/>
        <w:spacing w:after="0"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资金来源证明及支付担保</w:t>
      </w:r>
    </w:p>
    <w:p w14:paraId="30954F2C">
      <w:pPr>
        <w:pStyle w:val="2"/>
        <w:spacing w:after="0"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发包人提供资金来源证明的期限要求：</w:t>
      </w:r>
      <w:r>
        <w:rPr>
          <w:rFonts w:hint="eastAsia" w:ascii="宋体" w:hAnsi="宋体" w:eastAsia="宋体" w:cs="宋体"/>
          <w:color w:val="auto"/>
          <w:kern w:val="0"/>
          <w:sz w:val="21"/>
          <w:szCs w:val="21"/>
          <w:highlight w:val="none"/>
          <w:u w:val="single"/>
          <w:lang w:val="en-US" w:eastAsia="zh-CN" w:bidi="ar"/>
        </w:rPr>
        <w:t>不采用</w:t>
      </w:r>
      <w:r>
        <w:rPr>
          <w:rFonts w:hint="eastAsia" w:ascii="宋体" w:hAnsi="宋体" w:eastAsia="宋体" w:cs="宋体"/>
          <w:color w:val="auto"/>
          <w:kern w:val="0"/>
          <w:sz w:val="21"/>
          <w:szCs w:val="21"/>
          <w:highlight w:val="none"/>
          <w:lang w:val="en-US" w:eastAsia="zh-CN" w:bidi="ar"/>
        </w:rPr>
        <w:t>。</w:t>
      </w:r>
    </w:p>
    <w:p w14:paraId="0ABEF32C">
      <w:pPr>
        <w:pStyle w:val="2"/>
        <w:spacing w:after="0"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发包人是否提供支付担保：</w:t>
      </w:r>
      <w:r>
        <w:rPr>
          <w:rFonts w:hint="eastAsia" w:ascii="宋体" w:hAnsi="宋体" w:eastAsia="宋体" w:cs="宋体"/>
          <w:color w:val="auto"/>
          <w:kern w:val="0"/>
          <w:sz w:val="21"/>
          <w:szCs w:val="21"/>
          <w:highlight w:val="none"/>
          <w:u w:val="single"/>
          <w:lang w:val="en-US" w:eastAsia="zh-CN" w:bidi="ar"/>
        </w:rPr>
        <w:t>提供</w:t>
      </w:r>
      <w:r>
        <w:rPr>
          <w:rFonts w:hint="eastAsia" w:ascii="宋体" w:hAnsi="宋体" w:eastAsia="宋体" w:cs="宋体"/>
          <w:color w:val="auto"/>
          <w:kern w:val="0"/>
          <w:sz w:val="21"/>
          <w:szCs w:val="21"/>
          <w:highlight w:val="none"/>
          <w:lang w:val="en-US" w:eastAsia="zh-CN" w:bidi="ar"/>
        </w:rPr>
        <w:t>。</w:t>
      </w:r>
    </w:p>
    <w:p w14:paraId="161CC0A3">
      <w:pPr>
        <w:pStyle w:val="2"/>
        <w:spacing w:after="0"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发包人提供支付担保的形式：</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3818F5AE">
      <w:pPr>
        <w:pStyle w:val="2"/>
        <w:spacing w:after="0"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支付担保的金额：        。</w:t>
      </w:r>
    </w:p>
    <w:p w14:paraId="168CA5B4">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支付担保的时间：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E4C197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支付担保的期限：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A0784B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支付担保的退还时间：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2E896A6">
      <w:pPr>
        <w:pStyle w:val="5"/>
        <w:spacing w:before="0" w:after="0" w:line="360" w:lineRule="auto"/>
        <w:jc w:val="left"/>
        <w:rPr>
          <w:rFonts w:hint="eastAsia" w:ascii="宋体" w:hAnsi="宋体" w:eastAsia="宋体" w:cs="宋体"/>
          <w:color w:val="auto"/>
          <w:highlight w:val="none"/>
        </w:rPr>
      </w:pPr>
      <w:bookmarkStart w:id="525" w:name="_Toc57795967"/>
      <w:r>
        <w:rPr>
          <w:rFonts w:hint="eastAsia" w:ascii="宋体" w:hAnsi="宋体" w:eastAsia="宋体" w:cs="宋体"/>
          <w:color w:val="auto"/>
          <w:highlight w:val="none"/>
        </w:rPr>
        <w:t>3、监理人</w:t>
      </w:r>
      <w:bookmarkEnd w:id="525"/>
    </w:p>
    <w:p w14:paraId="2DE54D5E">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3.1 监理人的职责和权力</w:t>
      </w:r>
    </w:p>
    <w:p w14:paraId="69E54B1F">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第 3.1.1 项补充：</w:t>
      </w:r>
    </w:p>
    <w:p w14:paraId="4257434C">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监理人在行使下列权力前需要经发包人事先批准：</w:t>
      </w:r>
    </w:p>
    <w:p w14:paraId="5FF6380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（1）根据第 4.3 款，同意分包本工程的某些非关键性工作或者适合专业化队伍施工的专项工程；</w:t>
      </w:r>
    </w:p>
    <w:p w14:paraId="02792FDB">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（2）确定第 4.11 款下产生的费用增加额；</w:t>
      </w:r>
    </w:p>
    <w:p w14:paraId="6F9155BD">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（3）根据第 11.1 款、第 12.3 款、第 12.4 款发布开工通知、暂停施工指示或复工通知；</w:t>
      </w:r>
    </w:p>
    <w:p w14:paraId="0F92C6C7">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（4）决定第 11.3 款、第 11.4 款下的工期延长；</w:t>
      </w:r>
    </w:p>
    <w:p w14:paraId="28EB846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（5）审查批准技术方案或设计的变更；</w:t>
      </w:r>
    </w:p>
    <w:p w14:paraId="605B762D">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r>
        <w:rPr>
          <w:rFonts w:hint="eastAsia" w:ascii="宋体" w:hAnsi="宋体" w:eastAsia="宋体" w:cs="宋体"/>
          <w:color w:val="auto"/>
          <w:szCs w:val="21"/>
          <w:highlight w:val="none"/>
        </w:rPr>
        <w:t>根据第15.3款发出的所有变更，均需要经发包人事先批准</w:t>
      </w:r>
      <w:r>
        <w:rPr>
          <w:rFonts w:hint="eastAsia" w:ascii="宋体" w:hAnsi="宋体" w:eastAsia="宋体" w:cs="宋体"/>
          <w:color w:val="auto"/>
          <w:kern w:val="0"/>
          <w:szCs w:val="21"/>
          <w:highlight w:val="none"/>
          <w:lang w:bidi="ar"/>
        </w:rPr>
        <w:t>；</w:t>
      </w:r>
    </w:p>
    <w:p w14:paraId="77664032">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（7）确定第 15.4 款下变更工作的单价；</w:t>
      </w:r>
    </w:p>
    <w:p w14:paraId="5FA032D9">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（8）按照第 15.6 款决定有关暂列金额的使用；</w:t>
      </w:r>
    </w:p>
    <w:p w14:paraId="7C96EAA5">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（9）确定第 15.8 款下的暂估价金额；</w:t>
      </w:r>
    </w:p>
    <w:p w14:paraId="0F572522">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（10）确定第 23.1 款下的索赔额；</w:t>
      </w:r>
    </w:p>
    <w:p w14:paraId="57B96177">
      <w:pPr>
        <w:pStyle w:val="2"/>
        <w:spacing w:after="0" w:line="360" w:lineRule="auto"/>
        <w:ind w:firstLine="440" w:firstLineChars="200"/>
        <w:jc w:val="left"/>
        <w:rPr>
          <w:rFonts w:hint="eastAsia" w:ascii="宋体" w:hAnsi="宋体" w:eastAsia="宋体" w:cs="宋体"/>
          <w:color w:val="auto"/>
          <w:highlight w:val="none"/>
        </w:rPr>
      </w:pPr>
      <w:r>
        <w:rPr>
          <w:rFonts w:hint="eastAsia" w:ascii="宋体" w:hAnsi="宋体" w:eastAsia="宋体" w:cs="宋体"/>
          <w:color w:val="auto"/>
          <w:kern w:val="0"/>
          <w:sz w:val="22"/>
          <w:szCs w:val="18"/>
          <w:highlight w:val="none"/>
          <w:lang w:bidi="ar"/>
        </w:rPr>
        <w:t>（11）</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0C75F195">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如果发生紧急情况，监理人认为将造成人员伤亡，或危及本工程或邻近的财产需立即采取行动，监理人有权在未征得发包人的批准的情况下发布处理紧急情况所必需的指令，承包人应予执行，由此造成的费用增加由监理人按第 3.5 款商定或确定。</w:t>
      </w:r>
    </w:p>
    <w:p w14:paraId="0CA2F9D8">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3.2 总监理工程师</w:t>
      </w:r>
    </w:p>
    <w:p w14:paraId="5E03CBA2">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本款补充：</w:t>
      </w:r>
    </w:p>
    <w:p w14:paraId="66A982B9">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总监理工程师：</w:t>
      </w:r>
    </w:p>
    <w:p w14:paraId="5D082D2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r>
        <w:rPr>
          <w:rFonts w:hint="eastAsia" w:ascii="宋体" w:hAnsi="宋体" w:eastAsia="宋体" w:cs="宋体"/>
          <w:color w:val="auto"/>
          <w:szCs w:val="21"/>
          <w:highlight w:val="none"/>
          <w:u w:val="single"/>
        </w:rPr>
        <w:t xml:space="preserve">                          </w:t>
      </w:r>
      <w:r>
        <w:rPr>
          <w:rFonts w:hint="eastAsia" w:ascii="宋体" w:hAnsi="宋体" w:eastAsia="宋体" w:cs="宋体"/>
          <w:color w:val="auto"/>
          <w:szCs w:val="21"/>
          <w:highlight w:val="none"/>
        </w:rPr>
        <w:t>；</w:t>
      </w:r>
    </w:p>
    <w:p w14:paraId="11EF7179">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    务：</w:t>
      </w:r>
      <w:r>
        <w:rPr>
          <w:rFonts w:hint="eastAsia" w:ascii="宋体" w:hAnsi="宋体" w:eastAsia="宋体" w:cs="宋体"/>
          <w:color w:val="auto"/>
          <w:szCs w:val="21"/>
          <w:highlight w:val="none"/>
          <w:u w:val="single"/>
        </w:rPr>
        <w:t xml:space="preserve">                          </w:t>
      </w:r>
      <w:r>
        <w:rPr>
          <w:rFonts w:hint="eastAsia" w:ascii="宋体" w:hAnsi="宋体" w:eastAsia="宋体" w:cs="宋体"/>
          <w:color w:val="auto"/>
          <w:szCs w:val="21"/>
          <w:highlight w:val="none"/>
        </w:rPr>
        <w:t>；</w:t>
      </w:r>
    </w:p>
    <w:p w14:paraId="73F6EE90">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监理工程师执业资格证书号：</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0AACBB2B">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联系方式：</w:t>
      </w:r>
      <w:r>
        <w:rPr>
          <w:rFonts w:hint="eastAsia" w:ascii="宋体" w:hAnsi="宋体" w:eastAsia="宋体" w:cs="宋体"/>
          <w:color w:val="auto"/>
          <w:szCs w:val="21"/>
          <w:highlight w:val="none"/>
          <w:u w:val="single"/>
        </w:rPr>
        <w:t xml:space="preserve">                          </w:t>
      </w:r>
      <w:r>
        <w:rPr>
          <w:rFonts w:hint="eastAsia" w:ascii="宋体" w:hAnsi="宋体" w:eastAsia="宋体" w:cs="宋体"/>
          <w:color w:val="auto"/>
          <w:kern w:val="0"/>
          <w:szCs w:val="21"/>
          <w:highlight w:val="none"/>
        </w:rPr>
        <w:t>；</w:t>
      </w:r>
    </w:p>
    <w:p w14:paraId="49649FC1">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关于监理人的其他约定：</w:t>
      </w:r>
      <w:r>
        <w:rPr>
          <w:rFonts w:hint="eastAsia" w:ascii="宋体" w:hAnsi="宋体" w:eastAsia="宋体" w:cs="宋体"/>
          <w:color w:val="auto"/>
          <w:kern w:val="0"/>
          <w:szCs w:val="21"/>
          <w:highlight w:val="none"/>
          <w:u w:val="single"/>
        </w:rPr>
        <w:t>见发包人与监理人就本工程签订的监理合同</w:t>
      </w:r>
      <w:r>
        <w:rPr>
          <w:rFonts w:hint="eastAsia" w:ascii="宋体" w:hAnsi="宋体" w:eastAsia="宋体" w:cs="宋体"/>
          <w:color w:val="auto"/>
          <w:kern w:val="0"/>
          <w:szCs w:val="21"/>
          <w:highlight w:val="none"/>
        </w:rPr>
        <w:t>。</w:t>
      </w:r>
    </w:p>
    <w:p w14:paraId="612918D2">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3.5 商定或确定</w:t>
      </w:r>
    </w:p>
    <w:p w14:paraId="12092532">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第 3.5.1 项补充：</w:t>
      </w:r>
    </w:p>
    <w:p w14:paraId="54E8D0AF">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如果这项商定或确定导致费用增加和（或）工期延长，或者涉及确定变更工程的价格，则总监理工程师在发出通知前，应征得发包人的同意。</w:t>
      </w:r>
    </w:p>
    <w:p w14:paraId="04199455">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本款补充第 3.5.3 项：</w:t>
      </w:r>
    </w:p>
    <w:p w14:paraId="00B4239F">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3.5.3 在发包人和承包人不能通过协商达成一致意见时，发包人授权监理人对以下事项进行确定：</w:t>
      </w:r>
    </w:p>
    <w:p w14:paraId="586F2843">
      <w:pPr>
        <w:pStyle w:val="2"/>
        <w:spacing w:after="0" w:line="360" w:lineRule="auto"/>
        <w:ind w:firstLine="44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2"/>
          <w:szCs w:val="18"/>
          <w:highlight w:val="none"/>
        </w:rPr>
        <w:t>（1）</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5636F6A4">
      <w:pPr>
        <w:pStyle w:val="5"/>
        <w:spacing w:before="0" w:after="0" w:line="360" w:lineRule="auto"/>
        <w:jc w:val="left"/>
        <w:rPr>
          <w:rFonts w:hint="eastAsia" w:ascii="宋体" w:hAnsi="宋体" w:eastAsia="宋体" w:cs="宋体"/>
          <w:color w:val="auto"/>
          <w:highlight w:val="none"/>
        </w:rPr>
      </w:pPr>
      <w:bookmarkStart w:id="526" w:name="_Toc57795968"/>
      <w:r>
        <w:rPr>
          <w:rFonts w:hint="eastAsia" w:ascii="宋体" w:hAnsi="宋体" w:eastAsia="宋体" w:cs="宋体"/>
          <w:color w:val="auto"/>
          <w:highlight w:val="none"/>
        </w:rPr>
        <w:t>4、承包人</w:t>
      </w:r>
      <w:bookmarkEnd w:id="526"/>
    </w:p>
    <w:p w14:paraId="2CE05D89">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4.1 承包人的一般义务</w:t>
      </w:r>
    </w:p>
    <w:p w14:paraId="62F9C0A6">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4.1.3完成各项承包工作:</w:t>
      </w:r>
    </w:p>
    <w:p w14:paraId="570EEC20">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highlight w:val="none"/>
        </w:rPr>
        <w:t>本项补充：</w:t>
      </w:r>
    </w:p>
    <w:p w14:paraId="38B14952">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（1）办理法律规定和合同约定应由承包人办理的许可和批准，并将办理结果书面报送发包人留存；协助发包人办理施工所需的相关证件及手续。</w:t>
      </w:r>
    </w:p>
    <w:p w14:paraId="0B21C666">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按法律规定和合同约定完成工程，包括满足合同所必需的或合同隐含的以及由承包人义务而产生的任何工程，还应包括合同根据相关法律法规、技术规范等对工程的稳定性、完整性或安全、可靠、有效运行所必需的所有工程，并在保修期内承担保修义务。</w:t>
      </w:r>
    </w:p>
    <w:p w14:paraId="3F31D574">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（3）按法律规定和合同约定采取施工安全和环境保护措施，办理工伤保险，确保工程及人员、材料、设备和设施的安全。</w:t>
      </w:r>
    </w:p>
    <w:p w14:paraId="6EA1BF62">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按合同约定的工作内容和施工进度要求，编制施工组织设计和施工措施计划，并对所有施工作业和施工方法的完备性和安全可靠性负责。施工组织设计和施工措施计划中的措施保障水平应满足工程按合同进度实施的需要，且不得低于</w:t>
      </w:r>
      <w:r>
        <w:rPr>
          <w:rFonts w:hint="eastAsia" w:ascii="宋体" w:hAnsi="宋体" w:eastAsia="宋体" w:cs="宋体"/>
          <w:color w:val="auto"/>
          <w:kern w:val="0"/>
          <w:szCs w:val="21"/>
          <w:highlight w:val="none"/>
          <w:lang w:eastAsia="zh-CN"/>
        </w:rPr>
        <w:t>比选</w:t>
      </w:r>
      <w:r>
        <w:rPr>
          <w:rFonts w:hint="eastAsia" w:ascii="宋体" w:hAnsi="宋体" w:eastAsia="宋体" w:cs="宋体"/>
          <w:color w:val="auto"/>
          <w:kern w:val="0"/>
          <w:szCs w:val="21"/>
          <w:highlight w:val="none"/>
        </w:rPr>
        <w:t>时施工组织设计的措施保障水平。</w:t>
      </w:r>
    </w:p>
    <w:p w14:paraId="4886CB95">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（5）按照约定采取施工安全措施，确保工程及其人员、材料、设备和设施的安全，防止因工程施工造成的人身伤害和财产损失。</w:t>
      </w:r>
    </w:p>
    <w:p w14:paraId="5A623C22">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（6）将发包人按合同约定支付的各项价款专用于合同工程，且应及时支付其雇用人员工资，并及时向分包人支付合同价款。</w:t>
      </w:r>
    </w:p>
    <w:p w14:paraId="2FCA59F4">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承包人需要提交的竣工资料套数：</w:t>
      </w:r>
      <w:r>
        <w:rPr>
          <w:rFonts w:hint="eastAsia" w:ascii="宋体" w:hAnsi="宋体" w:eastAsia="宋体" w:cs="宋体"/>
          <w:color w:val="auto"/>
          <w:kern w:val="0"/>
          <w:szCs w:val="21"/>
          <w:highlight w:val="none"/>
          <w:u w:val="single"/>
        </w:rPr>
        <w:t>完整竣工资料一式     套（含电子文档）</w:t>
      </w:r>
      <w:r>
        <w:rPr>
          <w:rFonts w:hint="eastAsia" w:ascii="宋体" w:hAnsi="宋体" w:eastAsia="宋体" w:cs="宋体"/>
          <w:color w:val="auto"/>
          <w:kern w:val="0"/>
          <w:szCs w:val="21"/>
          <w:highlight w:val="none"/>
        </w:rPr>
        <w:t>。</w:t>
      </w:r>
    </w:p>
    <w:p w14:paraId="4828C932">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承包人提交的竣工资料的费用承担：</w:t>
      </w:r>
      <w:r>
        <w:rPr>
          <w:rFonts w:hint="eastAsia" w:ascii="宋体" w:hAnsi="宋体" w:eastAsia="宋体" w:cs="宋体"/>
          <w:color w:val="auto"/>
          <w:kern w:val="0"/>
          <w:szCs w:val="21"/>
          <w:highlight w:val="none"/>
          <w:u w:val="single"/>
        </w:rPr>
        <w:t>由承包人承担</w:t>
      </w:r>
      <w:r>
        <w:rPr>
          <w:rFonts w:hint="eastAsia" w:ascii="宋体" w:hAnsi="宋体" w:eastAsia="宋体" w:cs="宋体"/>
          <w:color w:val="auto"/>
          <w:kern w:val="0"/>
          <w:szCs w:val="21"/>
          <w:highlight w:val="none"/>
        </w:rPr>
        <w:t>。</w:t>
      </w:r>
    </w:p>
    <w:p w14:paraId="38EDB23F">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承包人提交的竣工资料移交时间：</w:t>
      </w:r>
      <w:r>
        <w:rPr>
          <w:rFonts w:hint="eastAsia" w:ascii="宋体" w:hAnsi="宋体" w:eastAsia="宋体" w:cs="宋体"/>
          <w:color w:val="auto"/>
          <w:kern w:val="0"/>
          <w:szCs w:val="21"/>
          <w:highlight w:val="none"/>
          <w:u w:val="single"/>
        </w:rPr>
        <w:t>工程完工验收合格后     个月内移交给发包人</w:t>
      </w:r>
      <w:r>
        <w:rPr>
          <w:rFonts w:hint="eastAsia" w:ascii="宋体" w:hAnsi="宋体" w:eastAsia="宋体" w:cs="宋体"/>
          <w:color w:val="auto"/>
          <w:kern w:val="0"/>
          <w:szCs w:val="21"/>
          <w:highlight w:val="none"/>
        </w:rPr>
        <w:t>。</w:t>
      </w:r>
    </w:p>
    <w:p w14:paraId="797E4C86">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承包人提交的竣工资料形式要求：</w:t>
      </w:r>
      <w:r>
        <w:rPr>
          <w:rFonts w:hint="eastAsia" w:ascii="宋体" w:hAnsi="宋体" w:eastAsia="宋体" w:cs="宋体"/>
          <w:color w:val="auto"/>
          <w:kern w:val="0"/>
          <w:szCs w:val="21"/>
          <w:highlight w:val="none"/>
          <w:u w:val="single"/>
        </w:rPr>
        <w:t>完整的书面文件及电子文档</w:t>
      </w:r>
      <w:r>
        <w:rPr>
          <w:rFonts w:hint="eastAsia" w:ascii="宋体" w:hAnsi="宋体" w:eastAsia="宋体" w:cs="宋体"/>
          <w:color w:val="auto"/>
          <w:kern w:val="0"/>
          <w:szCs w:val="21"/>
          <w:highlight w:val="none"/>
        </w:rPr>
        <w:t>。</w:t>
      </w:r>
    </w:p>
    <w:p w14:paraId="348F4225">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01C1A7DD">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4.1.4对施工作业和施工方法的完备性负责</w:t>
      </w:r>
    </w:p>
    <w:p w14:paraId="16BC7D74">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本项补充4.1.4.1～4.1.4.3目：</w:t>
      </w:r>
    </w:p>
    <w:p w14:paraId="4BC07433">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4.1.4.1施工组织设计的内容</w:t>
      </w:r>
    </w:p>
    <w:p w14:paraId="2A68C300">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施工组织设计应包含以下内容：</w:t>
      </w:r>
    </w:p>
    <w:p w14:paraId="4194704B">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（1）施工方案；</w:t>
      </w:r>
    </w:p>
    <w:p w14:paraId="543AECB3">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（2）施工现场平面布置图；</w:t>
      </w:r>
    </w:p>
    <w:p w14:paraId="50B31EC8">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（3）施工进度计划和保证措施；</w:t>
      </w:r>
    </w:p>
    <w:p w14:paraId="191CCBD1">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（4）劳动力及材料供应计划；</w:t>
      </w:r>
    </w:p>
    <w:p w14:paraId="300B2784">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（5）施工机械设备的选用；</w:t>
      </w:r>
    </w:p>
    <w:p w14:paraId="774FA78B">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（6）质量保证体系及措施；</w:t>
      </w:r>
    </w:p>
    <w:p w14:paraId="6A8E27E0">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（7）安全生产、文明施工措施；</w:t>
      </w:r>
    </w:p>
    <w:p w14:paraId="78ABE3A9">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（8）环境保护、成本控制措施；</w:t>
      </w:r>
    </w:p>
    <w:p w14:paraId="45D55C7E">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r>
        <w:rPr>
          <w:rFonts w:hint="eastAsia" w:ascii="宋体" w:hAnsi="宋体" w:eastAsia="宋体" w:cs="宋体"/>
          <w:color w:val="auto"/>
          <w:kern w:val="0"/>
          <w:szCs w:val="21"/>
          <w:highlight w:val="none"/>
          <w:u w:val="single"/>
        </w:rPr>
        <w:t>合同当事人约定的其他内容</w:t>
      </w:r>
      <w:r>
        <w:rPr>
          <w:rFonts w:hint="eastAsia" w:ascii="宋体" w:hAnsi="宋体" w:eastAsia="宋体" w:cs="宋体"/>
          <w:color w:val="auto"/>
          <w:kern w:val="0"/>
          <w:szCs w:val="21"/>
          <w:highlight w:val="none"/>
        </w:rPr>
        <w:t>。</w:t>
      </w:r>
    </w:p>
    <w:p w14:paraId="46AC2895">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4.1.4.2 合同当事人约定的施工组织设计应包括的其他内容：应采用文字并结合图表形式说明施工方法；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w:t>
      </w:r>
    </w:p>
    <w:p w14:paraId="2296C232">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4.1.4.3施工组织设计的提交和修改</w:t>
      </w:r>
    </w:p>
    <w:p w14:paraId="7EB04BCE">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（1）承包人提交详细施工组织设计的期限的约定：</w:t>
      </w:r>
      <w:r>
        <w:rPr>
          <w:rFonts w:hint="eastAsia" w:ascii="宋体" w:hAnsi="宋体" w:eastAsia="宋体" w:cs="宋体"/>
          <w:color w:val="auto"/>
          <w:kern w:val="0"/>
          <w:szCs w:val="21"/>
          <w:highlight w:val="none"/>
          <w:u w:val="single"/>
        </w:rPr>
        <w:t>合同签订后14天内，但最迟不得晚于开工通知载明的开工日期前7天</w:t>
      </w:r>
      <w:r>
        <w:rPr>
          <w:rFonts w:hint="eastAsia" w:ascii="宋体" w:hAnsi="宋体" w:eastAsia="宋体" w:cs="宋体"/>
          <w:color w:val="auto"/>
          <w:kern w:val="0"/>
          <w:szCs w:val="21"/>
          <w:highlight w:val="none"/>
        </w:rPr>
        <w:t>。</w:t>
      </w:r>
    </w:p>
    <w:p w14:paraId="6964B753">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（2）承包人编制施工组织设计的内容：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0FB923FE">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（3）发包人和监理人在收到详细的施工组织设计后确认或提出修改意见的期限：</w:t>
      </w:r>
      <w:r>
        <w:rPr>
          <w:rFonts w:hint="eastAsia" w:ascii="宋体" w:hAnsi="宋体" w:eastAsia="宋体" w:cs="宋体"/>
          <w:color w:val="auto"/>
          <w:kern w:val="0"/>
          <w:szCs w:val="21"/>
          <w:highlight w:val="none"/>
          <w:u w:val="single"/>
        </w:rPr>
        <w:t xml:space="preserve">收到施工组织设计后 </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天内</w:t>
      </w:r>
      <w:r>
        <w:rPr>
          <w:rFonts w:hint="eastAsia" w:ascii="宋体" w:hAnsi="宋体" w:eastAsia="宋体" w:cs="宋体"/>
          <w:color w:val="auto"/>
          <w:kern w:val="0"/>
          <w:szCs w:val="21"/>
          <w:highlight w:val="none"/>
        </w:rPr>
        <w:t>。</w:t>
      </w:r>
    </w:p>
    <w:p w14:paraId="48DFF0E5">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4.1.9 工程的维护和照管</w:t>
      </w:r>
    </w:p>
    <w:p w14:paraId="75113397">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本项细化为：</w:t>
      </w:r>
    </w:p>
    <w:p w14:paraId="059CB8B7">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交工验收证书颁发前，承包人应负责照管和维护工程及将用于或安装在本工程中的材料、设备。交工验收证书颁发时尚有部分未交工工程的，承包人还应负责该未交工工程、材料、设备的照管和维护工作，直至交工后移交给发包人为止。</w:t>
      </w:r>
    </w:p>
    <w:p w14:paraId="740A8E0F">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（2）在承包人负责照管与维护期间，如果本工程或材料、设备等发生损失或损害，除不可抗力原因之外，承包人均应自费弥补，并达到合同要求。承包人还应对按第 19 条规定而实施作业过程中由承包人造成的对工程的任何损失或损害负责。</w:t>
      </w:r>
    </w:p>
    <w:p w14:paraId="552A40DC">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4.1.10 其他义务</w:t>
      </w:r>
    </w:p>
    <w:p w14:paraId="78566495">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本项细化为：</w:t>
      </w:r>
    </w:p>
    <w:p w14:paraId="7DA6DD28">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（1）临时占地由承包人向当地政府土地管理部门申请，并办理租用手续，承包人按有关规定直接支付其费用，发包人对此将予以协调。</w:t>
      </w:r>
    </w:p>
    <w:p w14:paraId="53DEFA3D">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临时占地范围包括承包人驻地的办公室、食堂、宿舍、道路和机械设备停放场、材料堆放场地、弃土场、预制场、拌和场、仓库、进场临时道路、临时便道、便桥等。承包人应在“临时占地计划表”范围内按实际需要与先后次序，提出具体计划报监理人同意，并报发包人。临时占地的面积和使用期应满足工程需要，费用包括临时占地数量、时间及因此而发生的协调、租用、复耕、地面附着物（电力、电信、房屋、坟墓除外）的拆迁补偿等相关费用。临时 占地的租地费用实行总额包干，列入工程量清单第 100 章中由承包人按总额报价。</w:t>
      </w:r>
    </w:p>
    <w:p w14:paraId="4A1536ED">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临时占地退还前，承包人应自费恢复到临时占地使用前的状况。如因承包人撤离后未按要求对临时占地进行恢复或虽进行了恢复但未达到使用标准的，将由发包人委托第三方对其恢复，所发生的费用将从应付给承包人的任何款项内扣除。</w:t>
      </w:r>
    </w:p>
    <w:p w14:paraId="15F1CD75">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承包人应承担并支付为获得本合同工程所需的石料、砂、砾石、黏土或其他当地材料等所发生的料场使用费及其他开支或补偿费。发包人应尽可能协助承包人办理料场租用手续及解决使用过程中的有关问题。</w:t>
      </w:r>
    </w:p>
    <w:p w14:paraId="1F8F0C69">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承包人应严格遵守国家有关解决拖欠工程款和民工工资的法律、法规，及时支付工程中的材料、设备货款及民工工资等费用。承包人不得以任何借口拖欠材料、设备货款及民工工资等费用，如果出现此种现象，发包人有权代为支付其拖欠的材料、设备货款及民工工资，并从应付给承包人的工程款中扣除相应款项。对恶意拖欠和拒不按计划支付的，作为不良记录纳入公路建设市场信用信息管理系统。</w:t>
      </w:r>
    </w:p>
    <w:p w14:paraId="1ED45799">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承包人的项目经理部是民工工资支付行为的主体，承包人的项目经理是民工工资支付的责任人。项目经理部要建立全体民工花名册和工资支付表，确保将工资直接发放给民工本人，或委托银行发放民工工资，严禁发放给“包工头”或其他不具备用工主体资格的组织和个人。</w:t>
      </w:r>
    </w:p>
    <w:p w14:paraId="3B91261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工资支付表应如实记录支付单位、支付时间、支付对象、支付数额、支付对象的身份证号和</w:t>
      </w:r>
      <w:r>
        <w:rPr>
          <w:rFonts w:hint="eastAsia" w:ascii="宋体" w:hAnsi="宋体" w:eastAsia="宋体" w:cs="宋体"/>
          <w:color w:val="auto"/>
          <w:kern w:val="0"/>
          <w:szCs w:val="21"/>
          <w:highlight w:val="none"/>
          <w:lang w:eastAsia="zh-CN" w:bidi="ar"/>
        </w:rPr>
        <w:t>签名</w:t>
      </w:r>
      <w:r>
        <w:rPr>
          <w:rFonts w:hint="eastAsia" w:ascii="宋体" w:hAnsi="宋体" w:eastAsia="宋体" w:cs="宋体"/>
          <w:color w:val="auto"/>
          <w:kern w:val="0"/>
          <w:szCs w:val="21"/>
          <w:highlight w:val="none"/>
          <w:lang w:bidi="ar"/>
        </w:rPr>
        <w:t>等信息。民工花名册和工资支付表应报监理人备查。</w:t>
      </w:r>
    </w:p>
    <w:p w14:paraId="2E78C315">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4）承包人应分解工程价款中的人工费用，在工程项目所在地银行开设民工工资（劳务费）专用账户，专项用于支付民工工资。发包人应按照本合同约定的比例或承包人提供的人工费用数额，将应付工程款中的人工费单独拨付到承包人开设的民工工资（劳务费）专用账户。民工工资（劳务费）专用账户应向人力资源社会保障部门和交通运输主管部门备案，并委托开户银行负责日常监管，确保专款专用。 开户银行发现账户资金不足、被挪用等情况，应及时向人力资源社会保障部门和交通运输主管部门报告。 </w:t>
      </w:r>
    </w:p>
    <w:p w14:paraId="4139328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（5）承包人应严格执行</w:t>
      </w:r>
      <w:r>
        <w:rPr>
          <w:rFonts w:hint="eastAsia" w:ascii="宋体" w:hAnsi="宋体" w:eastAsia="宋体" w:cs="宋体"/>
          <w:color w:val="auto"/>
          <w:kern w:val="0"/>
          <w:szCs w:val="21"/>
          <w:highlight w:val="none"/>
          <w:lang w:eastAsia="zh-CN" w:bidi="ar"/>
        </w:rPr>
        <w:t>比选文件</w:t>
      </w:r>
      <w:r>
        <w:rPr>
          <w:rFonts w:hint="eastAsia" w:ascii="宋体" w:hAnsi="宋体" w:eastAsia="宋体" w:cs="宋体"/>
          <w:color w:val="auto"/>
          <w:kern w:val="0"/>
          <w:szCs w:val="21"/>
          <w:highlight w:val="none"/>
          <w:lang w:bidi="ar"/>
        </w:rPr>
        <w:t>技术规范对施工标准化提出的具体要求，结合本单位施工能力和技术优势，积极采取有利于标准化施工的组织方式和工艺流程，加强工地建设、工艺控制、人员管理和内业资料管理，强化对施工一线操作人员的培训，改善职工生产生活条件，与此相关的费用承包人应列入工程量清单第100章中。</w:t>
      </w:r>
    </w:p>
    <w:p w14:paraId="040750F8">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（6）承包人应履行的其他义务：</w:t>
      </w:r>
    </w:p>
    <w:p w14:paraId="2CD29099">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a.在开始施工之前，承包人应核查、复测本工程的各种基准标志。承包人应及时将上述基准标志中存在的错误、不完整或其他缺陷通知发包人，以便发包人核实后重新确认。</w:t>
      </w:r>
    </w:p>
    <w:p w14:paraId="39A83DEE">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b.承包人应负责合同工程范围内测量控制网的测量设定和管理工作，为控制施工造成测量控制网误差累加，每月承包人复测一次测量控制网，并将修正数据及时通知发包人。经监理人批准，其他相关承包人可免费使用施工控制网。</w:t>
      </w:r>
    </w:p>
    <w:p w14:paraId="271C8287">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c.承包人应在开始施工之前对本工程进行排查，补充完善遗漏的危大工程重点部位及环节。危大工程施工前，承包人应对危大工程编制专项施工方案，对于超过一定规模的危大工程，承包人还应组织召开专家论证会对专项施工方案进行论证，通过后方可实施。</w:t>
      </w:r>
    </w:p>
    <w:p w14:paraId="3A29E4C3">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d.承包人应服从发包人要求的管理模式、工作方式和工作要求，同时接受监理人、跟审单位（如有）的管理和全程监督，配合项目结、决算的办理。</w:t>
      </w:r>
    </w:p>
    <w:p w14:paraId="6C4FB4D9">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e.承包人应严格执行</w:t>
      </w:r>
      <w:r>
        <w:rPr>
          <w:rFonts w:hint="eastAsia" w:ascii="宋体" w:hAnsi="宋体" w:eastAsia="宋体" w:cs="宋体"/>
          <w:color w:val="auto"/>
          <w:kern w:val="0"/>
          <w:szCs w:val="21"/>
          <w:highlight w:val="none"/>
          <w:lang w:eastAsia="zh-CN"/>
        </w:rPr>
        <w:t>比选文件</w:t>
      </w:r>
      <w:r>
        <w:rPr>
          <w:rFonts w:hint="eastAsia" w:ascii="宋体" w:hAnsi="宋体" w:eastAsia="宋体" w:cs="宋体"/>
          <w:color w:val="auto"/>
          <w:kern w:val="0"/>
          <w:szCs w:val="21"/>
          <w:highlight w:val="none"/>
        </w:rPr>
        <w:t>技术规范对施工标准化提出的具体要求，结合本单位施工能力和技术优势，积极采取有利于标准化施工的组织方式和工艺流程，加强工地建设、工艺控制、人员管理和内业资料管理，强化对施工一线操作人员的培训，改善职工生产生活条件。</w:t>
      </w:r>
    </w:p>
    <w:p w14:paraId="2ED41BA6">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f.承包人安排在施工场地的主要管理人员应与承包人承诺的名单一致，并保持相对稳定。未经监理人批准，上述人员不应无故不到位或被替换；若确实无法到位或需替换，需经监理人审核并报发包人批准后，用同等资质和经历的人员替换。尽管承包人已按承诺派遣了上述各类人员，但若这些人员仍不能满足合同进度计划和（或）质量要求时，监理人有权要求承包人继续增派或雇用这类人员，并书面通知承包人和抄送发包人。承包人在接到上述通知后应立即执行监理人的上述指示，不得无故拖延，由此增加的费用和（或）工期延误由承包人承担。</w:t>
      </w:r>
    </w:p>
    <w:p w14:paraId="27929ACD">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g.</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47D51213">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4.2 履约担保</w:t>
      </w:r>
    </w:p>
    <w:p w14:paraId="018322FF">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本款细化为：</w:t>
      </w:r>
    </w:p>
    <w:p w14:paraId="3833A0F0">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承包人应保证其履约保证金在发包人签发交工验收证书且承包人按照合同约定交纳质量保证金前一直有效。发包人应在收到承包人交纳的质量保证金后 28 天内将履约保证金退还给承包人。</w:t>
      </w:r>
    </w:p>
    <w:p w14:paraId="70555F4B">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承包人拒绝按照本合同约定交纳质量保证金的，发包人有权从交工付款证书中扣留相应金额作为质量保证金，或者直接将履约保证金金额用于保证承包人在缺陷责任期内履行缺陷修复义务。</w:t>
      </w:r>
    </w:p>
    <w:p w14:paraId="2EA944F8">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本款补充第 4.2.1 ～ 4.2.3 项：</w:t>
      </w:r>
    </w:p>
    <w:p w14:paraId="07BB11C1">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4.2.1 承包人是否提供履约担保：</w:t>
      </w:r>
      <w:r>
        <w:rPr>
          <w:rFonts w:hint="eastAsia" w:ascii="宋体" w:hAnsi="宋体" w:eastAsia="宋体" w:cs="宋体"/>
          <w:color w:val="auto"/>
          <w:kern w:val="0"/>
          <w:szCs w:val="21"/>
          <w:highlight w:val="none"/>
          <w:u w:val="single"/>
        </w:rPr>
        <w:t>提供</w:t>
      </w:r>
      <w:r>
        <w:rPr>
          <w:rFonts w:hint="eastAsia" w:ascii="宋体" w:hAnsi="宋体" w:eastAsia="宋体" w:cs="宋体"/>
          <w:color w:val="auto"/>
          <w:kern w:val="0"/>
          <w:szCs w:val="21"/>
          <w:highlight w:val="none"/>
        </w:rPr>
        <w:t>。</w:t>
      </w:r>
    </w:p>
    <w:p w14:paraId="75D9FA3F">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4.2.2承包人提供履约担保的形式、金额及期限：</w:t>
      </w:r>
    </w:p>
    <w:p w14:paraId="0C26C4B3">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履约担保的形式：</w:t>
      </w:r>
      <w:r>
        <w:rPr>
          <w:rFonts w:hint="eastAsia" w:ascii="宋体" w:hAnsi="宋体" w:eastAsia="宋体" w:cs="宋体"/>
          <w:color w:val="auto"/>
          <w:kern w:val="0"/>
          <w:sz w:val="21"/>
          <w:szCs w:val="21"/>
          <w:highlight w:val="none"/>
          <w:u w:val="none"/>
          <w:lang w:val="en-US" w:eastAsia="zh-CN" w:bidi="ar-SA"/>
        </w:rPr>
        <w:t>现金或银行保函或项目所在地区属国有担保公司保函，采用保函形式的，保函必须为不可撤销且见索即付。</w:t>
      </w:r>
    </w:p>
    <w:p w14:paraId="7B8AEC32">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具体要求：履约保函的开立人应当是具有相应资格的银行、保险机构、融资担保公司，其信用资质、履约能力、担保能力、赔付流程、安全保密等应符合履约保函业务条件。履约保函应合法合规，符合招投标行政监督部门、行业主管部门和金融监管部门的相关规定，满足招标文件约定要求。中标人对所提交的履约保函的真实性、合法性、有效性负责。</w:t>
      </w:r>
    </w:p>
    <w:p w14:paraId="6F0F4B71">
      <w:pPr>
        <w:numPr>
          <w:ilvl w:val="0"/>
          <w:numId w:val="0"/>
        </w:numPr>
        <w:tabs>
          <w:tab w:val="left" w:pos="1134"/>
        </w:tabs>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w:t>
      </w:r>
      <w:r>
        <w:rPr>
          <w:rFonts w:hint="eastAsia" w:ascii="宋体" w:hAnsi="宋体" w:eastAsia="宋体" w:cs="宋体"/>
          <w:color w:val="auto"/>
          <w:kern w:val="0"/>
          <w:szCs w:val="21"/>
          <w:highlight w:val="none"/>
        </w:rPr>
        <w:t>履约担保的金额：</w:t>
      </w:r>
      <w:r>
        <w:rPr>
          <w:rFonts w:hint="eastAsia" w:ascii="宋体" w:hAnsi="宋体" w:eastAsia="宋体" w:cs="宋体"/>
          <w:color w:val="auto"/>
          <w:kern w:val="0"/>
          <w:szCs w:val="21"/>
          <w:highlight w:val="none"/>
          <w:u w:val="single"/>
          <w:lang w:eastAsia="zh-CN"/>
        </w:rPr>
        <w:t>中选合同金额的</w:t>
      </w:r>
      <w:r>
        <w:rPr>
          <w:rFonts w:hint="eastAsia" w:ascii="宋体" w:hAnsi="宋体" w:eastAsia="宋体" w:cs="宋体"/>
          <w:color w:val="auto"/>
          <w:kern w:val="0"/>
          <w:szCs w:val="21"/>
          <w:highlight w:val="none"/>
          <w:u w:val="single"/>
          <w:lang w:val="en-US" w:eastAsia="zh-CN"/>
        </w:rPr>
        <w:t>10%</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2A352691">
      <w:pPr>
        <w:widowControl/>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（3）履约担保的提交时间：</w:t>
      </w:r>
      <w:r>
        <w:rPr>
          <w:rFonts w:hint="eastAsia" w:ascii="宋体" w:hAnsi="宋体" w:eastAsia="宋体" w:cs="宋体"/>
          <w:color w:val="auto"/>
          <w:kern w:val="0"/>
          <w:szCs w:val="21"/>
          <w:highlight w:val="none"/>
          <w:u w:val="single"/>
        </w:rPr>
        <w:t>中选承包商领取</w:t>
      </w:r>
      <w:r>
        <w:rPr>
          <w:rFonts w:hint="eastAsia" w:ascii="宋体" w:hAnsi="宋体" w:eastAsia="宋体" w:cs="宋体"/>
          <w:color w:val="auto"/>
          <w:kern w:val="0"/>
          <w:szCs w:val="21"/>
          <w:highlight w:val="none"/>
          <w:u w:val="single"/>
          <w:lang w:eastAsia="zh-CN"/>
        </w:rPr>
        <w:t>中选通知书</w:t>
      </w:r>
      <w:r>
        <w:rPr>
          <w:rFonts w:hint="eastAsia" w:ascii="宋体" w:hAnsi="宋体" w:eastAsia="宋体" w:cs="宋体"/>
          <w:color w:val="auto"/>
          <w:kern w:val="0"/>
          <w:szCs w:val="21"/>
          <w:highlight w:val="none"/>
          <w:u w:val="single"/>
        </w:rPr>
        <w:t>之日起10个工作日内，并作为签订施工合同的必备条件。</w:t>
      </w:r>
    </w:p>
    <w:p w14:paraId="0CF5AEBE">
      <w:pPr>
        <w:tabs>
          <w:tab w:val="left" w:pos="1134"/>
        </w:tabs>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（4）履约担保的期限：</w:t>
      </w:r>
      <w:r>
        <w:rPr>
          <w:rFonts w:hint="eastAsia" w:ascii="宋体" w:hAnsi="宋体" w:eastAsia="宋体" w:cs="宋体"/>
          <w:color w:val="auto"/>
          <w:kern w:val="0"/>
          <w:szCs w:val="21"/>
          <w:highlight w:val="none"/>
          <w:u w:val="single"/>
        </w:rPr>
        <w:t>自我方法定代表人（或其委托代理人）</w:t>
      </w:r>
      <w:r>
        <w:rPr>
          <w:rFonts w:hint="eastAsia" w:ascii="宋体" w:hAnsi="宋体" w:eastAsia="宋体" w:cs="宋体"/>
          <w:color w:val="auto"/>
          <w:kern w:val="0"/>
          <w:szCs w:val="21"/>
          <w:highlight w:val="none"/>
          <w:u w:val="single"/>
          <w:lang w:eastAsia="zh-CN"/>
        </w:rPr>
        <w:t>签名</w:t>
      </w:r>
      <w:r>
        <w:rPr>
          <w:rFonts w:hint="eastAsia" w:ascii="宋体" w:hAnsi="宋体" w:eastAsia="宋体" w:cs="宋体"/>
          <w:color w:val="auto"/>
          <w:kern w:val="0"/>
          <w:szCs w:val="21"/>
          <w:highlight w:val="none"/>
          <w:u w:val="single"/>
        </w:rPr>
        <w:t>并加盖公章之日起至你方签发或应签发工程接收证书之日止自提交履约担保之日起至竣工验收合格之日止</w:t>
      </w:r>
      <w:r>
        <w:rPr>
          <w:rFonts w:hint="eastAsia" w:ascii="宋体" w:hAnsi="宋体" w:eastAsia="宋体" w:cs="宋体"/>
          <w:color w:val="auto"/>
          <w:kern w:val="0"/>
          <w:szCs w:val="21"/>
          <w:highlight w:val="none"/>
        </w:rPr>
        <w:t>。</w:t>
      </w:r>
    </w:p>
    <w:p w14:paraId="0F8E8613">
      <w:pPr>
        <w:pStyle w:val="2"/>
        <w:spacing w:after="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（5）履约担保的退还时间</w:t>
      </w:r>
      <w:r>
        <w:rPr>
          <w:rFonts w:hint="eastAsia" w:ascii="宋体" w:hAnsi="宋体" w:eastAsia="宋体" w:cs="宋体"/>
          <w:color w:val="auto"/>
          <w:kern w:val="0"/>
          <w:sz w:val="21"/>
          <w:szCs w:val="21"/>
          <w:highlight w:val="none"/>
          <w:u w:val="single"/>
        </w:rPr>
        <w:t>：采用现金担保的，工程竣工验收合格后14天内退还；采用银行保函的，工程竣工验收合格后14天内退还，或按工程实际情况约定分阶段退还。</w:t>
      </w:r>
    </w:p>
    <w:p w14:paraId="5FE59E83">
      <w:pPr>
        <w:pStyle w:val="2"/>
        <w:spacing w:after="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4.3 分包</w:t>
      </w:r>
    </w:p>
    <w:p w14:paraId="3773E7AF">
      <w:pPr>
        <w:spacing w:line="360" w:lineRule="auto"/>
        <w:ind w:right="248"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 4.3.1项补充：</w:t>
      </w:r>
    </w:p>
    <w:p w14:paraId="06C6A598">
      <w:pPr>
        <w:spacing w:line="360" w:lineRule="auto"/>
        <w:ind w:right="248"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分包的一般约定</w:t>
      </w:r>
      <w:r>
        <w:rPr>
          <w:rFonts w:hint="eastAsia" w:ascii="宋体" w:hAnsi="宋体" w:eastAsia="宋体" w:cs="宋体"/>
          <w:color w:val="auto"/>
          <w:kern w:val="0"/>
          <w:sz w:val="21"/>
          <w:szCs w:val="21"/>
          <w:highlight w:val="none"/>
        </w:rPr>
        <w:t>：</w:t>
      </w:r>
      <w:r>
        <w:rPr>
          <w:rFonts w:hint="eastAsia" w:ascii="宋体" w:hAnsi="宋体" w:eastAsia="宋体" w:cs="宋体"/>
          <w:bCs/>
          <w:color w:val="auto"/>
          <w:sz w:val="21"/>
          <w:szCs w:val="21"/>
          <w:highlight w:val="none"/>
        </w:rPr>
        <w:t>在合同履行过程中实行项目经理、项目总工、安全负责人实名制管理，发包人有权核查承包人管理人员的资格证件、工程价款往来银行账户、施工单位的材料构配件、设备的发票等资料，配合相关行政主管部门加大对转包、违法分包行为的查处。</w:t>
      </w:r>
    </w:p>
    <w:p w14:paraId="050E3AD9">
      <w:pPr>
        <w:pStyle w:val="2"/>
        <w:spacing w:after="0"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 4.3.2项补充：</w:t>
      </w:r>
    </w:p>
    <w:p w14:paraId="3078125D">
      <w:pPr>
        <w:pStyle w:val="2"/>
        <w:spacing w:after="0"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允许承包人分包的工程项目、工作内容与</w:t>
      </w:r>
      <w:r>
        <w:rPr>
          <w:rFonts w:hint="eastAsia" w:ascii="宋体" w:hAnsi="宋体" w:eastAsia="宋体" w:cs="宋体"/>
          <w:color w:val="auto"/>
          <w:sz w:val="21"/>
          <w:szCs w:val="21"/>
          <w:highlight w:val="none"/>
          <w:lang w:val="zh-CN"/>
        </w:rPr>
        <w:t>分包金额</w:t>
      </w:r>
      <w:r>
        <w:rPr>
          <w:rFonts w:hint="eastAsia" w:ascii="宋体" w:hAnsi="宋体" w:eastAsia="宋体" w:cs="宋体"/>
          <w:bCs/>
          <w:color w:val="auto"/>
          <w:sz w:val="21"/>
          <w:szCs w:val="21"/>
          <w:highlight w:val="none"/>
        </w:rPr>
        <w:t>限额：</w:t>
      </w:r>
      <w:r>
        <w:rPr>
          <w:rFonts w:hint="eastAsia" w:ascii="宋体" w:hAnsi="宋体" w:eastAsia="宋体" w:cs="宋体"/>
          <w:color w:val="auto"/>
          <w:sz w:val="21"/>
          <w:szCs w:val="21"/>
          <w:highlight w:val="none"/>
        </w:rPr>
        <w:t>如承包人违法分包一经查实，承包人的履约担保不予退还，发包人有权终止合同，同时发包人有权向相关行政监管部门举报。</w:t>
      </w:r>
    </w:p>
    <w:p w14:paraId="2E266D6F">
      <w:pPr>
        <w:pStyle w:val="2"/>
        <w:spacing w:after="0"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（1）工程项目：</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w:t>
      </w:r>
    </w:p>
    <w:p w14:paraId="11FAB0CE">
      <w:pPr>
        <w:pStyle w:val="2"/>
        <w:spacing w:after="0"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（2）工作内容：</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w:t>
      </w:r>
    </w:p>
    <w:p w14:paraId="4D0100AF">
      <w:pPr>
        <w:pStyle w:val="2"/>
        <w:spacing w:after="0"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（3）分包金额限额：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B5FC019">
      <w:pPr>
        <w:pStyle w:val="2"/>
        <w:spacing w:after="0"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（4）关于分包合同价款支付的约定：</w:t>
      </w:r>
      <w:r>
        <w:rPr>
          <w:rFonts w:hint="eastAsia" w:ascii="宋体" w:hAnsi="宋体" w:eastAsia="宋体" w:cs="宋体"/>
          <w:color w:val="auto"/>
          <w:sz w:val="21"/>
          <w:szCs w:val="21"/>
          <w:highlight w:val="none"/>
          <w:u w:val="single"/>
        </w:rPr>
        <w:t>分包合同价款由承包人与分包人结算，未经承包人同意，发包人不得向分包人支付分包工程价款；生效法律文书要求发包人向分包人支付分包合同价款的，发包人有权从应付承包人工程款中扣除该部分款项</w:t>
      </w:r>
      <w:r>
        <w:rPr>
          <w:rFonts w:hint="eastAsia" w:ascii="宋体" w:hAnsi="宋体" w:eastAsia="宋体" w:cs="宋体"/>
          <w:color w:val="auto"/>
          <w:sz w:val="21"/>
          <w:szCs w:val="21"/>
          <w:highlight w:val="none"/>
        </w:rPr>
        <w:t>。</w:t>
      </w:r>
    </w:p>
    <w:p w14:paraId="16AC89FB">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第 4.3.2 ～ 4.3.4 项细化为：</w:t>
      </w:r>
    </w:p>
    <w:p w14:paraId="3ED33DD9">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4.3.2 承包人不得将工程关键性工作分包给第三人。经发包人同意，承包人可将工程的其他部分或工作分包给第三人。分包包括专业分包和劳务分包。</w:t>
      </w:r>
    </w:p>
    <w:p w14:paraId="5D7AB6B2">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4.3.3 专业分包</w:t>
      </w:r>
    </w:p>
    <w:p w14:paraId="269DBBF1">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在工程施工过程中，承包人进行专业分包必须遵守以下规定：</w:t>
      </w:r>
    </w:p>
    <w:p w14:paraId="743EAD0D">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（1）允许专业分包的工程范围仅限于非关键性工程或者适合专业化队伍施工的专项工程。未列入</w:t>
      </w:r>
      <w:r>
        <w:rPr>
          <w:rFonts w:hint="eastAsia" w:ascii="宋体" w:hAnsi="宋体" w:eastAsia="宋体" w:cs="宋体"/>
          <w:color w:val="auto"/>
          <w:kern w:val="0"/>
          <w:szCs w:val="21"/>
          <w:highlight w:val="none"/>
          <w:lang w:eastAsia="zh-CN" w:bidi="ar"/>
        </w:rPr>
        <w:t>比选申请文件</w:t>
      </w:r>
      <w:r>
        <w:rPr>
          <w:rFonts w:hint="eastAsia" w:ascii="宋体" w:hAnsi="宋体" w:eastAsia="宋体" w:cs="宋体"/>
          <w:color w:val="auto"/>
          <w:kern w:val="0"/>
          <w:szCs w:val="21"/>
          <w:highlight w:val="none"/>
          <w:lang w:bidi="ar"/>
        </w:rPr>
        <w:t>的专项工程，承包人不得分包。但因工程变更增加了有特殊性技术要求、特殊工艺或者涉及专利保护等的专项工程，且按规定无须再进行招标的，由承包人提出书面申请，经发包人书面同意，可以分包。</w:t>
      </w:r>
    </w:p>
    <w:p w14:paraId="0D44BEB0">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（2）专业分包人的资格能力（含安全生产能力）应与其分包工程的标准和规模相适应，且应当具备如下条件：</w:t>
      </w:r>
    </w:p>
    <w:p w14:paraId="2B83E34A">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a.具有经工商登记的法人资格；</w:t>
      </w:r>
    </w:p>
    <w:p w14:paraId="62DDF024">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b.具有从事类似工程经验的管理与技术人员；</w:t>
      </w:r>
    </w:p>
    <w:p w14:paraId="651CE550">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c.具有（自有或租赁）分包工程所需的施工设备。</w:t>
      </w:r>
    </w:p>
    <w:p w14:paraId="26EFD99A">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承包人应向监理人提交专业分包人的资格能力证明材料，经监理人审查并报发包人批准后，可以将相应专业工程分包给该专业分包人。</w:t>
      </w:r>
    </w:p>
    <w:p w14:paraId="65C46D3B">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（3）专业分包工程不得再次分包。</w:t>
      </w:r>
    </w:p>
    <w:p w14:paraId="10E46F34">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承包人和专业分包人应当按照交通运输主管部门制定的统一格式依法签订专业分包合同，并履行合同约定的义务。专业分包合同必须遵循承包合同的各项原则，满足承包合同中的质量、安全、进度、环保以及其他技术、经济等要求。专业分包合同必须明确约定工程款支付条款、结算方式以及保证按期支付的相应措施，确保工程款的支付。承包人应在工程实施前，将经监理人审查同意后的分包合同报发包人备案。</w:t>
      </w:r>
    </w:p>
    <w:p w14:paraId="334DF21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专业分包人应当设立项目管理机构，对所分包工程的施工活动实施管理。项目管理机构应当具有与分包工程的规模、技术复杂程度相适应的技术、经济管理人员，其中项目负责人和技术、财务、计量、质量、安全等主要管理人员必须是专业分包人本单位人员。</w:t>
      </w:r>
    </w:p>
    <w:p w14:paraId="2D1AC974">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承包人应当建立健全相关分包管理制度和台账，对专业分包工程的质量、安全、进度和专业分包人的行为等实施全过程管理，按照合同约定对专业分包工程的实施向发包人负责，并承担赔偿责任。专业分包合同不免除承包合同中规定的承包人的责任或者义务。</w:t>
      </w:r>
    </w:p>
    <w:p w14:paraId="292F9C4F">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（7）专业分包人应当依据专业分包合同的约定，组织分包工程的施工，并对分包工程的质量、安全和进度等实施有效控制。专业分包人对其分包的工程向承包人负责，并就所分包的工程向发包人承担连带责任。</w:t>
      </w:r>
    </w:p>
    <w:p w14:paraId="240D8F5C">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（8）承包人对施工现场安全负总责，并对专业分包人的安全生产进行培训和管理。专业分包人应将其专业分包工程的施工组织设计和施工安全方案报承包人备案。 专业分包人对分包施工现场安全负责，发现事故隐患，应及时处理。</w:t>
      </w:r>
    </w:p>
    <w:p w14:paraId="1049B662">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违反上述规定之一者属违规分包。</w:t>
      </w:r>
    </w:p>
    <w:p w14:paraId="0D9BC221">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4.3.4 劳务分包</w:t>
      </w:r>
    </w:p>
    <w:p w14:paraId="49E5C52B">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在工程施工过程中，承包人进行劳务分包必须遵守以下规定：</w:t>
      </w:r>
    </w:p>
    <w:p w14:paraId="2C304C92">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（1）劳务分包人应具有施工劳务资质。</w:t>
      </w:r>
    </w:p>
    <w:p w14:paraId="27557033">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劳务分包应当依法签订劳务分包合同，劳务分包合同必须由承包人的法定代表人或其委托代理人与劳务分包人直接签订，不得由他人代签。承包人的项目经理部、项目经理、施工班组等不具备用工主体资格，不能与劳务分包人签订劳务分包合同。承包人应向发包人和监理人提交劳务分包合同副本并报项目所在地劳动保障部门备案。</w:t>
      </w:r>
    </w:p>
    <w:p w14:paraId="5B6D1290">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承包人雇用的劳务作业应加入到承包人的施工班组统一管理。有关施工质量、施工安全、施工进度、环境保护、技术方案、试验检测、材料保管与供应、机械设备等都必须由承包人管理与调配，不得以包代管。</w:t>
      </w:r>
    </w:p>
    <w:p w14:paraId="0834AC2D">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（4）承包人应当对劳务分包人员进行安全培训和管理，劳务分包人不得将其分包的劳务作业再次分包。</w:t>
      </w:r>
    </w:p>
    <w:p w14:paraId="766C589F">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违反上述规定之一者属违规分包。</w:t>
      </w:r>
    </w:p>
    <w:p w14:paraId="50181015">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本款补充第 4.3.6 项、第 4.3.7 项：</w:t>
      </w:r>
    </w:p>
    <w:p w14:paraId="77C0789D">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4.3.6 发包人对承包人与分包人之间的法律与经济纠纷不承担任何责任和义务。</w:t>
      </w:r>
    </w:p>
    <w:p w14:paraId="093F9A73">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4.3.7 本项目的各项分包工作均应遵守《公路工程施工分包管理办法》的有关规定。</w:t>
      </w:r>
    </w:p>
    <w:p w14:paraId="0838AE8F">
      <w:pPr>
        <w:pStyle w:val="6"/>
        <w:spacing w:before="0" w:beforeAutospacing="0" w:after="0" w:afterAutospacing="0"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4.4 联合体</w:t>
      </w:r>
    </w:p>
    <w:p w14:paraId="47FCB834">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本款补充第 4.4.4 项：</w:t>
      </w:r>
    </w:p>
    <w:p w14:paraId="619AFBA0">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4.4.4 未经发包人事先同意，联合体的组成与结构不得变动。</w:t>
      </w:r>
    </w:p>
    <w:p w14:paraId="69C789D2">
      <w:pPr>
        <w:pStyle w:val="6"/>
        <w:spacing w:before="0" w:beforeAutospacing="0" w:after="0" w:afterAutospacing="0"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4.5 承包人项目经理</w:t>
      </w:r>
    </w:p>
    <w:p w14:paraId="53BD2107">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本款补充：</w:t>
      </w:r>
    </w:p>
    <w:p w14:paraId="2A66C679">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项目经理：</w:t>
      </w:r>
    </w:p>
    <w:p w14:paraId="0E3DEE5D">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姓    名：</w:t>
      </w:r>
      <w:r>
        <w:rPr>
          <w:rFonts w:hint="eastAsia" w:ascii="宋体" w:hAnsi="宋体" w:eastAsia="宋体" w:cs="宋体"/>
          <w:color w:val="auto"/>
          <w:szCs w:val="21"/>
          <w:highlight w:val="none"/>
          <w:u w:val="single"/>
        </w:rPr>
        <w:t xml:space="preserve">                          </w:t>
      </w:r>
      <w:r>
        <w:rPr>
          <w:rFonts w:hint="eastAsia" w:ascii="宋体" w:hAnsi="宋体" w:eastAsia="宋体" w:cs="宋体"/>
          <w:color w:val="auto"/>
          <w:szCs w:val="21"/>
          <w:highlight w:val="none"/>
        </w:rPr>
        <w:t>；</w:t>
      </w:r>
    </w:p>
    <w:p w14:paraId="53A61874">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身份证号：</w:t>
      </w:r>
      <w:r>
        <w:rPr>
          <w:rFonts w:hint="eastAsia" w:ascii="宋体" w:hAnsi="宋体" w:eastAsia="宋体" w:cs="宋体"/>
          <w:color w:val="auto"/>
          <w:szCs w:val="21"/>
          <w:highlight w:val="none"/>
          <w:u w:val="single"/>
        </w:rPr>
        <w:t>                    </w:t>
      </w:r>
      <w:r>
        <w:rPr>
          <w:rFonts w:hint="eastAsia" w:ascii="宋体" w:hAnsi="宋体" w:eastAsia="宋体" w:cs="宋体"/>
          <w:color w:val="auto"/>
          <w:szCs w:val="21"/>
          <w:highlight w:val="none"/>
        </w:rPr>
        <w:t>；</w:t>
      </w:r>
    </w:p>
    <w:p w14:paraId="2122A65F">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 xml:space="preserve">建造师执业资格等级：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4ABD3D1">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建造师注册证书号：</w:t>
      </w:r>
      <w:r>
        <w:rPr>
          <w:rFonts w:hint="eastAsia" w:ascii="宋体" w:hAnsi="宋体" w:eastAsia="宋体" w:cs="宋体"/>
          <w:color w:val="auto"/>
          <w:szCs w:val="21"/>
          <w:highlight w:val="none"/>
          <w:u w:val="single"/>
        </w:rPr>
        <w:t>       </w:t>
      </w:r>
      <w:r>
        <w:rPr>
          <w:rFonts w:hint="eastAsia" w:ascii="宋体" w:hAnsi="宋体" w:eastAsia="宋体" w:cs="宋体"/>
          <w:color w:val="auto"/>
          <w:szCs w:val="21"/>
          <w:highlight w:val="none"/>
        </w:rPr>
        <w:t>；</w:t>
      </w:r>
    </w:p>
    <w:p w14:paraId="391154CA">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建造师执业印章号：</w:t>
      </w:r>
      <w:r>
        <w:rPr>
          <w:rFonts w:hint="eastAsia" w:ascii="宋体" w:hAnsi="宋体" w:eastAsia="宋体" w:cs="宋体"/>
          <w:color w:val="auto"/>
          <w:szCs w:val="21"/>
          <w:highlight w:val="none"/>
          <w:u w:val="single"/>
        </w:rPr>
        <w:t>                     </w:t>
      </w:r>
      <w:r>
        <w:rPr>
          <w:rFonts w:hint="eastAsia" w:ascii="宋体" w:hAnsi="宋体" w:eastAsia="宋体" w:cs="宋体"/>
          <w:color w:val="auto"/>
          <w:szCs w:val="21"/>
          <w:highlight w:val="none"/>
        </w:rPr>
        <w:t>；</w:t>
      </w:r>
    </w:p>
    <w:p w14:paraId="6163B1A4">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安全生产考核合格证书号：</w:t>
      </w:r>
      <w:r>
        <w:rPr>
          <w:rFonts w:hint="eastAsia" w:ascii="宋体" w:hAnsi="宋体" w:eastAsia="宋体" w:cs="宋体"/>
          <w:color w:val="auto"/>
          <w:szCs w:val="21"/>
          <w:highlight w:val="none"/>
          <w:u w:val="single"/>
        </w:rPr>
        <w:t>           </w:t>
      </w:r>
      <w:r>
        <w:rPr>
          <w:rFonts w:hint="eastAsia" w:ascii="宋体" w:hAnsi="宋体" w:eastAsia="宋体" w:cs="宋体"/>
          <w:color w:val="auto"/>
          <w:szCs w:val="21"/>
          <w:highlight w:val="none"/>
        </w:rPr>
        <w:t>；</w:t>
      </w:r>
    </w:p>
    <w:p w14:paraId="1B548152">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联系方式：</w:t>
      </w:r>
      <w:r>
        <w:rPr>
          <w:rFonts w:hint="eastAsia" w:ascii="宋体" w:hAnsi="宋体" w:eastAsia="宋体" w:cs="宋体"/>
          <w:color w:val="auto"/>
          <w:szCs w:val="21"/>
          <w:highlight w:val="none"/>
          <w:u w:val="single"/>
        </w:rPr>
        <w:t>         </w:t>
      </w:r>
      <w:r>
        <w:rPr>
          <w:rFonts w:hint="eastAsia" w:ascii="宋体" w:hAnsi="宋体" w:eastAsia="宋体" w:cs="宋体"/>
          <w:color w:val="auto"/>
          <w:szCs w:val="21"/>
          <w:highlight w:val="none"/>
        </w:rPr>
        <w:t>；</w:t>
      </w:r>
    </w:p>
    <w:p w14:paraId="5F6F2281">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承包人对项目经理的授权范围如下：</w:t>
      </w:r>
      <w:r>
        <w:rPr>
          <w:rFonts w:hint="eastAsia" w:ascii="宋体" w:hAnsi="宋体" w:eastAsia="宋体" w:cs="宋体"/>
          <w:color w:val="auto"/>
          <w:kern w:val="0"/>
          <w:szCs w:val="21"/>
          <w:highlight w:val="none"/>
          <w:u w:val="single"/>
        </w:rPr>
        <w:t>严格按设计图纸、现行国家施工规范及验收规范组织施工，保证工程质量、进度、安全；及时向监理人、发包人报告现场情况（以承包人书面授权范围为准）</w:t>
      </w:r>
      <w:r>
        <w:rPr>
          <w:rFonts w:hint="eastAsia" w:ascii="宋体" w:hAnsi="宋体" w:eastAsia="宋体" w:cs="宋体"/>
          <w:color w:val="auto"/>
          <w:kern w:val="0"/>
          <w:szCs w:val="21"/>
          <w:highlight w:val="none"/>
        </w:rPr>
        <w:t>。</w:t>
      </w:r>
    </w:p>
    <w:p w14:paraId="2CAAAD0B">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关于项目经理每月在施工现场的时间要求：</w:t>
      </w:r>
      <w:r>
        <w:rPr>
          <w:rFonts w:hint="eastAsia" w:ascii="宋体" w:hAnsi="宋体" w:eastAsia="宋体" w:cs="宋体"/>
          <w:color w:val="auto"/>
          <w:kern w:val="0"/>
          <w:szCs w:val="21"/>
          <w:highlight w:val="none"/>
          <w:u w:val="single"/>
        </w:rPr>
        <w:t>不少于22天，由监理人负责项目经理的考勤</w:t>
      </w:r>
      <w:r>
        <w:rPr>
          <w:rFonts w:hint="eastAsia" w:ascii="宋体" w:hAnsi="宋体" w:eastAsia="宋体" w:cs="宋体"/>
          <w:color w:val="auto"/>
          <w:kern w:val="0"/>
          <w:szCs w:val="21"/>
          <w:highlight w:val="none"/>
        </w:rPr>
        <w:t>。</w:t>
      </w:r>
    </w:p>
    <w:p w14:paraId="71C95364">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承包人应在合同签订前提交与项目经理签订的劳动合同及为项目经理交纳社会保险的证明，承包人未在限期内提交的，项目经理无权履行职责，发包人有权要求更换项目经理</w:t>
      </w:r>
      <w:r>
        <w:rPr>
          <w:rFonts w:hint="eastAsia" w:ascii="宋体" w:hAnsi="宋体" w:eastAsia="宋体" w:cs="宋体"/>
          <w:color w:val="auto"/>
          <w:kern w:val="0"/>
          <w:szCs w:val="21"/>
          <w:highlight w:val="none"/>
        </w:rPr>
        <w:t>。</w:t>
      </w:r>
    </w:p>
    <w:p w14:paraId="484AB1F7">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4.6 承包人人员的管理</w:t>
      </w:r>
    </w:p>
    <w:p w14:paraId="7F55B4EC">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第 4.6.3 项细化为：</w:t>
      </w:r>
    </w:p>
    <w:p w14:paraId="474D7A29">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承包人安排在施工场地的主要管理人员和技术骨干应与承包人承诺的名单一致，并保持相对稳定。未经监理人批准，上述人员不应无故不到位或被替换；若确实无法到位或需替换，需经监理人审核并报发包人批准后，用同等资质和经历的人员替换。</w:t>
      </w:r>
    </w:p>
    <w:p w14:paraId="4B2A7A5F">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本款补充第 4.6.5 项：</w:t>
      </w:r>
    </w:p>
    <w:p w14:paraId="58D4F103">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4.6.5 尽管承包人已按承诺派遣了上述各类人员，但若这些人员仍不能满足合同进度计划和（或）质量要求时，监理人有权要求承包人继续增派或雇用这类人员，并书面通知承包人和抄送发包人。承包人在接到上述通知后应立即执行监理人的上述指示，不得无故拖延，由此增加的费用和（或）工期延误由承包人承担。</w:t>
      </w:r>
    </w:p>
    <w:p w14:paraId="135B0F2F">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项目总工：</w:t>
      </w:r>
    </w:p>
    <w:p w14:paraId="2C361A6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r>
        <w:rPr>
          <w:rFonts w:hint="eastAsia" w:ascii="宋体" w:hAnsi="宋体" w:eastAsia="宋体" w:cs="宋体"/>
          <w:color w:val="auto"/>
          <w:szCs w:val="21"/>
          <w:highlight w:val="none"/>
          <w:u w:val="single"/>
        </w:rPr>
        <w:t xml:space="preserve">                           </w:t>
      </w:r>
      <w:r>
        <w:rPr>
          <w:rFonts w:hint="eastAsia" w:ascii="宋体" w:hAnsi="宋体" w:eastAsia="宋体" w:cs="宋体"/>
          <w:color w:val="auto"/>
          <w:szCs w:val="21"/>
          <w:highlight w:val="none"/>
        </w:rPr>
        <w:t>；</w:t>
      </w:r>
    </w:p>
    <w:p w14:paraId="0F69ED57">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33E59CB9">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职称等级：</w:t>
      </w:r>
      <w:r>
        <w:rPr>
          <w:rFonts w:hint="eastAsia" w:ascii="宋体" w:hAnsi="宋体" w:eastAsia="宋体" w:cs="宋体"/>
          <w:color w:val="auto"/>
          <w:szCs w:val="21"/>
          <w:highlight w:val="none"/>
          <w:u w:val="single"/>
        </w:rPr>
        <w:t xml:space="preserve">         </w:t>
      </w:r>
      <w:r>
        <w:rPr>
          <w:rFonts w:hint="eastAsia" w:ascii="宋体" w:hAnsi="宋体" w:eastAsia="宋体" w:cs="宋体"/>
          <w:color w:val="auto"/>
          <w:szCs w:val="21"/>
          <w:highlight w:val="none"/>
        </w:rPr>
        <w:t>；</w:t>
      </w:r>
    </w:p>
    <w:p w14:paraId="15CEAB8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    业：</w:t>
      </w:r>
      <w:r>
        <w:rPr>
          <w:rFonts w:hint="eastAsia" w:ascii="宋体" w:hAnsi="宋体" w:eastAsia="宋体" w:cs="宋体"/>
          <w:color w:val="auto"/>
          <w:szCs w:val="21"/>
          <w:highlight w:val="none"/>
          <w:u w:val="single"/>
        </w:rPr>
        <w:t xml:space="preserve">         </w:t>
      </w:r>
      <w:r>
        <w:rPr>
          <w:rFonts w:hint="eastAsia" w:ascii="宋体" w:hAnsi="宋体" w:eastAsia="宋体" w:cs="宋体"/>
          <w:color w:val="auto"/>
          <w:szCs w:val="21"/>
          <w:highlight w:val="none"/>
        </w:rPr>
        <w:t>；</w:t>
      </w:r>
    </w:p>
    <w:p w14:paraId="75D7E7B0">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证书编号：</w:t>
      </w:r>
      <w:r>
        <w:rPr>
          <w:rFonts w:hint="eastAsia" w:ascii="宋体" w:hAnsi="宋体" w:eastAsia="宋体" w:cs="宋体"/>
          <w:color w:val="auto"/>
          <w:szCs w:val="21"/>
          <w:highlight w:val="none"/>
          <w:u w:val="single"/>
        </w:rPr>
        <w:t xml:space="preserve">             </w:t>
      </w:r>
      <w:r>
        <w:rPr>
          <w:rFonts w:hint="eastAsia" w:ascii="宋体" w:hAnsi="宋体" w:eastAsia="宋体" w:cs="宋体"/>
          <w:color w:val="auto"/>
          <w:szCs w:val="21"/>
          <w:highlight w:val="none"/>
        </w:rPr>
        <w:t>；</w:t>
      </w:r>
    </w:p>
    <w:p w14:paraId="7362A84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联系方式：</w:t>
      </w:r>
      <w:r>
        <w:rPr>
          <w:rFonts w:hint="eastAsia" w:ascii="宋体" w:hAnsi="宋体" w:eastAsia="宋体" w:cs="宋体"/>
          <w:color w:val="auto"/>
          <w:szCs w:val="21"/>
          <w:highlight w:val="none"/>
          <w:u w:val="single"/>
        </w:rPr>
        <w:t xml:space="preserve">         </w:t>
      </w:r>
      <w:r>
        <w:rPr>
          <w:rFonts w:hint="eastAsia" w:ascii="宋体" w:hAnsi="宋体" w:eastAsia="宋体" w:cs="宋体"/>
          <w:color w:val="auto"/>
          <w:szCs w:val="21"/>
          <w:highlight w:val="none"/>
        </w:rPr>
        <w:t>；</w:t>
      </w:r>
    </w:p>
    <w:p w14:paraId="691C6B6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关于项目总工每月在施工现场的时间要求：</w:t>
      </w:r>
      <w:r>
        <w:rPr>
          <w:rFonts w:hint="eastAsia" w:ascii="宋体" w:hAnsi="宋体" w:eastAsia="宋体" w:cs="宋体"/>
          <w:color w:val="auto"/>
          <w:kern w:val="0"/>
          <w:szCs w:val="21"/>
          <w:highlight w:val="none"/>
          <w:u w:val="single"/>
        </w:rPr>
        <w:t>不少于22天，由监理人负责项目总工的考勤</w:t>
      </w:r>
      <w:r>
        <w:rPr>
          <w:rFonts w:hint="eastAsia" w:ascii="宋体" w:hAnsi="宋体" w:eastAsia="宋体" w:cs="宋体"/>
          <w:color w:val="auto"/>
          <w:kern w:val="0"/>
          <w:szCs w:val="21"/>
          <w:highlight w:val="none"/>
        </w:rPr>
        <w:t>。</w:t>
      </w:r>
    </w:p>
    <w:p w14:paraId="5E8347E9">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u w:val="single"/>
        </w:rPr>
        <w:t>承包人应在合同签订后7天内提交与项目总工签订的劳动合同及为项目总工交纳社会保险的证明，承包人未在限期内提交的，项目总工无权履行职责，发包人有权要求更换项目总工</w:t>
      </w:r>
      <w:r>
        <w:rPr>
          <w:rFonts w:hint="eastAsia" w:ascii="宋体" w:hAnsi="宋体" w:eastAsia="宋体" w:cs="宋体"/>
          <w:color w:val="auto"/>
          <w:kern w:val="0"/>
          <w:szCs w:val="21"/>
          <w:highlight w:val="none"/>
        </w:rPr>
        <w:t>。</w:t>
      </w:r>
    </w:p>
    <w:p w14:paraId="111B2AB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本款补充的 4.6.6 项</w:t>
      </w:r>
    </w:p>
    <w:p w14:paraId="4ECE38FB">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rPr>
        <w:t xml:space="preserve">4.6.6 </w:t>
      </w:r>
      <w:r>
        <w:rPr>
          <w:rFonts w:hint="eastAsia" w:ascii="宋体" w:hAnsi="宋体" w:eastAsia="宋体" w:cs="宋体"/>
          <w:color w:val="auto"/>
          <w:kern w:val="0"/>
          <w:szCs w:val="21"/>
          <w:highlight w:val="none"/>
        </w:rPr>
        <w:t>承包人主要施工管理人员离开施工现场的批准要求：</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3F4B3B97">
      <w:pPr>
        <w:pStyle w:val="6"/>
        <w:spacing w:before="0" w:beforeAutospacing="0" w:after="0" w:afterAutospacing="0"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4.7 撤换承包人项目经理和其他人员</w:t>
      </w:r>
    </w:p>
    <w:p w14:paraId="5A18930E">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本款细化为：</w:t>
      </w:r>
    </w:p>
    <w:p w14:paraId="5DC7245C">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承包人应对其项目经理和其他人员进行有效管理。监理人要求撤换不能胜任本职工作、行为不端或玩忽职守的承包人项目经理和其他人员的，承包人应予以撤换，同时委派经发包人与监理人同意的新的项目经理和其他人员。</w:t>
      </w:r>
    </w:p>
    <w:p w14:paraId="41F05AA8">
      <w:pPr>
        <w:snapToGrid w:val="0"/>
        <w:spacing w:line="360" w:lineRule="auto"/>
        <w:ind w:firstLine="48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本款补充第 4.7.1 项、第 4.7.2 项：</w:t>
      </w:r>
    </w:p>
    <w:p w14:paraId="6A7A9201">
      <w:pPr>
        <w:snapToGrid w:val="0"/>
        <w:spacing w:line="360" w:lineRule="auto"/>
        <w:ind w:firstLine="48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4.7.1撤换承包人项目经理</w:t>
      </w:r>
      <w:r>
        <w:rPr>
          <w:rFonts w:hint="eastAsia" w:ascii="宋体" w:hAnsi="宋体" w:eastAsia="宋体" w:cs="宋体"/>
          <w:color w:val="auto"/>
          <w:kern w:val="0"/>
          <w:szCs w:val="21"/>
          <w:highlight w:val="none"/>
        </w:rPr>
        <w:t>（或）项目总工</w:t>
      </w:r>
    </w:p>
    <w:p w14:paraId="3CE2C175">
      <w:pPr>
        <w:snapToGrid w:val="0"/>
        <w:spacing w:line="360" w:lineRule="auto"/>
        <w:ind w:firstLine="480"/>
        <w:jc w:val="left"/>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发包人有权书面通知承包人更换其认为不称职/不履职的项目经理和（或）项目总工，通知中应当载明要求更换的理由。承包人应在接到更换通知后7天内向发包人提出书面的改进报告。发包人收到改进报告后仍要求更换的，承包人应在接到第二次更换通知的14天内进行更换，并将新任命的项目经理和（或）项目总工的注册执业资格、职称证书、管理经验等资料书面报送发包人。继任项目经理和（或）项目总工继续履行合同约定的职责。</w:t>
      </w:r>
    </w:p>
    <w:p w14:paraId="6D9B056D">
      <w:pPr>
        <w:snapToGrid w:val="0"/>
        <w:spacing w:line="360" w:lineRule="auto"/>
        <w:ind w:firstLine="480"/>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若项目经理和</w:t>
      </w:r>
      <w:r>
        <w:rPr>
          <w:rFonts w:hint="eastAsia" w:ascii="宋体" w:hAnsi="宋体" w:eastAsia="宋体" w:cs="宋体"/>
          <w:color w:val="auto"/>
          <w:kern w:val="0"/>
          <w:szCs w:val="21"/>
          <w:highlight w:val="none"/>
        </w:rPr>
        <w:t>（或）</w:t>
      </w:r>
      <w:r>
        <w:rPr>
          <w:rFonts w:hint="eastAsia" w:ascii="宋体" w:hAnsi="宋体" w:eastAsia="宋体" w:cs="宋体"/>
          <w:color w:val="auto"/>
          <w:szCs w:val="21"/>
          <w:highlight w:val="none"/>
        </w:rPr>
        <w:t>项目总工出现下列情形需更换的，承包人应在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天前书面通知发包人和监理人，经发包人领导班子集体决策同意后予以批准，并将变更信息推送给行业主管部门：</w:t>
      </w:r>
    </w:p>
    <w:p w14:paraId="483189B6">
      <w:pPr>
        <w:snapToGrid w:val="0"/>
        <w:spacing w:line="360" w:lineRule="auto"/>
        <w:ind w:firstLine="480"/>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（1）死亡；</w:t>
      </w:r>
    </w:p>
    <w:p w14:paraId="7361FCE6">
      <w:pPr>
        <w:snapToGrid w:val="0"/>
        <w:spacing w:line="360" w:lineRule="auto"/>
        <w:ind w:firstLine="480"/>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（2）非承包人原因导致工期延长，而致使项目经理和项目总工达到法定退休年龄且确需退休；</w:t>
      </w:r>
    </w:p>
    <w:p w14:paraId="4B50659C">
      <w:pPr>
        <w:snapToGrid w:val="0"/>
        <w:spacing w:line="360" w:lineRule="auto"/>
        <w:ind w:firstLine="480"/>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（3）按《职工非因工伤残或因病丧失劳动能力程度鉴定标准（试行）》规定鉴定为完全丧失劳动能力和大部分丧失劳动能力；</w:t>
      </w:r>
    </w:p>
    <w:p w14:paraId="0FC03D7D">
      <w:pPr>
        <w:snapToGrid w:val="0"/>
        <w:spacing w:line="360" w:lineRule="auto"/>
        <w:ind w:firstLine="480"/>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（4）非承包人原因导致</w:t>
      </w:r>
      <w:r>
        <w:rPr>
          <w:rFonts w:hint="eastAsia" w:ascii="宋体" w:hAnsi="宋体" w:eastAsia="宋体" w:cs="宋体"/>
          <w:color w:val="auto"/>
          <w:szCs w:val="21"/>
          <w:highlight w:val="none"/>
          <w:lang w:eastAsia="zh-CN"/>
        </w:rPr>
        <w:t>中选</w:t>
      </w:r>
      <w:r>
        <w:rPr>
          <w:rFonts w:hint="eastAsia" w:ascii="宋体" w:hAnsi="宋体" w:eastAsia="宋体" w:cs="宋体"/>
          <w:color w:val="auto"/>
          <w:szCs w:val="21"/>
          <w:highlight w:val="none"/>
        </w:rPr>
        <w:t>3个月不能开工；</w:t>
      </w:r>
    </w:p>
    <w:p w14:paraId="6657C7F3">
      <w:pPr>
        <w:snapToGrid w:val="0"/>
        <w:spacing w:line="360" w:lineRule="auto"/>
        <w:ind w:firstLine="480"/>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（5）被公安或者司法机关限制人身自由；</w:t>
      </w:r>
    </w:p>
    <w:p w14:paraId="376A7FAB">
      <w:pPr>
        <w:snapToGrid w:val="0"/>
        <w:spacing w:line="360" w:lineRule="auto"/>
        <w:ind w:firstLine="480"/>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（6）被取消职称或者执业资格，不满足项目管理要求；</w:t>
      </w:r>
    </w:p>
    <w:p w14:paraId="28F5C149">
      <w:pPr>
        <w:snapToGrid w:val="0"/>
        <w:spacing w:line="360" w:lineRule="auto"/>
        <w:ind w:firstLine="480"/>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（7）非承包人原因导致确需变更的其它情形。</w:t>
      </w:r>
    </w:p>
    <w:p w14:paraId="37B91D28">
      <w:pPr>
        <w:snapToGrid w:val="0"/>
        <w:spacing w:line="360" w:lineRule="auto"/>
        <w:ind w:firstLine="480"/>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4.7.2撤换承包人其他人员</w:t>
      </w:r>
    </w:p>
    <w:p w14:paraId="315CEF9F">
      <w:pPr>
        <w:snapToGrid w:val="0"/>
        <w:spacing w:line="360" w:lineRule="auto"/>
        <w:ind w:firstLine="480"/>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承包人应按</w:t>
      </w:r>
      <w:r>
        <w:rPr>
          <w:rFonts w:hint="eastAsia" w:ascii="宋体" w:hAnsi="宋体" w:eastAsia="宋体" w:cs="宋体"/>
          <w:color w:val="auto"/>
          <w:szCs w:val="21"/>
          <w:highlight w:val="none"/>
          <w:lang w:eastAsia="zh-CN"/>
        </w:rPr>
        <w:t>发包人比选文件</w:t>
      </w:r>
      <w:r>
        <w:rPr>
          <w:rFonts w:hint="eastAsia" w:ascii="宋体" w:hAnsi="宋体" w:eastAsia="宋体" w:cs="宋体"/>
          <w:color w:val="auto"/>
          <w:szCs w:val="21"/>
          <w:highlight w:val="none"/>
        </w:rPr>
        <w:t>规定配备现场施工从业人员，具体人员配备下：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。若国有资金投资项目其他主要人员变更的，参照《重庆市政府投资项目合同变更管理暂行办法》的规定。</w:t>
      </w:r>
    </w:p>
    <w:p w14:paraId="4048F98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派驻到施工现场的主要施工管理人员在施工过程中如有变动，承包人应及时向监理人提交施工现场人员变动情况的报告。承包人更换主要施工管理人员时，应提前7天书面通知监理人，并征得发包人书面同意。通知中应当载明继任人员的职称、执业资格、项目管理经验等资料。更换后的施工管理人员应当是承包人的正式员工，且在职称、执业资格、项目管理经验等方面不低于原施工管理人员。</w:t>
      </w:r>
    </w:p>
    <w:p w14:paraId="196D70EA">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有权书面通知承包人更换其认为不称职的主要施工管理人员，通知中应当载明要求更换的理由。承包人应在接到更换通知后7天内向发包人提出书面的改进报告。发包人收到改进报告后仍要求更换的，承包人应在接到第二次更换通知的7天内进行更换，并将新委派的主要施工管理人员的注册执业资格、职称证书、管理经验等资料书面报送发包人</w:t>
      </w:r>
      <w:r>
        <w:rPr>
          <w:rFonts w:hint="eastAsia" w:ascii="宋体" w:hAnsi="宋体" w:eastAsia="宋体" w:cs="宋体"/>
          <w:color w:val="auto"/>
          <w:szCs w:val="21"/>
          <w:highlight w:val="none"/>
        </w:rPr>
        <w:t>审核批准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bidi="ar"/>
        </w:rPr>
        <w:t xml:space="preserve"> </w:t>
      </w:r>
    </w:p>
    <w:p w14:paraId="410FB9E9">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4.9 工程价款应专款专用</w:t>
      </w:r>
    </w:p>
    <w:p w14:paraId="6387383A">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本款细化为：</w:t>
      </w:r>
    </w:p>
    <w:p w14:paraId="5CBE34D3">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发包人按合同约定支付给承包人的各项价款应专用于合同工程。承包人必须在发包人指定的银行开户，并与发包人、银行共同签订《工程资金监管协议》，接受发包人和银行对资金的监管。承包人应向发包人授权进行本合同工程开户银行工程资金的查询。发包人支付的工程进度款应为本工程的专款专用资金，不得转移或用于其他工程。发包人的期中支付款将转入该银行所设的专门账户，发包人及其派出机构有权不定期对承包人工程资金使用情况进行检查，发现问题及时责令承包人限期改正，否则，将终止月支付，直至承包人改正为止。 </w:t>
      </w:r>
    </w:p>
    <w:p w14:paraId="2F85517D">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4.10 承包人现场查勘</w:t>
      </w:r>
    </w:p>
    <w:p w14:paraId="381E72D4">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第 4.10.1 项细化为：</w:t>
      </w:r>
    </w:p>
    <w:p w14:paraId="61F79698">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发包人提供的本合同工程的水文、地质、气象和料场分布、取土场、弃土场位置等资料均属于参考资料，并不构成合同文件的组成部分，承包人应对自己就上述资料的解释、推论和应用负责，发包人不对承包人据此作出的判断和决策承担任何责任。</w:t>
      </w:r>
    </w:p>
    <w:p w14:paraId="078F9577">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4.11 不利物质条件</w:t>
      </w:r>
    </w:p>
    <w:p w14:paraId="5EBB8C3D">
      <w:pPr>
        <w:spacing w:line="360" w:lineRule="auto"/>
        <w:ind w:right="248"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 4.11.1 项细化为：</w:t>
      </w:r>
    </w:p>
    <w:p w14:paraId="3B1D8E0A">
      <w:pPr>
        <w:spacing w:line="360" w:lineRule="auto"/>
        <w:ind w:right="248"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不利物质条件的范围：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4D4E275">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第 4.11.2 项细化为：</w:t>
      </w:r>
    </w:p>
    <w:p w14:paraId="31970A4B">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4.11.2 承包人遇到不可预见的不利物质条件时，应采取适应不利物质条件的合理措施继续施工，并及时通知监理人。监理人应当及时发出指示，指示构成变更的，按第 15 条约定办理。监理人没有发出指示的，承包人因采取合理措施而增加的费用和（或）工期延误，由发包人承担。</w:t>
      </w:r>
    </w:p>
    <w:p w14:paraId="0E8EAF3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本款补充第 4.11.3 项：</w:t>
      </w:r>
    </w:p>
    <w:p w14:paraId="498770ED">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4.11.3 可预见的不利物质条件</w:t>
      </w:r>
    </w:p>
    <w:p w14:paraId="33EA6D0F">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（1）对于专用合同条款中已经明确指出的不利物质条件无论承包人是否有其经历和经验均视为承包人在接受合同时已预见其影响，并已在签约合同价中计入因其影响而可能发生的一切费用。</w:t>
      </w:r>
    </w:p>
    <w:p w14:paraId="064746D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（2）对于专用合同条款未明确指出，但是在不利物质条件发生之前，监理人已经指示承包人有可能发生，但承包人未能及时采取有效措施，而导致的损失和后果均由承包人承担。</w:t>
      </w:r>
    </w:p>
    <w:p w14:paraId="50EEF0A6">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本条补充第 4.12 款、第 4.13 款：</w:t>
      </w:r>
    </w:p>
    <w:p w14:paraId="7F1503DB">
      <w:pPr>
        <w:pStyle w:val="6"/>
        <w:spacing w:before="0" w:beforeAutospacing="0" w:after="0" w:afterAutospacing="0"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4.12 </w:t>
      </w:r>
      <w:r>
        <w:rPr>
          <w:rFonts w:hint="eastAsia" w:eastAsia="宋体" w:cs="宋体"/>
          <w:color w:val="auto"/>
          <w:highlight w:val="none"/>
          <w:lang w:eastAsia="zh-CN"/>
        </w:rPr>
        <w:t>比选申请文件</w:t>
      </w:r>
      <w:r>
        <w:rPr>
          <w:rFonts w:hint="eastAsia" w:ascii="宋体" w:hAnsi="宋体" w:eastAsia="宋体" w:cs="宋体"/>
          <w:color w:val="auto"/>
          <w:highlight w:val="none"/>
        </w:rPr>
        <w:t>的完备性</w:t>
      </w:r>
    </w:p>
    <w:p w14:paraId="45342E5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合同双方一致认为，承包人在递交</w:t>
      </w:r>
      <w:r>
        <w:rPr>
          <w:rFonts w:hint="eastAsia" w:ascii="宋体" w:hAnsi="宋体" w:eastAsia="宋体" w:cs="宋体"/>
          <w:color w:val="auto"/>
          <w:kern w:val="0"/>
          <w:szCs w:val="21"/>
          <w:highlight w:val="none"/>
          <w:lang w:eastAsia="zh-CN" w:bidi="ar"/>
        </w:rPr>
        <w:t>比选申请文件</w:t>
      </w:r>
      <w:r>
        <w:rPr>
          <w:rFonts w:hint="eastAsia" w:ascii="宋体" w:hAnsi="宋体" w:eastAsia="宋体" w:cs="宋体"/>
          <w:color w:val="auto"/>
          <w:kern w:val="0"/>
          <w:szCs w:val="21"/>
          <w:highlight w:val="none"/>
          <w:lang w:bidi="ar"/>
        </w:rPr>
        <w:t>前，对本合同工程的</w:t>
      </w:r>
      <w:r>
        <w:rPr>
          <w:rFonts w:hint="eastAsia" w:ascii="宋体" w:hAnsi="宋体" w:eastAsia="宋体" w:cs="宋体"/>
          <w:color w:val="auto"/>
          <w:kern w:val="0"/>
          <w:szCs w:val="21"/>
          <w:highlight w:val="none"/>
          <w:lang w:eastAsia="zh-CN" w:bidi="ar"/>
        </w:rPr>
        <w:t>比选申请文件</w:t>
      </w:r>
      <w:r>
        <w:rPr>
          <w:rFonts w:hint="eastAsia" w:ascii="宋体" w:hAnsi="宋体" w:eastAsia="宋体" w:cs="宋体"/>
          <w:color w:val="auto"/>
          <w:kern w:val="0"/>
          <w:szCs w:val="21"/>
          <w:highlight w:val="none"/>
          <w:lang w:bidi="ar"/>
        </w:rPr>
        <w:t>和已标价工程量清单中开列的单价和总额价已查明是正确的和完备的。</w:t>
      </w:r>
      <w:r>
        <w:rPr>
          <w:rFonts w:hint="eastAsia" w:ascii="宋体" w:hAnsi="宋体" w:eastAsia="宋体" w:cs="宋体"/>
          <w:color w:val="auto"/>
          <w:kern w:val="0"/>
          <w:szCs w:val="21"/>
          <w:highlight w:val="none"/>
          <w:lang w:eastAsia="zh-CN" w:bidi="ar"/>
        </w:rPr>
        <w:t>比选</w:t>
      </w:r>
      <w:r>
        <w:rPr>
          <w:rFonts w:hint="eastAsia" w:ascii="宋体" w:hAnsi="宋体" w:eastAsia="宋体" w:cs="宋体"/>
          <w:color w:val="auto"/>
          <w:kern w:val="0"/>
          <w:szCs w:val="21"/>
          <w:highlight w:val="none"/>
          <w:lang w:bidi="ar"/>
        </w:rPr>
        <w:t>的单价和总额价应已包括了合同中规定的承包人的全部义务（包括提供货物、材料、设备、服务的义务，并包括了暂列金额和暂估价范围内的额外工作的义务）以及为实施和完成本合同工程及其缺陷修复所必需的一切工作和条件。</w:t>
      </w:r>
    </w:p>
    <w:p w14:paraId="7A25E857">
      <w:pPr>
        <w:pStyle w:val="6"/>
        <w:spacing w:before="0" w:beforeAutospacing="0" w:after="0" w:afterAutospacing="0"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4.13 开展党建工作要求</w:t>
      </w:r>
    </w:p>
    <w:p w14:paraId="500B0D91">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对于政府投资的国家高速公路项目，或承包人为国有控股或参股企业的，承包人应按规定在项目现场设立基层党组织。不满足上述情形的，承包人应创造条件使党员能够参加党组织生活并接受相应管理。</w:t>
      </w:r>
    </w:p>
    <w:p w14:paraId="34FE145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承包人在项目现场设立基层党组织的，应明确党组织机构设置、党组织负责人及党务工作人员配备情况，编制党务工作开展预案，并按照预案要求在项目实施过程中同步开展党务工作，充分发挥基层党组织在项目实施中的作用。</w:t>
      </w:r>
    </w:p>
    <w:p w14:paraId="3D029E86">
      <w:pPr>
        <w:pStyle w:val="5"/>
        <w:spacing w:before="0" w:after="0" w:line="360" w:lineRule="auto"/>
        <w:jc w:val="left"/>
        <w:rPr>
          <w:rFonts w:hint="eastAsia" w:ascii="宋体" w:hAnsi="宋体" w:eastAsia="宋体" w:cs="宋体"/>
          <w:color w:val="auto"/>
          <w:highlight w:val="none"/>
        </w:rPr>
      </w:pPr>
      <w:bookmarkStart w:id="527" w:name="_Toc57795969"/>
      <w:r>
        <w:rPr>
          <w:rFonts w:hint="eastAsia" w:ascii="宋体" w:hAnsi="宋体" w:eastAsia="宋体" w:cs="宋体"/>
          <w:color w:val="auto"/>
          <w:highlight w:val="none"/>
        </w:rPr>
        <w:t>5、材料和工程设备</w:t>
      </w:r>
      <w:bookmarkEnd w:id="527"/>
    </w:p>
    <w:p w14:paraId="6B4BE26F">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5.1 承包人提供的材料和工程设备</w:t>
      </w:r>
    </w:p>
    <w:p w14:paraId="3F34EDC3">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本款补充第 5.1.4 项</w:t>
      </w:r>
    </w:p>
    <w:p w14:paraId="677289B4">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（1）承包人负责采购、运输和保管的材料、工程设备：</w:t>
      </w:r>
      <w:r>
        <w:rPr>
          <w:rFonts w:hint="eastAsia" w:ascii="宋体" w:hAnsi="宋体" w:eastAsia="宋体" w:cs="宋体"/>
          <w:color w:val="auto"/>
          <w:kern w:val="0"/>
          <w:szCs w:val="21"/>
          <w:highlight w:val="none"/>
          <w:u w:val="single"/>
        </w:rPr>
        <w:t>由承包人自行采购。承包人采购材料设备必须经监理人和发包人批准，结算时由监理人和发包人按</w:t>
      </w:r>
      <w:r>
        <w:rPr>
          <w:rFonts w:hint="eastAsia" w:ascii="宋体" w:hAnsi="宋体" w:eastAsia="宋体" w:cs="宋体"/>
          <w:color w:val="auto"/>
          <w:kern w:val="0"/>
          <w:szCs w:val="21"/>
          <w:highlight w:val="none"/>
          <w:u w:val="single"/>
          <w:lang w:eastAsia="zh-CN"/>
        </w:rPr>
        <w:t>比选文件</w:t>
      </w:r>
      <w:r>
        <w:rPr>
          <w:rFonts w:hint="eastAsia" w:ascii="宋体" w:hAnsi="宋体" w:eastAsia="宋体" w:cs="宋体"/>
          <w:color w:val="auto"/>
          <w:kern w:val="0"/>
          <w:szCs w:val="21"/>
          <w:highlight w:val="none"/>
          <w:u w:val="single"/>
        </w:rPr>
        <w:t>规定审核的数量和合同约定价格价格计算</w:t>
      </w:r>
      <w:r>
        <w:rPr>
          <w:rFonts w:hint="eastAsia" w:ascii="宋体" w:hAnsi="宋体" w:eastAsia="宋体" w:cs="宋体"/>
          <w:color w:val="auto"/>
          <w:kern w:val="0"/>
          <w:szCs w:val="21"/>
          <w:highlight w:val="none"/>
        </w:rPr>
        <w:t>。</w:t>
      </w:r>
    </w:p>
    <w:p w14:paraId="49673BCD">
      <w:pPr>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（2）承包人报送监理人审批的时间：</w:t>
      </w:r>
      <w:r>
        <w:rPr>
          <w:rFonts w:hint="eastAsia" w:ascii="宋体" w:hAnsi="宋体" w:eastAsia="宋体" w:cs="宋体"/>
          <w:color w:val="auto"/>
          <w:kern w:val="0"/>
          <w:szCs w:val="21"/>
          <w:highlight w:val="none"/>
          <w:u w:val="single"/>
        </w:rPr>
        <w:t>按发包人及监理单位的相关规定执行</w:t>
      </w:r>
    </w:p>
    <w:p w14:paraId="33BD234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szCs w:val="21"/>
          <w:highlight w:val="none"/>
        </w:rPr>
        <w:t>承包人选择的生产厂家或供应商满足下列条件：</w:t>
      </w:r>
    </w:p>
    <w:p w14:paraId="4204BC7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a.承包人采购的材料与设计或标准要求不符时，承包人应按发包人和监理人要求的时间运出施工场地，并重新采购符合要求的产品，并承担由此发生的费用，因此延误的工期不予顺延。</w:t>
      </w:r>
    </w:p>
    <w:p w14:paraId="3F8545F7">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b.承包人采购的材料在使用前，应按发包人和监理人的要求进行检验或试验，不合格的不得使用。</w:t>
      </w:r>
    </w:p>
    <w:p w14:paraId="7BBC0268">
      <w:pPr>
        <w:pStyle w:val="6"/>
        <w:spacing w:before="0" w:beforeAutospacing="0" w:after="0" w:afterAutospacing="0"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5.2 发包人提供的材料和工程设备</w:t>
      </w:r>
    </w:p>
    <w:p w14:paraId="2DE2A49A">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第 5.2.1 项补充：</w:t>
      </w:r>
    </w:p>
    <w:p w14:paraId="6B3711BC">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发包人是否提供材料或工程设备：</w:t>
      </w:r>
      <w:r>
        <w:rPr>
          <w:rFonts w:hint="eastAsia" w:ascii="宋体" w:hAnsi="宋体" w:eastAsia="宋体" w:cs="宋体"/>
          <w:color w:val="auto"/>
          <w:kern w:val="0"/>
          <w:szCs w:val="21"/>
          <w:highlight w:val="none"/>
          <w:u w:val="single"/>
          <w:lang w:bidi="ar"/>
        </w:rPr>
        <w:t>否</w:t>
      </w:r>
    </w:p>
    <w:p w14:paraId="71ED57E6">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如发包人负责提供部分材料或工程设备，相关规定如下：</w:t>
      </w:r>
      <w:r>
        <w:rPr>
          <w:rFonts w:hint="eastAsia" w:ascii="宋体" w:hAnsi="宋体" w:eastAsia="宋体" w:cs="宋体"/>
          <w:color w:val="auto"/>
          <w:kern w:val="0"/>
          <w:szCs w:val="21"/>
          <w:highlight w:val="none"/>
          <w:u w:val="single"/>
          <w:lang w:bidi="ar"/>
        </w:rPr>
        <w:t xml:space="preserve">            </w:t>
      </w:r>
    </w:p>
    <w:p w14:paraId="15E800FA">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第 5.2.3 项补充：</w:t>
      </w:r>
    </w:p>
    <w:p w14:paraId="1058F5A1">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承包人负责接收并按规定对材料进行抽样检验和对工程设备进行检验测试，若发现材料和工程设备存在缺陷，承包人应及时通知监理人，发包人应及时改正通知中指出的缺陷。承包人负责接收后的运输和保管，因承包人的原因发生丢失、损坏或进度拖延，由承包人承担相应责任。</w:t>
      </w:r>
    </w:p>
    <w:p w14:paraId="57550AC3">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5.4 禁止使用不合格的材料和工程设备</w:t>
      </w:r>
    </w:p>
    <w:p w14:paraId="563F820E">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本款补充第 5.4.4 项：</w:t>
      </w:r>
    </w:p>
    <w:p w14:paraId="1DD5FF0B">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5.4.4发包人按约定的内容提供材料设备，承包人按施工规范和检测规范对一切进场材料进行质量检验，承包人有权退回检验不合格的材料；承包人对投入使用的材料质量负责，并对工程质量全面负责。</w:t>
      </w:r>
    </w:p>
    <w:p w14:paraId="2C97EDD1">
      <w:pPr>
        <w:pStyle w:val="2"/>
        <w:spacing w:after="0" w:line="360" w:lineRule="auto"/>
        <w:ind w:firstLine="440" w:firstLineChars="200"/>
        <w:jc w:val="left"/>
        <w:rPr>
          <w:rFonts w:hint="eastAsia" w:ascii="宋体" w:hAnsi="宋体" w:eastAsia="宋体" w:cs="宋体"/>
          <w:color w:val="auto"/>
          <w:sz w:val="22"/>
          <w:szCs w:val="16"/>
          <w:highlight w:val="none"/>
        </w:rPr>
      </w:pPr>
      <w:r>
        <w:rPr>
          <w:rFonts w:hint="eastAsia" w:ascii="宋体" w:hAnsi="宋体" w:eastAsia="宋体" w:cs="宋体"/>
          <w:color w:val="auto"/>
          <w:sz w:val="22"/>
          <w:szCs w:val="16"/>
          <w:highlight w:val="none"/>
        </w:rPr>
        <w:t>本条补充第 5.5 款、第 5.6 款</w:t>
      </w:r>
    </w:p>
    <w:p w14:paraId="37D7F6E0">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5.5 材料与工程设备的保管与使用</w:t>
      </w:r>
    </w:p>
    <w:p w14:paraId="266E47FB">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发包人供应的材料设备的保管费用的承担：</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6960F78F">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5.6 样品</w:t>
      </w:r>
    </w:p>
    <w:p w14:paraId="38915976">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需要承包人报送样品的材料或工程设备，样品的种类、名称、规格、数量要求：</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180FDB82">
      <w:pPr>
        <w:pStyle w:val="5"/>
        <w:spacing w:before="0" w:after="0" w:line="360" w:lineRule="auto"/>
        <w:jc w:val="left"/>
        <w:rPr>
          <w:rFonts w:hint="eastAsia" w:ascii="宋体" w:hAnsi="宋体" w:eastAsia="宋体" w:cs="宋体"/>
          <w:color w:val="auto"/>
          <w:highlight w:val="none"/>
        </w:rPr>
      </w:pPr>
      <w:bookmarkStart w:id="528" w:name="_Toc57795970"/>
      <w:r>
        <w:rPr>
          <w:rFonts w:hint="eastAsia" w:ascii="宋体" w:hAnsi="宋体" w:eastAsia="宋体" w:cs="宋体"/>
          <w:color w:val="auto"/>
          <w:highlight w:val="none"/>
        </w:rPr>
        <w:t>6、施工设备和临时设施</w:t>
      </w:r>
      <w:bookmarkEnd w:id="528"/>
    </w:p>
    <w:p w14:paraId="13CE5B4C">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6.1 承包人提供的施工设备和临时设施</w:t>
      </w:r>
    </w:p>
    <w:p w14:paraId="2AC308CF">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第 6.1.2 项约定为：</w:t>
      </w:r>
    </w:p>
    <w:p w14:paraId="35CD187C">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承包人应自行承担修建临时设施的费用，需要临时占地的，应由承包人按第 4.1.10 项（1）目的规定办理。</w:t>
      </w:r>
    </w:p>
    <w:p w14:paraId="04CBEBD4">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6.2  发包人提供的施工设备和临时设施</w:t>
      </w:r>
    </w:p>
    <w:p w14:paraId="75C79678">
      <w:pPr>
        <w:spacing w:line="360" w:lineRule="auto"/>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本款补充：</w:t>
      </w:r>
    </w:p>
    <w:p w14:paraId="40DB4248">
      <w:pPr>
        <w:spacing w:line="360" w:lineRule="auto"/>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（1）发包人提供的的施工设备见下表：</w:t>
      </w:r>
    </w:p>
    <w:p w14:paraId="59DB6169">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发包人提供的施工设备表（参考格式）</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842"/>
        <w:gridCol w:w="1560"/>
        <w:gridCol w:w="992"/>
        <w:gridCol w:w="1134"/>
        <w:gridCol w:w="1701"/>
        <w:gridCol w:w="850"/>
      </w:tblGrid>
      <w:tr w14:paraId="2E02C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762D5A30">
            <w:pPr>
              <w:spacing w:line="360" w:lineRule="auto"/>
              <w:ind w:right="-3"/>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842" w:type="dxa"/>
            <w:noWrap w:val="0"/>
            <w:vAlign w:val="center"/>
          </w:tcPr>
          <w:p w14:paraId="71DBFA1A">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施工设备名称</w:t>
            </w:r>
          </w:p>
        </w:tc>
        <w:tc>
          <w:tcPr>
            <w:tcW w:w="1560" w:type="dxa"/>
            <w:noWrap w:val="0"/>
            <w:vAlign w:val="center"/>
          </w:tcPr>
          <w:p w14:paraId="67D76FA3">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型号及规格</w:t>
            </w:r>
          </w:p>
        </w:tc>
        <w:tc>
          <w:tcPr>
            <w:tcW w:w="992" w:type="dxa"/>
            <w:noWrap w:val="0"/>
            <w:vAlign w:val="center"/>
          </w:tcPr>
          <w:p w14:paraId="5DEB255D">
            <w:pPr>
              <w:spacing w:line="360" w:lineRule="auto"/>
              <w:ind w:right="-33"/>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134" w:type="dxa"/>
            <w:noWrap w:val="0"/>
            <w:vAlign w:val="center"/>
          </w:tcPr>
          <w:p w14:paraId="23F6AAD3">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交货地点</w:t>
            </w:r>
          </w:p>
        </w:tc>
        <w:tc>
          <w:tcPr>
            <w:tcW w:w="1701" w:type="dxa"/>
            <w:noWrap w:val="0"/>
            <w:vAlign w:val="center"/>
          </w:tcPr>
          <w:p w14:paraId="0BEEF0BB">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计划交货日期</w:t>
            </w:r>
          </w:p>
        </w:tc>
        <w:tc>
          <w:tcPr>
            <w:tcW w:w="850" w:type="dxa"/>
            <w:noWrap w:val="0"/>
            <w:vAlign w:val="center"/>
          </w:tcPr>
          <w:p w14:paraId="387F3DA3">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5E8BE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4BDACB5F">
            <w:pPr>
              <w:spacing w:line="360" w:lineRule="auto"/>
              <w:ind w:right="248"/>
              <w:jc w:val="left"/>
              <w:rPr>
                <w:rFonts w:hint="eastAsia" w:ascii="宋体" w:hAnsi="宋体" w:eastAsia="宋体" w:cs="宋体"/>
                <w:color w:val="auto"/>
                <w:szCs w:val="21"/>
                <w:highlight w:val="none"/>
              </w:rPr>
            </w:pPr>
          </w:p>
        </w:tc>
        <w:tc>
          <w:tcPr>
            <w:tcW w:w="1842" w:type="dxa"/>
            <w:noWrap w:val="0"/>
            <w:vAlign w:val="center"/>
          </w:tcPr>
          <w:p w14:paraId="46D2075F">
            <w:pPr>
              <w:spacing w:line="360" w:lineRule="auto"/>
              <w:ind w:right="248"/>
              <w:jc w:val="left"/>
              <w:rPr>
                <w:rFonts w:hint="eastAsia" w:ascii="宋体" w:hAnsi="宋体" w:eastAsia="宋体" w:cs="宋体"/>
                <w:color w:val="auto"/>
                <w:szCs w:val="21"/>
                <w:highlight w:val="none"/>
              </w:rPr>
            </w:pPr>
          </w:p>
        </w:tc>
        <w:tc>
          <w:tcPr>
            <w:tcW w:w="1560" w:type="dxa"/>
            <w:noWrap w:val="0"/>
            <w:vAlign w:val="center"/>
          </w:tcPr>
          <w:p w14:paraId="2A8C1398">
            <w:pPr>
              <w:spacing w:line="360" w:lineRule="auto"/>
              <w:ind w:right="248"/>
              <w:jc w:val="left"/>
              <w:rPr>
                <w:rFonts w:hint="eastAsia" w:ascii="宋体" w:hAnsi="宋体" w:eastAsia="宋体" w:cs="宋体"/>
                <w:color w:val="auto"/>
                <w:szCs w:val="21"/>
                <w:highlight w:val="none"/>
              </w:rPr>
            </w:pPr>
          </w:p>
        </w:tc>
        <w:tc>
          <w:tcPr>
            <w:tcW w:w="992" w:type="dxa"/>
            <w:noWrap w:val="0"/>
            <w:vAlign w:val="center"/>
          </w:tcPr>
          <w:p w14:paraId="117D10BD">
            <w:pPr>
              <w:spacing w:line="360" w:lineRule="auto"/>
              <w:ind w:right="248"/>
              <w:jc w:val="left"/>
              <w:rPr>
                <w:rFonts w:hint="eastAsia" w:ascii="宋体" w:hAnsi="宋体" w:eastAsia="宋体" w:cs="宋体"/>
                <w:color w:val="auto"/>
                <w:szCs w:val="21"/>
                <w:highlight w:val="none"/>
              </w:rPr>
            </w:pPr>
          </w:p>
        </w:tc>
        <w:tc>
          <w:tcPr>
            <w:tcW w:w="1134" w:type="dxa"/>
            <w:noWrap w:val="0"/>
            <w:vAlign w:val="center"/>
          </w:tcPr>
          <w:p w14:paraId="568DE641">
            <w:pPr>
              <w:spacing w:line="360" w:lineRule="auto"/>
              <w:ind w:right="248"/>
              <w:jc w:val="left"/>
              <w:rPr>
                <w:rFonts w:hint="eastAsia" w:ascii="宋体" w:hAnsi="宋体" w:eastAsia="宋体" w:cs="宋体"/>
                <w:color w:val="auto"/>
                <w:szCs w:val="21"/>
                <w:highlight w:val="none"/>
              </w:rPr>
            </w:pPr>
          </w:p>
        </w:tc>
        <w:tc>
          <w:tcPr>
            <w:tcW w:w="1701" w:type="dxa"/>
            <w:noWrap w:val="0"/>
            <w:vAlign w:val="center"/>
          </w:tcPr>
          <w:p w14:paraId="75B7FD21">
            <w:pPr>
              <w:spacing w:line="360" w:lineRule="auto"/>
              <w:ind w:right="248"/>
              <w:jc w:val="left"/>
              <w:rPr>
                <w:rFonts w:hint="eastAsia" w:ascii="宋体" w:hAnsi="宋体" w:eastAsia="宋体" w:cs="宋体"/>
                <w:color w:val="auto"/>
                <w:szCs w:val="21"/>
                <w:highlight w:val="none"/>
              </w:rPr>
            </w:pPr>
          </w:p>
        </w:tc>
        <w:tc>
          <w:tcPr>
            <w:tcW w:w="850" w:type="dxa"/>
            <w:noWrap w:val="0"/>
            <w:vAlign w:val="center"/>
          </w:tcPr>
          <w:p w14:paraId="49F50289">
            <w:pPr>
              <w:spacing w:line="360" w:lineRule="auto"/>
              <w:ind w:right="248"/>
              <w:jc w:val="left"/>
              <w:rPr>
                <w:rFonts w:hint="eastAsia" w:ascii="宋体" w:hAnsi="宋体" w:eastAsia="宋体" w:cs="宋体"/>
                <w:color w:val="auto"/>
                <w:szCs w:val="21"/>
                <w:highlight w:val="none"/>
              </w:rPr>
            </w:pPr>
          </w:p>
        </w:tc>
      </w:tr>
      <w:tr w14:paraId="5D05F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7A7D4432">
            <w:pPr>
              <w:spacing w:line="360" w:lineRule="auto"/>
              <w:ind w:right="248"/>
              <w:jc w:val="left"/>
              <w:rPr>
                <w:rFonts w:hint="eastAsia" w:ascii="宋体" w:hAnsi="宋体" w:eastAsia="宋体" w:cs="宋体"/>
                <w:color w:val="auto"/>
                <w:szCs w:val="21"/>
                <w:highlight w:val="none"/>
              </w:rPr>
            </w:pPr>
          </w:p>
        </w:tc>
        <w:tc>
          <w:tcPr>
            <w:tcW w:w="1842" w:type="dxa"/>
            <w:noWrap w:val="0"/>
            <w:vAlign w:val="center"/>
          </w:tcPr>
          <w:p w14:paraId="6D6F1F85">
            <w:pPr>
              <w:spacing w:line="360" w:lineRule="auto"/>
              <w:ind w:right="248"/>
              <w:jc w:val="left"/>
              <w:rPr>
                <w:rFonts w:hint="eastAsia" w:ascii="宋体" w:hAnsi="宋体" w:eastAsia="宋体" w:cs="宋体"/>
                <w:color w:val="auto"/>
                <w:szCs w:val="21"/>
                <w:highlight w:val="none"/>
              </w:rPr>
            </w:pPr>
          </w:p>
        </w:tc>
        <w:tc>
          <w:tcPr>
            <w:tcW w:w="1560" w:type="dxa"/>
            <w:noWrap w:val="0"/>
            <w:vAlign w:val="center"/>
          </w:tcPr>
          <w:p w14:paraId="7B75E249">
            <w:pPr>
              <w:spacing w:line="360" w:lineRule="auto"/>
              <w:ind w:right="248"/>
              <w:jc w:val="left"/>
              <w:rPr>
                <w:rFonts w:hint="eastAsia" w:ascii="宋体" w:hAnsi="宋体" w:eastAsia="宋体" w:cs="宋体"/>
                <w:color w:val="auto"/>
                <w:szCs w:val="21"/>
                <w:highlight w:val="none"/>
              </w:rPr>
            </w:pPr>
          </w:p>
        </w:tc>
        <w:tc>
          <w:tcPr>
            <w:tcW w:w="992" w:type="dxa"/>
            <w:noWrap w:val="0"/>
            <w:vAlign w:val="center"/>
          </w:tcPr>
          <w:p w14:paraId="54A6253D">
            <w:pPr>
              <w:spacing w:line="360" w:lineRule="auto"/>
              <w:ind w:right="248"/>
              <w:jc w:val="left"/>
              <w:rPr>
                <w:rFonts w:hint="eastAsia" w:ascii="宋体" w:hAnsi="宋体" w:eastAsia="宋体" w:cs="宋体"/>
                <w:color w:val="auto"/>
                <w:szCs w:val="21"/>
                <w:highlight w:val="none"/>
              </w:rPr>
            </w:pPr>
          </w:p>
        </w:tc>
        <w:tc>
          <w:tcPr>
            <w:tcW w:w="1134" w:type="dxa"/>
            <w:noWrap w:val="0"/>
            <w:vAlign w:val="center"/>
          </w:tcPr>
          <w:p w14:paraId="0C580D81">
            <w:pPr>
              <w:spacing w:line="360" w:lineRule="auto"/>
              <w:ind w:right="248"/>
              <w:jc w:val="left"/>
              <w:rPr>
                <w:rFonts w:hint="eastAsia" w:ascii="宋体" w:hAnsi="宋体" w:eastAsia="宋体" w:cs="宋体"/>
                <w:color w:val="auto"/>
                <w:szCs w:val="21"/>
                <w:highlight w:val="none"/>
              </w:rPr>
            </w:pPr>
          </w:p>
        </w:tc>
        <w:tc>
          <w:tcPr>
            <w:tcW w:w="1701" w:type="dxa"/>
            <w:noWrap w:val="0"/>
            <w:vAlign w:val="center"/>
          </w:tcPr>
          <w:p w14:paraId="5E45A165">
            <w:pPr>
              <w:spacing w:line="360" w:lineRule="auto"/>
              <w:ind w:right="248"/>
              <w:jc w:val="left"/>
              <w:rPr>
                <w:rFonts w:hint="eastAsia" w:ascii="宋体" w:hAnsi="宋体" w:eastAsia="宋体" w:cs="宋体"/>
                <w:color w:val="auto"/>
                <w:szCs w:val="21"/>
                <w:highlight w:val="none"/>
              </w:rPr>
            </w:pPr>
          </w:p>
        </w:tc>
        <w:tc>
          <w:tcPr>
            <w:tcW w:w="850" w:type="dxa"/>
            <w:noWrap w:val="0"/>
            <w:vAlign w:val="center"/>
          </w:tcPr>
          <w:p w14:paraId="03A5371A">
            <w:pPr>
              <w:spacing w:line="360" w:lineRule="auto"/>
              <w:ind w:right="248"/>
              <w:jc w:val="left"/>
              <w:rPr>
                <w:rFonts w:hint="eastAsia" w:ascii="宋体" w:hAnsi="宋体" w:eastAsia="宋体" w:cs="宋体"/>
                <w:color w:val="auto"/>
                <w:szCs w:val="21"/>
                <w:highlight w:val="none"/>
              </w:rPr>
            </w:pPr>
          </w:p>
        </w:tc>
      </w:tr>
      <w:tr w14:paraId="79FC5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2BB5192B">
            <w:pPr>
              <w:spacing w:line="360" w:lineRule="auto"/>
              <w:ind w:right="248"/>
              <w:jc w:val="left"/>
              <w:rPr>
                <w:rFonts w:hint="eastAsia" w:ascii="宋体" w:hAnsi="宋体" w:eastAsia="宋体" w:cs="宋体"/>
                <w:color w:val="auto"/>
                <w:szCs w:val="21"/>
                <w:highlight w:val="none"/>
              </w:rPr>
            </w:pPr>
          </w:p>
        </w:tc>
        <w:tc>
          <w:tcPr>
            <w:tcW w:w="1842" w:type="dxa"/>
            <w:noWrap w:val="0"/>
            <w:vAlign w:val="center"/>
          </w:tcPr>
          <w:p w14:paraId="7079E9D2">
            <w:pPr>
              <w:spacing w:line="360" w:lineRule="auto"/>
              <w:ind w:right="248"/>
              <w:jc w:val="left"/>
              <w:rPr>
                <w:rFonts w:hint="eastAsia" w:ascii="宋体" w:hAnsi="宋体" w:eastAsia="宋体" w:cs="宋体"/>
                <w:color w:val="auto"/>
                <w:szCs w:val="21"/>
                <w:highlight w:val="none"/>
              </w:rPr>
            </w:pPr>
          </w:p>
        </w:tc>
        <w:tc>
          <w:tcPr>
            <w:tcW w:w="1560" w:type="dxa"/>
            <w:noWrap w:val="0"/>
            <w:vAlign w:val="center"/>
          </w:tcPr>
          <w:p w14:paraId="4F605D9E">
            <w:pPr>
              <w:spacing w:line="360" w:lineRule="auto"/>
              <w:ind w:right="248"/>
              <w:jc w:val="left"/>
              <w:rPr>
                <w:rFonts w:hint="eastAsia" w:ascii="宋体" w:hAnsi="宋体" w:eastAsia="宋体" w:cs="宋体"/>
                <w:color w:val="auto"/>
                <w:szCs w:val="21"/>
                <w:highlight w:val="none"/>
              </w:rPr>
            </w:pPr>
          </w:p>
        </w:tc>
        <w:tc>
          <w:tcPr>
            <w:tcW w:w="992" w:type="dxa"/>
            <w:noWrap w:val="0"/>
            <w:vAlign w:val="center"/>
          </w:tcPr>
          <w:p w14:paraId="0A7D9AD0">
            <w:pPr>
              <w:spacing w:line="360" w:lineRule="auto"/>
              <w:ind w:right="248"/>
              <w:jc w:val="left"/>
              <w:rPr>
                <w:rFonts w:hint="eastAsia" w:ascii="宋体" w:hAnsi="宋体" w:eastAsia="宋体" w:cs="宋体"/>
                <w:color w:val="auto"/>
                <w:szCs w:val="21"/>
                <w:highlight w:val="none"/>
              </w:rPr>
            </w:pPr>
          </w:p>
        </w:tc>
        <w:tc>
          <w:tcPr>
            <w:tcW w:w="1134" w:type="dxa"/>
            <w:noWrap w:val="0"/>
            <w:vAlign w:val="center"/>
          </w:tcPr>
          <w:p w14:paraId="4889D0C1">
            <w:pPr>
              <w:spacing w:line="360" w:lineRule="auto"/>
              <w:ind w:right="248"/>
              <w:jc w:val="left"/>
              <w:rPr>
                <w:rFonts w:hint="eastAsia" w:ascii="宋体" w:hAnsi="宋体" w:eastAsia="宋体" w:cs="宋体"/>
                <w:color w:val="auto"/>
                <w:szCs w:val="21"/>
                <w:highlight w:val="none"/>
              </w:rPr>
            </w:pPr>
          </w:p>
        </w:tc>
        <w:tc>
          <w:tcPr>
            <w:tcW w:w="1701" w:type="dxa"/>
            <w:noWrap w:val="0"/>
            <w:vAlign w:val="center"/>
          </w:tcPr>
          <w:p w14:paraId="33C38BCF">
            <w:pPr>
              <w:spacing w:line="360" w:lineRule="auto"/>
              <w:ind w:right="248"/>
              <w:jc w:val="left"/>
              <w:rPr>
                <w:rFonts w:hint="eastAsia" w:ascii="宋体" w:hAnsi="宋体" w:eastAsia="宋体" w:cs="宋体"/>
                <w:color w:val="auto"/>
                <w:szCs w:val="21"/>
                <w:highlight w:val="none"/>
              </w:rPr>
            </w:pPr>
          </w:p>
        </w:tc>
        <w:tc>
          <w:tcPr>
            <w:tcW w:w="850" w:type="dxa"/>
            <w:noWrap w:val="0"/>
            <w:vAlign w:val="center"/>
          </w:tcPr>
          <w:p w14:paraId="499EABF1">
            <w:pPr>
              <w:spacing w:line="360" w:lineRule="auto"/>
              <w:ind w:right="248"/>
              <w:jc w:val="left"/>
              <w:rPr>
                <w:rFonts w:hint="eastAsia" w:ascii="宋体" w:hAnsi="宋体" w:eastAsia="宋体" w:cs="宋体"/>
                <w:color w:val="auto"/>
                <w:szCs w:val="21"/>
                <w:highlight w:val="none"/>
              </w:rPr>
            </w:pPr>
          </w:p>
        </w:tc>
      </w:tr>
    </w:tbl>
    <w:p w14:paraId="675B85CD">
      <w:pPr>
        <w:pStyle w:val="36"/>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注：设备状况栏内填写该设备的新旧程度、购进时间、已使用小时数和最近一次的大修时间。</w:t>
      </w:r>
    </w:p>
    <w:p w14:paraId="246D5022">
      <w:pPr>
        <w:spacing w:line="360" w:lineRule="auto"/>
        <w:ind w:right="248" w:firstLine="424" w:firstLineChars="202"/>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（2）发包人提供的临时设施：</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C6AC023">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6.3 要求承包人增加或更换施工设备</w:t>
      </w:r>
    </w:p>
    <w:p w14:paraId="2508E6DF">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本款细化为：</w:t>
      </w:r>
    </w:p>
    <w:p w14:paraId="3D251D99">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承包人承诺的施工设备必须按时到达现场，不得拖延、缺短或任意更换。尽管承包人已按承诺提供了上述设备，但若承包人使用的施工设备不能满足合同进度计划和（或）质量要求时，监理人有权要求承包人增加或更换施工设备，承包人应及时增加或更换，由此增加的费用和（或）工期延误由承包人承担。</w:t>
      </w:r>
    </w:p>
    <w:p w14:paraId="7213DC19">
      <w:pPr>
        <w:pStyle w:val="5"/>
        <w:spacing w:before="0" w:after="0" w:line="360" w:lineRule="auto"/>
        <w:jc w:val="left"/>
        <w:rPr>
          <w:rFonts w:hint="eastAsia" w:ascii="宋体" w:hAnsi="宋体" w:eastAsia="宋体" w:cs="宋体"/>
          <w:color w:val="auto"/>
          <w:highlight w:val="none"/>
        </w:rPr>
      </w:pPr>
      <w:bookmarkStart w:id="529" w:name="_Toc57795971"/>
      <w:r>
        <w:rPr>
          <w:rFonts w:hint="eastAsia" w:ascii="宋体" w:hAnsi="宋体" w:eastAsia="宋体" w:cs="宋体"/>
          <w:color w:val="auto"/>
          <w:highlight w:val="none"/>
        </w:rPr>
        <w:t>7、交通运输</w:t>
      </w:r>
      <w:bookmarkEnd w:id="529"/>
    </w:p>
    <w:p w14:paraId="7E14BC44">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7.1 道路通行权和场外设施</w:t>
      </w:r>
    </w:p>
    <w:p w14:paraId="4CA69595">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本款约定为：</w:t>
      </w:r>
    </w:p>
    <w:p w14:paraId="4273ACA2">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承包人应根据合同工程的施工需要，负责办理取得出入施工场地的专用和临时道路的通行权，以及取得为工程建设所需修建场外设施的权利，并承担有关费用。 需要发包人协调时，发包人应协助承包人办理相关手续。</w:t>
      </w:r>
    </w:p>
    <w:p w14:paraId="236C041D">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7.2 场内施工道路</w:t>
      </w:r>
    </w:p>
    <w:p w14:paraId="69A1891A">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本款补充第 7.2.3 项：</w:t>
      </w:r>
    </w:p>
    <w:p w14:paraId="5B59B4C0">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7.2.3由发包人提供的部分道路和交通设施维修、养护和管理的约定：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0C6801F">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关于场外交通和场内交通的边界的约定：</w:t>
      </w:r>
      <w:r>
        <w:rPr>
          <w:rFonts w:hint="eastAsia" w:ascii="宋体" w:hAnsi="宋体" w:eastAsia="宋体" w:cs="宋体"/>
          <w:color w:val="auto"/>
          <w:szCs w:val="21"/>
          <w:highlight w:val="none"/>
          <w:u w:val="single"/>
        </w:rPr>
        <w:t>以合同工程用地红线为界，用地红线外为场外交通，用地红线范围内为场内交通（场外道路穿越场内的除外）</w:t>
      </w:r>
      <w:r>
        <w:rPr>
          <w:rFonts w:hint="eastAsia" w:ascii="宋体" w:hAnsi="宋体" w:eastAsia="宋体" w:cs="宋体"/>
          <w:color w:val="auto"/>
          <w:szCs w:val="21"/>
          <w:highlight w:val="none"/>
        </w:rPr>
        <w:t>。</w:t>
      </w:r>
    </w:p>
    <w:p w14:paraId="6B3C76C6">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关于发包人向承包人免费提供满足工程施工需要的场内道路和交通设施的约定：</w:t>
      </w:r>
      <w:r>
        <w:rPr>
          <w:rFonts w:hint="eastAsia" w:ascii="宋体" w:hAnsi="宋体" w:eastAsia="宋体" w:cs="宋体"/>
          <w:color w:val="auto"/>
          <w:kern w:val="0"/>
          <w:szCs w:val="21"/>
          <w:highlight w:val="none"/>
          <w:u w:val="single"/>
        </w:rPr>
        <w:t>以施工场地移交时的现状为准</w:t>
      </w:r>
      <w:r>
        <w:rPr>
          <w:rFonts w:hint="eastAsia" w:ascii="宋体" w:hAnsi="宋体" w:eastAsia="宋体" w:cs="宋体"/>
          <w:color w:val="auto"/>
          <w:szCs w:val="21"/>
          <w:highlight w:val="none"/>
        </w:rPr>
        <w:t>。</w:t>
      </w:r>
    </w:p>
    <w:p w14:paraId="2A69082B">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7.3 场外交通</w:t>
      </w:r>
    </w:p>
    <w:p w14:paraId="5C12C777">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本款补充第 7.3.3 项</w:t>
      </w:r>
    </w:p>
    <w:p w14:paraId="0CED9FA4">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承包人应遵守有关交通法规，执行有关道路限速、限行、禁止超载的规定，并配合交通管理部门的监督和检查。场外交通以施工场地移交时的现状为准。</w:t>
      </w:r>
    </w:p>
    <w:p w14:paraId="0491BB10">
      <w:pPr>
        <w:pStyle w:val="5"/>
        <w:spacing w:before="0" w:after="0" w:line="360" w:lineRule="auto"/>
        <w:jc w:val="left"/>
        <w:rPr>
          <w:rFonts w:hint="eastAsia" w:ascii="宋体" w:hAnsi="宋体" w:eastAsia="宋体" w:cs="宋体"/>
          <w:color w:val="auto"/>
          <w:highlight w:val="none"/>
        </w:rPr>
      </w:pPr>
      <w:bookmarkStart w:id="530" w:name="_Toc57795972"/>
      <w:r>
        <w:rPr>
          <w:rFonts w:hint="eastAsia" w:ascii="宋体" w:hAnsi="宋体" w:eastAsia="宋体" w:cs="宋体"/>
          <w:color w:val="auto"/>
          <w:highlight w:val="none"/>
        </w:rPr>
        <w:t>8、测量放线</w:t>
      </w:r>
      <w:bookmarkEnd w:id="530"/>
    </w:p>
    <w:p w14:paraId="02664D4C">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8.1施工控制网</w:t>
      </w:r>
    </w:p>
    <w:p w14:paraId="44CB6441">
      <w:pPr>
        <w:spacing w:line="360" w:lineRule="auto"/>
        <w:ind w:right="248" w:firstLine="48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 8.1.1 项细化为：</w:t>
      </w:r>
    </w:p>
    <w:p w14:paraId="7ADA5D5C">
      <w:pPr>
        <w:spacing w:line="360" w:lineRule="auto"/>
        <w:ind w:right="248" w:firstLine="48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发包人提供测量基准点、基准线和水准点及其书面资料的期限：</w:t>
      </w:r>
      <w:r>
        <w:rPr>
          <w:rFonts w:hint="eastAsia" w:ascii="宋体" w:hAnsi="宋体" w:eastAsia="宋体" w:cs="宋体"/>
          <w:color w:val="auto"/>
          <w:szCs w:val="21"/>
          <w:highlight w:val="none"/>
          <w:lang w:eastAsia="zh-CN"/>
        </w:rPr>
        <w:t>中选</w:t>
      </w:r>
      <w:r>
        <w:rPr>
          <w:rFonts w:hint="eastAsia" w:ascii="宋体" w:hAnsi="宋体" w:eastAsia="宋体" w:cs="宋体"/>
          <w:color w:val="auto"/>
          <w:szCs w:val="21"/>
          <w:highlight w:val="none"/>
        </w:rPr>
        <w:t>通知之后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天之内</w:t>
      </w:r>
      <w:r>
        <w:rPr>
          <w:rFonts w:hint="eastAsia" w:ascii="宋体" w:hAnsi="宋体" w:eastAsia="宋体" w:cs="宋体"/>
          <w:color w:val="auto"/>
          <w:kern w:val="0"/>
          <w:szCs w:val="21"/>
          <w:highlight w:val="none"/>
        </w:rPr>
        <w:t>。</w:t>
      </w:r>
    </w:p>
    <w:p w14:paraId="3BEB0F02">
      <w:pPr>
        <w:spacing w:line="360" w:lineRule="auto"/>
        <w:ind w:right="248" w:firstLine="48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承包人将施工控制网资料报送监理人审批的期限：在发包人提供上述资料后</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天之内。</w:t>
      </w:r>
    </w:p>
    <w:p w14:paraId="5B327042">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8.4 监理人使用施工控制网</w:t>
      </w:r>
    </w:p>
    <w:p w14:paraId="27CA127B">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本款补充：</w:t>
      </w:r>
    </w:p>
    <w:p w14:paraId="4971A9AB">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经监理人批准，其他相关承包人也可免费使用施工控制网。</w:t>
      </w:r>
    </w:p>
    <w:p w14:paraId="1867F6CD">
      <w:pPr>
        <w:pStyle w:val="5"/>
        <w:spacing w:before="0" w:after="0" w:line="360" w:lineRule="auto"/>
        <w:jc w:val="left"/>
        <w:rPr>
          <w:rFonts w:hint="eastAsia" w:ascii="宋体" w:hAnsi="宋体" w:eastAsia="宋体" w:cs="宋体"/>
          <w:color w:val="auto"/>
          <w:highlight w:val="none"/>
        </w:rPr>
      </w:pPr>
      <w:bookmarkStart w:id="531" w:name="_Toc57795973"/>
      <w:r>
        <w:rPr>
          <w:rFonts w:hint="eastAsia" w:ascii="宋体" w:hAnsi="宋体" w:eastAsia="宋体" w:cs="宋体"/>
          <w:color w:val="auto"/>
          <w:highlight w:val="none"/>
        </w:rPr>
        <w:t>9、施工安全、治安保卫和环境保护</w:t>
      </w:r>
      <w:bookmarkEnd w:id="531"/>
    </w:p>
    <w:p w14:paraId="2F1FE4C9">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9.1 发包人的施工安全责任</w:t>
      </w:r>
    </w:p>
    <w:p w14:paraId="5C5B1926">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本款补充第 9.1.4 项、第 </w:t>
      </w:r>
      <w:r>
        <w:rPr>
          <w:rFonts w:hint="eastAsia" w:ascii="宋体" w:hAnsi="宋体" w:eastAsia="宋体" w:cs="宋体"/>
          <w:color w:val="auto"/>
          <w:kern w:val="0"/>
          <w:szCs w:val="21"/>
          <w:highlight w:val="none"/>
        </w:rPr>
        <w:t xml:space="preserve">9.1.5 </w:t>
      </w:r>
      <w:r>
        <w:rPr>
          <w:rFonts w:hint="eastAsia" w:ascii="宋体" w:hAnsi="宋体" w:eastAsia="宋体" w:cs="宋体"/>
          <w:color w:val="auto"/>
          <w:szCs w:val="21"/>
          <w:highlight w:val="none"/>
        </w:rPr>
        <w:t>项</w:t>
      </w:r>
    </w:p>
    <w:p w14:paraId="1884194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9.1.4发包人负责提供的地下管线资料有：</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，其余可能影响相邻建筑物地下工程的有关资料由承包人负责收集，并保证有关资料的真实、准确、完整，满足有关技术规程的要求。</w:t>
      </w:r>
    </w:p>
    <w:p w14:paraId="23A98B42">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9.1.5发包人安全监督部门应当按照现行标准规范对施工现场安全生产措施落实情况进行监督检查，对安全生产状况进行综合评定，并将评定结果纳入安全档案。</w:t>
      </w:r>
    </w:p>
    <w:p w14:paraId="70E0FC2D">
      <w:pPr>
        <w:pStyle w:val="6"/>
        <w:spacing w:before="0" w:beforeAutospacing="0" w:after="0" w:afterAutospacing="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highlight w:val="none"/>
        </w:rPr>
        <w:t>9.2 承包人的施工安全责任</w:t>
      </w:r>
    </w:p>
    <w:p w14:paraId="1AEE4BBC">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第 9.2.1 项细化为：</w:t>
      </w:r>
    </w:p>
    <w:p w14:paraId="2F20A6E7">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承包人应按合同约定履行安全职责，严格执行国家、地方政府有关施工安全管理方面的法律、法规及规章制度，同时严格执行发包人制订的本项目安全生产管理方面的规章制度、安全检查程序及施工安全管理要求，以及监理人有关安全工作的指示。</w:t>
      </w:r>
    </w:p>
    <w:p w14:paraId="1C197B20">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承包人应根据本工程的实际安全施工要求，编制施工安全技术措施，并在签订合同协议书后 28 天内，报监理人和发包人批准。该施工安全技术措施包括（但不限于）施工安全保障体系，安全生产责任制，安全生产管理规章制度，安全防护施工方案，施工现场临时用电方案，施工安全评估，安全预控及保证措施方案，紧急应变措施，安全标识、警示和围护方案等。对影响安全的重要工序和下列危险性较大的工程应编制专项施工方案，并附安全验算结果，经承包人项目总工</w:t>
      </w:r>
      <w:r>
        <w:rPr>
          <w:rFonts w:hint="eastAsia" w:ascii="宋体" w:hAnsi="宋体" w:eastAsia="宋体" w:cs="宋体"/>
          <w:color w:val="auto"/>
          <w:kern w:val="0"/>
          <w:szCs w:val="21"/>
          <w:highlight w:val="none"/>
          <w:lang w:eastAsia="zh-CN" w:bidi="ar"/>
        </w:rPr>
        <w:t>签名</w:t>
      </w:r>
      <w:r>
        <w:rPr>
          <w:rFonts w:hint="eastAsia" w:ascii="宋体" w:hAnsi="宋体" w:eastAsia="宋体" w:cs="宋体"/>
          <w:color w:val="auto"/>
          <w:kern w:val="0"/>
          <w:szCs w:val="21"/>
          <w:highlight w:val="none"/>
          <w:lang w:bidi="ar"/>
        </w:rPr>
        <w:t>并报监理人和发包人批准后实施，由专职安全生产管理人员进行现场监督。</w:t>
      </w:r>
    </w:p>
    <w:p w14:paraId="613DAD22">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本项目需要编制专项施工方案的工程包括但不限于以下内容：</w:t>
      </w:r>
    </w:p>
    <w:p w14:paraId="51EA3BC9">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（1）不良地质条件下有潜在危险性的土方、石方开挖；</w:t>
      </w:r>
    </w:p>
    <w:p w14:paraId="5280C13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（2）滑坡和高边坡处理；</w:t>
      </w:r>
    </w:p>
    <w:p w14:paraId="04FEAD0C">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（3）桩基础、挡墙基础、深水基础及围堰工程；</w:t>
      </w:r>
    </w:p>
    <w:p w14:paraId="50D8C54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（4）桥梁工程中的梁、拱、柱等构件施工等</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如有</w:t>
      </w:r>
      <w:r>
        <w:rPr>
          <w:rFonts w:hint="eastAsia" w:ascii="宋体" w:hAnsi="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w:t>
      </w:r>
    </w:p>
    <w:p w14:paraId="2DEF1D2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（5）隧道工程中的不良地质隧道、高瓦斯隧道等</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如有</w:t>
      </w:r>
      <w:r>
        <w:rPr>
          <w:rFonts w:hint="eastAsia" w:ascii="宋体" w:hAnsi="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w:t>
      </w:r>
    </w:p>
    <w:p w14:paraId="157C7531">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（6）水上工程中的打桩船作业、施工船作业、外海孤岛作业、边通航边施工作业等</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如有</w:t>
      </w:r>
      <w:r>
        <w:rPr>
          <w:rFonts w:hint="eastAsia" w:ascii="宋体" w:hAnsi="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w:t>
      </w:r>
    </w:p>
    <w:p w14:paraId="1F7915F9">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（7）水下工程中的水下焊接、混凝土浇筑、爆破工程等</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如有</w:t>
      </w:r>
      <w:r>
        <w:rPr>
          <w:rFonts w:hint="eastAsia" w:ascii="宋体" w:hAnsi="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w:t>
      </w:r>
    </w:p>
    <w:p w14:paraId="0D2612D2">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（8）爆破工程</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如有</w:t>
      </w:r>
      <w:r>
        <w:rPr>
          <w:rFonts w:hint="eastAsia" w:ascii="宋体" w:hAnsi="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w:t>
      </w:r>
    </w:p>
    <w:p w14:paraId="2D08B356">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（9）大型临时工程中的大型支架、模板、便桥的架设与拆除；桥梁、码头的加固与拆除</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如有</w:t>
      </w:r>
      <w:r>
        <w:rPr>
          <w:rFonts w:hint="eastAsia" w:ascii="宋体" w:hAnsi="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w:t>
      </w:r>
    </w:p>
    <w:p w14:paraId="0CC93B29">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（10）其他危险性较大的工程</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如有</w:t>
      </w:r>
      <w:r>
        <w:rPr>
          <w:rFonts w:hint="eastAsia" w:ascii="宋体" w:hAnsi="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w:t>
      </w:r>
    </w:p>
    <w:p w14:paraId="65CDC155">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监理人和发包人在检查中发现有安全问题或有违反安全管理规章制度的情况时，可视为承包人违约，应按第 22.1 款的规定办理。</w:t>
      </w:r>
    </w:p>
    <w:p w14:paraId="345738BC">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第 9.2.5 项细化为：</w:t>
      </w:r>
    </w:p>
    <w:p w14:paraId="777C6E8F">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安全生产费用应为</w:t>
      </w:r>
      <w:r>
        <w:rPr>
          <w:rFonts w:hint="eastAsia" w:ascii="宋体" w:hAnsi="宋体" w:eastAsia="宋体" w:cs="宋体"/>
          <w:color w:val="auto"/>
          <w:kern w:val="0"/>
          <w:szCs w:val="21"/>
          <w:highlight w:val="none"/>
          <w:lang w:eastAsia="zh-CN" w:bidi="ar"/>
        </w:rPr>
        <w:t>比选</w:t>
      </w:r>
      <w:r>
        <w:rPr>
          <w:rFonts w:hint="eastAsia" w:ascii="宋体" w:hAnsi="宋体" w:eastAsia="宋体" w:cs="宋体"/>
          <w:color w:val="auto"/>
          <w:kern w:val="0"/>
          <w:szCs w:val="21"/>
          <w:highlight w:val="none"/>
          <w:lang w:bidi="ar"/>
        </w:rPr>
        <w:t>价（不含安全生产费及建筑工程一切险及第三者责任险的保险费）的 1.5%（若发包人公布了最高</w:t>
      </w:r>
      <w:r>
        <w:rPr>
          <w:rFonts w:hint="eastAsia" w:ascii="宋体" w:hAnsi="宋体" w:eastAsia="宋体" w:cs="宋体"/>
          <w:color w:val="auto"/>
          <w:kern w:val="0"/>
          <w:szCs w:val="21"/>
          <w:highlight w:val="none"/>
          <w:lang w:eastAsia="zh-CN" w:bidi="ar"/>
        </w:rPr>
        <w:t>比选</w:t>
      </w:r>
      <w:r>
        <w:rPr>
          <w:rFonts w:hint="eastAsia" w:ascii="宋体" w:hAnsi="宋体" w:eastAsia="宋体" w:cs="宋体"/>
          <w:color w:val="auto"/>
          <w:kern w:val="0"/>
          <w:szCs w:val="21"/>
          <w:highlight w:val="none"/>
          <w:lang w:bidi="ar"/>
        </w:rPr>
        <w:t>限价时，按最高</w:t>
      </w:r>
      <w:r>
        <w:rPr>
          <w:rFonts w:hint="eastAsia" w:ascii="宋体" w:hAnsi="宋体" w:eastAsia="宋体" w:cs="宋体"/>
          <w:color w:val="auto"/>
          <w:kern w:val="0"/>
          <w:szCs w:val="21"/>
          <w:highlight w:val="none"/>
          <w:lang w:eastAsia="zh-CN" w:bidi="ar"/>
        </w:rPr>
        <w:t>比选</w:t>
      </w:r>
      <w:r>
        <w:rPr>
          <w:rFonts w:hint="eastAsia" w:ascii="宋体" w:hAnsi="宋体" w:eastAsia="宋体" w:cs="宋体"/>
          <w:color w:val="auto"/>
          <w:kern w:val="0"/>
          <w:szCs w:val="21"/>
          <w:highlight w:val="none"/>
          <w:lang w:bidi="ar"/>
        </w:rPr>
        <w:t>限价的 1.5%计）。安全生产费用应用于施工安全防护用具及设施的采购和更新、安全施工措施的落实、安全生产条件的改善，不得挪作他用。如承包人在此基础上增加安全生产费用以满足项目施工需要，则承包人应在本项目工程量清单其他相关子目的单价或总额价中予以考虑，发包人不再另行支付。因采取合同未约定的特殊防护措施增加的费用，由监理人按第 3.5 款商定或确定。</w:t>
      </w:r>
    </w:p>
    <w:p w14:paraId="4A9CFB5F">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安全生产费用按相关规定计取。安全生产费的使用和支付管理按照财政部、国家安全生产监督管理总局联合制定的《企业安全生产费用提取和使用管理办法》（财企[2012]16号、《重庆市交通局关于印发《重庆市公路水运工程安全生产费用管理办法（试行）》的通知》（渝交委安[2014]32号）执行，如有新的管理办法，按照新的管理办法执行。若承包人在此基础上增加安全生产费用以满足项目施工需要，则承包人应在本项目工程量清单的单价或总额价中予以考虑，发包人不再另行支付。</w:t>
      </w:r>
    </w:p>
    <w:p w14:paraId="5C8D977B">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本款补充第 9.2.8 项~第 9.2.11 项：</w:t>
      </w:r>
    </w:p>
    <w:p w14:paraId="647350CB">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9.2.8 承包人应充分关注和保障所有在现场工作的人员的安全，采取以下有效措施，使现场和本合同工程的实施保持有条不紊，以免使上述人员的安全受到威胁。</w:t>
      </w:r>
    </w:p>
    <w:p w14:paraId="0698BAD0">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（1）按《公路水运工程安全生产监督管理办法》规定的最低数量和资质条件配备专职安全生产管理人员；</w:t>
      </w:r>
    </w:p>
    <w:p w14:paraId="6B206D9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承包人的垂直运输机械作业人员、施工船舶作业人员、爆破作业人员、安装拆卸工、起重信号工、电工、焊工等国家规定的特种作业人员，必须按照国家规定经过专门的安全作业培训，并取得特种作业操作资格证书后，方可上岗作业；</w:t>
      </w:r>
    </w:p>
    <w:p w14:paraId="57135C38">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（3）所有施工机具设备和高空作业设备均应定期检查，并有安全员的</w:t>
      </w:r>
      <w:r>
        <w:rPr>
          <w:rFonts w:hint="eastAsia" w:ascii="宋体" w:hAnsi="宋体" w:eastAsia="宋体" w:cs="宋体"/>
          <w:color w:val="auto"/>
          <w:kern w:val="0"/>
          <w:szCs w:val="21"/>
          <w:highlight w:val="none"/>
          <w:lang w:eastAsia="zh-CN" w:bidi="ar"/>
        </w:rPr>
        <w:t>签名</w:t>
      </w:r>
      <w:r>
        <w:rPr>
          <w:rFonts w:hint="eastAsia" w:ascii="宋体" w:hAnsi="宋体" w:eastAsia="宋体" w:cs="宋体"/>
          <w:color w:val="auto"/>
          <w:kern w:val="0"/>
          <w:szCs w:val="21"/>
          <w:highlight w:val="none"/>
          <w:lang w:bidi="ar"/>
        </w:rPr>
        <w:t>记录；</w:t>
      </w:r>
    </w:p>
    <w:p w14:paraId="2B484937">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（4）根据本合同各单位工程的施工特点，严格执行《公路水运工程安全生产监督管理办法》《公路工程施工安全技术规范》等有关规定。</w:t>
      </w:r>
    </w:p>
    <w:p w14:paraId="7A1FCF85">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9.2.9 为了保护本合同工程免遭损坏，或为了现场附近和过往群众的安全与方便，在确有必要的时候和地方，或当监理人或有关主管部门要求时，承包人应自费提供照明、警卫、护栅、警告标志等安全防护设施。</w:t>
      </w:r>
    </w:p>
    <w:p w14:paraId="1EFEA184">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9.2.10 在通航水域施工时，承包人应与当地主管部门取得联系，设置必要的导航标志，及时发布航行通告，确保施工水域安全。</w:t>
      </w:r>
    </w:p>
    <w:p w14:paraId="243EDD31">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9.2.11 在整个施工过程中对承包人采取的施工安全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78898898">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9.4 环境保护</w:t>
      </w:r>
    </w:p>
    <w:p w14:paraId="54C88E40">
      <w:pPr>
        <w:pStyle w:val="2"/>
        <w:spacing w:after="0" w:line="360" w:lineRule="auto"/>
        <w:ind w:firstLine="440" w:firstLineChars="200"/>
        <w:jc w:val="left"/>
        <w:rPr>
          <w:rFonts w:hint="eastAsia" w:ascii="宋体" w:hAnsi="宋体" w:eastAsia="宋体" w:cs="宋体"/>
          <w:color w:val="auto"/>
          <w:sz w:val="22"/>
          <w:szCs w:val="16"/>
          <w:highlight w:val="none"/>
        </w:rPr>
      </w:pPr>
      <w:r>
        <w:rPr>
          <w:rFonts w:hint="eastAsia" w:ascii="宋体" w:hAnsi="宋体" w:eastAsia="宋体" w:cs="宋体"/>
          <w:color w:val="auto"/>
          <w:kern w:val="0"/>
          <w:sz w:val="22"/>
          <w:szCs w:val="18"/>
          <w:highlight w:val="none"/>
        </w:rPr>
        <w:t>第 9.4.6 项补充：</w:t>
      </w:r>
    </w:p>
    <w:p w14:paraId="319B1473">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承包人应按国家和重庆市的有关规定及合同约定，加强对噪声、粉尘、废气、废水和废油的控制，努力降低噪声，控制粉尘和废气浓度，做好废水和废油的治理和排放。承包人在施工过程中应严格落实各项水土保持、环境保护措施以及饮用水源保护区的环保措施，若由于施工未采取有效措施导致环境破坏或水土流失引起的损失由承包人承担。</w:t>
      </w:r>
    </w:p>
    <w:p w14:paraId="2AB0CDD7">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本款补充第 9.4.7～9.4.11 项：</w:t>
      </w:r>
    </w:p>
    <w:p w14:paraId="3BE3F0DA">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9.4.7 承包人应切实执行技术规范中有关环境保护方面的条款和规定。</w:t>
      </w:r>
    </w:p>
    <w:p w14:paraId="4800E2AB">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对于来自施工机械和运输车辆的施工噪声，为保护施工人员的健康，应遵守《中华人民共和国环境噪声污染防治法》并依据《工业企业噪声卫生标准》合理安排工作人员轮流操作筑路机械，减少接触高噪声的时间，或间歇安排高噪声的工作。对距噪声源较近的施工人员，除采取使用防护耳塞或头盔等有效措施外，还应当缩短其劳动时间。同时，要注意对机械的经常性保养，尽量使其噪声降低到最低水平。为保护施工现场附近居民的夜间休息，对居民区 150m 以内的施工现场，施工时间应加以控制。 </w:t>
      </w:r>
    </w:p>
    <w:p w14:paraId="32A997B0">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（2）对于公路施工中粉尘污染的主要污染源――灰土拌和、施工车辆和筑路机械运行及运输产生的扬尘，应采取有效措施减轻其对施工现场的大气污染，保护人民健康，如：</w:t>
      </w:r>
    </w:p>
    <w:p w14:paraId="46BF9ABA">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a. 拌和设备应有较好的密封，或有防尘设备。 </w:t>
      </w:r>
    </w:p>
    <w:p w14:paraId="588D9E54">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b. 施工通道、沥青混凝土拌和站及灰土拌和站应经常进行洒水降尘。 </w:t>
      </w:r>
    </w:p>
    <w:p w14:paraId="282DC32F">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c. 路面施工应注意保持水分，以免扬尘。 </w:t>
      </w:r>
    </w:p>
    <w:p w14:paraId="50103908">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d. 隧道出渣和桥梁钻孔灌注桩施工时排出的泥浆要进行妥善处理，严禁向河流或农田排放。 </w:t>
      </w:r>
    </w:p>
    <w:p w14:paraId="50278D88">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（3）采取可靠措施保证原有交通的正常通行，维持沿线村镇的居民饮水、农田灌溉、生产生活用电及通信等管线的正常使用。 </w:t>
      </w:r>
    </w:p>
    <w:p w14:paraId="0AE45A73">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9.4.8 在整个施工过程中对承包人采取的环境保护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58B1481C">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9.4.9 在施工期间，承包人应随时保持现场整洁，施工设备和材料、工程设备应整齐妥善存放和储存，废料与垃圾及不再需要的临时设施应及时从现场清除、拆除并运走。</w:t>
      </w:r>
    </w:p>
    <w:p w14:paraId="5A950934">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9.4.10 在施工期间，承包人应严格遵守《关于在公路建设中实行最严格的耕地保护制度的若干意见》的相关规定，规范用地、科学用地、合理用地和节约用地。承包人应合理利用所占耕地地表的耕作层，用于重新造地；合理设置取土坑和弃土场，取土坑和弃土场的施工防护要符合要求，防止水土流失。承包人应严格控制临时占地数量，施工便道、各种料场、预制场要根据工程进度统筹考虑，尽可能设置在公路用地范围内或利用荒坡、废弃地解决，不得占用农田。施工过程中要采取有效措施防止污染农田，项目完工后承包人应将临时占地自费恢复到临时占地使用前的状况。</w:t>
      </w:r>
    </w:p>
    <w:p w14:paraId="1B2564F6">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9.4.11 承包人应严格按照国家有关法规要求，做好施工过程中的生态保护和水土保持工作。施工中要尽可能减少对原地面的扰动，减少对地面草木的破坏，需要爆破作业的，应按规定进行控爆设计。雨季填筑路基应随挖、随运、随填、随压，要完善施工中的临时排水系统，加强施工便道的管理。取（弃）土场必须先挡后弃，严禁在指定的取（弃）土场以外的地方乱挖乱弃。</w:t>
      </w:r>
    </w:p>
    <w:p w14:paraId="1ECCBC1B">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9.5 事故处理</w:t>
      </w:r>
    </w:p>
    <w:p w14:paraId="2AC5E628">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本款补充：</w:t>
      </w:r>
    </w:p>
    <w:p w14:paraId="68C7B4F0">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发生事故时，承包人应优先办理保险索赔。</w:t>
      </w:r>
    </w:p>
    <w:p w14:paraId="1F74C5DF">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因承包人的原因致使工程在施工期间、合理使用期间、设备保证期内造成人身和财产损害的，由承包人承担损害赔偿责任。如因承包人的原因导致发包人承担责任和损失的，承包人应当对发包人承担赔偿责任。承包人负责对其分包人进行管理，工程施工过程中发生事故的，承包人对分包人瞒报、漏报、谎报、迟报等负责。</w:t>
      </w:r>
    </w:p>
    <w:p w14:paraId="39163C1A">
      <w:pPr>
        <w:pStyle w:val="5"/>
        <w:spacing w:before="0" w:after="0" w:line="360" w:lineRule="auto"/>
        <w:jc w:val="left"/>
        <w:rPr>
          <w:rFonts w:hint="eastAsia" w:ascii="宋体" w:hAnsi="宋体" w:eastAsia="宋体" w:cs="宋体"/>
          <w:color w:val="auto"/>
          <w:highlight w:val="none"/>
        </w:rPr>
      </w:pPr>
      <w:bookmarkStart w:id="532" w:name="_Toc57795974"/>
      <w:r>
        <w:rPr>
          <w:rFonts w:hint="eastAsia" w:ascii="宋体" w:hAnsi="宋体" w:eastAsia="宋体" w:cs="宋体"/>
          <w:color w:val="auto"/>
          <w:highlight w:val="none"/>
        </w:rPr>
        <w:t>10、进度计划</w:t>
      </w:r>
      <w:bookmarkEnd w:id="532"/>
    </w:p>
    <w:p w14:paraId="5CF3282D">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10.1 合同进度计划</w:t>
      </w:r>
    </w:p>
    <w:p w14:paraId="29C3E9DD">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本款补充：</w:t>
      </w:r>
    </w:p>
    <w:p w14:paraId="7A64D446">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承包人编制施工方案说明的内容见专用合同条款。</w:t>
      </w:r>
    </w:p>
    <w:p w14:paraId="23AA68D2">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承包人向监理人报送施工进度计划和施工方案说明的期限：签订合同协议书后28 天之内。监理人应在 14 天内对承包人施工进度计划和施工方案说明予以批复或提出修改意见。</w:t>
      </w:r>
    </w:p>
    <w:p w14:paraId="4A0CD791">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合同进度计划应按照关键线路网络图和主要工作横道图两种形式分别编绘，并应包括每月预计完成的工作量和形象进度。</w:t>
      </w:r>
    </w:p>
    <w:p w14:paraId="45901C67">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10.2 合同进度计划的修订</w:t>
      </w:r>
    </w:p>
    <w:p w14:paraId="2101A0E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本款补充：</w:t>
      </w:r>
    </w:p>
    <w:p w14:paraId="5961F4DC">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承包人提交合同进度计划修订申请报告，并附有关措施和相关资料的期限：实际进度发生滞后的当月 25 日前。</w:t>
      </w:r>
    </w:p>
    <w:p w14:paraId="2DD29E3A">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监理人批复修订合同进度计划的期限：收到修订合同进度计划后 14 天内。</w:t>
      </w:r>
    </w:p>
    <w:p w14:paraId="717FF186">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本条补充第 10.3 款、第 10.4 款：</w:t>
      </w:r>
    </w:p>
    <w:p w14:paraId="2A341068">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10.3 年度施工计划</w:t>
      </w:r>
    </w:p>
    <w:p w14:paraId="31D29233">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承包人应在每年 11 月底前，根据已同意的合同进度计划或其修订的计划，向监理人提交 2 份格式和内容符合监理人合理规定的下一年度的施工计划，以供审查。该计划应包括本年度估计完成的和下一年度预计完成的分项工程数量和工作量，以及为实施此计划将采取的措施。</w:t>
      </w:r>
    </w:p>
    <w:p w14:paraId="350ED639">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10.4 合同用款计划</w:t>
      </w:r>
    </w:p>
    <w:p w14:paraId="09D77941">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承包人应在签订本合同协议书后 28 天之内，按</w:t>
      </w:r>
      <w:r>
        <w:rPr>
          <w:rFonts w:hint="eastAsia" w:ascii="宋体" w:hAnsi="宋体" w:eastAsia="宋体" w:cs="宋体"/>
          <w:color w:val="auto"/>
          <w:kern w:val="0"/>
          <w:szCs w:val="21"/>
          <w:highlight w:val="none"/>
          <w:lang w:eastAsia="zh-CN" w:bidi="ar"/>
        </w:rPr>
        <w:t>比选文件</w:t>
      </w:r>
      <w:r>
        <w:rPr>
          <w:rFonts w:hint="eastAsia" w:ascii="宋体" w:hAnsi="宋体" w:eastAsia="宋体" w:cs="宋体"/>
          <w:color w:val="auto"/>
          <w:kern w:val="0"/>
          <w:szCs w:val="21"/>
          <w:highlight w:val="none"/>
          <w:lang w:bidi="ar"/>
        </w:rPr>
        <w:t>中规定的格式，向监理人提交 2 份按合同规定承包人有权得到支付的详细的季度合同用款计划，以备监理人查阅。如果监理人提出要求，承包人还应按季度提交修订的合同用款计划。</w:t>
      </w:r>
    </w:p>
    <w:p w14:paraId="16BFECCB">
      <w:pPr>
        <w:pStyle w:val="5"/>
        <w:spacing w:before="0" w:after="0" w:line="360" w:lineRule="auto"/>
        <w:jc w:val="left"/>
        <w:rPr>
          <w:rFonts w:hint="eastAsia" w:ascii="宋体" w:hAnsi="宋体" w:eastAsia="宋体" w:cs="宋体"/>
          <w:color w:val="auto"/>
          <w:highlight w:val="none"/>
        </w:rPr>
      </w:pPr>
      <w:bookmarkStart w:id="533" w:name="_Toc57795975"/>
      <w:r>
        <w:rPr>
          <w:rFonts w:hint="eastAsia" w:ascii="宋体" w:hAnsi="宋体" w:eastAsia="宋体" w:cs="宋体"/>
          <w:color w:val="auto"/>
          <w:highlight w:val="none"/>
        </w:rPr>
        <w:t>11、开工和竣工</w:t>
      </w:r>
      <w:bookmarkEnd w:id="533"/>
    </w:p>
    <w:p w14:paraId="4E1A455C">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11.1 开工</w:t>
      </w:r>
    </w:p>
    <w:p w14:paraId="0AF907BE">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第 11.1.2 项补充：</w:t>
      </w:r>
    </w:p>
    <w:p w14:paraId="76A9251F">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承包人应在分部工程开工前 14 天向监理人提交分部工程开工报审表，若承包人的开工准备、工作计划和质量控制方法是可接受的且已获得批准，则经监理人书面同意，分部工程才能开工。</w:t>
      </w:r>
    </w:p>
    <w:p w14:paraId="23EFBFD5">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11.3 发包人的工期延误</w:t>
      </w:r>
    </w:p>
    <w:p w14:paraId="5169CF26">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本款补充：</w:t>
      </w:r>
    </w:p>
    <w:p w14:paraId="1532D0DD">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即使由于上述原因造成工期延误，如果受影响的工程并非处在工程施工进度网络计划的关键线路上，则承包人无权要求延长总工期。</w:t>
      </w:r>
    </w:p>
    <w:p w14:paraId="32C155BE">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在合同履行过程中，因下列情况导致工期延误和（或）费用增加的，由发包人承担由此延误的工期和（或）增加的费用，且发包人应支付承包人合理的利润：</w:t>
      </w:r>
    </w:p>
    <w:p w14:paraId="438486DC">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（1）发包人未能按合同约定提供施工场地，且该未能提供上述开工条件直接影响项目关键线路的；</w:t>
      </w:r>
    </w:p>
    <w:p w14:paraId="17BEDA9D">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（2）发包人提供的测量基准点、基准线和水准点及其书面资料存在错误或疏漏，且该错误或疏漏直接影响项目关键线路的；</w:t>
      </w:r>
    </w:p>
    <w:p w14:paraId="27CBD0ED">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（3）监理人未按合同约定发出指示、批准等文件，且该未按合同约定发出指示、批准直接影响项目关键线路的；</w:t>
      </w:r>
    </w:p>
    <w:p w14:paraId="56BB5D15">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（4）变更未及时审批，直接影响项目关键线路的；</w:t>
      </w:r>
    </w:p>
    <w:p w14:paraId="33AAE151">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（5）实施变更直接影响项目关键线路的；</w:t>
      </w:r>
    </w:p>
    <w:p w14:paraId="206BAAA5">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（6）因发包人原因导致工程暂停施工、停建、缓建的；</w:t>
      </w:r>
    </w:p>
    <w:p w14:paraId="26E3E1A7">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（7）因征地拆迁、群众阻工等情形的；</w:t>
      </w:r>
    </w:p>
    <w:p w14:paraId="518598F1">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r>
        <w:rPr>
          <w:rFonts w:hint="eastAsia" w:ascii="宋体" w:hAnsi="宋体" w:eastAsia="宋体" w:cs="宋体"/>
          <w:color w:val="auto"/>
          <w:kern w:val="0"/>
          <w:szCs w:val="21"/>
          <w:highlight w:val="none"/>
          <w:u w:val="single"/>
        </w:rPr>
        <w:t xml:space="preserve">约定的其他情形：               </w:t>
      </w:r>
      <w:r>
        <w:rPr>
          <w:rFonts w:hint="eastAsia" w:ascii="宋体" w:hAnsi="宋体" w:eastAsia="宋体" w:cs="宋体"/>
          <w:color w:val="auto"/>
          <w:kern w:val="0"/>
          <w:szCs w:val="21"/>
          <w:highlight w:val="none"/>
        </w:rPr>
        <w:t>。</w:t>
      </w:r>
    </w:p>
    <w:p w14:paraId="77BC799F">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因发包人原因未按计划开工日期开工的，发包人应按实际开工日期顺延完工日期。因发包人原因导致工期延误需要修订施工进度计划的，按照第10.2合同进度计划的修订执行。</w:t>
      </w:r>
    </w:p>
    <w:p w14:paraId="0BE3187D">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11.4 异常恶劣的气候条件</w:t>
      </w:r>
    </w:p>
    <w:p w14:paraId="0550E0EC">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本款补充：</w:t>
      </w:r>
    </w:p>
    <w:p w14:paraId="1EDEFC50">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异常气候是指项目所在地 30 年以上一遇的罕见气候现象（包括温度、降水、降雪、风等）。</w:t>
      </w:r>
    </w:p>
    <w:p w14:paraId="06FDDF1E">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11.5 承包人的工期延误</w:t>
      </w:r>
    </w:p>
    <w:p w14:paraId="2683235B">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本款细化为：</w:t>
      </w:r>
    </w:p>
    <w:p w14:paraId="77C37031">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（1）承包人应严格执行监理人批准的合同进度计划，对工作量计划和形象进度计划分别控制。除第 11.3 款规定外，承包人的实际工程进度曲线应在合同进度管理曲线规定的安全区域之内。若承包人的实际工程进度曲线处在合同进度管理曲线规定的安全区域的下限之外时，则监理人有权认为本合同工程的进度过慢，并通知承包人应采取必要措施，以便加快工程进度，确保工程能在预定的工期内交工。承包人应采取措施加快进度，并承担加快进度所增加的费用。</w:t>
      </w:r>
    </w:p>
    <w:p w14:paraId="1AC56D36">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（2）如果承包人在接到监理人通知后的 14 天内，未能采取加快工程进度的措施，致使实际工程进度进一步滞后，或承包人虽采取了一些措施，仍无法按预计工期交工时，监理人应立即通知发包人。发包人在向承包人发出书面警告通知 14 天后，发包人可按第 22.1 款终止对承包人的雇用，也可将本合同工程中的一部分工作交由其他承包人或其他分包人完成。在不解除本合同规定的承包人责任和义务的同时，承包人应承担因此所增加的一切费用。</w:t>
      </w:r>
    </w:p>
    <w:p w14:paraId="7F0B691E">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（3）由于承包人原因造成工期延误，承包人应支付逾期交工违约金。逾期交工违约金的时间自预定的交工日期起到交工验收证书中写明的实际交工日期止（扣除已批准的延长工期），按天计算，</w:t>
      </w:r>
      <w:r>
        <w:rPr>
          <w:rFonts w:hint="eastAsia" w:ascii="宋体" w:hAnsi="宋体" w:eastAsia="宋体" w:cs="宋体"/>
          <w:color w:val="auto"/>
          <w:kern w:val="0"/>
          <w:szCs w:val="21"/>
          <w:highlight w:val="none"/>
          <w:u w:val="single"/>
          <w:lang w:bidi="ar"/>
        </w:rPr>
        <w:t xml:space="preserve"> </w:t>
      </w:r>
      <w:r>
        <w:rPr>
          <w:rFonts w:hint="eastAsia" w:ascii="宋体" w:hAnsi="宋体" w:cs="宋体"/>
          <w:color w:val="auto"/>
          <w:kern w:val="0"/>
          <w:szCs w:val="21"/>
          <w:highlight w:val="none"/>
          <w:u w:val="single"/>
          <w:lang w:val="en-US" w:eastAsia="zh-CN" w:bidi="ar"/>
        </w:rPr>
        <w:t>1</w:t>
      </w:r>
      <w:r>
        <w:rPr>
          <w:rFonts w:hint="eastAsia" w:ascii="宋体" w:hAnsi="宋体" w:eastAsia="宋体" w:cs="宋体"/>
          <w:color w:val="auto"/>
          <w:kern w:val="0"/>
          <w:szCs w:val="21"/>
          <w:highlight w:val="none"/>
          <w:u w:val="single"/>
          <w:lang w:val="en-US" w:eastAsia="zh-CN" w:bidi="ar"/>
        </w:rPr>
        <w:t>000</w:t>
      </w:r>
      <w:r>
        <w:rPr>
          <w:rFonts w:hint="eastAsia" w:ascii="宋体" w:hAnsi="宋体" w:eastAsia="宋体" w:cs="宋体"/>
          <w:color w:val="auto"/>
          <w:kern w:val="0"/>
          <w:szCs w:val="21"/>
          <w:highlight w:val="none"/>
          <w:lang w:bidi="ar"/>
        </w:rPr>
        <w:t>元/天。逾期交工违约金累计金额最高不超过</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val="en-US" w:eastAsia="zh-CN" w:bidi="ar"/>
        </w:rPr>
        <w:t>3</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%签约合同价。发包人可以从应付或到期应付给承包人的任何款项中或采用其他方法扣除此违约金。</w:t>
      </w:r>
    </w:p>
    <w:p w14:paraId="5A894857">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（4）承包人支付逾期交工违约金，不免除承包人完成工程及修补缺陷的义务。</w:t>
      </w:r>
    </w:p>
    <w:p w14:paraId="64DE0873">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如果在合同工程完工之前，已对合同工程内按时完工的单位工程签发了交工验收证书，则合同工程的逾期交工违约金，应按已签发交工验收证书的单位工程的价值占合同工程价值的比例予以减少，但本规定不应影响逾期交工违约金的规定限额。</w:t>
      </w:r>
    </w:p>
    <w:p w14:paraId="640BF8C5">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11.6 工期提前</w:t>
      </w:r>
    </w:p>
    <w:p w14:paraId="0D9BCC2B">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本款补充：</w:t>
      </w:r>
    </w:p>
    <w:p w14:paraId="5A320CEE">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发包人不得随意要求承包人提前交工，承包人也不得随意提出提前交工的建议。 如遇特殊情况，确需将工期提前的，发包人和承包人必须采取有效措施，确保工程质量。</w:t>
      </w:r>
    </w:p>
    <w:p w14:paraId="3259BD2E">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如果承包人提前交工，发包人支付奖金的计算方法为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val="en-US" w:eastAsia="zh-CN" w:bidi="ar"/>
        </w:rPr>
        <w:t>/</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，时间自交工验收证书中写明的实际交工日期起至预定的交工日期止，按天计算，</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val="en-US" w:eastAsia="zh-CN" w:bidi="ar"/>
        </w:rPr>
        <w:t>/</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元/天。但奖金最高限额不超过</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val="en-US" w:eastAsia="zh-CN" w:bidi="ar"/>
        </w:rPr>
        <w:t>/</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%签约合同价。</w:t>
      </w:r>
    </w:p>
    <w:p w14:paraId="6E986F2A">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本条补充第 11.7 款：</w:t>
      </w:r>
    </w:p>
    <w:p w14:paraId="484BA386">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11.7 工作时间的限制</w:t>
      </w:r>
    </w:p>
    <w:p w14:paraId="545C3674">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承包人在夜间或国家规定的节假日进行永久工程的施工，应向监理人报告，以便监理人履行监理职责和义务。</w:t>
      </w:r>
    </w:p>
    <w:p w14:paraId="0508D41B">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但是，为了抢救生命或保护财产，或为了工程的安全、质量而不可避免地短暂作业，则不必事先向监理人报告。但承包人应在事后立即向监理人报告。</w:t>
      </w:r>
    </w:p>
    <w:p w14:paraId="3A1FF717">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本款规定不适用于习惯上或施工本身要求实行连续生产的作业。</w:t>
      </w:r>
    </w:p>
    <w:p w14:paraId="6C2FAB4E">
      <w:pPr>
        <w:pStyle w:val="5"/>
        <w:spacing w:before="0" w:after="0" w:line="360" w:lineRule="auto"/>
        <w:jc w:val="left"/>
        <w:rPr>
          <w:rFonts w:hint="eastAsia" w:ascii="宋体" w:hAnsi="宋体" w:eastAsia="宋体" w:cs="宋体"/>
          <w:color w:val="auto"/>
          <w:highlight w:val="none"/>
        </w:rPr>
      </w:pPr>
      <w:bookmarkStart w:id="534" w:name="_Toc57795976"/>
      <w:r>
        <w:rPr>
          <w:rFonts w:hint="eastAsia" w:ascii="宋体" w:hAnsi="宋体" w:eastAsia="宋体" w:cs="宋体"/>
          <w:color w:val="auto"/>
          <w:highlight w:val="none"/>
        </w:rPr>
        <w:t>12、暂停施工</w:t>
      </w:r>
      <w:bookmarkEnd w:id="534"/>
    </w:p>
    <w:p w14:paraId="3D662DC2">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12.1 承包人暂停施工的责任</w:t>
      </w:r>
    </w:p>
    <w:p w14:paraId="5C3D12BC">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本款第（5）项细化为：</w:t>
      </w:r>
    </w:p>
    <w:p w14:paraId="7EF893B4">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（5）现场气候条件导致的必要停工（第 11.4 款约定的异常恶劣的气候条件除外）；</w:t>
      </w:r>
    </w:p>
    <w:p w14:paraId="26D2EC4F">
      <w:pPr>
        <w:spacing w:line="360" w:lineRule="auto"/>
        <w:ind w:right="248" w:firstLine="48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r>
        <w:rPr>
          <w:rFonts w:hint="eastAsia" w:ascii="宋体" w:hAnsi="宋体" w:eastAsia="宋体" w:cs="宋体"/>
          <w:color w:val="auto"/>
          <w:szCs w:val="21"/>
          <w:highlight w:val="none"/>
        </w:rPr>
        <w:t>由承包人承担暂停施工责任的其它情形：因承包人原因引起的暂停施工，承包人应承担由此增加的费用和（或）延误的工期，且承包人在收到监理人复工指示后84天内仍未复工的，视为第22.1.1项〔承包人违约的情形〕第（7）目约定的承包人无法继续履行合同的情形。</w:t>
      </w:r>
    </w:p>
    <w:p w14:paraId="0C40097C">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12.2 发包人暂停施工的责任</w:t>
      </w:r>
    </w:p>
    <w:p w14:paraId="379EA7BC">
      <w:pPr>
        <w:spacing w:line="360" w:lineRule="auto"/>
        <w:ind w:right="248" w:firstLine="48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款补充：发包人承担暂停施工责任的其它情形：暂停施工持续84天以上不复工的，且不属于第12.1款〔承包人暂停施工的责任〕及第21条〔不可抗力〕约定的情形，并影响到整个工程以及合同目的实现的，承包人有权提出价格调整要求，或者解除合同。解除合同的，按照第22.2.3项〔发包人违约解除合同〕执行。</w:t>
      </w:r>
    </w:p>
    <w:p w14:paraId="63DC6B2F">
      <w:pPr>
        <w:spacing w:line="360" w:lineRule="auto"/>
        <w:ind w:right="249"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本条补充第 12.6款、第 12.7 款</w:t>
      </w:r>
    </w:p>
    <w:p w14:paraId="3FA2358D">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12.6 暂停施工期间的工程照管</w:t>
      </w:r>
    </w:p>
    <w:p w14:paraId="59824B9B">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暂停施工期间，承包人应负责妥善照管工程并提供安全保障，由此增加的费用由责任方承担。</w:t>
      </w:r>
    </w:p>
    <w:p w14:paraId="023FB5A4">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12.7 暂停施工的措施</w:t>
      </w:r>
    </w:p>
    <w:p w14:paraId="5FD2224A">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暂停施工期间，发包人和承包人均应采取必要的措施确保工程质量及安全，防止因暂停施工扩大损失。</w:t>
      </w:r>
    </w:p>
    <w:p w14:paraId="3E23B71E">
      <w:pPr>
        <w:pStyle w:val="5"/>
        <w:spacing w:before="0" w:after="0" w:line="360" w:lineRule="auto"/>
        <w:jc w:val="left"/>
        <w:rPr>
          <w:rFonts w:hint="eastAsia" w:ascii="宋体" w:hAnsi="宋体" w:eastAsia="宋体" w:cs="宋体"/>
          <w:color w:val="auto"/>
          <w:highlight w:val="none"/>
        </w:rPr>
      </w:pPr>
      <w:bookmarkStart w:id="535" w:name="_Toc57795977"/>
      <w:r>
        <w:rPr>
          <w:rFonts w:hint="eastAsia" w:ascii="宋体" w:hAnsi="宋体" w:eastAsia="宋体" w:cs="宋体"/>
          <w:color w:val="auto"/>
          <w:highlight w:val="none"/>
        </w:rPr>
        <w:t>13、工程质量</w:t>
      </w:r>
      <w:bookmarkEnd w:id="535"/>
    </w:p>
    <w:p w14:paraId="7BC4D339">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13.1 工程质量要求</w:t>
      </w:r>
    </w:p>
    <w:p w14:paraId="74112D69">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第 13.1.1 项约定为：</w:t>
      </w:r>
    </w:p>
    <w:p w14:paraId="7A37DC79">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工程质量验收按技术规范及《公路工程质量检验评定标准》执行。</w:t>
      </w:r>
    </w:p>
    <w:p w14:paraId="5B7479B7">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本款补充第 13.1.4 项、第 13.1.5 项：</w:t>
      </w:r>
    </w:p>
    <w:p w14:paraId="77E1C443">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13.1.4 发包人和承包人应严格遵守《关于严格落实公路工程质量责任制的若干意见》的相关规定，认真执行工程质量责任登记制度并按要求填写工程质量责任登记表。</w:t>
      </w:r>
    </w:p>
    <w:p w14:paraId="7C0CE6EF">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13.1.5 本项目严格执行质量责任追究制度。质量事故处理实行“四不放过”原则：事故原因调查不清不放过；事故责任者没有受到教育不放过；没有防范措施不放过；相关责任人没受到处理不放过。</w:t>
      </w:r>
    </w:p>
    <w:p w14:paraId="2AC838C8">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13.2 承包人的质量管理</w:t>
      </w:r>
    </w:p>
    <w:p w14:paraId="6EE7E871">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第 13.2.1 项补充：</w:t>
      </w:r>
    </w:p>
    <w:p w14:paraId="16B46E06">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承包人提交工程质量保证措施文件的期限：签订合同协议书后 28 天之内。</w:t>
      </w:r>
    </w:p>
    <w:p w14:paraId="0DC99056">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本款补充第 13.2.3～13.2.10 项：</w:t>
      </w:r>
    </w:p>
    <w:p w14:paraId="60491279">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13.2.3 公路工程施行质量责任终身制。承包人应当书面明确相应的项目负责人和质量负责人。承包人的相关人员按照国家法律法规和有关规定在工程合理使用年限内承担相应的质量责任。</w:t>
      </w:r>
    </w:p>
    <w:p w14:paraId="1E3609F4">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13.2.4 承包人应当建立健全工程质量保证体系，制定质量管理制度，强化工程质量管理措施，完善工程质量目标保障机制；严格遵守国家有关法律、法规和规章，严格执行公路工程强制性技术标准、各类技术规范及规程，全面履行工程合同义务。</w:t>
      </w:r>
    </w:p>
    <w:p w14:paraId="6D008BB4">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13.2.5 承包人对工程施工质量负责，应当按合同约定设立现场质量管理机构、 配备工程技术人员和质量管理人员，落实工程施工质量责任制。</w:t>
      </w:r>
    </w:p>
    <w:p w14:paraId="6061C966">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13.2.6 承包人应当严格按照工程设计图纸、施工技术标准和合同约定施工，对原材料、混合料、构配件、工程实体、机电设备等进行检验；按规定施行班组自检、工序交接检、专职质检员检验的质量控制程序；对分项工程、分部工程和单位工程进行质量自评。检验或者自评不合格的，不得进入下道工序或者投入使用。</w:t>
      </w:r>
    </w:p>
    <w:p w14:paraId="00B80C0E">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13.2.7 承包人应当加强施工过程质量控制，并形成完整、可追溯的施工质量管理资料，主体工程的隐蔽部位施工还应当保留影像资料。对施工中出现的质量问题或者验收不合格的工程，应当负责返工处理；对在保修范围和保修期限内发生质量问题的工程，应当履行保修义务。</w:t>
      </w:r>
    </w:p>
    <w:p w14:paraId="2DCEA11A">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13.2.8 承包人应当按照合同约定设立工地临时试验室，配齐检测和试验仪器、仪表，及时校正确保其精度；严格按照工程技术标准、检测规范和规程，在核定的试验检测参数范围内开展试验检测活动，并确保规范规定的检验、抽检频率。承包人应当对其设立的工地临时试验室所出具的试验检测数据和报告的真实性、客观性、准确性负责。</w:t>
      </w:r>
    </w:p>
    <w:p w14:paraId="719B0C7F">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13.2.9 承包人应当依法规范分包行为，并对承担的工程质量负总责，分包单位对分包合同范围内的工程质量负责。</w:t>
      </w:r>
    </w:p>
    <w:p w14:paraId="4CF9CBC2">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13.2.10 承包人驻工程现场机构应在现场驻地和重要的分部、分项工程施工现场设置明显的工程质量责任登记表公示牌。</w:t>
      </w:r>
    </w:p>
    <w:p w14:paraId="21171166">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13.4 监理人的质量检查</w:t>
      </w:r>
    </w:p>
    <w:p w14:paraId="59370272">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本款补充：</w:t>
      </w:r>
    </w:p>
    <w:p w14:paraId="5332CBD5">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监理人及其委派的检验人员，应能进入工程现场，以及材料或工程设备的制造、加工或制配的车间和场所，包括不属于承包人的车间或场所进行检查，承包人应为此提供便利和协助。</w:t>
      </w:r>
    </w:p>
    <w:p w14:paraId="28D58664">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监理人可以将材料或工程设备的检查和检验委托给一家独立的有质量检验认证资格的检验单位。该独立检验单位的检验结果应视为监理人完成的。监理人应将这种委托的通知书不少于 7 天前交给承包人。</w:t>
      </w:r>
    </w:p>
    <w:p w14:paraId="362EF0B5">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13.5 工程隐蔽部位覆盖前的检查</w:t>
      </w:r>
    </w:p>
    <w:p w14:paraId="52A4934C">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第 13.5.1 项补充：</w:t>
      </w:r>
    </w:p>
    <w:p w14:paraId="703EDB87">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当监理人有指令时，承包人应对重要隐蔽工程进行拍摄或照相并应保证监理人有充分的机会对将要覆盖或掩蔽的工程进行检查和量测，特别是在基础以上的任一部分工程修筑之前，对该基础进行检查。</w:t>
      </w:r>
    </w:p>
    <w:p w14:paraId="2C0B11DE">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13.6 清除不合格工程</w:t>
      </w:r>
    </w:p>
    <w:p w14:paraId="52A0D229">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第 13.6.1 项细化为：</w:t>
      </w:r>
    </w:p>
    <w:p w14:paraId="52C18643">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承包人使用不合格材料、工程设备，或采用不适当的施工工艺，或施工不当，造成工程不合格的，监理人可以随时发出指示，要求承包人立即采取措施进行替换、补救或拆除重建，直至达到合同要求的质量标准，由此增加的费用和（或）工期延误由承包人承担。</w:t>
      </w:r>
    </w:p>
    <w:p w14:paraId="4EC41A26">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（2）如果承包人未在规定时间内执行监理人的指示，发包人有权雇用他人执行，由此增加的费用和（或）工期延误由承包人承担。</w:t>
      </w:r>
    </w:p>
    <w:p w14:paraId="3B628B4C">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本条补充第 13.7 款</w:t>
      </w:r>
    </w:p>
    <w:p w14:paraId="3B482D42">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13.7 质量评定</w:t>
      </w:r>
    </w:p>
    <w:p w14:paraId="7541F4DB">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13.7.1重要隐蔽单元工程和关键部位单元工程质量评定的约定：</w:t>
      </w:r>
      <w:r>
        <w:rPr>
          <w:rFonts w:hint="eastAsia" w:ascii="宋体" w:hAnsi="宋体" w:eastAsia="宋体" w:cs="宋体"/>
          <w:color w:val="auto"/>
          <w:kern w:val="0"/>
          <w:szCs w:val="21"/>
          <w:highlight w:val="none"/>
          <w:u w:val="single"/>
        </w:rPr>
        <w:t>单元工程质量符合现行有效的质量验收评定标准要求。承包人应严格遵守发包人为确保本工程质量而颁发的工程质量管理制度，含工程质量管理办法、不合格工程控制管理办法、工程事故应急和处理预案、工程验收管理办法、工程质量管理考核办法等。</w:t>
      </w:r>
    </w:p>
    <w:p w14:paraId="36D8DDF9">
      <w:pPr>
        <w:pStyle w:val="2"/>
        <w:spacing w:after="0" w:line="360" w:lineRule="auto"/>
        <w:ind w:firstLine="440" w:firstLineChars="200"/>
        <w:jc w:val="left"/>
        <w:rPr>
          <w:rFonts w:hint="eastAsia" w:ascii="宋体" w:hAnsi="宋体" w:eastAsia="宋体" w:cs="宋体"/>
          <w:color w:val="auto"/>
          <w:sz w:val="22"/>
          <w:szCs w:val="16"/>
          <w:highlight w:val="none"/>
          <w:lang w:bidi="ar"/>
        </w:rPr>
      </w:pPr>
      <w:r>
        <w:rPr>
          <w:rFonts w:hint="eastAsia" w:ascii="宋体" w:hAnsi="宋体" w:eastAsia="宋体" w:cs="宋体"/>
          <w:color w:val="auto"/>
          <w:sz w:val="22"/>
          <w:szCs w:val="18"/>
          <w:highlight w:val="none"/>
        </w:rPr>
        <w:t>13.7.2工程合格标准为：</w:t>
      </w:r>
      <w:r>
        <w:rPr>
          <w:rFonts w:hint="eastAsia" w:ascii="宋体" w:hAnsi="宋体" w:eastAsia="宋体" w:cs="宋体"/>
          <w:color w:val="auto"/>
          <w:sz w:val="22"/>
          <w:szCs w:val="18"/>
          <w:highlight w:val="none"/>
          <w:u w:val="single"/>
        </w:rPr>
        <w:t xml:space="preserve">        </w:t>
      </w:r>
      <w:r>
        <w:rPr>
          <w:rFonts w:hint="eastAsia" w:ascii="宋体" w:hAnsi="宋体" w:eastAsia="宋体" w:cs="宋体"/>
          <w:color w:val="auto"/>
          <w:sz w:val="22"/>
          <w:szCs w:val="18"/>
          <w:highlight w:val="none"/>
        </w:rPr>
        <w:t>；优良标准为：</w:t>
      </w:r>
      <w:r>
        <w:rPr>
          <w:rFonts w:hint="eastAsia" w:ascii="宋体" w:hAnsi="宋体" w:eastAsia="宋体" w:cs="宋体"/>
          <w:color w:val="auto"/>
          <w:sz w:val="22"/>
          <w:szCs w:val="18"/>
          <w:highlight w:val="none"/>
          <w:u w:val="single"/>
        </w:rPr>
        <w:t xml:space="preserve">        </w:t>
      </w:r>
      <w:r>
        <w:rPr>
          <w:rFonts w:hint="eastAsia" w:ascii="宋体" w:hAnsi="宋体" w:eastAsia="宋体" w:cs="宋体"/>
          <w:color w:val="auto"/>
          <w:sz w:val="22"/>
          <w:szCs w:val="18"/>
          <w:highlight w:val="none"/>
        </w:rPr>
        <w:t>。达到优良的奖金为：</w:t>
      </w:r>
      <w:r>
        <w:rPr>
          <w:rFonts w:hint="eastAsia" w:ascii="宋体" w:hAnsi="宋体" w:eastAsia="宋体" w:cs="宋体"/>
          <w:color w:val="auto"/>
          <w:sz w:val="22"/>
          <w:szCs w:val="18"/>
          <w:highlight w:val="none"/>
          <w:u w:val="single"/>
        </w:rPr>
        <w:t xml:space="preserve">        </w:t>
      </w:r>
      <w:r>
        <w:rPr>
          <w:rFonts w:hint="eastAsia" w:ascii="宋体" w:hAnsi="宋体" w:eastAsia="宋体" w:cs="宋体"/>
          <w:color w:val="auto"/>
          <w:sz w:val="22"/>
          <w:szCs w:val="18"/>
          <w:highlight w:val="none"/>
        </w:rPr>
        <w:t>。</w:t>
      </w:r>
    </w:p>
    <w:p w14:paraId="7DC5A648">
      <w:pPr>
        <w:pStyle w:val="5"/>
        <w:spacing w:before="0" w:after="0" w:line="360" w:lineRule="auto"/>
        <w:jc w:val="left"/>
        <w:rPr>
          <w:rFonts w:hint="eastAsia" w:ascii="宋体" w:hAnsi="宋体" w:eastAsia="宋体" w:cs="宋体"/>
          <w:color w:val="auto"/>
          <w:highlight w:val="none"/>
        </w:rPr>
      </w:pPr>
      <w:bookmarkStart w:id="536" w:name="_Toc57795978"/>
      <w:r>
        <w:rPr>
          <w:rFonts w:hint="eastAsia" w:ascii="宋体" w:hAnsi="宋体" w:eastAsia="宋体" w:cs="宋体"/>
          <w:color w:val="auto"/>
          <w:highlight w:val="none"/>
        </w:rPr>
        <w:t>14、试验和检验</w:t>
      </w:r>
      <w:bookmarkEnd w:id="536"/>
    </w:p>
    <w:p w14:paraId="4BF99278">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14.3 现场工艺试验</w:t>
      </w:r>
    </w:p>
    <w:p w14:paraId="1F265DD8">
      <w:pPr>
        <w:tabs>
          <w:tab w:val="left" w:pos="711"/>
          <w:tab w:val="left" w:pos="2580"/>
        </w:tabs>
        <w:snapToGrid w:val="0"/>
        <w:spacing w:line="360" w:lineRule="auto"/>
        <w:ind w:firstLine="420" w:firstLineChars="200"/>
        <w:jc w:val="left"/>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本款补充第 14.3.1项、第 14.3.2 项</w:t>
      </w:r>
    </w:p>
    <w:p w14:paraId="5EBF9904">
      <w:pPr>
        <w:tabs>
          <w:tab w:val="left" w:pos="711"/>
          <w:tab w:val="left" w:pos="2580"/>
        </w:tabs>
        <w:snapToGrid w:val="0"/>
        <w:spacing w:line="360" w:lineRule="auto"/>
        <w:ind w:firstLine="420" w:firstLineChars="200"/>
        <w:jc w:val="left"/>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14.3.1若因承包人取样、制样、送检及相关配合不及时而导致工程的工期和费用增加，影响的工期不予延长，增加费用由承包人承担。</w:t>
      </w:r>
    </w:p>
    <w:p w14:paraId="405AB4B9">
      <w:pPr>
        <w:tabs>
          <w:tab w:val="left" w:pos="711"/>
          <w:tab w:val="left" w:pos="2580"/>
        </w:tabs>
        <w:snapToGrid w:val="0"/>
        <w:spacing w:line="360" w:lineRule="auto"/>
        <w:ind w:firstLine="420" w:firstLineChars="200"/>
        <w:jc w:val="left"/>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14.3.2检测试验不合格的项目，其缺陷处理和复测费用由承包人承担，工期不予延长。</w:t>
      </w:r>
    </w:p>
    <w:p w14:paraId="5AAF8211">
      <w:pPr>
        <w:tabs>
          <w:tab w:val="left" w:pos="711"/>
          <w:tab w:val="left" w:pos="2580"/>
        </w:tabs>
        <w:snapToGrid w:val="0"/>
        <w:spacing w:line="360" w:lineRule="auto"/>
        <w:ind w:firstLine="420" w:firstLineChars="200"/>
        <w:jc w:val="left"/>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本条补充第 14.4 款：</w:t>
      </w:r>
    </w:p>
    <w:p w14:paraId="15E1573E">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14.4 试验和检验费用</w:t>
      </w:r>
    </w:p>
    <w:p w14:paraId="2DA034B8">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（1）承包人应负责提供合同和技术规范规定的试验和检验所需的全部样品，并承担其费用。</w:t>
      </w:r>
    </w:p>
    <w:p w14:paraId="3D22B831">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（2）在合同中明确规定的试验和检验，包括无须在工程量清单中单独列项和已在工程量清单中单独列项的试验和检验，其试验和检验的费用由承包人承担。</w:t>
      </w:r>
    </w:p>
    <w:p w14:paraId="7D2AE52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如果监理人所要求做的试验和检验为合同未规定的或是在该材料或工程设备的制造、加工、制配场地以外的场所进行的，则检验结束后，如表明操作工艺或材料、工程设备未能符合合同规定，其费用应由承包人承担，否则，其费用应由发包人承担。</w:t>
      </w:r>
    </w:p>
    <w:p w14:paraId="1F01585A">
      <w:pPr>
        <w:pStyle w:val="5"/>
        <w:spacing w:before="0" w:after="0" w:line="360" w:lineRule="auto"/>
        <w:jc w:val="left"/>
        <w:rPr>
          <w:rFonts w:hint="eastAsia" w:ascii="宋体" w:hAnsi="宋体" w:eastAsia="宋体" w:cs="宋体"/>
          <w:color w:val="auto"/>
          <w:highlight w:val="none"/>
        </w:rPr>
      </w:pPr>
      <w:bookmarkStart w:id="537" w:name="_Toc57795979"/>
      <w:r>
        <w:rPr>
          <w:rFonts w:hint="eastAsia" w:ascii="宋体" w:hAnsi="宋体" w:eastAsia="宋体" w:cs="宋体"/>
          <w:color w:val="auto"/>
          <w:highlight w:val="none"/>
        </w:rPr>
        <w:t>15、变更</w:t>
      </w:r>
      <w:bookmarkEnd w:id="537"/>
    </w:p>
    <w:p w14:paraId="246B4834">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15.1 变更的范围和内容</w:t>
      </w:r>
    </w:p>
    <w:p w14:paraId="7EB0E44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在履行合同中发生以下情形之一，应按照本条规定进行变更。</w:t>
      </w:r>
    </w:p>
    <w:p w14:paraId="20823D1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（1）适用于工程的标准和（或）规范变化导致需要对工程进行改变，且该改变导致工期和（或）费用变化的；</w:t>
      </w:r>
    </w:p>
    <w:p w14:paraId="4F49E41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（2）勘察设计变更；</w:t>
      </w:r>
    </w:p>
    <w:p w14:paraId="022E366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（3）实施内容变更，包括因设计变更和非设计变更引起的实施地点、投资规模、结构型式、采购数量、服务内容等进行的调整，以及因此导致的合同价格、工期变更；</w:t>
      </w:r>
    </w:p>
    <w:p w14:paraId="1AEB25F6">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（4）项目管理人员变更；</w:t>
      </w:r>
    </w:p>
    <w:p w14:paraId="22A38EA3">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（5）因人工、原材料等价格变化导致的合同总价变更；</w:t>
      </w:r>
    </w:p>
    <w:p w14:paraId="4BD1C360">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（6）非实施内容变化导致的工期变更；</w:t>
      </w:r>
    </w:p>
    <w:p w14:paraId="6D325007">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（7）其他：</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B9E4CA3">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变更应当符合国家法律法规、强制标准和技术规范的要求，且合同变更后更加有利于工程的建设、运营、安全、节约资金、保护生态环境或者实现功能要求。发包人对项目合同变更承担主体责任。项目合同变更后，发包人应当与承包人签订补充协议。项目合同变更应当按照《重庆市政府投资项目合同变更管理暂行办法》要求进行信息公开。项目合同变更未获得通过的，发包人和承包人均不得擅自变更原合同约定事项，且不得就同一理由同一事项再提出变更。</w:t>
      </w:r>
    </w:p>
    <w:p w14:paraId="52C84841">
      <w:pPr>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rPr>
        <w:t>承包人对其提供的材料、工程设备、施工、无负荷试车、热负荷试车及图纸参数存在的缺陷，自费修正、调整和完善，不属于变更。</w:t>
      </w:r>
    </w:p>
    <w:p w14:paraId="67F83887">
      <w:pPr>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本款补充第 15.2.1项、第 15.2.2 项</w:t>
      </w:r>
    </w:p>
    <w:p w14:paraId="787A4238">
      <w:pPr>
        <w:adjustRightInd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15.2.1发包人和监理人提出变更</w:t>
      </w:r>
    </w:p>
    <w:p w14:paraId="0F114B10">
      <w:pPr>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和监理人均可以提出变更。变更指示均通过监理人以书面形式发出，监理人发出变更指示前应征得发包人同意。承包人收到经发包人签认的变更指示后，方可实施变更。未取得经发包人签认的变更指示，承包人不得实施任何变更。</w:t>
      </w:r>
    </w:p>
    <w:p w14:paraId="107F6463">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涉及设计变更的，应由设计人提供变更后的图纸和说明，交由发包人同意后由监理人以书面形式发出。如变更超过原设计标准或批准的建设规模时，</w:t>
      </w:r>
      <w:r>
        <w:rPr>
          <w:rFonts w:hint="eastAsia" w:ascii="宋体" w:hAnsi="宋体" w:eastAsia="宋体" w:cs="宋体"/>
          <w:color w:val="auto"/>
          <w:szCs w:val="21"/>
          <w:highlight w:val="none"/>
        </w:rPr>
        <w:t>由发包人及时办理规划、设计变更等审批手续。</w:t>
      </w:r>
    </w:p>
    <w:p w14:paraId="482AA878">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若出现重大设计变更，变更后的内容超出承包人资质或能力范围的，发包人将另行依法招标选择承包单位，无需征得承包人同意。</w:t>
      </w:r>
    </w:p>
    <w:p w14:paraId="696452D7">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15.2.2 承包人提出变更建议</w:t>
      </w:r>
    </w:p>
    <w:p w14:paraId="6DC5EAEA">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承包人可以向发包人提交书面变更建议，应当以承包人单位名义书面向发包人提出申请，详细说明变更的内容、理由，以及该变更对项目的工期、投资、质量、安全、运营管理、生态环境等的影响，客观反映项目合同变更的必要性和可行性，包括：缩短工期，降低发包人的工程、施工、维护、营运的费用，提高竣工工程的效率或价值，给发包人带来的长远利益和其他利益。发包人接到此类建议后，可以选择：不采纳/采纳/补充进一步资料的书面通知。</w:t>
      </w:r>
    </w:p>
    <w:p w14:paraId="10854323">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如果发包人对承包人已实施的施工项目在发出重大设计变更之前要求承包人提出一份建议，那么，承包人应尽快提出：</w:t>
      </w:r>
    </w:p>
    <w:p w14:paraId="63ACD038">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u w:val="single"/>
        </w:rPr>
        <w:t>对所提方案和（或）待做工作及其实施计划的说明</w:t>
      </w:r>
      <w:r>
        <w:rPr>
          <w:rFonts w:hint="eastAsia" w:ascii="宋体" w:hAnsi="宋体" w:eastAsia="宋体" w:cs="宋体"/>
          <w:color w:val="auto"/>
          <w:kern w:val="0"/>
          <w:szCs w:val="21"/>
          <w:highlight w:val="none"/>
        </w:rPr>
        <w:t>；</w:t>
      </w:r>
    </w:p>
    <w:p w14:paraId="4F066D54">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u w:val="single"/>
        </w:rPr>
        <w:t>承包人按照对工程进度计划进行必要修改的建议</w:t>
      </w:r>
      <w:r>
        <w:rPr>
          <w:rFonts w:hint="eastAsia" w:ascii="宋体" w:hAnsi="宋体" w:eastAsia="宋体" w:cs="宋体"/>
          <w:color w:val="auto"/>
          <w:kern w:val="0"/>
          <w:szCs w:val="21"/>
          <w:highlight w:val="none"/>
        </w:rPr>
        <w:t>；</w:t>
      </w:r>
    </w:p>
    <w:p w14:paraId="1B72E739">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u w:val="single"/>
        </w:rPr>
        <w:t>承包人发生较大返工损失增加费用的建议</w:t>
      </w:r>
      <w:r>
        <w:rPr>
          <w:rFonts w:hint="eastAsia" w:ascii="宋体" w:hAnsi="宋体" w:eastAsia="宋体" w:cs="宋体"/>
          <w:color w:val="auto"/>
          <w:kern w:val="0"/>
          <w:szCs w:val="21"/>
          <w:highlight w:val="none"/>
        </w:rPr>
        <w:t>。</w:t>
      </w:r>
    </w:p>
    <w:p w14:paraId="71BCE27A">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发包人在收到上述建议书后，应尽快给予批准、否决或提出意见</w:t>
      </w:r>
      <w:r>
        <w:rPr>
          <w:rFonts w:hint="eastAsia" w:ascii="宋体" w:hAnsi="宋体" w:eastAsia="宋体" w:cs="宋体"/>
          <w:color w:val="auto"/>
          <w:kern w:val="0"/>
          <w:szCs w:val="21"/>
          <w:highlight w:val="none"/>
        </w:rPr>
        <w:t>。</w:t>
      </w:r>
    </w:p>
    <w:p w14:paraId="325D059C">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15.3 变更程序 </w:t>
      </w:r>
    </w:p>
    <w:p w14:paraId="237C4BD5">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15.3.1项补充：</w:t>
      </w:r>
    </w:p>
    <w:p w14:paraId="15F825D5">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（5）一般设计变更：</w:t>
      </w:r>
      <w:r>
        <w:rPr>
          <w:rFonts w:hint="eastAsia" w:ascii="宋体" w:hAnsi="宋体" w:eastAsia="宋体" w:cs="宋体"/>
          <w:color w:val="auto"/>
          <w:kern w:val="0"/>
          <w:szCs w:val="21"/>
          <w:highlight w:val="none"/>
          <w:u w:val="single"/>
        </w:rPr>
        <w:t>承包人收到监理人下达的变更指示后，应按照监理人下达的变更指示执行，并书面说明实施该变更指示对合同价格和工期的影响，按照第15.4项〔变更的估价原则〕约定执行</w:t>
      </w:r>
      <w:r>
        <w:rPr>
          <w:rFonts w:hint="eastAsia" w:ascii="宋体" w:hAnsi="宋体" w:eastAsia="宋体" w:cs="宋体"/>
          <w:color w:val="auto"/>
          <w:kern w:val="0"/>
          <w:szCs w:val="21"/>
          <w:highlight w:val="none"/>
        </w:rPr>
        <w:t>。</w:t>
      </w:r>
    </w:p>
    <w:p w14:paraId="31FD913D">
      <w:pPr>
        <w:autoSpaceDE w:val="0"/>
        <w:autoSpaceDN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（6）重大设计变更：</w:t>
      </w:r>
      <w:r>
        <w:rPr>
          <w:rFonts w:hint="eastAsia" w:ascii="宋体" w:hAnsi="宋体" w:eastAsia="宋体" w:cs="宋体"/>
          <w:color w:val="auto"/>
          <w:szCs w:val="21"/>
          <w:highlight w:val="none"/>
          <w:u w:val="single"/>
        </w:rPr>
        <w:t>需经设计人、监理人和发包人三方</w:t>
      </w:r>
      <w:r>
        <w:rPr>
          <w:rFonts w:hint="eastAsia" w:ascii="宋体" w:hAnsi="宋体" w:eastAsia="宋体" w:cs="宋体"/>
          <w:color w:val="auto"/>
          <w:szCs w:val="21"/>
          <w:highlight w:val="none"/>
          <w:u w:val="single"/>
          <w:lang w:eastAsia="zh-CN"/>
        </w:rPr>
        <w:t>签名</w:t>
      </w:r>
      <w:r>
        <w:rPr>
          <w:rFonts w:hint="eastAsia" w:ascii="宋体" w:hAnsi="宋体" w:eastAsia="宋体" w:cs="宋体"/>
          <w:color w:val="auto"/>
          <w:szCs w:val="21"/>
          <w:highlight w:val="none"/>
          <w:u w:val="single"/>
        </w:rPr>
        <w:t>认可并报相关行业部门审查同意后实施</w:t>
      </w:r>
      <w:r>
        <w:rPr>
          <w:rFonts w:hint="eastAsia" w:ascii="宋体" w:hAnsi="宋体" w:eastAsia="宋体" w:cs="宋体"/>
          <w:color w:val="auto"/>
          <w:szCs w:val="21"/>
          <w:highlight w:val="none"/>
        </w:rPr>
        <w:t>。</w:t>
      </w:r>
    </w:p>
    <w:p w14:paraId="237753EB">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本款补充第 15.3.4 项：</w:t>
      </w:r>
    </w:p>
    <w:p w14:paraId="247BE591">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15.3.4 设计变更程序应执行</w:t>
      </w:r>
      <w:r>
        <w:rPr>
          <w:rFonts w:hint="eastAsia" w:ascii="宋体" w:hAnsi="宋体" w:eastAsia="宋体" w:cs="宋体"/>
          <w:color w:val="auto"/>
          <w:kern w:val="0"/>
          <w:szCs w:val="21"/>
          <w:highlight w:val="none"/>
          <w:u w:val="single"/>
          <w:lang w:bidi="ar"/>
        </w:rPr>
        <w:t>《公路工程设计变更管理办法》《重庆市政府投资项目合同变更管理暂行办法》</w:t>
      </w:r>
      <w:r>
        <w:rPr>
          <w:rFonts w:hint="eastAsia" w:ascii="宋体" w:hAnsi="宋体" w:eastAsia="宋体" w:cs="宋体"/>
          <w:color w:val="auto"/>
          <w:kern w:val="0"/>
          <w:szCs w:val="21"/>
          <w:highlight w:val="none"/>
          <w:lang w:bidi="ar"/>
        </w:rPr>
        <w:t>的相关规定。</w:t>
      </w:r>
    </w:p>
    <w:p w14:paraId="6908C9A9">
      <w:pPr>
        <w:autoSpaceDE w:val="0"/>
        <w:autoSpaceDN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合同变更提出后，应当首先由发包人组织相关单位、专家进行论证。经论证确需变更的，发包人按照《重庆市政府投资项目合同变更管理暂行办法》规定的程序自行决策或者报批；经论证不需要变更的，继续按合同执行</w:t>
      </w:r>
      <w:r>
        <w:rPr>
          <w:rFonts w:hint="eastAsia" w:ascii="宋体" w:hAnsi="宋体" w:eastAsia="宋体" w:cs="宋体"/>
          <w:color w:val="auto"/>
          <w:szCs w:val="21"/>
          <w:highlight w:val="none"/>
        </w:rPr>
        <w:t>。</w:t>
      </w:r>
    </w:p>
    <w:p w14:paraId="0386E640">
      <w:pPr>
        <w:autoSpaceDE w:val="0"/>
        <w:autoSpaceDN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项目的勘察设计、实施内容等作较大变更的，应当按照规定的程序报原审批部门审批；变更导致总投资超概的，应当报原投资概算核定部门核定</w:t>
      </w:r>
      <w:r>
        <w:rPr>
          <w:rFonts w:hint="eastAsia" w:ascii="宋体" w:hAnsi="宋体" w:eastAsia="宋体" w:cs="宋体"/>
          <w:color w:val="auto"/>
          <w:szCs w:val="21"/>
          <w:highlight w:val="none"/>
        </w:rPr>
        <w:t>。</w:t>
      </w:r>
    </w:p>
    <w:p w14:paraId="3BB6B9B5">
      <w:pPr>
        <w:autoSpaceDE w:val="0"/>
        <w:autoSpaceDN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u w:val="single"/>
        </w:rPr>
        <w:t>项目管理人员变更的，应当经发包人领导班子集体决策同意，并将变更信息推送给行业主管部门。变更后的项目管理人员应当符合</w:t>
      </w:r>
      <w:r>
        <w:rPr>
          <w:rFonts w:hint="eastAsia" w:ascii="宋体" w:hAnsi="宋体" w:eastAsia="宋体" w:cs="宋体"/>
          <w:color w:val="auto"/>
          <w:szCs w:val="21"/>
          <w:highlight w:val="none"/>
          <w:u w:val="single"/>
          <w:lang w:eastAsia="zh-CN"/>
        </w:rPr>
        <w:t>比选文件</w:t>
      </w:r>
      <w:r>
        <w:rPr>
          <w:rFonts w:hint="eastAsia" w:ascii="宋体" w:hAnsi="宋体" w:eastAsia="宋体" w:cs="宋体"/>
          <w:color w:val="auto"/>
          <w:szCs w:val="21"/>
          <w:highlight w:val="none"/>
          <w:u w:val="single"/>
        </w:rPr>
        <w:t>和行业主管部门的相关规定</w:t>
      </w:r>
      <w:r>
        <w:rPr>
          <w:rFonts w:hint="eastAsia" w:ascii="宋体" w:hAnsi="宋体" w:eastAsia="宋体" w:cs="宋体"/>
          <w:color w:val="auto"/>
          <w:szCs w:val="21"/>
          <w:highlight w:val="none"/>
        </w:rPr>
        <w:t>。</w:t>
      </w:r>
    </w:p>
    <w:p w14:paraId="4379D1E7">
      <w:pPr>
        <w:autoSpaceDE w:val="0"/>
        <w:autoSpaceDN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u w:val="single"/>
        </w:rPr>
        <w:t>因人工、原材料市场价格发生大幅度变化导致的合同总价变更，由发包人与承包人按照合同进行变更，并将变更信息推送给行业主管部门</w:t>
      </w:r>
      <w:r>
        <w:rPr>
          <w:rFonts w:hint="eastAsia" w:ascii="宋体" w:hAnsi="宋体" w:eastAsia="宋体" w:cs="宋体"/>
          <w:color w:val="auto"/>
          <w:szCs w:val="21"/>
          <w:highlight w:val="none"/>
        </w:rPr>
        <w:t>。</w:t>
      </w:r>
    </w:p>
    <w:p w14:paraId="45706A22">
      <w:pPr>
        <w:autoSpaceDE w:val="0"/>
        <w:autoSpaceDN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u w:val="single"/>
        </w:rPr>
        <w:t>项目实施内容无变更，因不可抗力导致的工期变更，由发包人领导班子集体决策同意，并将变更信息推送给行业主管部门；因项目实施内容变更导致的工期变更，与项目实施内容变更一并办理</w:t>
      </w:r>
      <w:r>
        <w:rPr>
          <w:rFonts w:hint="eastAsia" w:ascii="宋体" w:hAnsi="宋体" w:eastAsia="宋体" w:cs="宋体"/>
          <w:color w:val="auto"/>
          <w:szCs w:val="21"/>
          <w:highlight w:val="none"/>
        </w:rPr>
        <w:t>。</w:t>
      </w:r>
    </w:p>
    <w:p w14:paraId="1ED8451C">
      <w:pPr>
        <w:autoSpaceDE w:val="0"/>
        <w:autoSpaceDN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u w:val="single"/>
        </w:rPr>
        <w:t>项目合同变更后，增加的实施内容达到依法必须招标的规模标准的，增加的部分应当依法通过招标选择承包单位</w:t>
      </w:r>
      <w:r>
        <w:rPr>
          <w:rFonts w:hint="eastAsia" w:ascii="宋体" w:hAnsi="宋体" w:eastAsia="宋体" w:cs="宋体"/>
          <w:color w:val="auto"/>
          <w:szCs w:val="21"/>
          <w:highlight w:val="none"/>
        </w:rPr>
        <w:t>。</w:t>
      </w:r>
    </w:p>
    <w:p w14:paraId="1449664A">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15.4 变更的估价原则</w:t>
      </w:r>
    </w:p>
    <w:p w14:paraId="6526F3F9">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本款细化为：</w:t>
      </w:r>
    </w:p>
    <w:p w14:paraId="4CCAA59A">
      <w:pPr>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15.4.1 如果取消某项工作，则该项工作的总额价不予支付。已标价工程量清单中有适用于变更工作的子目，采用该子目的单价。但如果由于承包人不平衡报价的原因，个别子目单价明显高于市场行情价的，发包人有权对该子目单价按照市场行情价做出调整。如果取消某项工作，则该项工作的总额价不予支付。</w:t>
      </w:r>
    </w:p>
    <w:p w14:paraId="05DFEC97">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15.4.2 已标价工程量清单中有适用于变更工作的子目的，采用该子目的单价。</w:t>
      </w:r>
    </w:p>
    <w:p w14:paraId="6EDCC499">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15.4.3 已标价工程量清单中无适用于变更工作的子目，但有类似子目的，可在合理范围内参照类似子目的单价，由监理人按第 3.5 款商定或确定变更工作的单价。</w:t>
      </w:r>
    </w:p>
    <w:p w14:paraId="677122CF">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15.4.4 已标价工程量清单中无适用或类似子目的单价，可在综合考虑承包人在</w:t>
      </w:r>
      <w:r>
        <w:rPr>
          <w:rFonts w:hint="eastAsia" w:ascii="宋体" w:hAnsi="宋体" w:eastAsia="宋体" w:cs="宋体"/>
          <w:color w:val="auto"/>
          <w:kern w:val="0"/>
          <w:szCs w:val="21"/>
          <w:highlight w:val="none"/>
          <w:lang w:eastAsia="zh-CN" w:bidi="ar"/>
        </w:rPr>
        <w:t>比选</w:t>
      </w:r>
      <w:r>
        <w:rPr>
          <w:rFonts w:hint="eastAsia" w:ascii="宋体" w:hAnsi="宋体" w:eastAsia="宋体" w:cs="宋体"/>
          <w:color w:val="auto"/>
          <w:kern w:val="0"/>
          <w:szCs w:val="21"/>
          <w:highlight w:val="none"/>
          <w:lang w:bidi="ar"/>
        </w:rPr>
        <w:t>时所提供的单价分析表的基础上，由监理人按第 3.5 款商定或确定变更工作的单价。</w:t>
      </w:r>
      <w:r>
        <w:rPr>
          <w:rFonts w:hint="eastAsia" w:ascii="宋体" w:hAnsi="宋体" w:eastAsia="宋体" w:cs="宋体"/>
          <w:color w:val="auto"/>
          <w:kern w:val="0"/>
          <w:szCs w:val="21"/>
          <w:highlight w:val="none"/>
        </w:rPr>
        <w:t>已标价工程量清单中无相同项目亦无类似项目，也无定额可套用的，由承包人会同监理人、跟审单位、发包人按相关原则、编制方法编制补充，或参照重庆市场相同工作的市场价格上报监理人，最终价格按承包人、监理人、跟审单位、发包人共同询价确认的价格执行。</w:t>
      </w:r>
    </w:p>
    <w:p w14:paraId="629C316A">
      <w:pPr>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15.4.5 如果本工程的变更指示是因承包人过错、承包人违反合同或承包人责任造成的，则这种违约引起的任何额外费用应由承包人承担。</w:t>
      </w:r>
      <w:r>
        <w:rPr>
          <w:rFonts w:hint="eastAsia" w:ascii="宋体" w:hAnsi="宋体" w:eastAsia="宋体" w:cs="宋体"/>
          <w:color w:val="auto"/>
          <w:kern w:val="0"/>
          <w:szCs w:val="21"/>
          <w:highlight w:val="none"/>
        </w:rPr>
        <w:t>工程变更引起施工方案改变并使安全生产费、临时工程费发生变化时，承包人提出调整安全生产费、临时工程费的，应事前将拟实施的方案提交监理人审核报发包人确认，并应详细说明与原方案安全生产费、临时工程费相比的变化情况。拟实施的方案经发承包双方确认后执行，并应按照下列规定调整安全生产费和临时工程费：</w:t>
      </w:r>
    </w:p>
    <w:p w14:paraId="4F4A9A7C">
      <w:pPr>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（1）安全生产费应按照实际发生变化的工程项目依据按照《重庆市公路工程造价管理实施细则》渝交委路〔2017〕129号文件要求，按变更后公路工程项目总造价的1.5%标准计提安全生产费用。</w:t>
      </w:r>
    </w:p>
    <w:p w14:paraId="02B6BF74">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15.5 承包人的合理化建议</w:t>
      </w:r>
    </w:p>
    <w:p w14:paraId="5D011F76">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第 15.5.2 项约定为：</w:t>
      </w:r>
    </w:p>
    <w:p w14:paraId="4317B845">
      <w:pPr>
        <w:snapToGrid w:val="0"/>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承包人提出的合理化建议缩短了工期，发包人按第 11.6 款的规定给予奖励。</w:t>
      </w:r>
    </w:p>
    <w:p w14:paraId="513DEC16">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承包人提出的合理化建议降低了合同价格或缩短了工期或者提高了工程经济效益的，奖励的方法和金额为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57D323A4">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本款补充第 15.5.3 项：</w:t>
      </w:r>
    </w:p>
    <w:p w14:paraId="5E75B409">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15.5.3</w:t>
      </w:r>
      <w:r>
        <w:rPr>
          <w:rFonts w:hint="eastAsia" w:ascii="宋体" w:hAnsi="宋体" w:eastAsia="宋体" w:cs="宋体"/>
          <w:color w:val="auto"/>
          <w:kern w:val="0"/>
          <w:szCs w:val="21"/>
          <w:highlight w:val="none"/>
        </w:rPr>
        <w:t>承包人提出合理化建议的，应向监理人提交合理化建议说明，说明建议的内容和理由，以及实施该建议对合同价格和（或）工期和（或）工程经济效益的影响。</w:t>
      </w:r>
    </w:p>
    <w:p w14:paraId="1AD0CA19">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监理人审查承包人合理化建议的期限：</w:t>
      </w:r>
      <w:r>
        <w:rPr>
          <w:rFonts w:hint="eastAsia" w:ascii="宋体" w:hAnsi="宋体" w:eastAsia="宋体" w:cs="宋体"/>
          <w:color w:val="auto"/>
          <w:kern w:val="0"/>
          <w:szCs w:val="21"/>
          <w:highlight w:val="none"/>
          <w:u w:val="single"/>
        </w:rPr>
        <w:t>不超过14天</w:t>
      </w:r>
      <w:r>
        <w:rPr>
          <w:rFonts w:hint="eastAsia" w:ascii="宋体" w:hAnsi="宋体" w:eastAsia="宋体" w:cs="宋体"/>
          <w:color w:val="auto"/>
          <w:kern w:val="0"/>
          <w:szCs w:val="21"/>
          <w:highlight w:val="none"/>
        </w:rPr>
        <w:t>。</w:t>
      </w:r>
    </w:p>
    <w:p w14:paraId="7E42F11A">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发包人审批承包人合理化建议的期限：</w:t>
      </w:r>
      <w:r>
        <w:rPr>
          <w:rFonts w:hint="eastAsia" w:ascii="宋体" w:hAnsi="宋体" w:eastAsia="宋体" w:cs="宋体"/>
          <w:color w:val="auto"/>
          <w:kern w:val="0"/>
          <w:szCs w:val="21"/>
          <w:highlight w:val="none"/>
          <w:u w:val="single"/>
        </w:rPr>
        <w:t>不超过14天</w:t>
      </w:r>
      <w:r>
        <w:rPr>
          <w:rFonts w:hint="eastAsia" w:ascii="宋体" w:hAnsi="宋体" w:eastAsia="宋体" w:cs="宋体"/>
          <w:color w:val="auto"/>
          <w:kern w:val="0"/>
          <w:szCs w:val="21"/>
          <w:highlight w:val="none"/>
        </w:rPr>
        <w:t>。</w:t>
      </w:r>
    </w:p>
    <w:p w14:paraId="3CA943B4">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15.6 暂列金额</w:t>
      </w:r>
    </w:p>
    <w:p w14:paraId="4154F296">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本款细化为：</w:t>
      </w:r>
    </w:p>
    <w:p w14:paraId="672BE762">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15.6.1 暂列金额应由监理人报发包人批准后指令全部或部分地使用，或者根本不予动用。</w:t>
      </w:r>
    </w:p>
    <w:p w14:paraId="3FC5F41B">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15.6.2 对于经发包人批准的每一笔暂列金额，监理人有权向承包人发出实施工程或提供材料、工程设备或服务的指令。这些指令应由承包人完成，监理人应根据第15.4 款约定的变更估价原则和第 15.7 款的规定，对合同价格进行相应调整。</w:t>
      </w:r>
    </w:p>
    <w:p w14:paraId="6466D75B">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15.6.3 当监理人提出要求时，承包人应提供有关暂列金额支出的所有报价单、发票、凭证和账单或收据，除非该工作是根据已标价工程量清单列明的单价或总额价进行的估价。</w:t>
      </w:r>
    </w:p>
    <w:p w14:paraId="020481D5">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15.8 暂估价</w:t>
      </w:r>
    </w:p>
    <w:p w14:paraId="0EA975B2">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 15.8.1 项细化为：</w:t>
      </w:r>
    </w:p>
    <w:p w14:paraId="3536A441">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（1）发包人和承包人组织招标的暂估价项目：</w:t>
      </w:r>
      <w:r>
        <w:rPr>
          <w:rFonts w:hint="eastAsia" w:ascii="宋体" w:hAnsi="宋体" w:eastAsia="宋体" w:cs="宋体"/>
          <w:color w:val="auto"/>
          <w:kern w:val="0"/>
          <w:szCs w:val="21"/>
          <w:highlight w:val="none"/>
          <w:u w:val="single"/>
        </w:rPr>
        <w:t xml:space="preserve">  （签约后填入）  </w:t>
      </w:r>
      <w:r>
        <w:rPr>
          <w:rFonts w:hint="eastAsia" w:ascii="宋体" w:hAnsi="宋体" w:eastAsia="宋体" w:cs="宋体"/>
          <w:color w:val="auto"/>
          <w:kern w:val="0"/>
          <w:szCs w:val="21"/>
          <w:highlight w:val="none"/>
        </w:rPr>
        <w:t>；发包人组织招标的暂估价项目：</w:t>
      </w:r>
      <w:r>
        <w:rPr>
          <w:rFonts w:hint="eastAsia" w:ascii="宋体" w:hAnsi="宋体" w:eastAsia="宋体" w:cs="宋体"/>
          <w:color w:val="auto"/>
          <w:kern w:val="0"/>
          <w:szCs w:val="21"/>
          <w:highlight w:val="none"/>
          <w:u w:val="single"/>
        </w:rPr>
        <w:t xml:space="preserve">（签约后填入）  </w:t>
      </w:r>
      <w:r>
        <w:rPr>
          <w:rFonts w:hint="eastAsia" w:ascii="宋体" w:hAnsi="宋体" w:eastAsia="宋体" w:cs="宋体"/>
          <w:color w:val="auto"/>
          <w:kern w:val="0"/>
          <w:szCs w:val="21"/>
          <w:highlight w:val="none"/>
        </w:rPr>
        <w:t>。</w:t>
      </w:r>
    </w:p>
    <w:p w14:paraId="4787CD02">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（2）发包人和承包人以招标方式选择暂估价项目供应商或分包人时，双方的权利义务关系：</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4181CD31">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项合同估算价在国家相关法律法规规定必须招标规模以下的，符合可以不招标相关规定的，由承包人实施，发包人配合。承包人（需在允许资质范围内）或承包人委托的有资质的专业分包单位实施。费用估价按照第15.4项〔变更的估价原则〕执行，承包人申报，经监理人、跟审单位、发包人共同审定。审定后根据承包人签订的相关合同（需经监理人、跟审单位、发包人）约定，由承包人申报，随进度款按与相关单位签订的合同约定一并支付。</w:t>
      </w:r>
    </w:p>
    <w:p w14:paraId="57883AD4">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单项合同暂估价在国家相关法律法规规定必须招标规模以上的，需依法必须招标的，由承包人、发包人共同招标确定。</w:t>
      </w:r>
    </w:p>
    <w:p w14:paraId="213C9B16">
      <w:pPr>
        <w:pStyle w:val="5"/>
        <w:spacing w:before="0" w:after="0" w:line="360" w:lineRule="auto"/>
        <w:jc w:val="left"/>
        <w:rPr>
          <w:rFonts w:hint="eastAsia" w:ascii="宋体" w:hAnsi="宋体" w:eastAsia="宋体" w:cs="宋体"/>
          <w:color w:val="auto"/>
          <w:highlight w:val="none"/>
        </w:rPr>
      </w:pPr>
      <w:bookmarkStart w:id="538" w:name="_Toc57795980"/>
      <w:r>
        <w:rPr>
          <w:rFonts w:hint="eastAsia" w:ascii="宋体" w:hAnsi="宋体" w:eastAsia="宋体" w:cs="宋体"/>
          <w:color w:val="auto"/>
          <w:highlight w:val="none"/>
        </w:rPr>
        <w:t>16、价格调整</w:t>
      </w:r>
      <w:bookmarkEnd w:id="538"/>
    </w:p>
    <w:p w14:paraId="386709BF">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16.1 物价波动引起的价格调整</w:t>
      </w:r>
    </w:p>
    <w:p w14:paraId="5DE48E37">
      <w:pPr>
        <w:widowControl/>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bidi="ar"/>
        </w:rPr>
        <w:t>本款约定为：</w:t>
      </w:r>
      <w:r>
        <w:rPr>
          <w:rFonts w:hint="eastAsia" w:ascii="宋体" w:hAnsi="宋体" w:eastAsia="宋体" w:cs="宋体"/>
          <w:color w:val="auto"/>
          <w:kern w:val="0"/>
          <w:szCs w:val="21"/>
          <w:highlight w:val="none"/>
          <w:u w:val="single"/>
          <w:lang w:val="en-US" w:eastAsia="zh-CN" w:bidi="ar"/>
        </w:rPr>
        <w:t xml:space="preserve">      </w:t>
      </w:r>
      <w:r>
        <w:rPr>
          <w:rFonts w:hint="eastAsia" w:ascii="宋体" w:hAnsi="宋体" w:eastAsia="宋体" w:cs="宋体"/>
          <w:color w:val="auto"/>
          <w:kern w:val="0"/>
          <w:szCs w:val="21"/>
          <w:highlight w:val="none"/>
          <w:u w:val="single"/>
          <w:lang w:eastAsia="zh-CN" w:bidi="ar"/>
        </w:rPr>
        <w:t>。</w:t>
      </w:r>
    </w:p>
    <w:p w14:paraId="5AD92A91">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16.2 法律变化引起的价格调整</w:t>
      </w:r>
    </w:p>
    <w:p w14:paraId="29A65FFD">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本款补充：</w:t>
      </w:r>
    </w:p>
    <w:p w14:paraId="5BACA7EE">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eastAsia="zh-CN"/>
        </w:rPr>
        <w:t>比选</w:t>
      </w:r>
      <w:r>
        <w:rPr>
          <w:rFonts w:hint="eastAsia" w:ascii="宋体" w:hAnsi="宋体" w:eastAsia="宋体" w:cs="宋体"/>
          <w:color w:val="auto"/>
          <w:kern w:val="0"/>
          <w:szCs w:val="21"/>
          <w:highlight w:val="none"/>
        </w:rPr>
        <w:t>基准日后至完工验收之日，国家或相关行政主管部门发布直接影响项目的新法规、新政策、新文件、新标准，属强制执行的，自执行之日执行，由此增减的费用由发包人承担，估价照第15.4款〔变更的估价原则〕执行；属选择性执行的，发包人与承包人协商解决。</w:t>
      </w:r>
    </w:p>
    <w:p w14:paraId="44A74B0F">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本条补充第 16.3 款：</w:t>
      </w:r>
    </w:p>
    <w:p w14:paraId="1A5F30EA">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16.3 严重不平衡报价引起的调整</w:t>
      </w:r>
    </w:p>
    <w:p w14:paraId="21DA5780">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履行期间，当按第17〔计量与支付〕约定确认的完成工程量比已标价工程量清单载明工程量增加超过15%，且发包人发现承包人的已标价工程量清单相关清单子目中有严重不平衡报价的。超过已标价工程量清单载明工程量15%的部分，发包人将对严重不平衡报价的清单子目综合单价进行修正，并按修正综合单价办理完工结算，修正综合单价按照第15.4项〔变更的估价原则〕约定执行。</w:t>
      </w:r>
    </w:p>
    <w:p w14:paraId="70F7C1FF">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严重不平衡报价是指：清单子目综合单价与发包人按照第15.4项〔变更的估价原则〕目约定确定的综合单价相比高于50%的报价，即为“[严重不平衡报价清单子目综合单价 - 按照第15.4项〔变更的估价原则〕约定确定的综合单价]/按照第15.4项〔变更的估价原则〕目约定确定的综合单价×100%”。</w:t>
      </w:r>
    </w:p>
    <w:p w14:paraId="5B9BE783">
      <w:pPr>
        <w:pStyle w:val="5"/>
        <w:spacing w:before="0" w:after="0" w:line="360" w:lineRule="auto"/>
        <w:jc w:val="left"/>
        <w:rPr>
          <w:rFonts w:hint="eastAsia" w:ascii="宋体" w:hAnsi="宋体" w:eastAsia="宋体" w:cs="宋体"/>
          <w:color w:val="auto"/>
          <w:highlight w:val="none"/>
        </w:rPr>
      </w:pPr>
      <w:bookmarkStart w:id="539" w:name="_Toc57795981"/>
      <w:r>
        <w:rPr>
          <w:rFonts w:hint="eastAsia" w:ascii="宋体" w:hAnsi="宋体" w:eastAsia="宋体" w:cs="宋体"/>
          <w:color w:val="auto"/>
          <w:highlight w:val="none"/>
        </w:rPr>
        <w:t>17、计量与支付</w:t>
      </w:r>
      <w:bookmarkEnd w:id="539"/>
    </w:p>
    <w:p w14:paraId="04CDF82B">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17.1 计量</w:t>
      </w:r>
    </w:p>
    <w:p w14:paraId="478AA6D6">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17.1.2 计量方法</w:t>
      </w:r>
    </w:p>
    <w:p w14:paraId="01E12882">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本项约定为：</w:t>
      </w:r>
    </w:p>
    <w:p w14:paraId="31986CD1">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工程的计量应以净值为准，除非专用合同条款另有约定。工程量清单中各个子目的具体计量方法按本合同文件工程量清单计量规则中的规定执行。</w:t>
      </w:r>
    </w:p>
    <w:p w14:paraId="51DEA23C">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17.1.4 单价子目的计量</w:t>
      </w:r>
    </w:p>
    <w:p w14:paraId="7525749E">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本项补充：</w:t>
      </w:r>
    </w:p>
    <w:p w14:paraId="5AA91F4D">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（7）承包人未在已标价工程量清单中填入单价或总额价的工程子目，将被认为其已包含在本合同的其他子目的单价和总额价中，发包人将不另行支付。</w:t>
      </w:r>
    </w:p>
    <w:p w14:paraId="2B4B9623">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（8）承包人应于当月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日前向监理人报送上月已完成的工程量，并附进度付款申请单、已完成工程量报表和其他有关资料。</w:t>
      </w:r>
    </w:p>
    <w:p w14:paraId="515EFC33">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监理人应在收到承包人提交的工程量报表后7天内完成对承包人提交的工程量报表的审核并报送发包人；发包人收到监理人报送资料后7天内完成审批，以确定当月实际完成的工程量。监理人、跟审单位（如有）、发包人任一方对工程量有异议的，均有权要求承包人进行共同复核或抽样复测。承包人应协助监理人、跟审单位进行复核或抽样复测，并按监理人要求提供补充计量资料。承包人未按监理人要求参加复核或抽样复测的，监理人复核或修正的工程量视为承包人实际完成的工程量。</w:t>
      </w:r>
    </w:p>
    <w:p w14:paraId="44DAF124">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工程量的计量仅作为进度付款和工程施工进度控制的依据，不应认为是承包人履行合同义务完成工程的实际和准确的工程量，实际和准确工程量按完（竣）工图和第17.1.2项〔计量方法〕约定确认的工程量为准。</w:t>
      </w:r>
    </w:p>
    <w:p w14:paraId="0FF63FDF">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17.1.5 总价子目的计量</w:t>
      </w:r>
    </w:p>
    <w:p w14:paraId="1DC6A118">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本项补充：</w:t>
      </w:r>
    </w:p>
    <w:p w14:paraId="640795CC">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本项目工程量清单中要求承包人以“总额”方式报价的子目，各子目的支付原则和支付进度按专用合同条款的规定执行。</w:t>
      </w:r>
    </w:p>
    <w:p w14:paraId="3F1A2469">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价子目包含的风险范围：包括但不限于为实施和完成合同工程所需的人工费、材料费、施工机械费、其他费用、其它直接费、现场经费、间接费用、利润、价差、税金及缺陷修复等费用，以及第16条〔市场价格波动引起的调整〕约定范围内的市场价格波动风险、政策性文件规定的各项应有费用、</w:t>
      </w:r>
      <w:r>
        <w:rPr>
          <w:rFonts w:hint="eastAsia" w:ascii="宋体" w:hAnsi="宋体" w:eastAsia="宋体" w:cs="宋体"/>
          <w:color w:val="auto"/>
          <w:kern w:val="0"/>
          <w:szCs w:val="21"/>
          <w:highlight w:val="none"/>
          <w:lang w:eastAsia="zh-CN"/>
        </w:rPr>
        <w:t>比选文件</w:t>
      </w:r>
      <w:r>
        <w:rPr>
          <w:rFonts w:hint="eastAsia" w:ascii="宋体" w:hAnsi="宋体" w:eastAsia="宋体" w:cs="宋体"/>
          <w:color w:val="auto"/>
          <w:kern w:val="0"/>
          <w:szCs w:val="21"/>
          <w:highlight w:val="none"/>
        </w:rPr>
        <w:t>和合同明示或暗示的应由承包人承担的所有责任、义务和风险等所需的费用。</w:t>
      </w:r>
    </w:p>
    <w:p w14:paraId="042A176E">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风险费用的计算方法：由承包人自行考虑并计入签约合同价格中，包干使用。</w:t>
      </w:r>
    </w:p>
    <w:p w14:paraId="1010E83A">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风险范围以外合同价格的调整方法：除本合同第15条（变更）约定的价格调整外，其余不作调整。</w:t>
      </w:r>
    </w:p>
    <w:p w14:paraId="6A51EB40">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关于总价合同计量的约定：</w:t>
      </w:r>
      <w:r>
        <w:rPr>
          <w:rFonts w:hint="eastAsia" w:ascii="宋体" w:hAnsi="宋体" w:eastAsia="宋体" w:cs="宋体"/>
          <w:color w:val="auto"/>
          <w:szCs w:val="21"/>
          <w:highlight w:val="none"/>
        </w:rPr>
        <w:t>承包人应按批准的各总价子目支付周期，以确定分阶段实际完成的工程量和工程形象目标，并对已完成的总价子目进行计量，从而确定分项的应付金额列入进度付款申请单中。</w:t>
      </w:r>
    </w:p>
    <w:p w14:paraId="203F90FD">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17.2 预付款</w:t>
      </w:r>
    </w:p>
    <w:p w14:paraId="270ACD4F">
      <w:pPr>
        <w:ind w:firstLine="210" w:firstLineChars="100"/>
        <w:jc w:val="left"/>
        <w:rPr>
          <w:rFonts w:hint="eastAsia" w:ascii="宋体" w:hAnsi="宋体" w:eastAsia="宋体" w:cs="宋体"/>
          <w:color w:val="auto"/>
          <w:highlight w:val="none"/>
          <w:u w:val="single"/>
          <w:lang w:eastAsia="zh-CN"/>
        </w:rPr>
      </w:pPr>
      <w:r>
        <w:rPr>
          <w:rFonts w:hint="eastAsia" w:ascii="宋体" w:hAnsi="宋体" w:eastAsia="宋体" w:cs="宋体"/>
          <w:color w:val="auto"/>
          <w:highlight w:val="none"/>
          <w:u w:val="single"/>
          <w:lang w:eastAsia="zh-CN"/>
        </w:rPr>
        <w:t>本项目不支付预付款</w:t>
      </w:r>
    </w:p>
    <w:p w14:paraId="15AD8ACC">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17.3 工程进度付款 </w:t>
      </w:r>
    </w:p>
    <w:p w14:paraId="4C9EBF59">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17.3.1 付款周期</w:t>
      </w:r>
    </w:p>
    <w:p w14:paraId="4A5BCAF3">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本项补充：</w:t>
      </w:r>
    </w:p>
    <w:p w14:paraId="37A559F3">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关于付款周期的约定：按月计量支付进度款。</w:t>
      </w:r>
    </w:p>
    <w:p w14:paraId="310FCE09">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17.3.2 进度款申请单</w:t>
      </w:r>
    </w:p>
    <w:p w14:paraId="7830B9C9">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本项补充第 17.3.2.1目、第17.3.2.2目</w:t>
      </w:r>
    </w:p>
    <w:p w14:paraId="3BD9D0FE">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17.3.2.1进度付款申请单应包括下列内容：</w:t>
      </w:r>
    </w:p>
    <w:p w14:paraId="14D74F7F">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（1）截至本次付款周期已完成工作对应的金额；</w:t>
      </w:r>
    </w:p>
    <w:p w14:paraId="79C9412F">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（2）根据第15条〔变更〕应增加和扣减的已审定变更金额；</w:t>
      </w:r>
    </w:p>
    <w:p w14:paraId="27A7797A">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（3）根据第17.2款〔预付款〕约定应支付的预付款和扣减的返还预付款；</w:t>
      </w:r>
    </w:p>
    <w:p w14:paraId="7E8E760C">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（4）根据第17.4款〔质量保证金〕约定应扣减的质量保证金；</w:t>
      </w:r>
    </w:p>
    <w:p w14:paraId="77C631BA">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（5）根据第23条〔索赔〕应增加和扣减的已审定索赔金额；</w:t>
      </w:r>
    </w:p>
    <w:p w14:paraId="3C5C69AC">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（6）根据第16条〔价格调整〕应增加和扣减的价格调整金额；</w:t>
      </w:r>
    </w:p>
    <w:p w14:paraId="39E090A2">
      <w:pPr>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（7）对已签发的进度款支付证书中出现错误的修正，应在本次进度付款中支付或扣除的金额；</w:t>
      </w:r>
    </w:p>
    <w:p w14:paraId="71BD7067">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（8）根据合同约定承包人应向发包人支付的违约金；</w:t>
      </w:r>
    </w:p>
    <w:p w14:paraId="48A3995B">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（9）根据合同约定发包人应向承包人支付的违约金和（或）奖励；</w:t>
      </w:r>
    </w:p>
    <w:p w14:paraId="56DC16FA">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（10）根据合同约定应增加和扣减的其他金额。</w:t>
      </w:r>
    </w:p>
    <w:p w14:paraId="6A9E9866">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17.3.2.2进度付款申请单的提交：</w:t>
      </w:r>
    </w:p>
    <w:p w14:paraId="28AB9BAA">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单价合同进度付款申请单提交的约定：按照第17.1.4项〔单价子目的计量〕约定的时间按月向监理人提交，并附上已完成工程量报表、经审核的农民工工资发放的情况说明及有关资料。单价合同中的总价子目按工程形象进度分月计量后汇总列入当期进度付款申请单。</w:t>
      </w:r>
    </w:p>
    <w:p w14:paraId="20E43BCC">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（2）总价合同进度付款申请单提交的约定：按照合同约定的形象进度的计量约定的时间向监理人提交，并附上已完成工程量报表、经审核的农民工工资发放的情况说明及有关资料。</w:t>
      </w:r>
    </w:p>
    <w:p w14:paraId="23C1F329">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（3）其他价格形式合同进度付款申请单提交的约定：</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00160179">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17.3.3 进度付款证书和支付时间</w:t>
      </w:r>
    </w:p>
    <w:p w14:paraId="52699FF3">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（1）监理人审查并报送发包人的期限：收到完整资料后7天内。</w:t>
      </w:r>
    </w:p>
    <w:p w14:paraId="423B9102">
      <w:pPr>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发包人完成审批并签发进度款支付证书的期限：发包人收到监理人报送资料后7天内完成审查并签发进度款支付证书。</w:t>
      </w:r>
    </w:p>
    <w:p w14:paraId="25E19BFF">
      <w:pPr>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人、跟审单位（如有）和发包人中任一方对承包人的进度付款申请单有异议的，均有权要求承包人修正和提供补充资料，承包人应提交修正后的进度付款申请单。监理人应在收到承包人修正后的进度付款申请单及相关资料后7天内完成审查并报送发包人，发包人收到监理人报送资料后7天内完成审批并向承包人签发无异议部分的临时进度款支付证书。存在争议的部分，按照合同约定的争议解决的约定处理。</w:t>
      </w:r>
    </w:p>
    <w:p w14:paraId="7EE1922A">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发包人签发进度款支付证书或临时进度款支付证书，不表明发包人已同意、批准或接受了承包人完成的相应部分的工作。</w:t>
      </w:r>
    </w:p>
    <w:p w14:paraId="540C8C8F">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（2）进度款支付：</w:t>
      </w:r>
    </w:p>
    <w:p w14:paraId="0C4DEF22">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cs="宋体"/>
          <w:color w:val="auto"/>
          <w:kern w:val="0"/>
          <w:szCs w:val="21"/>
          <w:highlight w:val="none"/>
          <w:lang w:val="en-US" w:eastAsia="zh-CN"/>
        </w:rPr>
        <w:t>本工程不支持预付款，</w:t>
      </w:r>
      <w:r>
        <w:rPr>
          <w:rFonts w:hint="eastAsia" w:ascii="宋体" w:hAnsi="宋体" w:eastAsia="宋体" w:cs="宋体"/>
          <w:color w:val="auto"/>
          <w:kern w:val="0"/>
          <w:szCs w:val="21"/>
          <w:highlight w:val="none"/>
        </w:rPr>
        <w:t>在上级资金到位的情况下</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工程完工并验收合格支付至合同金额的80%、审计完成后</w:t>
      </w:r>
      <w:r>
        <w:rPr>
          <w:rFonts w:hint="eastAsia" w:ascii="宋体" w:hAnsi="宋体" w:eastAsia="宋体" w:cs="宋体"/>
          <w:color w:val="auto"/>
          <w:kern w:val="0"/>
          <w:szCs w:val="21"/>
          <w:highlight w:val="none"/>
          <w:lang w:val="en-US" w:eastAsia="zh-CN"/>
        </w:rPr>
        <w:t>支付</w:t>
      </w:r>
      <w:r>
        <w:rPr>
          <w:rFonts w:hint="eastAsia" w:ascii="宋体" w:hAnsi="宋体" w:cs="宋体"/>
          <w:color w:val="auto"/>
          <w:kern w:val="0"/>
          <w:szCs w:val="21"/>
          <w:highlight w:val="none"/>
          <w:lang w:val="en-US" w:eastAsia="zh-CN"/>
        </w:rPr>
        <w:t>至</w:t>
      </w:r>
      <w:r>
        <w:rPr>
          <w:rFonts w:hint="eastAsia" w:ascii="宋体" w:hAnsi="宋体" w:eastAsia="宋体" w:cs="宋体"/>
          <w:color w:val="auto"/>
          <w:kern w:val="0"/>
          <w:szCs w:val="21"/>
          <w:highlight w:val="none"/>
          <w:lang w:val="en-US" w:eastAsia="zh-CN"/>
        </w:rPr>
        <w:t>审计审定金额97%的工程款，剩余3%作为质量保证金，保修期满后无息支付剩余的3%。</w:t>
      </w:r>
      <w:r>
        <w:rPr>
          <w:rFonts w:hint="eastAsia" w:ascii="宋体" w:hAnsi="宋体" w:eastAsia="宋体" w:cs="宋体"/>
          <w:color w:val="auto"/>
          <w:kern w:val="0"/>
          <w:szCs w:val="21"/>
          <w:highlight w:val="none"/>
          <w:lang w:bidi="ar"/>
        </w:rPr>
        <w:t>本款补充第 17.3.5 项：</w:t>
      </w:r>
    </w:p>
    <w:p w14:paraId="1F2FB612">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17.3.5 农民工工资保证金</w:t>
      </w:r>
    </w:p>
    <w:p w14:paraId="56E51AC5">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（1）为确保施工过程中农民工工资实时、足额发放到位，承包人应按照</w:t>
      </w:r>
      <w:r>
        <w:rPr>
          <w:rFonts w:hint="eastAsia" w:ascii="宋体" w:hAnsi="宋体" w:eastAsia="宋体" w:cs="宋体"/>
          <w:color w:val="auto"/>
          <w:kern w:val="0"/>
          <w:szCs w:val="21"/>
          <w:highlight w:val="none"/>
          <w:lang w:val="en-US" w:eastAsia="zh-CN" w:bidi="ar"/>
        </w:rPr>
        <w:t>下列</w:t>
      </w:r>
      <w:r>
        <w:rPr>
          <w:rFonts w:hint="eastAsia" w:ascii="宋体" w:hAnsi="宋体" w:eastAsia="宋体" w:cs="宋体"/>
          <w:color w:val="auto"/>
          <w:kern w:val="0"/>
          <w:szCs w:val="21"/>
          <w:highlight w:val="none"/>
          <w:lang w:bidi="ar"/>
        </w:rPr>
        <w:t>条款约定的时间和金额缴存农民工工资保证金</w:t>
      </w:r>
      <w:r>
        <w:rPr>
          <w:rFonts w:hint="eastAsia" w:ascii="宋体" w:hAnsi="宋体" w:eastAsia="宋体" w:cs="宋体"/>
          <w:color w:val="auto"/>
          <w:kern w:val="0"/>
          <w:szCs w:val="21"/>
          <w:highlight w:val="none"/>
          <w:lang w:val="en-US" w:eastAsia="zh-CN" w:bidi="ar"/>
        </w:rPr>
        <w:t>并承诺专款专用</w:t>
      </w:r>
      <w:r>
        <w:rPr>
          <w:rFonts w:hint="eastAsia" w:ascii="宋体" w:hAnsi="宋体" w:eastAsia="宋体" w:cs="宋体"/>
          <w:color w:val="auto"/>
          <w:kern w:val="0"/>
          <w:szCs w:val="21"/>
          <w:highlight w:val="none"/>
          <w:lang w:bidi="ar"/>
        </w:rPr>
        <w:t>。</w:t>
      </w:r>
    </w:p>
    <w:p w14:paraId="3CCCEE16">
      <w:pPr>
        <w:widowControl/>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kern w:val="0"/>
          <w:szCs w:val="21"/>
          <w:highlight w:val="none"/>
          <w:lang w:bidi="ar"/>
        </w:rPr>
        <w:t>农民工工资保证金的缴存时间：</w:t>
      </w:r>
      <w:r>
        <w:rPr>
          <w:rFonts w:hint="eastAsia" w:ascii="宋体" w:hAnsi="宋体" w:eastAsia="宋体" w:cs="宋体"/>
          <w:color w:val="auto"/>
          <w:kern w:val="0"/>
          <w:szCs w:val="21"/>
          <w:highlight w:val="none"/>
          <w:u w:val="single"/>
          <w:lang w:bidi="ar"/>
        </w:rPr>
        <w:t>发出</w:t>
      </w:r>
      <w:r>
        <w:rPr>
          <w:rFonts w:hint="eastAsia" w:ascii="宋体" w:hAnsi="宋体" w:eastAsia="宋体" w:cs="宋体"/>
          <w:color w:val="auto"/>
          <w:kern w:val="0"/>
          <w:szCs w:val="21"/>
          <w:highlight w:val="none"/>
          <w:u w:val="single"/>
          <w:lang w:eastAsia="zh-CN" w:bidi="ar"/>
        </w:rPr>
        <w:t>中选通知书</w:t>
      </w:r>
      <w:r>
        <w:rPr>
          <w:rFonts w:hint="eastAsia" w:ascii="宋体" w:hAnsi="宋体" w:eastAsia="宋体" w:cs="宋体"/>
          <w:color w:val="auto"/>
          <w:kern w:val="0"/>
          <w:szCs w:val="21"/>
          <w:highlight w:val="none"/>
          <w:u w:val="single"/>
          <w:lang w:bidi="ar"/>
        </w:rPr>
        <w:t>之日起7个工作日内</w:t>
      </w:r>
      <w:r>
        <w:rPr>
          <w:rFonts w:hint="eastAsia" w:ascii="宋体" w:hAnsi="宋体" w:eastAsia="宋体" w:cs="宋体"/>
          <w:color w:val="auto"/>
          <w:highlight w:val="none"/>
          <w:u w:val="single"/>
        </w:rPr>
        <w:t>，并作为签订施工合同的必备条件。</w:t>
      </w:r>
    </w:p>
    <w:p w14:paraId="6E767FB6">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农民工工资保证金的缴存金额：</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val="en-US" w:eastAsia="zh-CN" w:bidi="ar"/>
        </w:rPr>
        <w:t>合同金额的3%</w:t>
      </w:r>
      <w:r>
        <w:rPr>
          <w:rFonts w:hint="eastAsia" w:ascii="宋体" w:hAnsi="宋体" w:eastAsia="宋体" w:cs="宋体"/>
          <w:color w:val="auto"/>
          <w:kern w:val="0"/>
          <w:szCs w:val="21"/>
          <w:highlight w:val="none"/>
          <w:u w:val="single"/>
          <w:lang w:bidi="ar"/>
        </w:rPr>
        <w:t xml:space="preserve">  </w:t>
      </w:r>
    </w:p>
    <w:p w14:paraId="14A74B63">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（2）农民工工资保证金可采用银行保函或现金、支票形式。采用银行保函时，出具保函的银行须具有相应担保能力，且按照发包人批准的格式出具，所需费用由承包人承担。</w:t>
      </w:r>
    </w:p>
    <w:p w14:paraId="684F7848">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（3）农民工工资保证金的扣留条件、返还时间按照</w:t>
      </w:r>
      <w:r>
        <w:rPr>
          <w:rFonts w:hint="eastAsia" w:ascii="宋体" w:hAnsi="宋体" w:eastAsia="宋体" w:cs="宋体"/>
          <w:color w:val="auto"/>
          <w:kern w:val="0"/>
          <w:szCs w:val="21"/>
          <w:highlight w:val="none"/>
          <w:lang w:val="en-US" w:eastAsia="zh-CN" w:bidi="ar"/>
        </w:rPr>
        <w:t>下列</w:t>
      </w:r>
      <w:r>
        <w:rPr>
          <w:rFonts w:hint="eastAsia" w:ascii="宋体" w:hAnsi="宋体" w:eastAsia="宋体" w:cs="宋体"/>
          <w:color w:val="auto"/>
          <w:kern w:val="0"/>
          <w:szCs w:val="21"/>
          <w:highlight w:val="none"/>
          <w:lang w:bidi="ar"/>
        </w:rPr>
        <w:t>条款的约定执行。</w:t>
      </w:r>
    </w:p>
    <w:p w14:paraId="5029394E">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农民工工资保证金的扣留条件：</w:t>
      </w:r>
      <w:r>
        <w:rPr>
          <w:rFonts w:hint="eastAsia" w:ascii="宋体" w:hAnsi="宋体" w:eastAsia="宋体" w:cs="宋体"/>
          <w:color w:val="auto"/>
          <w:kern w:val="0"/>
          <w:szCs w:val="21"/>
          <w:highlight w:val="none"/>
          <w:u w:val="single"/>
          <w:lang w:bidi="ar"/>
        </w:rPr>
        <w:t xml:space="preserve">  经我市县级及以上劳动保障部门查证属实、或经施工企业（含授权项目负责人）确认拖欠属实，并取得相关书面凭证的，建设单位可以启用农民工工资保证金。特殊应急状态下，一时无法查证、且农民工能出具有效的拖欠工资证明材料的，建设单位也可启用农民工工资保证金应急。      </w:t>
      </w:r>
    </w:p>
    <w:p w14:paraId="76AB44EC">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农民工工资保证金的返还时间：</w:t>
      </w:r>
      <w:r>
        <w:rPr>
          <w:rFonts w:hint="eastAsia" w:ascii="宋体" w:hAnsi="宋体" w:eastAsia="宋体" w:cs="宋体"/>
          <w:color w:val="auto"/>
          <w:kern w:val="0"/>
          <w:szCs w:val="21"/>
          <w:highlight w:val="none"/>
          <w:u w:val="single"/>
          <w:lang w:bidi="ar"/>
        </w:rPr>
        <w:t xml:space="preserve"> 农民工工资保证金的返还时间：工程完工交验后，建设单位应在工地现场和网站进行不少于 10 日的公告，对在规定时限内未接到拖欠投诉或有投诉已及时足额支付的，按相关规定程序返还。 </w:t>
      </w:r>
    </w:p>
    <w:p w14:paraId="0652D111">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发包人应按行业主管部门的相关规定将合同价款支付至承包人指定的开户银行及银行账户。</w:t>
      </w:r>
    </w:p>
    <w:p w14:paraId="33E82B9C">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17.4 质量保证金 </w:t>
      </w:r>
    </w:p>
    <w:p w14:paraId="75ECC00C">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第 17.4.1 项、第 17.4.2 项细化为：</w:t>
      </w:r>
    </w:p>
    <w:p w14:paraId="02D7D119">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17.4.1 交工验收证书签发后 14 天内，承包人应向发包人交纳质量保证金。质量保证金可采用银行保函或现金、支票形式，金额应符合专用合同条款的规定。采用银行保函时，出具保函的银行须具有相应担保能力，且按照发包人批准的格式出具，所需费用由承包人承担。</w:t>
      </w:r>
    </w:p>
    <w:p w14:paraId="0CB9CF0D">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质量保证金采用现金、支票形式提交的，发包人应在专用合同条款中明确是否计付利息以及利息的计算方式。</w:t>
      </w:r>
    </w:p>
    <w:p w14:paraId="5CA9A676">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承包人提供质量保证金的方式：</w:t>
      </w:r>
    </w:p>
    <w:p w14:paraId="4A448A4F">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保证金金额为：</w:t>
      </w:r>
      <w:r>
        <w:rPr>
          <w:rFonts w:hint="eastAsia" w:ascii="宋体" w:hAnsi="宋体" w:eastAsia="宋体" w:cs="宋体"/>
          <w:color w:val="auto"/>
          <w:kern w:val="0"/>
          <w:szCs w:val="21"/>
          <w:highlight w:val="none"/>
          <w:u w:val="single"/>
        </w:rPr>
        <w:t>完工结算总价的 3%，</w:t>
      </w:r>
      <w:r>
        <w:rPr>
          <w:rFonts w:hint="eastAsia" w:ascii="宋体" w:hAnsi="宋体" w:eastAsia="宋体" w:cs="宋体"/>
          <w:color w:val="auto"/>
          <w:szCs w:val="21"/>
          <w:highlight w:val="none"/>
        </w:rPr>
        <w:t>提交时间：</w:t>
      </w:r>
      <w:r>
        <w:rPr>
          <w:rFonts w:hint="eastAsia" w:ascii="宋体" w:hAnsi="宋体" w:eastAsia="宋体" w:cs="宋体"/>
          <w:color w:val="auto"/>
          <w:szCs w:val="21"/>
          <w:highlight w:val="none"/>
          <w:u w:val="single"/>
        </w:rPr>
        <w:t>交工验收证书签发后14天内</w:t>
      </w:r>
      <w:r>
        <w:rPr>
          <w:rFonts w:hint="eastAsia" w:ascii="宋体" w:hAnsi="宋体" w:eastAsia="宋体" w:cs="宋体"/>
          <w:color w:val="auto"/>
          <w:szCs w:val="21"/>
          <w:highlight w:val="none"/>
        </w:rPr>
        <w:t>。</w:t>
      </w:r>
    </w:p>
    <w:p w14:paraId="2E0142E9">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质量保证金采用以下第</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种方式提交：</w:t>
      </w:r>
    </w:p>
    <w:p w14:paraId="64EE21F7">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（1）质量保证金保函</w:t>
      </w:r>
    </w:p>
    <w:p w14:paraId="67C77006">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1）按</w:t>
      </w:r>
      <w:r>
        <w:rPr>
          <w:rFonts w:hint="eastAsia" w:ascii="宋体" w:hAnsi="宋体" w:eastAsia="宋体" w:cs="宋体"/>
          <w:color w:val="auto"/>
          <w:kern w:val="0"/>
          <w:szCs w:val="21"/>
          <w:highlight w:val="none"/>
          <w:u w:val="single"/>
          <w:lang w:eastAsia="zh-CN"/>
        </w:rPr>
        <w:t>比选文件</w:t>
      </w:r>
      <w:r>
        <w:rPr>
          <w:rFonts w:hint="eastAsia" w:ascii="宋体" w:hAnsi="宋体" w:eastAsia="宋体" w:cs="宋体"/>
          <w:color w:val="auto"/>
          <w:kern w:val="0"/>
          <w:szCs w:val="21"/>
          <w:highlight w:val="none"/>
          <w:u w:val="single"/>
        </w:rPr>
        <w:t>载明的格式或发包人认可的格式向发包人提交不可撤销的见索即付银行保函</w:t>
      </w:r>
      <w:r>
        <w:rPr>
          <w:rFonts w:hint="eastAsia" w:ascii="宋体" w:hAnsi="宋体" w:eastAsia="宋体" w:cs="宋体"/>
          <w:color w:val="auto"/>
          <w:kern w:val="0"/>
          <w:szCs w:val="21"/>
          <w:highlight w:val="none"/>
        </w:rPr>
        <w:t>；</w:t>
      </w:r>
    </w:p>
    <w:p w14:paraId="51F0163D">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2）出具保函的银行级别：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p>
    <w:p w14:paraId="0B4D822E">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（2）现金、支票、转账形式；</w:t>
      </w:r>
    </w:p>
    <w:p w14:paraId="25CB0601">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（3）其他方式:</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070F4D36">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17.4.2 在第 1.1.4.5 目约定的缺陷责任期满，且质量监督机构已按规定对工程质量检测鉴定合格，承包人向发包人申请到期应返还承包人剩余的质量保证金金额， 发包人应在 14 天内会同承包人按照合同约定的内容核实承包人是否完成缺陷责任。 如无异议，发包人应当在核实后将剩余保证金返还承包人。</w:t>
      </w:r>
    </w:p>
    <w:p w14:paraId="42576324">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质量保证金的退还：</w:t>
      </w:r>
    </w:p>
    <w:p w14:paraId="4370D12B">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（1）</w:t>
      </w:r>
      <w:r>
        <w:rPr>
          <w:rFonts w:hint="eastAsia" w:ascii="宋体" w:hAnsi="宋体" w:eastAsia="宋体" w:cs="宋体"/>
          <w:color w:val="auto"/>
          <w:szCs w:val="21"/>
          <w:highlight w:val="none"/>
        </w:rPr>
        <w:t>质量保证金保函：</w:t>
      </w:r>
      <w:r>
        <w:rPr>
          <w:rFonts w:hint="eastAsia" w:ascii="宋体" w:hAnsi="宋体" w:eastAsia="宋体" w:cs="宋体"/>
          <w:color w:val="auto"/>
          <w:kern w:val="0"/>
          <w:szCs w:val="21"/>
          <w:highlight w:val="none"/>
          <w:u w:val="single"/>
        </w:rPr>
        <w:t>在发包人颁发缺陷责任期终止证书之日起14天内退还</w:t>
      </w:r>
      <w:r>
        <w:rPr>
          <w:rFonts w:hint="eastAsia" w:ascii="宋体" w:hAnsi="宋体" w:eastAsia="宋体" w:cs="宋体"/>
          <w:color w:val="auto"/>
          <w:kern w:val="0"/>
          <w:szCs w:val="21"/>
          <w:highlight w:val="none"/>
        </w:rPr>
        <w:t>。</w:t>
      </w:r>
    </w:p>
    <w:p w14:paraId="5438AA2F">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（2）缺陷责任期内，承包人认真履行合同约定的责任，到期后，承包人可向发包人申请返还质量保证金。</w:t>
      </w:r>
    </w:p>
    <w:p w14:paraId="02A3E824">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（3）质量保证金是否支付利息采取以下第</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种方式：</w:t>
      </w:r>
    </w:p>
    <w:p w14:paraId="70E81759">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①</w:t>
      </w:r>
      <w:r>
        <w:rPr>
          <w:rFonts w:hint="eastAsia" w:ascii="宋体" w:hAnsi="宋体" w:eastAsia="宋体" w:cs="宋体"/>
          <w:color w:val="auto"/>
          <w:szCs w:val="21"/>
          <w:highlight w:val="none"/>
        </w:rPr>
        <w:t>按照中国人民银行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月公布的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年期贷款市场报价利率支付利息。</w:t>
      </w:r>
    </w:p>
    <w:p w14:paraId="36101790">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②不采用。</w:t>
      </w:r>
    </w:p>
    <w:p w14:paraId="3F840CBD">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本款补充第 17.4.4 项：</w:t>
      </w:r>
    </w:p>
    <w:p w14:paraId="091F9850">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17.4.4 承包人拒绝按照本合同约定交纳质量保证金的，发包人有权从交工付款证书中扣留相应金额作为质量保证金，或者直接将履约担保相应金额用于保证承包人在缺陷责任期内履行缺陷修复义务。</w:t>
      </w:r>
    </w:p>
    <w:p w14:paraId="2D19B02C">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17.5 交工结算</w:t>
      </w:r>
    </w:p>
    <w:p w14:paraId="3A9275FE">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17.5.1 交工付款申请单</w:t>
      </w:r>
    </w:p>
    <w:p w14:paraId="4188EB79">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本项（1）目约定为：</w:t>
      </w:r>
    </w:p>
    <w:p w14:paraId="4AB8A492">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承包人向监理人提交交工付款申请单（包括相关证明材料）的份数:</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；期限：交工验收证书签发后 42 天内。</w:t>
      </w:r>
    </w:p>
    <w:p w14:paraId="1789E3A5">
      <w:pPr>
        <w:spacing w:line="360" w:lineRule="auto"/>
        <w:ind w:right="248" w:firstLine="48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监理人或发包人对交工付款申请单有异议的，应在接到交工付款申请单后14天内要求承包人进行修正和提供补充资料，承包人在接到监理人或发包人提出的审核意见后，应在28天内按监理人或发包人提出的合理要求补充资料、修改交工结算资料，并再次提交监理人或发包人审核。承包人未在规定时间内报送交工结算资料给发包人造成经济损失的，承包人应承担赔偿责任。</w:t>
      </w:r>
    </w:p>
    <w:p w14:paraId="3DB8F18E">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交工付款申请单</w:t>
      </w:r>
      <w:r>
        <w:rPr>
          <w:rFonts w:hint="eastAsia" w:ascii="宋体" w:hAnsi="宋体" w:eastAsia="宋体" w:cs="宋体"/>
          <w:color w:val="auto"/>
          <w:kern w:val="0"/>
          <w:szCs w:val="21"/>
          <w:highlight w:val="none"/>
        </w:rPr>
        <w:t>包括但不限于以下内容：</w:t>
      </w:r>
    </w:p>
    <w:p w14:paraId="530002D7">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szCs w:val="21"/>
          <w:highlight w:val="none"/>
        </w:rPr>
        <w:t>交工</w:t>
      </w:r>
      <w:r>
        <w:rPr>
          <w:rFonts w:hint="eastAsia" w:ascii="宋体" w:hAnsi="宋体" w:eastAsia="宋体" w:cs="宋体"/>
          <w:color w:val="auto"/>
          <w:kern w:val="0"/>
          <w:szCs w:val="21"/>
          <w:highlight w:val="none"/>
        </w:rPr>
        <w:t>结算合同价格；</w:t>
      </w:r>
    </w:p>
    <w:p w14:paraId="1CAF8734">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（2）变更增减金额；</w:t>
      </w:r>
    </w:p>
    <w:p w14:paraId="65CAAE1B">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（3）现场签证增减金额；</w:t>
      </w:r>
    </w:p>
    <w:p w14:paraId="0DE84546">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（4）价格调整；</w:t>
      </w:r>
    </w:p>
    <w:p w14:paraId="4BC038B3">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（5）索赔增减金额；</w:t>
      </w:r>
    </w:p>
    <w:p w14:paraId="0F7BA2CE">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（6）奖励、罚金及违约金；</w:t>
      </w:r>
    </w:p>
    <w:p w14:paraId="5DC258B9">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（7）发包人已支付承包人的款项；</w:t>
      </w:r>
    </w:p>
    <w:p w14:paraId="4CCD826D">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（8）应扣留的质量保证金；</w:t>
      </w:r>
    </w:p>
    <w:p w14:paraId="3ED0E392">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（9）发包人应支付承包人的合同价款。</w:t>
      </w:r>
    </w:p>
    <w:p w14:paraId="19529FC0">
      <w:pPr>
        <w:snapToGrid w:val="0"/>
        <w:spacing w:line="360" w:lineRule="auto"/>
        <w:ind w:firstLine="47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7151AD44">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17.5.2 交工付款证书及支付时间</w:t>
      </w:r>
    </w:p>
    <w:p w14:paraId="7049259B">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本项（2）目细化为：</w:t>
      </w:r>
    </w:p>
    <w:p w14:paraId="7E7FC7AD">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发包人应在监理人出具交工付款证书且承包人提交了合格的增值税专用发票后的 14 天内，将应支付款支付给承包人。发包人不按期支付的，按第 17.3.3（2）目的约定，将逾期付款违约金支付给承包人。</w:t>
      </w:r>
    </w:p>
    <w:p w14:paraId="6F69B6BD">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17.6 最终结清</w:t>
      </w:r>
    </w:p>
    <w:p w14:paraId="2B7A0A8D">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17.6.1 最终结清申请单</w:t>
      </w:r>
    </w:p>
    <w:p w14:paraId="60FDFF8D">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本项（1）目约定为：</w:t>
      </w:r>
    </w:p>
    <w:p w14:paraId="3C2BF1AF">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承包人向监理人提交最终结清申请单（包括相关证明材料）的份数</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；期限：缺陷责任期终止证书签发后 28 天内。</w:t>
      </w:r>
    </w:p>
    <w:p w14:paraId="214CA9A5">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最终结清申请单中的总金额应认为是代表了根据合同规定应付给承包人的全部款项的最后结算。</w:t>
      </w:r>
    </w:p>
    <w:p w14:paraId="1CE8D821">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17.6.2 最终结清证书和支付时间</w:t>
      </w:r>
    </w:p>
    <w:p w14:paraId="55141F8E">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本项（2）目细化为：</w:t>
      </w:r>
    </w:p>
    <w:p w14:paraId="43E67C46">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（2）发包人应在监理人出具最终结清证书且承包人提交了合格的增值税专用发票后的 14 天内，将应支付款支付给承包人。发包人不按期支付的，按第 17.3.3（2）目的约定，将逾期付款违约金支付给承包人。</w:t>
      </w:r>
    </w:p>
    <w:p w14:paraId="1236604B">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本款补充第 17.6.3 项：</w:t>
      </w:r>
    </w:p>
    <w:p w14:paraId="544B4EE6">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17.6.3 逾期办理或不配合办理完工结算的处理</w:t>
      </w:r>
    </w:p>
    <w:p w14:paraId="7CD0F199">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有下列情形之一的，视为承包人放弃与发包人共同办理完工结算的权利，发包人有权会同审计单位、监理人根据有效资料共同确定完工结算金额。</w:t>
      </w:r>
    </w:p>
    <w:p w14:paraId="59E68247">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（1）承包人具备报送条件但逾期未报送完工结算资料，亦未获得发包人批准延期报送，经发包人两次书面催告仍未在限期内报送的。</w:t>
      </w:r>
    </w:p>
    <w:p w14:paraId="286BDA37">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承包人在接到监理人或发包人对交工付款申请单提出的审核意见后，未在限期内按监理人或发包人提出的合理要求补充资料和（或）修改完工结算资料，亦未获得发包人批准延期报送，经发包人两次书面催告仍未在限期内报送的。</w:t>
      </w:r>
    </w:p>
    <w:p w14:paraId="44FB5E9C">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（3）承包人不配合发包人、审计单位、监理人、发包人委托的工程造价咨询服务单位办理完工结算的，经发包人两次书面函告仍未改正的。</w:t>
      </w:r>
    </w:p>
    <w:p w14:paraId="510F2EC4">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应在完工结算定案表确定后28天内，以书面函件形式将完工结算定案表函告承包人，该定案表自送达之日起生效。该书面函件应采用直接送达方式送达，双方应办理书面签收手续，承包人实际签收日期为送达之日；若承包人拒绝签收的，视为已经送达，以该书面函件载明的签发日期为送达之日。</w:t>
      </w:r>
    </w:p>
    <w:p w14:paraId="62ED91BB">
      <w:pPr>
        <w:pStyle w:val="5"/>
        <w:spacing w:before="0" w:after="0" w:line="360" w:lineRule="auto"/>
        <w:jc w:val="left"/>
        <w:rPr>
          <w:rFonts w:hint="eastAsia" w:ascii="宋体" w:hAnsi="宋体" w:eastAsia="宋体" w:cs="宋体"/>
          <w:color w:val="auto"/>
          <w:highlight w:val="none"/>
        </w:rPr>
      </w:pPr>
      <w:bookmarkStart w:id="540" w:name="_Toc57795982"/>
      <w:r>
        <w:rPr>
          <w:rFonts w:hint="eastAsia" w:ascii="宋体" w:hAnsi="宋体" w:eastAsia="宋体" w:cs="宋体"/>
          <w:color w:val="auto"/>
          <w:highlight w:val="none"/>
        </w:rPr>
        <w:t>18、竣工验收</w:t>
      </w:r>
      <w:bookmarkEnd w:id="540"/>
    </w:p>
    <w:p w14:paraId="0FC899DC">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18.2 交工验收申请报告</w:t>
      </w:r>
    </w:p>
    <w:p w14:paraId="15F9178B">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本款第（2）项约定为：</w:t>
      </w:r>
    </w:p>
    <w:p w14:paraId="64018F64">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竣工资料的内容：承包人应按照《公路工程竣（交）工验收办法》和相关规定编制竣工资料。</w:t>
      </w:r>
    </w:p>
    <w:p w14:paraId="3F7233A4">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竣工资料的份数：</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11ACCC0A">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18.3 验收 </w:t>
      </w:r>
    </w:p>
    <w:p w14:paraId="657142A2">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第 18.3.2 项补充：</w:t>
      </w:r>
    </w:p>
    <w:p w14:paraId="0D54C5FD">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交工验收由发包人主持，由发包人、监理人、质监、设计、施工、运营、管理养护等有关部门代表组成交工验收小组，对本项目的工程质量进行评定，并写出交工验收报告报交通运输主管部门备案。承包人应按发包人的要求提交竣工资料，完成交工验收准备工作。</w:t>
      </w:r>
    </w:p>
    <w:p w14:paraId="16CFC49B">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第 18.3.5 项约定为：</w:t>
      </w:r>
    </w:p>
    <w:p w14:paraId="1B8BF0B6">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经验收合格工程的实际交工日期，以最终提交交工验收申请报告的日期为准，并在交工验收证书中写明。</w:t>
      </w:r>
    </w:p>
    <w:p w14:paraId="3F586181">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本款补充第 18.3.7 项：</w:t>
      </w:r>
    </w:p>
    <w:p w14:paraId="77D823F7">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组织办理交工验收和签发交工验收证书的费用由发包人承担。但按照第 18.3.4 项规定达不到合格标准的交工验收费用由承包人承担。</w:t>
      </w:r>
    </w:p>
    <w:p w14:paraId="297B3587">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18.5 施工期运行</w:t>
      </w:r>
    </w:p>
    <w:p w14:paraId="30F50EC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 18.5.1 项细化为：</w:t>
      </w:r>
    </w:p>
    <w:p w14:paraId="154C302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单位工程或工程设备是否需投入施工期运行：□是□否</w:t>
      </w:r>
    </w:p>
    <w:p w14:paraId="7354827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如单位工程或工程设备需要进行施工期运行，需要施工期运行的单位工程或</w:t>
      </w:r>
    </w:p>
    <w:p w14:paraId="1E908995">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工程设备规定如下：</w:t>
      </w:r>
      <w:r>
        <w:rPr>
          <w:rFonts w:hint="eastAsia" w:ascii="宋体" w:hAnsi="宋体" w:eastAsia="宋体" w:cs="宋体"/>
          <w:color w:val="auto"/>
          <w:szCs w:val="21"/>
          <w:highlight w:val="none"/>
          <w:u w:val="single"/>
        </w:rPr>
        <w:t xml:space="preserve">                      </w:t>
      </w:r>
    </w:p>
    <w:p w14:paraId="406C9704">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18.6 试运行</w:t>
      </w:r>
    </w:p>
    <w:p w14:paraId="55F49C17">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 18.6.1 项细化为：</w:t>
      </w:r>
    </w:p>
    <w:p w14:paraId="39D1F067">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本工程及工程设备是否进行试运行：是。</w:t>
      </w:r>
    </w:p>
    <w:p w14:paraId="3E657F37">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本条补充第 18.9 款：</w:t>
      </w:r>
    </w:p>
    <w:p w14:paraId="5A087310">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18.9 竣工文件</w:t>
      </w:r>
    </w:p>
    <w:p w14:paraId="099E067D">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承包人应按照《公路工程竣（交）工验收办法》的相关规定，在缺陷责任期内为竣工验收补充竣工资料，并在签发缺陷责任期终止证书之前提交。</w:t>
      </w:r>
    </w:p>
    <w:p w14:paraId="724DCBAE">
      <w:pPr>
        <w:pStyle w:val="5"/>
        <w:spacing w:before="0" w:after="0" w:line="360" w:lineRule="auto"/>
        <w:jc w:val="left"/>
        <w:rPr>
          <w:rFonts w:hint="eastAsia" w:ascii="宋体" w:hAnsi="宋体" w:eastAsia="宋体" w:cs="宋体"/>
          <w:color w:val="auto"/>
          <w:highlight w:val="none"/>
        </w:rPr>
      </w:pPr>
      <w:bookmarkStart w:id="541" w:name="_Toc57795983"/>
      <w:r>
        <w:rPr>
          <w:rFonts w:hint="eastAsia" w:ascii="宋体" w:hAnsi="宋体" w:eastAsia="宋体" w:cs="宋体"/>
          <w:color w:val="auto"/>
          <w:highlight w:val="none"/>
        </w:rPr>
        <w:t>19、缺陷责任与保修责任</w:t>
      </w:r>
      <w:bookmarkEnd w:id="541"/>
    </w:p>
    <w:p w14:paraId="47E077A4">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19.2 缺陷责任</w:t>
      </w:r>
    </w:p>
    <w:p w14:paraId="7BA56252">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第 19.2.2 项补充：</w:t>
      </w:r>
    </w:p>
    <w:p w14:paraId="568452B8">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在缺陷责任期内，承包人应尽快完成在交工验收证书中写明的未完成工作，并完成对本工程缺陷的修复或监理人指令的修补工作。</w:t>
      </w:r>
    </w:p>
    <w:p w14:paraId="63C058E7">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19.5 承包人的进入权</w:t>
      </w:r>
    </w:p>
    <w:p w14:paraId="7D2B69E4">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本款补充：</w:t>
      </w:r>
    </w:p>
    <w:p w14:paraId="239DA2F2">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承包人在缺陷修复施工过程中，应服从管养单位的有关安全管理规定，由于承包人自身原因造成的人员伤亡、设备和材料的损毁及罚款等责任由承包人自负。</w:t>
      </w:r>
    </w:p>
    <w:p w14:paraId="40E50505">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19.7 保修责任</w:t>
      </w:r>
    </w:p>
    <w:p w14:paraId="64A6E603">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本款细化为：</w:t>
      </w:r>
    </w:p>
    <w:p w14:paraId="0934B2C8">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（1）保修期：自实际交工日期起计算</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val="en-US" w:eastAsia="zh-CN" w:bidi="ar"/>
        </w:rPr>
        <w:t>2</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保修期与缺陷责任期重叠的期间内，承包人的保修责任同缺陷责任。在缺陷责任期满后的保修期内，承包人可不在工地留有办事人员和机械设备，但必须随时与发包人保持联系，在保修期内承包人应对由于施工质量原因造成的损坏自费进行修复。</w:t>
      </w:r>
    </w:p>
    <w:p w14:paraId="299BBD46">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（2）在全部工程交工验收前，已经发包人提前验收的单位工程，其保修期的起算日期相应提前。</w:t>
      </w:r>
    </w:p>
    <w:p w14:paraId="58036C17">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（3）工程保修期终止后 28 天内，监理人签发保修期终止证书。</w:t>
      </w:r>
    </w:p>
    <w:p w14:paraId="172BD4C4">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（4）若承包人不履行保修义务和责任，则承包人应承担由于违约造成的法律后果，并由发包人将其违约行为上报省级交通运输主管部门，作为不良记录纳入公路建设市场信用信息管理系统。</w:t>
      </w:r>
    </w:p>
    <w:p w14:paraId="44DF4ED4">
      <w:pPr>
        <w:pStyle w:val="5"/>
        <w:spacing w:before="0" w:after="0" w:line="360" w:lineRule="auto"/>
        <w:jc w:val="left"/>
        <w:rPr>
          <w:rFonts w:hint="eastAsia" w:ascii="宋体" w:hAnsi="宋体" w:eastAsia="宋体" w:cs="宋体"/>
          <w:color w:val="auto"/>
          <w:highlight w:val="none"/>
        </w:rPr>
      </w:pPr>
      <w:bookmarkStart w:id="542" w:name="_Toc57795984"/>
      <w:r>
        <w:rPr>
          <w:rFonts w:hint="eastAsia" w:ascii="宋体" w:hAnsi="宋体" w:eastAsia="宋体" w:cs="宋体"/>
          <w:color w:val="auto"/>
          <w:highlight w:val="none"/>
        </w:rPr>
        <w:t>20、保险</w:t>
      </w:r>
      <w:bookmarkEnd w:id="542"/>
    </w:p>
    <w:p w14:paraId="2B0D9818">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20.1 工程保险</w:t>
      </w:r>
    </w:p>
    <w:p w14:paraId="7E6B56A6">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本款约定为：</w:t>
      </w:r>
    </w:p>
    <w:p w14:paraId="58E11CAB">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建筑工程一切险的投保内容：为本合同工程的永久工程、临时工程和设备及已运至施工工地用于永久工程的材料和设备所投的保险。</w:t>
      </w:r>
    </w:p>
    <w:p w14:paraId="46991FEF">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 xml:space="preserve">保险金额：工程量清单第 100 章（不含建筑工程一切险及第三者责任险的保险费）至第 </w:t>
      </w:r>
      <w:r>
        <w:rPr>
          <w:rFonts w:hint="eastAsia" w:ascii="宋体" w:hAnsi="宋体" w:cs="宋体"/>
          <w:color w:val="auto"/>
          <w:kern w:val="0"/>
          <w:szCs w:val="21"/>
          <w:highlight w:val="none"/>
          <w:lang w:val="en-US" w:eastAsia="zh-CN" w:bidi="ar"/>
        </w:rPr>
        <w:t>9</w:t>
      </w:r>
      <w:r>
        <w:rPr>
          <w:rFonts w:hint="eastAsia" w:ascii="宋体" w:hAnsi="宋体" w:eastAsia="宋体" w:cs="宋体"/>
          <w:color w:val="auto"/>
          <w:kern w:val="0"/>
          <w:szCs w:val="21"/>
          <w:highlight w:val="none"/>
          <w:lang w:bidi="ar"/>
        </w:rPr>
        <w:t>00 章的合计金额。</w:t>
      </w:r>
    </w:p>
    <w:p w14:paraId="7A829C5F">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保险费率：建筑工程一切险的保险费率</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632F2C77">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 xml:space="preserve">保险期限：开工日起直至本合同工程签发缺陷责任期终止证书止（即合同工期＋缺陷责任期）。 </w:t>
      </w:r>
    </w:p>
    <w:p w14:paraId="135D24A5">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 xml:space="preserve">承包人应以发包人和承包人的共同名义投保建筑工程一切险。建筑工程一切险的保险费由承包人报价时列入工程量清单第 100 章内。发包人在接到保险单后，将按照保险单的费用直接向承包人支付。 </w:t>
      </w:r>
    </w:p>
    <w:p w14:paraId="4CF6F1D2">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20.4 第三者责任险</w:t>
      </w:r>
    </w:p>
    <w:p w14:paraId="363DB524">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第 20.4.2 项补充：</w:t>
      </w:r>
    </w:p>
    <w:p w14:paraId="500E8BD2">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第三者责任险的保险费由承包人报价时列入工程量清单第 100 章内。发包人在接到保险单后，将按照保险单的费用直接向承包人支付。</w:t>
      </w:r>
    </w:p>
    <w:p w14:paraId="63B02A39">
      <w:pPr>
        <w:pStyle w:val="2"/>
        <w:spacing w:after="0" w:line="360" w:lineRule="auto"/>
        <w:ind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第三者责任险的最低投保金额：</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万元，事故次数不限（不计免赔额</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万元）保险费率</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w:t>
      </w:r>
    </w:p>
    <w:p w14:paraId="7DEAE24E">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20.5 其他保险</w:t>
      </w:r>
    </w:p>
    <w:p w14:paraId="5AE49607">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本款约定为：</w:t>
      </w:r>
    </w:p>
    <w:p w14:paraId="7909B699">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承包人应为其施工设备等办理保险，其投保金额应足以现场重置。办理本款保险的一切费用均由承包人承担，并包括在工程量清单的单价及总额价中，发包人不单独支付。</w:t>
      </w:r>
    </w:p>
    <w:p w14:paraId="382C474D">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20.6 对各项保险的一般要求</w:t>
      </w:r>
    </w:p>
    <w:p w14:paraId="1723821F">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20.6.1 保险凭证</w:t>
      </w:r>
    </w:p>
    <w:p w14:paraId="7CE37E25">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本项约定为：</w:t>
      </w:r>
    </w:p>
    <w:p w14:paraId="1180A087">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承包人向发包人提交各项保险生效的证据和保险单副本的期限：开工后 56 天内。</w:t>
      </w:r>
    </w:p>
    <w:p w14:paraId="6067FA90">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20.6.3 持续保险</w:t>
      </w:r>
    </w:p>
    <w:p w14:paraId="6E1DD4C1">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本项补充：</w:t>
      </w:r>
    </w:p>
    <w:p w14:paraId="2820298A">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在整个合同期内，承包人应按合同条款规定保证足够的保险额。</w:t>
      </w:r>
    </w:p>
    <w:p w14:paraId="38993E0A">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20.6.4 保险金不足的补偿</w:t>
      </w:r>
    </w:p>
    <w:p w14:paraId="1BD98134">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本项细化为：</w:t>
      </w:r>
    </w:p>
    <w:p w14:paraId="352805E1">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保险金不足以补偿损失的（包括免赔额和超过赔偿限额的部分），应由承包人和 （或）发包人按合同约定负责补偿。</w:t>
      </w:r>
    </w:p>
    <w:p w14:paraId="40091BB5">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20.6.5 未按约定投保的补救</w:t>
      </w:r>
    </w:p>
    <w:p w14:paraId="4656F90C">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本项（2）目细化为：</w:t>
      </w:r>
    </w:p>
    <w:p w14:paraId="0C89CA1D">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由于负有投保义务的一方当事人未按合同约定办理某项保险，或未按保险单规定的条件和期限及时向保险人报告事故情况，或未按要求的保险期限进行投保，或未按要求投保足够的保险金额，导致受益人未能或未能全部得到保险人的赔偿，原应从该项保险得到的保险金应由负有投保义务的一方当事人支付。</w:t>
      </w:r>
    </w:p>
    <w:p w14:paraId="3B391BB1">
      <w:pPr>
        <w:pStyle w:val="5"/>
        <w:spacing w:before="0" w:after="0" w:line="360" w:lineRule="auto"/>
        <w:jc w:val="left"/>
        <w:rPr>
          <w:rFonts w:hint="eastAsia" w:ascii="宋体" w:hAnsi="宋体" w:eastAsia="宋体" w:cs="宋体"/>
          <w:color w:val="auto"/>
          <w:highlight w:val="none"/>
        </w:rPr>
      </w:pPr>
      <w:bookmarkStart w:id="543" w:name="_Toc57795985"/>
      <w:r>
        <w:rPr>
          <w:rFonts w:hint="eastAsia" w:ascii="宋体" w:hAnsi="宋体" w:eastAsia="宋体" w:cs="宋体"/>
          <w:color w:val="auto"/>
          <w:highlight w:val="none"/>
        </w:rPr>
        <w:t>21、不可抗力</w:t>
      </w:r>
      <w:bookmarkEnd w:id="543"/>
    </w:p>
    <w:p w14:paraId="1D3ED198">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21.1 不可抗力的确认</w:t>
      </w:r>
    </w:p>
    <w:p w14:paraId="6A06AAEA">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第 21.1.1 项细化为：</w:t>
      </w:r>
    </w:p>
    <w:p w14:paraId="16C0C560">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不可抗力是指承包人和发包人在订立合同时不可预见，在工程施工过程中不可避免发生并不能克服的自然灾害和社会性突发事件。包括但不限于：</w:t>
      </w:r>
    </w:p>
    <w:p w14:paraId="33194265">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（1）地震、海啸、火山爆发、泥石流、暴雨（雪）、台风、龙卷风、水灾等自然灾害；</w:t>
      </w:r>
    </w:p>
    <w:p w14:paraId="72F331E9">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（2）战争、骚乱、暴动，但纯属承包人或其分包人派遣与雇用的人员由于本合同工程施工原因引起者除外；</w:t>
      </w:r>
    </w:p>
    <w:p w14:paraId="0929A4FD">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（3）核反应、辐射或放射性污染；</w:t>
      </w:r>
    </w:p>
    <w:p w14:paraId="21FC3D74">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（4）空中飞行物体坠落或非发包人或承包人责任造成的爆炸、火灾；</w:t>
      </w:r>
    </w:p>
    <w:p w14:paraId="6716F1B9">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（5）瘟疫；</w:t>
      </w:r>
    </w:p>
    <w:p w14:paraId="111FC250">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rPr>
        <w:t>非双方责任引起的火灾、爆炸、船舶撞击等情形；环保治理等政府行为导致项目停工的。</w:t>
      </w:r>
    </w:p>
    <w:p w14:paraId="27AA075D">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21.3 不可抗力后果及其处理</w:t>
      </w:r>
    </w:p>
    <w:p w14:paraId="5257643A">
      <w:pPr>
        <w:snapToGrid w:val="0"/>
        <w:spacing w:line="360" w:lineRule="auto"/>
        <w:ind w:firstLine="630" w:firstLineChars="3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21.3.1 不可抗力造成损害的责任</w:t>
      </w:r>
    </w:p>
    <w:p w14:paraId="491A7FFD">
      <w:pPr>
        <w:snapToGrid w:val="0"/>
        <w:spacing w:line="360" w:lineRule="auto"/>
        <w:ind w:firstLine="630" w:firstLineChars="3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本项补充：</w:t>
      </w:r>
    </w:p>
    <w:p w14:paraId="558D4981">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（6）不可抗力发生前已完成的工程应当按照合同约定进行计量支付。</w:t>
      </w:r>
    </w:p>
    <w:p w14:paraId="3690C808">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（7）因不可抗力影响承包人履行合同约定的义务，已经引起或将引起工期延误的，应当顺延工期，由此导致承包人停工的费用损失由发包人和承包人合理共担，停工期间必须支付的工人工资由发包人承担；</w:t>
      </w:r>
    </w:p>
    <w:p w14:paraId="291CBBF9">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（8）不可抗力事件发生后，合同当事人均应采取措施尽量避免和减少损失的扩大，任何一方当事人没有采取有效措施导致损失扩大的，应对扩大的损失承担责任。</w:t>
      </w:r>
    </w:p>
    <w:p w14:paraId="30498A5B">
      <w:pPr>
        <w:snapToGrid w:val="0"/>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21.3.4 因不可抗力解除合同</w:t>
      </w:r>
    </w:p>
    <w:p w14:paraId="2EC9DC37">
      <w:pPr>
        <w:snapToGrid w:val="0"/>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本项细化为：</w:t>
      </w:r>
    </w:p>
    <w:p w14:paraId="0C5CF31B">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合同一方当事人因不可抗力不能履行合同的，应当及时通知对方解除合同。合同解除后，承包人应按照第 22.2.5 项约定撤离施工场地。已经订货的材料、设备由订货方负责退货或解除订货合同，不能退还的货款和因退货、解除订货合同发生的费用，由发包人承担，因未及时退货造成的损失由责任方承担。合同解除后的付款，参照第 22.2.4 项约定，由监理人按第 3.5 款商定或确定，但由于解除合同应赔偿的承包人损失不予考虑。</w:t>
      </w:r>
      <w:r>
        <w:rPr>
          <w:rFonts w:hint="eastAsia" w:ascii="宋体" w:hAnsi="宋体" w:eastAsia="宋体" w:cs="宋体"/>
          <w:color w:val="auto"/>
          <w:kern w:val="0"/>
          <w:szCs w:val="21"/>
          <w:highlight w:val="none"/>
        </w:rPr>
        <w:t>合同解除后，发包人应在商定或确定发包人应支付款项后</w:t>
      </w:r>
      <w:r>
        <w:rPr>
          <w:rFonts w:hint="eastAsia" w:ascii="宋体" w:hAnsi="宋体" w:eastAsia="宋体" w:cs="宋体"/>
          <w:color w:val="auto"/>
          <w:kern w:val="0"/>
          <w:szCs w:val="21"/>
          <w:highlight w:val="none"/>
          <w:u w:val="single"/>
        </w:rPr>
        <w:t>28</w:t>
      </w:r>
      <w:r>
        <w:rPr>
          <w:rFonts w:hint="eastAsia" w:ascii="宋体" w:hAnsi="宋体" w:eastAsia="宋体" w:cs="宋体"/>
          <w:color w:val="auto"/>
          <w:kern w:val="0"/>
          <w:szCs w:val="21"/>
          <w:highlight w:val="none"/>
        </w:rPr>
        <w:t>天内完成款项的支付。</w:t>
      </w:r>
    </w:p>
    <w:p w14:paraId="228A325A">
      <w:pPr>
        <w:pStyle w:val="5"/>
        <w:spacing w:before="0" w:after="0" w:line="360" w:lineRule="auto"/>
        <w:jc w:val="left"/>
        <w:rPr>
          <w:rFonts w:hint="eastAsia" w:ascii="宋体" w:hAnsi="宋体" w:eastAsia="宋体" w:cs="宋体"/>
          <w:color w:val="auto"/>
          <w:highlight w:val="none"/>
        </w:rPr>
      </w:pPr>
      <w:bookmarkStart w:id="544" w:name="_Toc57795986"/>
      <w:r>
        <w:rPr>
          <w:rFonts w:hint="eastAsia" w:ascii="宋体" w:hAnsi="宋体" w:eastAsia="宋体" w:cs="宋体"/>
          <w:color w:val="auto"/>
          <w:highlight w:val="none"/>
        </w:rPr>
        <w:t>22、违约</w:t>
      </w:r>
      <w:bookmarkEnd w:id="544"/>
    </w:p>
    <w:p w14:paraId="06721CA5">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22.1 承包人违约</w:t>
      </w:r>
    </w:p>
    <w:p w14:paraId="2C912CC8">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22.1.1 承包人违约的情形</w:t>
      </w:r>
    </w:p>
    <w:p w14:paraId="26405A61">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本项（2）目细化为：</w:t>
      </w:r>
    </w:p>
    <w:p w14:paraId="381F79CE">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（2）承包人违反第 5.3 款或第 6.4 款的约定，未经监理人批准，私自将已按合同约定进入施工场地的施工设备、临时设施、材料或工程设备撤离施工场地；</w:t>
      </w:r>
    </w:p>
    <w:p w14:paraId="67EB3079">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本项（7）目细化为：</w:t>
      </w:r>
    </w:p>
    <w:p w14:paraId="155899F3">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（7）承包人未能按期开工；</w:t>
      </w:r>
    </w:p>
    <w:p w14:paraId="7F29D69A">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（8）承包人违反第 4.6 款或第 6.3 款的规定，未按承诺或未按监理人的要求及时配备称职的主要管理人员、技术骨干或关键施工设备；</w:t>
      </w:r>
    </w:p>
    <w:p w14:paraId="6E33B1CF">
      <w:pPr>
        <w:widowControl/>
        <w:spacing w:line="360" w:lineRule="auto"/>
        <w:ind w:firstLine="420" w:firstLineChars="200"/>
        <w:jc w:val="left"/>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bidi="ar"/>
        </w:rPr>
        <w:t>（9）经监理人和发包人检查，发现承包人有安全问题或有违反安全管理规章制度的情况</w:t>
      </w:r>
      <w:r>
        <w:rPr>
          <w:rFonts w:hint="eastAsia" w:ascii="宋体" w:hAnsi="宋体" w:cs="宋体"/>
          <w:color w:val="auto"/>
          <w:kern w:val="0"/>
          <w:szCs w:val="21"/>
          <w:highlight w:val="none"/>
          <w:lang w:eastAsia="zh-CN" w:bidi="ar"/>
        </w:rPr>
        <w:t>；</w:t>
      </w:r>
    </w:p>
    <w:p w14:paraId="77FB7628">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（10）承包人未按合同约定提交履约担保</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highlight w:val="none"/>
          <w:lang w:val="en-US" w:eastAsia="zh-CN"/>
        </w:rPr>
        <w:t>低价风险担保</w:t>
      </w:r>
      <w:r>
        <w:rPr>
          <w:rFonts w:hint="eastAsia" w:ascii="宋体" w:hAnsi="宋体" w:eastAsia="宋体" w:cs="宋体"/>
          <w:color w:val="auto"/>
          <w:kern w:val="0"/>
          <w:szCs w:val="21"/>
          <w:highlight w:val="none"/>
        </w:rPr>
        <w:t>或质量保证金的；</w:t>
      </w:r>
    </w:p>
    <w:p w14:paraId="3F03CC97">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（11）承包人在缺陷责任期及保修期内，未能在合理期限对工程缺陷进行修复，或拒绝按发包人要求进行修复的；</w:t>
      </w:r>
    </w:p>
    <w:p w14:paraId="295B47E5">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（12）承包人拖欠其工人或所雇人员工资或报酬，导致其工人或所雇人员向有关部门投诉、控告、检举或以聚集等方式讨要工资或报酬的；</w:t>
      </w:r>
    </w:p>
    <w:p w14:paraId="17D198B8">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（13）承包人不配合发包人、监理人及发包人委托的工程造价咨询服务单位结算审核或承包人其他原因导致未按期完成工程竣（完）工结算的；</w:t>
      </w:r>
    </w:p>
    <w:p w14:paraId="53E93948">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（14）承包人违反合同约定进行转包或违法分包的；</w:t>
      </w:r>
    </w:p>
    <w:p w14:paraId="1B893FDC">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（15）承包人未按合同约定移交全部或部分工作的；</w:t>
      </w:r>
    </w:p>
    <w:p w14:paraId="10C9900E">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（16）承包人未按合同约定购买保险的；</w:t>
      </w:r>
    </w:p>
    <w:p w14:paraId="05E1E481">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（17）项目经理若有以下情形，属于承包人违约：</w:t>
      </w:r>
    </w:p>
    <w:p w14:paraId="532396ED">
      <w:pPr>
        <w:pStyle w:val="343"/>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1）项目经理不按承诺到岗的；</w:t>
      </w:r>
    </w:p>
    <w:p w14:paraId="55681E8D">
      <w:pPr>
        <w:pStyle w:val="343"/>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2）每月在施工现场的天数少于约定天数的；</w:t>
      </w:r>
    </w:p>
    <w:p w14:paraId="216F000F">
      <w:pPr>
        <w:pStyle w:val="343"/>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3）承包人未提交项目经理劳动合同和社会保险证明的；</w:t>
      </w:r>
    </w:p>
    <w:p w14:paraId="33B8DF14">
      <w:pPr>
        <w:pStyle w:val="343"/>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4）未经批准，擅自离开施工现场（超过约定时间）的；</w:t>
      </w:r>
    </w:p>
    <w:p w14:paraId="3877F697">
      <w:pPr>
        <w:pStyle w:val="343"/>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5）未经批准，擅自变更项目经理的；</w:t>
      </w:r>
    </w:p>
    <w:p w14:paraId="7FE5B3A0">
      <w:pPr>
        <w:pStyle w:val="343"/>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6）发包人有正当理由认为项目经理不称职/不履职，且承包人在约定时间内不予更换的；</w:t>
      </w:r>
    </w:p>
    <w:p w14:paraId="414D5D46">
      <w:pPr>
        <w:pStyle w:val="343"/>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7）其他双方约定的情形：</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F114D78">
      <w:pPr>
        <w:snapToGrid w:val="0"/>
        <w:spacing w:line="360" w:lineRule="auto"/>
        <w:ind w:left="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（18）项目总工若有以下情形，属于承包人违约：</w:t>
      </w:r>
    </w:p>
    <w:p w14:paraId="2DB55A51">
      <w:pPr>
        <w:pStyle w:val="343"/>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1）每月在施工现场的天数少于约定天数的；</w:t>
      </w:r>
    </w:p>
    <w:p w14:paraId="4DBD496F">
      <w:pPr>
        <w:pStyle w:val="343"/>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2）承包人未提交项目总工劳动合同和社会保险证明的；</w:t>
      </w:r>
    </w:p>
    <w:p w14:paraId="75C83374">
      <w:pPr>
        <w:pStyle w:val="343"/>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3）未经批准，擅自离开施工现场（超过约定时间）的；</w:t>
      </w:r>
    </w:p>
    <w:p w14:paraId="4CECF83E">
      <w:pPr>
        <w:pStyle w:val="343"/>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4）未经批准，擅自变更项目总工的；</w:t>
      </w:r>
    </w:p>
    <w:p w14:paraId="2EC0E763">
      <w:pPr>
        <w:pStyle w:val="343"/>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5）发包人有正当理由认为项目总工不称职/不履职，且承包人在约定时间内不予更换的；</w:t>
      </w:r>
    </w:p>
    <w:p w14:paraId="63DA0A73">
      <w:pPr>
        <w:pStyle w:val="343"/>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6）其他双方约定的情形：</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82F7191">
      <w:pPr>
        <w:snapToGrid w:val="0"/>
        <w:spacing w:line="360" w:lineRule="auto"/>
        <w:ind w:left="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（19）主要施工管理人员若有以下情形，属于承包人违约：</w:t>
      </w:r>
    </w:p>
    <w:p w14:paraId="59EEB168">
      <w:pPr>
        <w:pStyle w:val="343"/>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1）承包人未提交主要管理人员劳动合同和社会保险证明的；</w:t>
      </w:r>
    </w:p>
    <w:p w14:paraId="79884275">
      <w:pPr>
        <w:pStyle w:val="343"/>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2）未经批准，擅自离开施工现场（超过约定时间）的；</w:t>
      </w:r>
    </w:p>
    <w:p w14:paraId="0CC5D2DF">
      <w:pPr>
        <w:pStyle w:val="343"/>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3）未经批准，擅自变更主要施工管理人员的；</w:t>
      </w:r>
    </w:p>
    <w:p w14:paraId="563CAFB9">
      <w:pPr>
        <w:pStyle w:val="343"/>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4）发包人有正当理由认为主要施工管理人员不称职/不履职，且承包人在约定时间内不予更换的；</w:t>
      </w:r>
    </w:p>
    <w:p w14:paraId="4282E1C4">
      <w:pPr>
        <w:pStyle w:val="343"/>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5）其他双方约定的情形：</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3F4229A">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（20）发包人在合同签订前对承包人“已标价工程量清单”进行复核时发现承包人未按</w:t>
      </w:r>
      <w:r>
        <w:rPr>
          <w:rFonts w:hint="eastAsia" w:ascii="宋体" w:hAnsi="宋体" w:eastAsia="宋体" w:cs="宋体"/>
          <w:color w:val="auto"/>
          <w:kern w:val="0"/>
          <w:szCs w:val="21"/>
          <w:highlight w:val="none"/>
          <w:lang w:eastAsia="zh-CN" w:bidi="ar"/>
        </w:rPr>
        <w:t>比选文件</w:t>
      </w:r>
      <w:r>
        <w:rPr>
          <w:rFonts w:hint="eastAsia" w:ascii="宋体" w:hAnsi="宋体" w:eastAsia="宋体" w:cs="宋体"/>
          <w:color w:val="auto"/>
          <w:kern w:val="0"/>
          <w:szCs w:val="21"/>
          <w:highlight w:val="none"/>
          <w:lang w:bidi="ar"/>
        </w:rPr>
        <w:t>要求填报工程量清单的，发包人按</w:t>
      </w:r>
      <w:r>
        <w:rPr>
          <w:rFonts w:hint="eastAsia" w:ascii="宋体" w:hAnsi="宋体" w:eastAsia="宋体" w:cs="宋体"/>
          <w:color w:val="auto"/>
          <w:kern w:val="0"/>
          <w:szCs w:val="21"/>
          <w:highlight w:val="none"/>
          <w:lang w:eastAsia="zh-CN" w:bidi="ar"/>
        </w:rPr>
        <w:t>比选文件</w:t>
      </w:r>
      <w:r>
        <w:rPr>
          <w:rFonts w:hint="eastAsia" w:ascii="宋体" w:hAnsi="宋体" w:eastAsia="宋体" w:cs="宋体"/>
          <w:color w:val="auto"/>
          <w:kern w:val="0"/>
          <w:szCs w:val="21"/>
          <w:highlight w:val="none"/>
          <w:lang w:bidi="ar"/>
        </w:rPr>
        <w:t>规定的原则对承包人“已标价工程量清单”进行修正，承包人必须无条件接受。</w:t>
      </w:r>
    </w:p>
    <w:p w14:paraId="66E8163B">
      <w:pPr>
        <w:widowControl/>
        <w:spacing w:line="360" w:lineRule="auto"/>
        <w:ind w:firstLine="420" w:firstLineChars="200"/>
        <w:jc w:val="left"/>
        <w:rPr>
          <w:rFonts w:hint="eastAsia" w:ascii="宋体" w:hAnsi="宋体" w:eastAsia="宋体" w:cs="宋体"/>
          <w:color w:val="auto"/>
          <w:kern w:val="0"/>
          <w:szCs w:val="21"/>
          <w:highlight w:val="none"/>
          <w:u w:val="single"/>
          <w:lang w:bidi="ar"/>
        </w:rPr>
      </w:pPr>
      <w:r>
        <w:rPr>
          <w:rFonts w:hint="eastAsia" w:ascii="宋体" w:hAnsi="宋体" w:eastAsia="宋体" w:cs="宋体"/>
          <w:color w:val="auto"/>
          <w:kern w:val="0"/>
          <w:szCs w:val="21"/>
          <w:highlight w:val="none"/>
          <w:lang w:bidi="ar"/>
        </w:rPr>
        <w:t>（21）</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443BD8AD">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22.1.2 对承包人违约的处理</w:t>
      </w:r>
    </w:p>
    <w:p w14:paraId="0351A4DE">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本项补充：</w:t>
      </w:r>
    </w:p>
    <w:p w14:paraId="39944FBE">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（4）承包人发生第 22.1.1 项约定的违约情况时，无论发包人是否解除合同，发包人均有权向承包人课以专用合同条款中规定的违约金，并由发包人将其违约行为上报省级交通运输主管部门，作为不良记录纳入公路建设市场信用信息管理系统。</w:t>
      </w:r>
    </w:p>
    <w:p w14:paraId="3CAB20E0">
      <w:pPr>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（5）承包人违约责任的承担方式和计算方法：</w:t>
      </w:r>
    </w:p>
    <w:p w14:paraId="5E64027E">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承包人未按合同约定提交履约担保、</w:t>
      </w:r>
      <w:r>
        <w:rPr>
          <w:rFonts w:hint="eastAsia" w:ascii="宋体" w:hAnsi="宋体" w:eastAsia="宋体" w:cs="宋体"/>
          <w:color w:val="auto"/>
          <w:highlight w:val="none"/>
          <w:lang w:val="en-US" w:eastAsia="zh-CN"/>
        </w:rPr>
        <w:t>低价风险担保、</w:t>
      </w:r>
      <w:r>
        <w:rPr>
          <w:rFonts w:hint="eastAsia" w:ascii="宋体" w:hAnsi="宋体" w:eastAsia="宋体" w:cs="宋体"/>
          <w:color w:val="auto"/>
          <w:kern w:val="0"/>
          <w:szCs w:val="21"/>
          <w:highlight w:val="none"/>
        </w:rPr>
        <w:t>质量保证金的违约责任：承包人应支付违约金，违约金的计算方法：每延误1天，承包人按</w:t>
      </w:r>
      <w:r>
        <w:rPr>
          <w:rFonts w:hint="eastAsia" w:ascii="宋体" w:hAnsi="宋体" w:eastAsia="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1000</w:t>
      </w:r>
      <w:r>
        <w:rPr>
          <w:rFonts w:hint="eastAsia" w:ascii="宋体" w:hAnsi="宋体" w:eastAsia="宋体" w:cs="宋体"/>
          <w:color w:val="auto"/>
          <w:kern w:val="0"/>
          <w:szCs w:val="21"/>
          <w:highlight w:val="none"/>
          <w:u w:val="single"/>
        </w:rPr>
        <w:t>）元/天</w:t>
      </w:r>
      <w:r>
        <w:rPr>
          <w:rFonts w:hint="eastAsia" w:ascii="宋体" w:hAnsi="宋体" w:eastAsia="宋体" w:cs="宋体"/>
          <w:color w:val="auto"/>
          <w:kern w:val="0"/>
          <w:szCs w:val="21"/>
          <w:highlight w:val="none"/>
        </w:rPr>
        <w:t>计算违约金，累计违约金上限：</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万元（不超过签约合同价的3%）。</w:t>
      </w:r>
    </w:p>
    <w:p w14:paraId="0A7A96D3">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（6）承包人违反合同约定进行转包或违法分包的违约责任：按照违反合同约定进行转包和（或）违法分包相应转包和（或）分包合同的合同金额的</w:t>
      </w:r>
      <w:r>
        <w:rPr>
          <w:rFonts w:hint="eastAsia" w:ascii="宋体" w:hAnsi="宋体" w:eastAsia="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3</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支付违约金，违法转/分包商应在7天内撤离出场。</w:t>
      </w:r>
    </w:p>
    <w:p w14:paraId="5DB21830">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（7）承包人违反合同约定采购和使用不合格的材料和工程设备的违约责任：按照违反合同约定采购和使用不合格的材料和（或）工程设备相应合同金额的</w:t>
      </w:r>
      <w:r>
        <w:rPr>
          <w:rFonts w:hint="eastAsia" w:ascii="宋体" w:hAnsi="宋体" w:eastAsia="宋体" w:cs="宋体"/>
          <w:color w:val="auto"/>
          <w:kern w:val="0"/>
          <w:szCs w:val="21"/>
          <w:highlight w:val="none"/>
          <w:u w:val="single"/>
        </w:rPr>
        <w:t>（</w:t>
      </w:r>
      <w:r>
        <w:rPr>
          <w:rFonts w:hint="eastAsia" w:ascii="宋体" w:hAnsi="宋体" w:cs="宋体"/>
          <w:color w:val="auto"/>
          <w:kern w:val="0"/>
          <w:szCs w:val="21"/>
          <w:highlight w:val="none"/>
          <w:u w:val="single"/>
          <w:lang w:val="en-US" w:eastAsia="zh-CN"/>
        </w:rPr>
        <w:t>3</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支付违约金。</w:t>
      </w:r>
    </w:p>
    <w:p w14:paraId="10F16B99">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（8）因承包人原因导致工程质量不符合规定或合同要求的违约责任：承包人退还已支付工程质量不符合合同要求工程的工程款，并按照工程质量不符合合同要求工程相应合同金额的</w:t>
      </w:r>
      <w:r>
        <w:rPr>
          <w:rFonts w:hint="eastAsia" w:ascii="宋体" w:hAnsi="宋体" w:eastAsia="宋体" w:cs="宋体"/>
          <w:color w:val="auto"/>
          <w:kern w:val="0"/>
          <w:szCs w:val="21"/>
          <w:highlight w:val="none"/>
          <w:u w:val="single"/>
        </w:rPr>
        <w:t>（</w:t>
      </w:r>
      <w:r>
        <w:rPr>
          <w:rFonts w:hint="eastAsia" w:ascii="宋体" w:hAnsi="宋体" w:cs="宋体"/>
          <w:color w:val="auto"/>
          <w:kern w:val="0"/>
          <w:szCs w:val="21"/>
          <w:highlight w:val="none"/>
          <w:u w:val="single"/>
          <w:lang w:val="en-US" w:eastAsia="zh-CN"/>
        </w:rPr>
        <w:t>3</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支付违约金。</w:t>
      </w:r>
    </w:p>
    <w:p w14:paraId="39A33C3C">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（9）承包人违反材料与设备的约定，未经批准，擅自将已按照合同约定进入施工现场的材料或设备撤离施工现场的违约责任：按照承包人擅自撤离施工现场材料和（或）设备相应合同金额的</w:t>
      </w:r>
      <w:r>
        <w:rPr>
          <w:rFonts w:hint="eastAsia" w:ascii="宋体" w:hAnsi="宋体" w:eastAsia="宋体" w:cs="宋体"/>
          <w:color w:val="auto"/>
          <w:kern w:val="0"/>
          <w:szCs w:val="21"/>
          <w:highlight w:val="none"/>
          <w:u w:val="single"/>
        </w:rPr>
        <w:t>（1）%</w:t>
      </w:r>
      <w:r>
        <w:rPr>
          <w:rFonts w:hint="eastAsia" w:ascii="宋体" w:hAnsi="宋体" w:eastAsia="宋体" w:cs="宋体"/>
          <w:color w:val="auto"/>
          <w:kern w:val="0"/>
          <w:szCs w:val="21"/>
          <w:highlight w:val="none"/>
        </w:rPr>
        <w:t>支付违约金。</w:t>
      </w:r>
    </w:p>
    <w:p w14:paraId="7EF03DE2">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（10）因承包人原因造成工期延误的违约承担方式和计算方法：由承包人承担由此增加的费用，由此导致工期延误的，工期不予顺延；逾期交工违约金的计算方法：每延误1天，承包人按</w:t>
      </w:r>
      <w:r>
        <w:rPr>
          <w:rFonts w:hint="eastAsia" w:ascii="宋体" w:hAnsi="宋体" w:eastAsia="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1</w:t>
      </w:r>
      <w:r>
        <w:rPr>
          <w:rFonts w:hint="eastAsia" w:ascii="宋体" w:hAnsi="宋体" w:eastAsia="宋体" w:cs="宋体"/>
          <w:color w:val="auto"/>
          <w:kern w:val="0"/>
          <w:szCs w:val="21"/>
          <w:highlight w:val="none"/>
          <w:u w:val="single"/>
        </w:rPr>
        <w:t>000）元/天</w:t>
      </w:r>
      <w:r>
        <w:rPr>
          <w:rFonts w:hint="eastAsia" w:ascii="宋体" w:hAnsi="宋体" w:eastAsia="宋体" w:cs="宋体"/>
          <w:color w:val="auto"/>
          <w:kern w:val="0"/>
          <w:szCs w:val="21"/>
          <w:highlight w:val="none"/>
        </w:rPr>
        <w:t>计算逾期交工违约金，累计违约金上限：</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万元（不超过签约合同价的3%）；承包人支付逾期交工违约金后，不免除承包人继续完成工程及修补缺陷的义务。</w:t>
      </w:r>
    </w:p>
    <w:p w14:paraId="2A332171">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（11）承包人在缺陷责任期及保修期内，未能在合理期限对工程缺陷进行修复，或拒绝按发包人要求进行修复的违约责任：按照发包人修复缺陷费用的</w:t>
      </w:r>
      <w:r>
        <w:rPr>
          <w:rFonts w:hint="eastAsia" w:ascii="宋体" w:hAnsi="宋体" w:eastAsia="宋体" w:cs="宋体"/>
          <w:color w:val="auto"/>
          <w:kern w:val="0"/>
          <w:szCs w:val="21"/>
          <w:highlight w:val="none"/>
          <w:u w:val="single"/>
        </w:rPr>
        <w:t>（0.5）%</w:t>
      </w:r>
      <w:r>
        <w:rPr>
          <w:rFonts w:hint="eastAsia" w:ascii="宋体" w:hAnsi="宋体" w:eastAsia="宋体" w:cs="宋体"/>
          <w:color w:val="auto"/>
          <w:kern w:val="0"/>
          <w:szCs w:val="21"/>
          <w:highlight w:val="none"/>
        </w:rPr>
        <w:t>支付违约金。</w:t>
      </w:r>
    </w:p>
    <w:p w14:paraId="248FEE1E">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（12）承包人明确表示或者以其行为表明不履行合同主要义务的违约责任：按签约合同价的</w:t>
      </w:r>
      <w:r>
        <w:rPr>
          <w:rFonts w:hint="eastAsia" w:ascii="宋体" w:hAnsi="宋体" w:eastAsia="宋体" w:cs="宋体"/>
          <w:color w:val="auto"/>
          <w:kern w:val="0"/>
          <w:szCs w:val="21"/>
          <w:highlight w:val="none"/>
          <w:u w:val="single"/>
        </w:rPr>
        <w:t>（</w:t>
      </w:r>
      <w:r>
        <w:rPr>
          <w:rFonts w:hint="eastAsia" w:ascii="宋体" w:hAnsi="宋体" w:cs="宋体"/>
          <w:color w:val="auto"/>
          <w:kern w:val="0"/>
          <w:szCs w:val="21"/>
          <w:highlight w:val="none"/>
          <w:u w:val="single"/>
          <w:lang w:val="en-US" w:eastAsia="zh-CN"/>
        </w:rPr>
        <w:t>3</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支付违约金。</w:t>
      </w:r>
    </w:p>
    <w:p w14:paraId="64F82DFB">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（13）承包人未能按照合同约定履行其他义务的违约责任：按</w:t>
      </w:r>
      <w:r>
        <w:rPr>
          <w:rFonts w:hint="eastAsia" w:ascii="宋体" w:hAnsi="宋体" w:eastAsia="宋体" w:cs="宋体"/>
          <w:color w:val="auto"/>
          <w:kern w:val="0"/>
          <w:szCs w:val="21"/>
          <w:highlight w:val="none"/>
          <w:u w:val="single"/>
        </w:rPr>
        <w:t>（500）元/次</w:t>
      </w:r>
      <w:r>
        <w:rPr>
          <w:rFonts w:hint="eastAsia" w:ascii="宋体" w:hAnsi="宋体" w:eastAsia="宋体" w:cs="宋体"/>
          <w:color w:val="auto"/>
          <w:kern w:val="0"/>
          <w:szCs w:val="21"/>
          <w:highlight w:val="none"/>
        </w:rPr>
        <w:t>支付违约金。</w:t>
      </w:r>
    </w:p>
    <w:p w14:paraId="31C44757">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（14）承包人未能按期开工的违约责任：按合同价</w:t>
      </w:r>
      <w:r>
        <w:rPr>
          <w:rFonts w:hint="eastAsia" w:ascii="宋体" w:hAnsi="宋体" w:eastAsia="宋体" w:cs="宋体"/>
          <w:color w:val="auto"/>
          <w:kern w:val="0"/>
          <w:szCs w:val="21"/>
          <w:highlight w:val="none"/>
          <w:u w:val="single"/>
        </w:rPr>
        <w:t>0.2‰</w:t>
      </w:r>
      <w:r>
        <w:rPr>
          <w:rFonts w:hint="eastAsia" w:ascii="宋体" w:hAnsi="宋体" w:eastAsia="宋体" w:cs="宋体"/>
          <w:color w:val="auto"/>
          <w:kern w:val="0"/>
          <w:szCs w:val="21"/>
          <w:highlight w:val="none"/>
        </w:rPr>
        <w:t>/天支付违约金，本项违约金累计限额为签约合同价的</w:t>
      </w:r>
      <w:r>
        <w:rPr>
          <w:rFonts w:hint="eastAsia" w:ascii="宋体" w:hAnsi="宋体" w:eastAsia="宋体" w:cs="宋体"/>
          <w:color w:val="auto"/>
          <w:kern w:val="0"/>
          <w:szCs w:val="21"/>
          <w:highlight w:val="none"/>
          <w:u w:val="single"/>
        </w:rPr>
        <w:t xml:space="preserve"> 1 %</w:t>
      </w:r>
      <w:r>
        <w:rPr>
          <w:rFonts w:hint="eastAsia" w:ascii="宋体" w:hAnsi="宋体" w:eastAsia="宋体" w:cs="宋体"/>
          <w:color w:val="auto"/>
          <w:kern w:val="0"/>
          <w:szCs w:val="21"/>
          <w:highlight w:val="none"/>
        </w:rPr>
        <w:t>。</w:t>
      </w:r>
    </w:p>
    <w:p w14:paraId="71C46B32">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（15）承包人未按经审定的施工组织设计配备或更换关键施工设备的违约责任：按</w:t>
      </w:r>
      <w:r>
        <w:rPr>
          <w:rFonts w:hint="eastAsia" w:ascii="宋体" w:hAnsi="宋体" w:eastAsia="宋体" w:cs="宋体"/>
          <w:color w:val="auto"/>
          <w:kern w:val="0"/>
          <w:szCs w:val="21"/>
          <w:highlight w:val="none"/>
          <w:u w:val="single"/>
        </w:rPr>
        <w:t>（</w:t>
      </w:r>
      <w:r>
        <w:rPr>
          <w:rFonts w:hint="eastAsia" w:ascii="宋体" w:hAnsi="宋体" w:cs="宋体"/>
          <w:color w:val="auto"/>
          <w:kern w:val="0"/>
          <w:szCs w:val="21"/>
          <w:highlight w:val="none"/>
          <w:u w:val="single"/>
          <w:lang w:val="en-US" w:eastAsia="zh-CN"/>
        </w:rPr>
        <w:t>1</w:t>
      </w:r>
      <w:r>
        <w:rPr>
          <w:rFonts w:hint="eastAsia" w:ascii="宋体" w:hAnsi="宋体" w:eastAsia="宋体" w:cs="宋体"/>
          <w:color w:val="auto"/>
          <w:kern w:val="0"/>
          <w:szCs w:val="21"/>
          <w:highlight w:val="none"/>
          <w:u w:val="single"/>
        </w:rPr>
        <w:t>000）元/台·次</w:t>
      </w:r>
      <w:r>
        <w:rPr>
          <w:rFonts w:hint="eastAsia" w:ascii="宋体" w:hAnsi="宋体" w:eastAsia="宋体" w:cs="宋体"/>
          <w:color w:val="auto"/>
          <w:kern w:val="0"/>
          <w:szCs w:val="21"/>
          <w:highlight w:val="none"/>
        </w:rPr>
        <w:t>支付违约金。</w:t>
      </w:r>
    </w:p>
    <w:p w14:paraId="7EB252D8">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（16）承包人有安全问题或有违反规章制度情况的违约责任：根据具体情节，按签约合同价的</w:t>
      </w:r>
      <w:r>
        <w:rPr>
          <w:rFonts w:hint="eastAsia" w:ascii="宋体" w:hAnsi="宋体" w:eastAsia="宋体" w:cs="宋体"/>
          <w:color w:val="auto"/>
          <w:kern w:val="0"/>
          <w:szCs w:val="21"/>
          <w:highlight w:val="none"/>
          <w:u w:val="single"/>
        </w:rPr>
        <w:t>0.5‰～4‰/次</w:t>
      </w:r>
      <w:r>
        <w:rPr>
          <w:rFonts w:hint="eastAsia" w:ascii="宋体" w:hAnsi="宋体" w:eastAsia="宋体" w:cs="宋体"/>
          <w:color w:val="auto"/>
          <w:kern w:val="0"/>
          <w:szCs w:val="21"/>
          <w:highlight w:val="none"/>
        </w:rPr>
        <w:t>支付违约金（累计不超过签约合同价的1%）。</w:t>
      </w:r>
    </w:p>
    <w:p w14:paraId="270343B0">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（17）承包人拖欠其工人或所雇人员工资或报酬，导致其工人或所雇人员向有关部门投诉、控告、检举或以聚集等方式讨要工资或报酬的违约责任：根据具体情节，按违约金额</w:t>
      </w:r>
      <w:r>
        <w:rPr>
          <w:rFonts w:hint="eastAsia" w:ascii="宋体" w:hAnsi="宋体" w:eastAsia="宋体" w:cs="宋体"/>
          <w:color w:val="auto"/>
          <w:kern w:val="0"/>
          <w:szCs w:val="21"/>
          <w:highlight w:val="none"/>
          <w:u w:val="single"/>
        </w:rPr>
        <w:t>（</w:t>
      </w:r>
      <w:r>
        <w:rPr>
          <w:rFonts w:hint="eastAsia" w:ascii="宋体" w:hAnsi="宋体" w:cs="宋体"/>
          <w:color w:val="auto"/>
          <w:kern w:val="0"/>
          <w:szCs w:val="21"/>
          <w:highlight w:val="none"/>
          <w:u w:val="single"/>
          <w:lang w:val="en-US" w:eastAsia="zh-CN"/>
        </w:rPr>
        <w:t>1</w:t>
      </w:r>
      <w:r>
        <w:rPr>
          <w:rFonts w:hint="eastAsia" w:ascii="宋体" w:hAnsi="宋体" w:eastAsia="宋体" w:cs="宋体"/>
          <w:color w:val="auto"/>
          <w:kern w:val="0"/>
          <w:szCs w:val="21"/>
          <w:highlight w:val="none"/>
          <w:u w:val="single"/>
        </w:rPr>
        <w:t>00</w:t>
      </w:r>
      <w:r>
        <w:rPr>
          <w:rFonts w:hint="eastAsia" w:ascii="宋体" w:hAnsi="宋体" w:cs="宋体"/>
          <w:color w:val="auto"/>
          <w:kern w:val="0"/>
          <w:szCs w:val="21"/>
          <w:highlight w:val="none"/>
          <w:u w:val="single"/>
          <w:lang w:val="en-US" w:eastAsia="zh-CN"/>
        </w:rPr>
        <w:t>0</w:t>
      </w:r>
      <w:r>
        <w:rPr>
          <w:rFonts w:hint="eastAsia" w:ascii="宋体" w:hAnsi="宋体" w:eastAsia="宋体" w:cs="宋体"/>
          <w:color w:val="auto"/>
          <w:kern w:val="0"/>
          <w:szCs w:val="21"/>
          <w:highlight w:val="none"/>
          <w:u w:val="single"/>
        </w:rPr>
        <w:t>0）元/次</w:t>
      </w:r>
      <w:r>
        <w:rPr>
          <w:rFonts w:hint="eastAsia" w:ascii="宋体" w:hAnsi="宋体" w:eastAsia="宋体" w:cs="宋体"/>
          <w:color w:val="auto"/>
          <w:kern w:val="0"/>
          <w:szCs w:val="21"/>
          <w:highlight w:val="none"/>
        </w:rPr>
        <w:t>支付违约金。</w:t>
      </w:r>
    </w:p>
    <w:p w14:paraId="4DCB7EE0">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（18）承包人不配合发包人、监理人及发包人委托的工程造价咨询服务单位结算审核的违约责任：根据具体情节，按</w:t>
      </w:r>
      <w:r>
        <w:rPr>
          <w:rFonts w:hint="eastAsia" w:ascii="宋体" w:hAnsi="宋体" w:eastAsia="宋体" w:cs="宋体"/>
          <w:color w:val="auto"/>
          <w:kern w:val="0"/>
          <w:szCs w:val="21"/>
          <w:highlight w:val="none"/>
          <w:u w:val="single"/>
        </w:rPr>
        <w:t>（</w:t>
      </w:r>
      <w:r>
        <w:rPr>
          <w:rFonts w:hint="eastAsia" w:ascii="宋体" w:hAnsi="宋体" w:cs="宋体"/>
          <w:color w:val="auto"/>
          <w:kern w:val="0"/>
          <w:szCs w:val="21"/>
          <w:highlight w:val="none"/>
          <w:u w:val="single"/>
          <w:lang w:val="en-US" w:eastAsia="zh-CN"/>
        </w:rPr>
        <w:t>5</w:t>
      </w:r>
      <w:r>
        <w:rPr>
          <w:rFonts w:hint="eastAsia" w:ascii="宋体" w:hAnsi="宋体" w:eastAsia="宋体" w:cs="宋体"/>
          <w:color w:val="auto"/>
          <w:kern w:val="0"/>
          <w:szCs w:val="21"/>
          <w:highlight w:val="none"/>
          <w:u w:val="single"/>
        </w:rPr>
        <w:t>000）元/次</w:t>
      </w:r>
      <w:r>
        <w:rPr>
          <w:rFonts w:hint="eastAsia" w:ascii="宋体" w:hAnsi="宋体" w:eastAsia="宋体" w:cs="宋体"/>
          <w:color w:val="auto"/>
          <w:kern w:val="0"/>
          <w:szCs w:val="21"/>
          <w:highlight w:val="none"/>
        </w:rPr>
        <w:t>支付违约金；因承包人原因未按约定期限完成工程完工结算的责任：由承包人自行承担由此增加的费用，且每延误一天，按</w:t>
      </w:r>
      <w:r>
        <w:rPr>
          <w:rFonts w:hint="eastAsia" w:ascii="宋体" w:hAnsi="宋体" w:eastAsia="宋体" w:cs="宋体"/>
          <w:color w:val="auto"/>
          <w:kern w:val="0"/>
          <w:szCs w:val="21"/>
          <w:highlight w:val="none"/>
          <w:u w:val="single"/>
        </w:rPr>
        <w:t>500</w:t>
      </w:r>
      <w:r>
        <w:rPr>
          <w:rFonts w:hint="eastAsia" w:ascii="宋体" w:hAnsi="宋体" w:eastAsia="宋体" w:cs="宋体"/>
          <w:color w:val="auto"/>
          <w:kern w:val="0"/>
          <w:szCs w:val="21"/>
          <w:highlight w:val="none"/>
        </w:rPr>
        <w:t>元/天支付违约金。</w:t>
      </w:r>
    </w:p>
    <w:p w14:paraId="176C8767">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（19）承包人未按合同约定移交全部和部分工程的违约责任：由承包人承担工程照管、成品保护、保管等与工程有关的各种费用，并按结算金额或违约部分结算金额的</w:t>
      </w:r>
      <w:r>
        <w:rPr>
          <w:rFonts w:hint="eastAsia" w:ascii="宋体" w:hAnsi="宋体" w:eastAsia="宋体" w:cs="宋体"/>
          <w:color w:val="auto"/>
          <w:kern w:val="0"/>
          <w:szCs w:val="21"/>
          <w:highlight w:val="none"/>
          <w:u w:val="single"/>
        </w:rPr>
        <w:t>（0.5～1）‰</w:t>
      </w:r>
      <w:r>
        <w:rPr>
          <w:rFonts w:hint="eastAsia" w:ascii="宋体" w:hAnsi="宋体" w:eastAsia="宋体" w:cs="宋体"/>
          <w:color w:val="auto"/>
          <w:kern w:val="0"/>
          <w:szCs w:val="21"/>
          <w:highlight w:val="none"/>
        </w:rPr>
        <w:t>支付违约金。</w:t>
      </w:r>
    </w:p>
    <w:p w14:paraId="67A5E3E1">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（20）承包人未按合同约定购买保险的违约责任</w:t>
      </w:r>
      <w:r>
        <w:rPr>
          <w:rFonts w:hint="eastAsia" w:ascii="宋体" w:hAnsi="宋体" w:eastAsia="宋体" w:cs="宋体"/>
          <w:color w:val="auto"/>
          <w:szCs w:val="21"/>
          <w:highlight w:val="none"/>
        </w:rPr>
        <w:t>：除按20.6.4项约定执行外，</w:t>
      </w:r>
      <w:r>
        <w:rPr>
          <w:rFonts w:hint="eastAsia" w:ascii="宋体" w:hAnsi="宋体" w:eastAsia="宋体" w:cs="宋体"/>
          <w:color w:val="auto"/>
          <w:kern w:val="0"/>
          <w:szCs w:val="21"/>
          <w:highlight w:val="none"/>
        </w:rPr>
        <w:t>每延迟1天，按</w:t>
      </w:r>
      <w:r>
        <w:rPr>
          <w:rFonts w:hint="eastAsia" w:ascii="宋体" w:hAnsi="宋体" w:eastAsia="宋体" w:cs="宋体"/>
          <w:color w:val="auto"/>
          <w:kern w:val="0"/>
          <w:szCs w:val="21"/>
          <w:highlight w:val="none"/>
          <w:u w:val="single"/>
        </w:rPr>
        <w:t>500</w:t>
      </w:r>
      <w:r>
        <w:rPr>
          <w:rFonts w:hint="eastAsia" w:ascii="宋体" w:hAnsi="宋体" w:eastAsia="宋体" w:cs="宋体"/>
          <w:color w:val="auto"/>
          <w:kern w:val="0"/>
          <w:szCs w:val="21"/>
          <w:highlight w:val="none"/>
        </w:rPr>
        <w:t>元/天支付违约金。</w:t>
      </w:r>
    </w:p>
    <w:p w14:paraId="371F5C32">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（21）发生第22.1.1条（17）、22.1.1条（18）、22.1.1条（19）违约情形的违约责任：除承担由此增加的费用和工期延误的责任，承包人应向发包人支付违约金：</w:t>
      </w:r>
    </w:p>
    <w:p w14:paraId="02666D9A">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1）项目经理违约承担方式和计算方法：对于第22.1.1条（17）的七种情形，每发现一次，根据具体情节，按</w:t>
      </w:r>
      <w:r>
        <w:rPr>
          <w:rFonts w:hint="eastAsia" w:ascii="宋体" w:hAnsi="宋体" w:eastAsia="宋体" w:cs="宋体"/>
          <w:color w:val="auto"/>
          <w:kern w:val="0"/>
          <w:szCs w:val="21"/>
          <w:highlight w:val="none"/>
          <w:u w:val="single"/>
        </w:rPr>
        <w:t>（</w:t>
      </w:r>
      <w:r>
        <w:rPr>
          <w:rFonts w:hint="eastAsia" w:ascii="宋体" w:hAnsi="宋体" w:cs="宋体"/>
          <w:color w:val="auto"/>
          <w:kern w:val="0"/>
          <w:szCs w:val="21"/>
          <w:highlight w:val="none"/>
          <w:u w:val="single"/>
          <w:lang w:val="en-US" w:eastAsia="zh-CN"/>
        </w:rPr>
        <w:t>5</w:t>
      </w:r>
      <w:r>
        <w:rPr>
          <w:rFonts w:hint="eastAsia" w:ascii="宋体" w:hAnsi="宋体" w:eastAsia="宋体" w:cs="宋体"/>
          <w:color w:val="auto"/>
          <w:kern w:val="0"/>
          <w:szCs w:val="21"/>
          <w:highlight w:val="none"/>
          <w:u w:val="single"/>
        </w:rPr>
        <w:t>000）元/天·次</w:t>
      </w:r>
      <w:r>
        <w:rPr>
          <w:rFonts w:hint="eastAsia" w:ascii="宋体" w:hAnsi="宋体" w:eastAsia="宋体" w:cs="宋体"/>
          <w:color w:val="auto"/>
          <w:kern w:val="0"/>
          <w:szCs w:val="21"/>
          <w:highlight w:val="none"/>
        </w:rPr>
        <w:t>计算违约金；项目经理不按承诺到岗的（4.7.1项约定的情形除外），按履约保证金的</w:t>
      </w:r>
      <w:r>
        <w:rPr>
          <w:rFonts w:hint="eastAsia" w:ascii="宋体" w:hAnsi="宋体" w:eastAsia="宋体" w:cs="宋体"/>
          <w:color w:val="auto"/>
          <w:kern w:val="0"/>
          <w:szCs w:val="21"/>
          <w:highlight w:val="none"/>
          <w:u w:val="single"/>
        </w:rPr>
        <w:t>（</w:t>
      </w:r>
      <w:r>
        <w:rPr>
          <w:rFonts w:hint="eastAsia" w:ascii="宋体" w:hAnsi="宋体" w:cs="宋体"/>
          <w:color w:val="auto"/>
          <w:kern w:val="0"/>
          <w:szCs w:val="21"/>
          <w:highlight w:val="none"/>
          <w:u w:val="single"/>
          <w:lang w:val="en-US" w:eastAsia="zh-CN"/>
        </w:rPr>
        <w:t>3</w:t>
      </w:r>
      <w:r>
        <w:rPr>
          <w:rFonts w:hint="eastAsia" w:ascii="宋体" w:hAnsi="宋体" w:eastAsia="宋体" w:cs="宋体"/>
          <w:color w:val="auto"/>
          <w:kern w:val="0"/>
          <w:szCs w:val="21"/>
          <w:highlight w:val="none"/>
          <w:u w:val="single"/>
        </w:rPr>
        <w:t>0）%</w:t>
      </w:r>
      <w:r>
        <w:rPr>
          <w:rFonts w:hint="eastAsia" w:ascii="宋体" w:hAnsi="宋体" w:eastAsia="宋体" w:cs="宋体"/>
          <w:color w:val="auto"/>
          <w:kern w:val="0"/>
          <w:szCs w:val="21"/>
          <w:highlight w:val="none"/>
        </w:rPr>
        <w:t>支付违约金，并解除合同；擅自更换项目经理的，按签约合同价的</w:t>
      </w:r>
      <w:r>
        <w:rPr>
          <w:rFonts w:hint="eastAsia" w:ascii="宋体" w:hAnsi="宋体" w:eastAsia="宋体" w:cs="宋体"/>
          <w:color w:val="auto"/>
          <w:kern w:val="0"/>
          <w:szCs w:val="21"/>
          <w:highlight w:val="none"/>
          <w:u w:val="single"/>
        </w:rPr>
        <w:t>（0.5～3）%/人·次</w:t>
      </w:r>
      <w:r>
        <w:rPr>
          <w:rFonts w:hint="eastAsia" w:ascii="宋体" w:hAnsi="宋体" w:eastAsia="宋体" w:cs="宋体"/>
          <w:color w:val="auto"/>
          <w:kern w:val="0"/>
          <w:szCs w:val="21"/>
          <w:highlight w:val="none"/>
        </w:rPr>
        <w:t>支付违约金，每次不低于20万，累计不超过200万。</w:t>
      </w:r>
    </w:p>
    <w:p w14:paraId="4BC92246">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主要项目总工违约承担方式和计算方法：对于第22.1.1条（18）的六种情形，每发现一次，根据具体情节，按1000～30000元/天·次计算违约金；擅自更换主要项目总工的，按签约合同价的（0.5～2）%/人·次支付违约金，每次不低于10万，累计不超过100万。</w:t>
      </w:r>
    </w:p>
    <w:p w14:paraId="4652D90A">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主要施工管理人违约承担方式和计算方法：对于第22.1.1条（19）的五种情形，每发现一次，根据具体情节，按500～10000元/天·次计算违约金；擅自更换主要项目总工的，按签约合同价的（0.5～1）%/人·次支付违约金，累计不超过50万。</w:t>
      </w:r>
    </w:p>
    <w:p w14:paraId="6735251E">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（22）合同另有约定的，按照其约定。</w:t>
      </w:r>
    </w:p>
    <w:p w14:paraId="5001A2B3">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应当由承包人向发包人支付的违约金，发包人可直接提取届时有效的履约担保相应金额，不足部分由承包人支付；若发包人提取履约担保相应金额，则承包人应在提取后7日内补足或提交合同约定的履约担保的金额，否则按专用合同第22.1.2条（1）承担违约责任；并从应付或到期应付给承包人的任何款项中或采用其他方法，扣除该违约金或用于补足履约担保被提起后的补足金额。</w:t>
      </w:r>
    </w:p>
    <w:p w14:paraId="3AEAF2AE">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承包人必须及时纠正违约行为，满足合同要求，自行承担纠正违约行为的费用或损失，工期不予顺延，并承担由此给发包人造成的经济损失。</w:t>
      </w:r>
    </w:p>
    <w:p w14:paraId="1580B1F0">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承包人承担承包范围的工程质量、安全、环保责任，因承包人原因引起的质量、安全、环保等事故由承包人承担相应的法律后果。</w:t>
      </w:r>
    </w:p>
    <w:p w14:paraId="3C1AB1DF">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22.1.3 因承包人违约解除合同</w:t>
      </w:r>
    </w:p>
    <w:p w14:paraId="47B76234">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本项补充：</w:t>
      </w:r>
    </w:p>
    <w:p w14:paraId="7BE6314A">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因承包人违约并致使合同目的不能实现的，发包人有权解除合同：</w:t>
      </w:r>
    </w:p>
    <w:p w14:paraId="53BDA5DE">
      <w:pPr>
        <w:pStyle w:val="343"/>
        <w:spacing w:line="360" w:lineRule="auto"/>
        <w:ind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（1）未按合同约定延迟提供履约担</w:t>
      </w:r>
      <w:r>
        <w:rPr>
          <w:rFonts w:hint="eastAsia" w:ascii="宋体" w:hAnsi="宋体" w:eastAsia="宋体" w:cs="宋体"/>
          <w:color w:val="auto"/>
          <w:kern w:val="0"/>
          <w:sz w:val="21"/>
          <w:szCs w:val="21"/>
          <w:highlight w:val="none"/>
          <w:lang w:val="en-US" w:eastAsia="zh-CN" w:bidi="ar-SA"/>
        </w:rPr>
        <w:t>保、低价风险担保、质</w:t>
      </w:r>
      <w:r>
        <w:rPr>
          <w:rFonts w:hint="eastAsia" w:ascii="宋体" w:hAnsi="宋体" w:eastAsia="宋体" w:cs="宋体"/>
          <w:color w:val="auto"/>
          <w:kern w:val="0"/>
          <w:sz w:val="21"/>
          <w:szCs w:val="21"/>
          <w:highlight w:val="none"/>
        </w:rPr>
        <w:t>量保证金超过28天的；</w:t>
      </w:r>
    </w:p>
    <w:p w14:paraId="5E106445">
      <w:pPr>
        <w:pStyle w:val="343"/>
        <w:spacing w:line="360" w:lineRule="auto"/>
        <w:ind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（2）未按合同约定购买保险且经催告后超过56天的；</w:t>
      </w:r>
    </w:p>
    <w:p w14:paraId="11596D94">
      <w:pPr>
        <w:pStyle w:val="343"/>
        <w:spacing w:line="360" w:lineRule="auto"/>
        <w:ind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（3）因承包人原因导致开工时间累计延误超过56天的；</w:t>
      </w:r>
    </w:p>
    <w:p w14:paraId="597EEA69">
      <w:pPr>
        <w:pStyle w:val="343"/>
        <w:spacing w:line="360" w:lineRule="auto"/>
        <w:ind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（4）因承包人原因导致工期延误超过90天的；</w:t>
      </w:r>
    </w:p>
    <w:p w14:paraId="0B084C2E">
      <w:pPr>
        <w:pStyle w:val="343"/>
        <w:spacing w:line="360" w:lineRule="auto"/>
        <w:ind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（5）发生第25.1款〔退出机制〕约定的情形的；</w:t>
      </w:r>
    </w:p>
    <w:p w14:paraId="1E2314AF">
      <w:pPr>
        <w:pStyle w:val="343"/>
        <w:spacing w:line="360" w:lineRule="auto"/>
        <w:ind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（6）监理人发出整改通知后，承包人在监理人限定的期限内仍不纠正违约行为的；</w:t>
      </w:r>
    </w:p>
    <w:p w14:paraId="0DC6DBFF">
      <w:pPr>
        <w:pStyle w:val="343"/>
        <w:spacing w:line="360" w:lineRule="auto"/>
        <w:ind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（7）发包人进入清算或者严重资不抵债且无法履行合同的；</w:t>
      </w:r>
    </w:p>
    <w:p w14:paraId="7C615534">
      <w:pPr>
        <w:pStyle w:val="343"/>
        <w:spacing w:line="360" w:lineRule="auto"/>
        <w:ind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（8）违反适用法律而被相关政府部门依法吊销营业执照、责令停业、清算或宣布破产、责令关闭的；</w:t>
      </w:r>
    </w:p>
    <w:p w14:paraId="10219966">
      <w:pPr>
        <w:pStyle w:val="343"/>
        <w:spacing w:line="360" w:lineRule="auto"/>
        <w:ind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（9）承包人未履行合同项下的义务构成对合同的实质性违约，并且在收到发包人要求说明其违约并予以补救的通知后56天内仍未能补救该实质性违约的；</w:t>
      </w:r>
    </w:p>
    <w:p w14:paraId="36F2DA9B">
      <w:pPr>
        <w:pStyle w:val="343"/>
        <w:spacing w:line="360" w:lineRule="auto"/>
        <w:ind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（10）合同约定其他情况的，发包人有权解除合同的。</w:t>
      </w:r>
    </w:p>
    <w:p w14:paraId="352453AA">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22.1.4</w:t>
      </w:r>
      <w:r>
        <w:rPr>
          <w:rFonts w:hint="eastAsia" w:ascii="宋体" w:hAnsi="宋体" w:eastAsia="宋体" w:cs="宋体"/>
          <w:color w:val="auto"/>
          <w:szCs w:val="21"/>
          <w:highlight w:val="none"/>
        </w:rPr>
        <w:t>合同解除后的估价、付款和结清</w:t>
      </w:r>
    </w:p>
    <w:p w14:paraId="721F28B9">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本项补充：</w:t>
      </w:r>
    </w:p>
    <w:p w14:paraId="087D83AC">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因承包人违约导致合同解除的，合同当事人应在合同解除后56天内完成估价、付款和清算，并按以下约定执行：</w:t>
      </w:r>
    </w:p>
    <w:p w14:paraId="6F611A7F">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（1）合同解除后，按第17.6款结算审定方式确定承包人实际完成工作对应的合同价款，以及承包人已提供的材料、工程设备、施工设备和临时工程等的价值；</w:t>
      </w:r>
    </w:p>
    <w:p w14:paraId="4F222EE5">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（2）合同解除后，承包人应支付的违约金；</w:t>
      </w:r>
    </w:p>
    <w:p w14:paraId="7473F2B5">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（3）合同解除后，因解除合同给发包人造成的损失；</w:t>
      </w:r>
    </w:p>
    <w:p w14:paraId="56CDF684">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（4）合同解除后，承包人应按照发包人要求和监理人的指示完成现场的清理和撤离。</w:t>
      </w:r>
    </w:p>
    <w:p w14:paraId="4D608C9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69448B51">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因承包人违约导致解除合同的，发包人有权暂停对承包人的付款，查清各项付款和已扣款项。发包人和承包人未能就合同解除后的清算和款项支付达成一致的，按照第24条〔争议的解决〕的约定处理。</w:t>
      </w:r>
    </w:p>
    <w:p w14:paraId="4FCF1B72">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解除后，发包人可派员进驻施工现场，另行组织人员或委托其他承包人继续完成合同工程；因继续完成工程的需要，发包人有权使用承包人在施工现场的材料、设备、临时工程、承包人文件和由承包人或以其名义编制的其他文件；发包人继续使用承包人在施工现场的材料、设备、临时工程、承包人文件和由承包人或以其名义编制的其他文件的费用承担方式由双方协商确定；发包人继续使用的行为不免除或减轻承包人应承担的违约责任，也不影响发包人根据合同享有的索赔等权利。</w:t>
      </w:r>
    </w:p>
    <w:p w14:paraId="0AD0ACA4">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22.2 发包人违约</w:t>
      </w:r>
    </w:p>
    <w:p w14:paraId="5EF761B5">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22.2.1 发包人违约的情形</w:t>
      </w:r>
    </w:p>
    <w:p w14:paraId="33611645">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本项补充：</w:t>
      </w:r>
    </w:p>
    <w:p w14:paraId="4482F91A">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（5）发包人无正当理由不按时返还履约保证金、质量保证金或农民工工资保证金的；</w:t>
      </w:r>
    </w:p>
    <w:p w14:paraId="59ABAA09">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（6）根据专用合同条款第11.3款发包人的工期延误；</w:t>
      </w:r>
    </w:p>
    <w:p w14:paraId="00D35FA7">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（7）因发包人原因未能及时办理完毕合同约定的许可、批准或备案的；</w:t>
      </w:r>
    </w:p>
    <w:p w14:paraId="677C1342">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（8）因监理人未能按合同约定发出指示、指示延误或发出了错误指示而导致承包人费用增加和（或）工期延误的；</w:t>
      </w:r>
    </w:p>
    <w:p w14:paraId="54E975F6">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（9）根据第13.5.3条发包人或监理人要求重新检查的，经检查证明工程质量符合合同要求的，并由此产生增加的费用和（或）延误的工期的；</w:t>
      </w:r>
    </w:p>
    <w:p w14:paraId="290B15CD">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（10）因发包人原因造成工程质量未达到合同约定标准的；</w:t>
      </w:r>
    </w:p>
    <w:p w14:paraId="47A98298">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（11）由于发包人原因对承包人造成的人员人身伤亡和财产损失的；</w:t>
      </w:r>
    </w:p>
    <w:p w14:paraId="7D0BEB37">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（12）因发包人原因导致工程无法按期办理竣工验收和竣工结算的；</w:t>
      </w:r>
    </w:p>
    <w:p w14:paraId="2ABB6113">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（13）发包人无正当理由未按约定退还低价风险担保的；</w:t>
      </w:r>
    </w:p>
    <w:p w14:paraId="6B9B4873">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（14）发包人不当提取履约担保、低价风险担保或质量保证金或农民工工资保证金的；</w:t>
      </w:r>
    </w:p>
    <w:p w14:paraId="04EF2462">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（15）发包人未按合同约定接收全部或部分工作的；</w:t>
      </w:r>
    </w:p>
    <w:p w14:paraId="344D7987">
      <w:pPr>
        <w:snapToGrid w:val="0"/>
        <w:spacing w:line="36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（16）发包人未按合同约定办理保险的；</w:t>
      </w:r>
    </w:p>
    <w:p w14:paraId="4ACA42D3">
      <w:pPr>
        <w:snapToGrid w:val="0"/>
        <w:spacing w:line="36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（17）其他：</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6383A76A">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22.2.2 承包人有权暂停施工</w:t>
      </w:r>
    </w:p>
    <w:p w14:paraId="41596580">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本项细化为：</w:t>
      </w:r>
    </w:p>
    <w:p w14:paraId="3064E8A6">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发包人发生除第 22.2.1（4）、（5）目以外的违约情况时，承包人可向发包人发出通知，要求发包人采取有效措施纠正违约行为。发包人收到承包人通知后的 28 天内仍不履行合同义务，承包人有权暂停施工，并通知监理人，发包人应承担由此增加的费用和（或）工期延误，并支付承包人合理利润。</w:t>
      </w:r>
    </w:p>
    <w:p w14:paraId="079E3596">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发包人发生第 22.2.1（5）目的违约情况时，承包人可向发包人发出通知，要求发包人采取有效措施纠正违约行为。发包人收到承包人通知后的 28 天内仍不返还履约保证金、质量保证金或农民工工资保证金的，发包人应按专用合同条款的约定向承包人支付逾期返还保证金的违约金。</w:t>
      </w:r>
    </w:p>
    <w:p w14:paraId="2F1B85AC">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22.2.4 解除合同后的付款</w:t>
      </w:r>
    </w:p>
    <w:p w14:paraId="7B1BC76B">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本项（2）目细化为：</w:t>
      </w:r>
    </w:p>
    <w:p w14:paraId="5DEC470B">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（2）承包人为该工程施工订购并已付款的材料、工程设备和其他物品的金额。发包人付款后，该材料、工程设备和其他物品归发包人所有；</w:t>
      </w:r>
    </w:p>
    <w:p w14:paraId="0E411961">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本款补充22.2.6项</w:t>
      </w:r>
    </w:p>
    <w:p w14:paraId="1DAF4716">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22.2.6其他：</w:t>
      </w:r>
    </w:p>
    <w:p w14:paraId="5EFC1DC1">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（1）因发包人原因未能及时办理完毕前述许可、批准或备案的违约责任：由发包人承担由此增加的费用和（或）顺延工期，并支付合理利润，具体索赔程序按照第23条〔索赔〕约定执行。</w:t>
      </w:r>
    </w:p>
    <w:p w14:paraId="16276C09">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因监理人未能按合同约定发出指示、指示延误或发出了错误指示而导致承包人费用增加和（或）工期延误的，由发包人承担由此增加的费用和（或）顺延工期，并支付合理利润，具体索赔程序按照第23条〔索赔〕约定执行。</w:t>
      </w:r>
    </w:p>
    <w:p w14:paraId="12895DC9">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（3）因发包人原因导致工期延误的违约责任：由发包人承担由此增加的费用和（或）顺延工期，并支付合理利润，具体索赔程序按照第23条〔索赔〕约定执行。</w:t>
      </w:r>
    </w:p>
    <w:p w14:paraId="35F5BC02">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（4）因发包人原因未能在计划开工日期前7天内下达开工通知的违约责任：由发包人承担由此增加的费用和（或）顺延工期，并支付合理利润，具体索赔程序按照第23条〔索赔〕约定执行。</w:t>
      </w:r>
    </w:p>
    <w:p w14:paraId="6DD5EA36">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（5）根据第13.5.3项发包人或监理人要求重新检查的，经检查证明工程质量符合合同要求的，由发包人承担由此增加的费用和（或）顺延工期，并支付合理利润，具体索赔程序按照第23条〔索赔〕约定执行。</w:t>
      </w:r>
    </w:p>
    <w:p w14:paraId="5A0C3821">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（6）因发包人原因未按合同约定支付合同价款的违约责任：发包人应向承包人支付违约金，自应当支付之日起28天后开始计算违约金，</w:t>
      </w:r>
      <w:r>
        <w:rPr>
          <w:rFonts w:hint="eastAsia" w:ascii="宋体" w:hAnsi="宋体" w:eastAsia="宋体" w:cs="宋体"/>
          <w:color w:val="auto"/>
          <w:kern w:val="0"/>
          <w:szCs w:val="21"/>
          <w:highlight w:val="none"/>
          <w:u w:val="single"/>
        </w:rPr>
        <w:t>计算公式：违约金=应付未付金额×中国人民银行    年  月公布的     年期贷款市场报价利率/360天×逾期天数</w:t>
      </w:r>
      <w:r>
        <w:rPr>
          <w:rFonts w:hint="eastAsia" w:ascii="宋体" w:hAnsi="宋体" w:eastAsia="宋体" w:cs="宋体"/>
          <w:color w:val="auto"/>
          <w:szCs w:val="21"/>
          <w:highlight w:val="none"/>
          <w:u w:val="single"/>
        </w:rPr>
        <w:t>（自第29天起计算）</w:t>
      </w:r>
      <w:r>
        <w:rPr>
          <w:rFonts w:hint="eastAsia" w:ascii="宋体" w:hAnsi="宋体" w:eastAsia="宋体" w:cs="宋体"/>
          <w:color w:val="auto"/>
          <w:kern w:val="0"/>
          <w:szCs w:val="21"/>
          <w:highlight w:val="none"/>
          <w:u w:val="single"/>
        </w:rPr>
        <w:t>；逾期天数超过56天的，超过部分天数按上述利率的两倍计算并支付违约金。</w:t>
      </w:r>
    </w:p>
    <w:p w14:paraId="576BC6D2">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（7）发包人违反合同约定，自行实施或转由他人实施被取消的合同工作内容的违约责任：由发包人承担由此给承包人造成的实际损失并支付合理利润。</w:t>
      </w:r>
    </w:p>
    <w:p w14:paraId="479B1595">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发包人提供的材料、工程设备的规格、数量或质量不符合合同约定，或因发包人原因导致交货日期延误或交货地点变更等情况的违约责任：由发包人承担由此增加的费用和（或）顺延工期，并支付合理利润，具体索赔程序按照第23条〔索赔〕约定执行。</w:t>
      </w:r>
    </w:p>
    <w:p w14:paraId="4C4E5F05">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（9）因发包人原因造成工程质量未达到合同约定标准的，由发包人承担由此增加的费用和（或）延误的工期，并支付合理利润。</w:t>
      </w:r>
    </w:p>
    <w:p w14:paraId="39D355B4">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（10）因发包人违反合同约定造成暂停施工的违约责任：由发包人承担由此增加的费用和（或）顺延工期，并支付合理利润，具体索赔程序按照第23条〔索赔〕约定执行。</w:t>
      </w:r>
    </w:p>
    <w:p w14:paraId="4D110E6C">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（11）发包人无正当理由没有在约定期限内发出复工指示，导致承包人无法复工的违约责任：由发包人承担由此增加的费用和（或）顺延工期，并支付合理利润，具体索赔程序按照第23条〔索赔〕约定执行。</w:t>
      </w:r>
    </w:p>
    <w:p w14:paraId="4660AF7B">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（12）因发包人原因导致工程无法按期办理竣工验收和竣工结算的违约责任：由发包人承担由此增加的费用和（或）顺延工期，并支付合理利润，具体索赔程序按照第23条〔索赔〕约定执行。</w:t>
      </w:r>
    </w:p>
    <w:p w14:paraId="17752454">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（13）</w:t>
      </w:r>
      <w:r>
        <w:rPr>
          <w:rFonts w:hint="eastAsia" w:ascii="宋体" w:hAnsi="宋体" w:eastAsia="宋体" w:cs="宋体"/>
          <w:color w:val="auto"/>
          <w:kern w:val="0"/>
          <w:szCs w:val="21"/>
          <w:highlight w:val="none"/>
        </w:rPr>
        <w:t>发包人无正当理由未按约定退还履约担保、低价风险担保或质量保证金的违约责任：发包人应向承包人支付违约金，自应当退还之日起28天后开始计算违约金，计算公式：违约金=应退未退担保金额×中国人民银行</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月公布的</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年期贷款市场报价利率/360天×逾期天数</w:t>
      </w:r>
      <w:r>
        <w:rPr>
          <w:rFonts w:hint="eastAsia" w:ascii="宋体" w:hAnsi="宋体" w:eastAsia="宋体" w:cs="宋体"/>
          <w:color w:val="auto"/>
          <w:szCs w:val="21"/>
          <w:highlight w:val="none"/>
        </w:rPr>
        <w:t>（自第29天起计算）</w:t>
      </w:r>
      <w:r>
        <w:rPr>
          <w:rFonts w:hint="eastAsia" w:ascii="宋体" w:hAnsi="宋体" w:eastAsia="宋体" w:cs="宋体"/>
          <w:color w:val="auto"/>
          <w:kern w:val="0"/>
          <w:szCs w:val="21"/>
          <w:highlight w:val="none"/>
        </w:rPr>
        <w:t>。</w:t>
      </w:r>
    </w:p>
    <w:p w14:paraId="066B503D">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发包人不当提取履约担保、低价风险担保或质量保证金的，应及时予以退还，若不当提取超过28天的，应承担违约责任：发包人应向承包人支付违约金，计算公式：违约金=不当提取的担保金额×中国人民银行</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Cs w:val="21"/>
          <w:highlight w:val="none"/>
        </w:rPr>
        <w:t>月公布的</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Cs w:val="21"/>
          <w:highlight w:val="none"/>
        </w:rPr>
        <w:t>年期贷款市场报价利率/360天×逾期天数（自第29天起计算）。</w:t>
      </w:r>
    </w:p>
    <w:p w14:paraId="65E21E84">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（15）发包人未按合同约定接收全部或部分工作的违约责任：由发包人承担自应当接收工程之日起的工程照管、成品保护、保管等与工程有关的各项费用。</w:t>
      </w:r>
    </w:p>
    <w:p w14:paraId="04B7525C">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（16）由于发包人原因对承包人造成的人员人身伤亡和财产损失的，由发包人负责赔偿，并承担由此增加的费用和（或）延误的工期，并支付合理利润。</w:t>
      </w:r>
    </w:p>
    <w:p w14:paraId="3A48E1AF">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（17）发包人未按合同约定办理保险的违约责任：除按18.6.1项约定执行外，每延迟1天，按500元/天支付违约金。</w:t>
      </w:r>
    </w:p>
    <w:p w14:paraId="1C55484B">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（18）其他：</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0D4E5017">
      <w:pPr>
        <w:snapToGrid w:val="0"/>
        <w:spacing w:line="360" w:lineRule="auto"/>
        <w:ind w:firstLine="420" w:firstLineChars="200"/>
        <w:jc w:val="left"/>
        <w:rPr>
          <w:rFonts w:hint="eastAsia" w:ascii="宋体" w:hAnsi="宋体" w:eastAsia="宋体" w:cs="宋体"/>
          <w:color w:val="auto"/>
          <w:highlight w:val="none"/>
          <w:lang w:bidi="ar"/>
        </w:rPr>
      </w:pPr>
      <w:r>
        <w:rPr>
          <w:rFonts w:hint="eastAsia" w:ascii="宋体" w:hAnsi="宋体" w:eastAsia="宋体" w:cs="宋体"/>
          <w:color w:val="auto"/>
          <w:kern w:val="0"/>
          <w:szCs w:val="21"/>
          <w:highlight w:val="none"/>
        </w:rPr>
        <w:t>发包人发生除第22.2.1项以外的违约情况时，承包人可向发包人发出通知，要求发包人采取有效措施纠正违约行为。发包人收到承包人通知后的28天内仍不履行合同义务，承包人有权暂停施工，并通知监理人。</w:t>
      </w:r>
    </w:p>
    <w:p w14:paraId="24B5AD8B">
      <w:pPr>
        <w:pStyle w:val="5"/>
        <w:spacing w:before="0" w:after="0" w:line="360" w:lineRule="auto"/>
        <w:jc w:val="left"/>
        <w:rPr>
          <w:rFonts w:hint="eastAsia" w:ascii="宋体" w:hAnsi="宋体" w:eastAsia="宋体" w:cs="宋体"/>
          <w:color w:val="auto"/>
          <w:highlight w:val="none"/>
        </w:rPr>
      </w:pPr>
      <w:bookmarkStart w:id="545" w:name="_Toc57795987"/>
      <w:r>
        <w:rPr>
          <w:rFonts w:hint="eastAsia" w:ascii="宋体" w:hAnsi="宋体" w:eastAsia="宋体" w:cs="宋体"/>
          <w:color w:val="auto"/>
          <w:highlight w:val="none"/>
        </w:rPr>
        <w:t>23、索赔</w:t>
      </w:r>
      <w:bookmarkEnd w:id="545"/>
    </w:p>
    <w:p w14:paraId="58EEC663">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23.1 承包人索赔的提出</w:t>
      </w:r>
    </w:p>
    <w:p w14:paraId="7E6581CD">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本款第（4）项细化为：</w:t>
      </w:r>
    </w:p>
    <w:p w14:paraId="4BA246F6">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（4）在索赔事件影响结束后的 28 天内，承包人应向监理人递交最终索赔通知书，说明最终要求索赔的追加付款金额和（或）延长的工期，并附必要的记录和证明材料。</w:t>
      </w:r>
    </w:p>
    <w:p w14:paraId="0C28ACA0">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23.2 承包人索赔处理程序</w:t>
      </w:r>
    </w:p>
    <w:p w14:paraId="2D5235C8">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本款第（2）项细化为：</w:t>
      </w:r>
    </w:p>
    <w:p w14:paraId="725ED53E">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（2）监理人应按第 3.5 款商定或确定追加的付款和（或）延长的工期，并在收到上述索赔通知书或有关索赔的进一步证明材料后的 42 天内，将索赔处理结果报发包人批准后答复承包人。如果承包人提出的索赔要求未能遵守第 23.1（2）~（4）项的规定，则承包人只限于索赔由监理人按当时记录予以核实的那部分款额和（或）工期延长天数。</w:t>
      </w:r>
    </w:p>
    <w:p w14:paraId="249AFA67">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23.3 承包人提出索赔的期限</w:t>
      </w:r>
    </w:p>
    <w:p w14:paraId="090D2A08">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本款补充第 23.3.3 项：</w:t>
      </w:r>
    </w:p>
    <w:p w14:paraId="1EAF7677">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23.3.3除上述23.3.1和23.3.2规定的情形外，任一索赔事件发生后28天内，承包人未向发包人发出索赔意向通知书的，视为其已放弃索赔权，无权再就该索赔事项提出任何索赔。</w:t>
      </w:r>
    </w:p>
    <w:p w14:paraId="1805DCCA">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23.4 发包人的索赔</w:t>
      </w:r>
    </w:p>
    <w:p w14:paraId="24EB0052">
      <w:pPr>
        <w:pStyle w:val="2"/>
        <w:spacing w:after="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本款补充第 23.4.3 项：</w:t>
      </w:r>
    </w:p>
    <w:p w14:paraId="451D9F55">
      <w:pPr>
        <w:pStyle w:val="2"/>
        <w:spacing w:after="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23.4.3发包人应在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索赔事件具有持续影响的，发包人应在索赔事件影响结束后28天内，通过监理人向承包人正式递交最终索赔报告。</w:t>
      </w:r>
    </w:p>
    <w:p w14:paraId="596F8883">
      <w:pPr>
        <w:autoSpaceDE w:val="0"/>
        <w:autoSpaceDN w:val="0"/>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对发包人索赔的处理如下：</w:t>
      </w:r>
    </w:p>
    <w:p w14:paraId="0B99F470">
      <w:pPr>
        <w:autoSpaceDE w:val="0"/>
        <w:autoSpaceDN w:val="0"/>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（1）承包人收到发包人提交的索赔报告后，应及时审查索赔报告的内容、查验发包人证明材料；</w:t>
      </w:r>
    </w:p>
    <w:p w14:paraId="2806D65B">
      <w:pPr>
        <w:autoSpaceDE w:val="0"/>
        <w:autoSpaceDN w:val="0"/>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承包人应在收到索赔报告或有关索赔的进一步证明材料后28天内，将索赔处理结果答复发包人。如果承包人未在上述期限内作出答复的，监理人应以书面形式催告承包人，经监理人三次书面催告后，承包人仍未按期限答复的，则视为对发包人索赔要求的认可；</w:t>
      </w:r>
    </w:p>
    <w:p w14:paraId="35064157">
      <w:pPr>
        <w:autoSpaceDE w:val="0"/>
        <w:autoSpaceDN w:val="0"/>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（3）承包人接受索赔处理结果的，发包人可从应支付给承包人的合同价款中扣除赔付的金额或延长缺陷责任期；发包人不接受索赔处理结果的，按第24条〔争议的解决〕约定处理。</w:t>
      </w:r>
    </w:p>
    <w:p w14:paraId="6F7E01C4">
      <w:pPr>
        <w:pStyle w:val="5"/>
        <w:spacing w:before="0" w:after="0" w:line="360" w:lineRule="auto"/>
        <w:jc w:val="left"/>
        <w:rPr>
          <w:rFonts w:hint="eastAsia" w:ascii="宋体" w:hAnsi="宋体" w:eastAsia="宋体" w:cs="宋体"/>
          <w:color w:val="auto"/>
          <w:highlight w:val="none"/>
        </w:rPr>
      </w:pPr>
      <w:bookmarkStart w:id="546" w:name="_Toc57795988"/>
      <w:r>
        <w:rPr>
          <w:rFonts w:hint="eastAsia" w:ascii="宋体" w:hAnsi="宋体" w:eastAsia="宋体" w:cs="宋体"/>
          <w:color w:val="auto"/>
          <w:highlight w:val="none"/>
        </w:rPr>
        <w:t>24、争议的解决</w:t>
      </w:r>
      <w:bookmarkEnd w:id="546"/>
    </w:p>
    <w:p w14:paraId="484E3EE5">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24.1 争议的解决方式</w:t>
      </w:r>
    </w:p>
    <w:p w14:paraId="77547EF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本款补充：</w:t>
      </w:r>
    </w:p>
    <w:p w14:paraId="19BC0BDA">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合同当事人友好协商解决不成、不愿提请争议评审或不接受争议评审组意见的，</w:t>
      </w:r>
      <w:r>
        <w:rPr>
          <w:rFonts w:hint="eastAsia" w:ascii="宋体" w:hAnsi="宋体" w:eastAsia="宋体" w:cs="宋体"/>
          <w:color w:val="auto"/>
          <w:kern w:val="0"/>
          <w:szCs w:val="21"/>
          <w:highlight w:val="none"/>
        </w:rPr>
        <w:t>按下列第</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种方式解决：</w:t>
      </w:r>
    </w:p>
    <w:p w14:paraId="78C70608">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（1）向</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仲裁委员会申请仲裁；</w:t>
      </w:r>
    </w:p>
    <w:p w14:paraId="3955822B">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（2）向</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人民法院起诉。</w:t>
      </w:r>
    </w:p>
    <w:p w14:paraId="64A9671C">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24.3 争议评审</w:t>
      </w:r>
    </w:p>
    <w:p w14:paraId="4C2FD4D8">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第 24.3.1 项补充：</w:t>
      </w:r>
    </w:p>
    <w:p w14:paraId="64BC83C3">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争议评审组由 3 人或 5 人组成，专家的聘请方法可由发包人和承包人共同协商确定，亦可请政府主管部门推荐或通过合同争议调解机构聘请，并经双方认同。争议评审组成员应与合同双方均无利害关系。争议评审组的各项费用由发包人和承包人平均分担。</w:t>
      </w:r>
    </w:p>
    <w:p w14:paraId="3DBCB835">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本条补充第 24.4 款、第 24.5 款（适用于采用仲裁方式最终解决争议的项目）：</w:t>
      </w:r>
    </w:p>
    <w:p w14:paraId="7FC523A1">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24.4 仲裁</w:t>
      </w:r>
    </w:p>
    <w:p w14:paraId="2E02489A">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（1）对于未能友好解决或未能通过争议评审解决的争议，发包人或承包人任一方均有权提交给第 24.1 款约定的仲裁委员会仲裁。</w:t>
      </w:r>
    </w:p>
    <w:p w14:paraId="4403AA6D">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仲裁可在交工之前或之后进行，但发包人、监理人和承包人各自的义务不得因在工程实施期间进行仲裁而有所改变。如果仲裁是在终止合同的情况下进行，则对合同工程应采取保护措施，措施费由败诉方承担。</w:t>
      </w:r>
    </w:p>
    <w:p w14:paraId="23C49D43">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（3）仲裁裁决是终局性的并对发包人和承包人双方具有约束力。</w:t>
      </w:r>
    </w:p>
    <w:p w14:paraId="2A556644">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（4）全部仲裁费用应由败诉方承担；或按仲裁委员会裁决的比例分担。</w:t>
      </w:r>
    </w:p>
    <w:p w14:paraId="18B2D723">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24.5 仲裁的执行</w:t>
      </w:r>
    </w:p>
    <w:p w14:paraId="2C092D97">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（1）任何一方不履行仲裁机构的裁决的，对方可以向有管辖权的人民法院申请执行。</w:t>
      </w:r>
    </w:p>
    <w:p w14:paraId="4B5E5197">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任何一方提出证据证明裁决有《中华人民共和国仲裁法》第五十八条规定情形之一的，可以向仲裁委员会所在地的中级人民法院申请撤销裁决。人民法院认定执行该裁决违背社会公共利益的，裁定不予执行。仲裁裁决被人民法院裁定不予执行的，当事人可以根据双方达成的书面仲裁协议重新申请仲裁，也可以向人民法院起诉。</w:t>
      </w:r>
    </w:p>
    <w:p w14:paraId="26E92668">
      <w:pPr>
        <w:pStyle w:val="5"/>
        <w:spacing w:before="0" w:after="0" w:line="360" w:lineRule="auto"/>
        <w:jc w:val="left"/>
        <w:rPr>
          <w:rFonts w:hint="eastAsia" w:ascii="宋体" w:hAnsi="宋体" w:eastAsia="宋体" w:cs="宋体"/>
          <w:color w:val="auto"/>
          <w:highlight w:val="none"/>
        </w:rPr>
      </w:pPr>
      <w:bookmarkStart w:id="547" w:name="_Toc57795989"/>
      <w:r>
        <w:rPr>
          <w:rFonts w:hint="eastAsia" w:ascii="宋体" w:hAnsi="宋体" w:eastAsia="宋体" w:cs="宋体"/>
          <w:color w:val="auto"/>
          <w:highlight w:val="none"/>
        </w:rPr>
        <w:t>25、补充条款</w:t>
      </w:r>
      <w:bookmarkEnd w:id="547"/>
    </w:p>
    <w:p w14:paraId="460E2F76">
      <w:pPr>
        <w:pStyle w:val="6"/>
        <w:spacing w:before="0" w:beforeAutospacing="0" w:after="0" w:afterAutospacing="0"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25.1 退出机制</w:t>
      </w:r>
    </w:p>
    <w:p w14:paraId="7426600C">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25.1.1有下列情形之一的，发包人有权解除合同，亦有权兑付履约担保，并对承包人做清退出场处理：</w:t>
      </w:r>
    </w:p>
    <w:p w14:paraId="6ABF53A6">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（1）因承包人原因造成较大及以上等级生产安全事故或工程质量事故的；</w:t>
      </w:r>
    </w:p>
    <w:p w14:paraId="34487D76">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（2）因承包人债权债务纠纷或其他纠纷导致工程无法正常施工的。</w:t>
      </w:r>
    </w:p>
    <w:p w14:paraId="72F5645A">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59103438">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25.1.2有下列情形之一的，承包人有权解除合同，并按第22.2.4项约定执行：</w:t>
      </w:r>
    </w:p>
    <w:p w14:paraId="654F366D">
      <w:pPr>
        <w:spacing w:line="360" w:lineRule="auto"/>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（1）因发包人征地、拆迁、补偿、审批手续等原因致使本工程延期开工超过90天的。</w:t>
      </w:r>
    </w:p>
    <w:p w14:paraId="10E3A135">
      <w:pPr>
        <w:pStyle w:val="2"/>
        <w:spacing w:after="0" w:line="360" w:lineRule="auto"/>
        <w:ind w:firstLine="5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highlight w:val="none"/>
        </w:rPr>
        <w:t>25.</w:t>
      </w:r>
      <w:r>
        <w:rPr>
          <w:rFonts w:hint="eastAsia" w:ascii="宋体" w:hAnsi="宋体" w:eastAsia="宋体" w:cs="宋体"/>
          <w:b/>
          <w:bCs/>
          <w:color w:val="auto"/>
          <w:highlight w:val="none"/>
          <w:lang w:val="en-US" w:eastAsia="zh-CN"/>
        </w:rPr>
        <w:t>2</w:t>
      </w:r>
      <w:r>
        <w:rPr>
          <w:rFonts w:hint="eastAsia" w:ascii="宋体" w:hAnsi="宋体" w:eastAsia="宋体" w:cs="宋体"/>
          <w:b/>
          <w:bCs/>
          <w:color w:val="auto"/>
          <w:kern w:val="0"/>
          <w:szCs w:val="21"/>
          <w:highlight w:val="none"/>
        </w:rPr>
        <w:t xml:space="preserve"> 低价风险担保</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如有</w:t>
      </w:r>
      <w:r>
        <w:rPr>
          <w:rFonts w:hint="eastAsia" w:ascii="宋体" w:hAnsi="宋体" w:cs="宋体"/>
          <w:b/>
          <w:bCs/>
          <w:color w:val="auto"/>
          <w:kern w:val="0"/>
          <w:szCs w:val="21"/>
          <w:highlight w:val="none"/>
          <w:lang w:eastAsia="zh-CN"/>
        </w:rPr>
        <w:t>）</w:t>
      </w:r>
    </w:p>
    <w:p w14:paraId="2A5236F4">
      <w:pPr>
        <w:spacing w:line="360" w:lineRule="auto"/>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承包人提供低价风险担保的情形：</w:t>
      </w:r>
      <w:r>
        <w:rPr>
          <w:rFonts w:hint="eastAsia" w:ascii="宋体" w:hAnsi="宋体" w:eastAsia="宋体" w:cs="宋体"/>
          <w:color w:val="auto"/>
          <w:kern w:val="0"/>
          <w:sz w:val="22"/>
          <w:szCs w:val="22"/>
          <w:highlight w:val="none"/>
          <w:lang w:eastAsia="zh-CN"/>
        </w:rPr>
        <w:t>比选</w:t>
      </w:r>
      <w:r>
        <w:rPr>
          <w:rFonts w:hint="eastAsia" w:ascii="宋体" w:hAnsi="宋体" w:eastAsia="宋体" w:cs="宋体"/>
          <w:color w:val="auto"/>
          <w:kern w:val="0"/>
          <w:sz w:val="22"/>
          <w:szCs w:val="22"/>
          <w:highlight w:val="none"/>
        </w:rPr>
        <w:t>报价低于</w:t>
      </w:r>
      <w:r>
        <w:rPr>
          <w:rFonts w:hint="eastAsia" w:ascii="宋体" w:hAnsi="宋体" w:eastAsia="宋体" w:cs="宋体"/>
          <w:color w:val="auto"/>
          <w:kern w:val="0"/>
          <w:sz w:val="22"/>
          <w:szCs w:val="22"/>
          <w:highlight w:val="none"/>
          <w:lang w:eastAsia="zh-CN"/>
        </w:rPr>
        <w:t>最高比选限价</w:t>
      </w:r>
      <w:r>
        <w:rPr>
          <w:rFonts w:hint="eastAsia" w:ascii="宋体" w:hAnsi="宋体" w:eastAsia="宋体" w:cs="宋体"/>
          <w:color w:val="auto"/>
          <w:kern w:val="0"/>
          <w:sz w:val="22"/>
          <w:szCs w:val="22"/>
          <w:highlight w:val="none"/>
        </w:rPr>
        <w:t>85%时。</w:t>
      </w:r>
    </w:p>
    <w:p w14:paraId="62D94CB1">
      <w:pPr>
        <w:spacing w:line="360" w:lineRule="auto"/>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承包人提供低价风险担保的形式、金额及期限的：</w:t>
      </w:r>
    </w:p>
    <w:p w14:paraId="57ED16DD">
      <w:pPr>
        <w:spacing w:line="36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低价风险担保的形式</w:t>
      </w:r>
      <w:r>
        <w:rPr>
          <w:rFonts w:hint="eastAsia" w:ascii="宋体" w:hAnsi="宋体" w:eastAsia="宋体" w:cs="宋体"/>
          <w:color w:val="auto"/>
          <w:highlight w:val="none"/>
        </w:rPr>
        <w:t>：现金或银行保函或</w:t>
      </w:r>
      <w:r>
        <w:rPr>
          <w:rFonts w:hint="eastAsia" w:ascii="宋体" w:hAnsi="宋体" w:eastAsia="宋体" w:cs="宋体"/>
          <w:color w:val="auto"/>
          <w:highlight w:val="none"/>
          <w:lang w:val="en-US" w:eastAsia="zh-CN"/>
        </w:rPr>
        <w:t>项目所在地区属国有担保公司保函或</w:t>
      </w:r>
      <w:r>
        <w:rPr>
          <w:rFonts w:hint="eastAsia" w:ascii="宋体" w:hAnsi="宋体" w:eastAsia="宋体" w:cs="宋体"/>
          <w:color w:val="auto"/>
          <w:highlight w:val="none"/>
        </w:rPr>
        <w:t>现金+保函的组合（采用“现金+保函组合”方式提交的，现金比例不得低于应缴担保金额的 50%）；采用保函形式的，保函必须为不可撤销、不可转让且见索即付的独立保函，</w:t>
      </w:r>
    </w:p>
    <w:p w14:paraId="177B9B1E">
      <w:pPr>
        <w:autoSpaceDE w:val="0"/>
        <w:autoSpaceDN w:val="0"/>
        <w:adjustRightInd w:val="0"/>
        <w:snapToGrid w:val="0"/>
        <w:spacing w:line="360" w:lineRule="auto"/>
        <w:ind w:firstLine="44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2"/>
          <w:szCs w:val="22"/>
          <w:highlight w:val="none"/>
        </w:rPr>
        <w:t>（2）低价风险担保的金额：</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最高比选限价</w:t>
      </w:r>
      <w:r>
        <w:rPr>
          <w:rFonts w:hint="eastAsia" w:ascii="宋体" w:hAnsi="宋体" w:eastAsia="宋体" w:cs="宋体"/>
          <w:color w:val="auto"/>
          <w:kern w:val="0"/>
          <w:sz w:val="21"/>
          <w:szCs w:val="21"/>
          <w:highlight w:val="none"/>
        </w:rPr>
        <w:t>×85%-</w:t>
      </w:r>
      <w:r>
        <w:rPr>
          <w:rFonts w:hint="eastAsia" w:ascii="宋体" w:hAnsi="宋体" w:eastAsia="宋体" w:cs="宋体"/>
          <w:color w:val="auto"/>
          <w:kern w:val="0"/>
          <w:sz w:val="21"/>
          <w:szCs w:val="21"/>
          <w:highlight w:val="none"/>
          <w:lang w:eastAsia="zh-CN"/>
        </w:rPr>
        <w:t>中选</w:t>
      </w:r>
      <w:r>
        <w:rPr>
          <w:rFonts w:hint="eastAsia" w:ascii="宋体" w:hAnsi="宋体" w:eastAsia="宋体" w:cs="宋体"/>
          <w:color w:val="auto"/>
          <w:kern w:val="0"/>
          <w:sz w:val="21"/>
          <w:szCs w:val="21"/>
          <w:highlight w:val="none"/>
        </w:rPr>
        <w:t>价）×</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3</w:t>
      </w:r>
      <w:r>
        <w:rPr>
          <w:rStyle w:val="51"/>
          <w:rFonts w:hint="eastAsia" w:ascii="宋体" w:hAnsi="宋体" w:eastAsia="宋体" w:cs="宋体"/>
          <w:color w:val="auto"/>
          <w:sz w:val="21"/>
          <w:szCs w:val="21"/>
          <w:highlight w:val="none"/>
        </w:rPr>
        <w:t>，且最高不超过</w:t>
      </w:r>
      <w:r>
        <w:rPr>
          <w:rStyle w:val="51"/>
          <w:rFonts w:hint="eastAsia" w:ascii="宋体" w:hAnsi="宋体" w:eastAsia="宋体" w:cs="宋体"/>
          <w:color w:val="auto"/>
          <w:sz w:val="21"/>
          <w:szCs w:val="21"/>
          <w:highlight w:val="none"/>
          <w:lang w:eastAsia="zh-CN"/>
        </w:rPr>
        <w:t>最高比选限价</w:t>
      </w:r>
      <w:r>
        <w:rPr>
          <w:rStyle w:val="51"/>
          <w:rFonts w:hint="eastAsia" w:ascii="宋体" w:hAnsi="宋体" w:eastAsia="宋体" w:cs="宋体"/>
          <w:color w:val="auto"/>
          <w:sz w:val="21"/>
          <w:szCs w:val="21"/>
          <w:highlight w:val="none"/>
        </w:rPr>
        <w:t>的85%，</w:t>
      </w:r>
      <w:r>
        <w:rPr>
          <w:rFonts w:hint="eastAsia" w:ascii="宋体" w:hAnsi="宋体" w:eastAsia="宋体" w:cs="宋体"/>
          <w:color w:val="auto"/>
          <w:sz w:val="21"/>
          <w:szCs w:val="21"/>
          <w:highlight w:val="none"/>
        </w:rPr>
        <w:t>红名单中的</w:t>
      </w:r>
      <w:r>
        <w:rPr>
          <w:rFonts w:hint="eastAsia" w:ascii="宋体" w:hAnsi="宋体" w:eastAsia="宋体" w:cs="宋体"/>
          <w:color w:val="auto"/>
          <w:sz w:val="21"/>
          <w:szCs w:val="21"/>
          <w:highlight w:val="none"/>
          <w:lang w:eastAsia="zh-CN"/>
        </w:rPr>
        <w:t>中选</w:t>
      </w:r>
      <w:r>
        <w:rPr>
          <w:rFonts w:hint="eastAsia" w:ascii="宋体" w:hAnsi="宋体" w:eastAsia="宋体" w:cs="宋体"/>
          <w:color w:val="auto"/>
          <w:sz w:val="21"/>
          <w:szCs w:val="21"/>
          <w:highlight w:val="none"/>
        </w:rPr>
        <w:t>人低价风险担保金额为应提交金额的</w:t>
      </w:r>
      <w:r>
        <w:rPr>
          <w:rFonts w:hint="eastAsia" w:ascii="宋体" w:hAnsi="宋体" w:eastAsia="宋体" w:cs="宋体"/>
          <w:color w:val="auto"/>
          <w:sz w:val="21"/>
          <w:szCs w:val="21"/>
          <w:highlight w:val="none"/>
          <w:u w:val="single"/>
        </w:rPr>
        <w:t xml:space="preserve">  50%  </w:t>
      </w:r>
      <w:r>
        <w:rPr>
          <w:rFonts w:hint="eastAsia" w:ascii="宋体" w:hAnsi="宋体" w:eastAsia="宋体" w:cs="宋体"/>
          <w:color w:val="auto"/>
          <w:sz w:val="21"/>
          <w:szCs w:val="21"/>
          <w:highlight w:val="none"/>
        </w:rPr>
        <w:t>；联合体</w:t>
      </w:r>
      <w:r>
        <w:rPr>
          <w:rFonts w:hint="eastAsia" w:ascii="宋体" w:hAnsi="宋体" w:eastAsia="宋体" w:cs="宋体"/>
          <w:color w:val="auto"/>
          <w:sz w:val="21"/>
          <w:szCs w:val="21"/>
          <w:highlight w:val="none"/>
          <w:lang w:eastAsia="zh-CN"/>
        </w:rPr>
        <w:t>中选</w:t>
      </w:r>
      <w:r>
        <w:rPr>
          <w:rFonts w:hint="eastAsia" w:ascii="宋体" w:hAnsi="宋体" w:eastAsia="宋体" w:cs="宋体"/>
          <w:color w:val="auto"/>
          <w:sz w:val="21"/>
          <w:szCs w:val="21"/>
          <w:highlight w:val="none"/>
        </w:rPr>
        <w:t>的，须联合体牵头人在红名单中。</w:t>
      </w:r>
      <w:r>
        <w:rPr>
          <w:rFonts w:hint="eastAsia" w:ascii="宋体" w:hAnsi="宋体" w:eastAsia="宋体" w:cs="宋体"/>
          <w:color w:val="auto"/>
          <w:sz w:val="21"/>
          <w:szCs w:val="21"/>
          <w:highlight w:val="none"/>
          <w:lang w:eastAsia="zh-CN"/>
        </w:rPr>
        <w:t>中选</w:t>
      </w:r>
      <w:r>
        <w:rPr>
          <w:rFonts w:hint="eastAsia" w:ascii="宋体" w:hAnsi="宋体" w:eastAsia="宋体" w:cs="宋体"/>
          <w:color w:val="auto"/>
          <w:sz w:val="21"/>
          <w:szCs w:val="21"/>
          <w:highlight w:val="none"/>
        </w:rPr>
        <w:t>人是否属于红名单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方式三：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以领取中选通知书当日查询状况为准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6E0A992">
      <w:pPr>
        <w:tabs>
          <w:tab w:val="left" w:pos="1134"/>
        </w:tabs>
        <w:spacing w:line="360" w:lineRule="auto"/>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（3）低价风险担保的提交时间：</w:t>
      </w:r>
      <w:r>
        <w:rPr>
          <w:rFonts w:hint="eastAsia" w:ascii="宋体" w:hAnsi="宋体" w:eastAsia="宋体" w:cs="宋体"/>
          <w:color w:val="auto"/>
          <w:sz w:val="21"/>
          <w:szCs w:val="24"/>
          <w:highlight w:val="none"/>
          <w:u w:val="single"/>
        </w:rPr>
        <w:t>从</w:t>
      </w:r>
      <w:r>
        <w:rPr>
          <w:rFonts w:hint="eastAsia" w:ascii="宋体" w:hAnsi="宋体" w:eastAsia="宋体" w:cs="宋体"/>
          <w:color w:val="auto"/>
          <w:sz w:val="21"/>
          <w:szCs w:val="24"/>
          <w:highlight w:val="none"/>
          <w:u w:val="single"/>
          <w:lang w:eastAsia="zh-CN"/>
        </w:rPr>
        <w:t>发包人</w:t>
      </w:r>
      <w:r>
        <w:rPr>
          <w:rFonts w:hint="eastAsia" w:ascii="宋体" w:hAnsi="宋体" w:eastAsia="宋体" w:cs="宋体"/>
          <w:color w:val="auto"/>
          <w:sz w:val="21"/>
          <w:szCs w:val="24"/>
          <w:highlight w:val="none"/>
          <w:u w:val="single"/>
          <w:lang w:val="en-US" w:eastAsia="zh-CN"/>
        </w:rPr>
        <w:t>中选通知书</w:t>
      </w:r>
      <w:r>
        <w:rPr>
          <w:rFonts w:hint="eastAsia" w:ascii="宋体" w:hAnsi="宋体" w:eastAsia="宋体" w:cs="宋体"/>
          <w:color w:val="auto"/>
          <w:sz w:val="21"/>
          <w:szCs w:val="24"/>
          <w:highlight w:val="none"/>
          <w:u w:val="single"/>
        </w:rPr>
        <w:t>送达拟</w:t>
      </w:r>
      <w:r>
        <w:rPr>
          <w:rFonts w:hint="eastAsia" w:ascii="宋体" w:hAnsi="宋体" w:eastAsia="宋体" w:cs="宋体"/>
          <w:color w:val="auto"/>
          <w:sz w:val="21"/>
          <w:szCs w:val="24"/>
          <w:highlight w:val="none"/>
          <w:u w:val="single"/>
          <w:lang w:eastAsia="zh-CN"/>
        </w:rPr>
        <w:t>中选</w:t>
      </w:r>
      <w:r>
        <w:rPr>
          <w:rFonts w:hint="eastAsia" w:ascii="宋体" w:hAnsi="宋体" w:eastAsia="宋体" w:cs="宋体"/>
          <w:color w:val="auto"/>
          <w:sz w:val="21"/>
          <w:szCs w:val="24"/>
          <w:highlight w:val="none"/>
          <w:u w:val="single"/>
        </w:rPr>
        <w:t xml:space="preserve">人之日起 </w:t>
      </w:r>
      <w:r>
        <w:rPr>
          <w:rFonts w:hint="eastAsia" w:ascii="宋体" w:hAnsi="宋体" w:eastAsia="宋体" w:cs="宋体"/>
          <w:color w:val="auto"/>
          <w:sz w:val="21"/>
          <w:szCs w:val="24"/>
          <w:highlight w:val="none"/>
          <w:u w:val="single"/>
          <w:lang w:val="en-US" w:eastAsia="zh-CN"/>
        </w:rPr>
        <w:t>10</w:t>
      </w:r>
      <w:r>
        <w:rPr>
          <w:rFonts w:hint="eastAsia" w:ascii="宋体" w:hAnsi="宋体" w:eastAsia="宋体" w:cs="宋体"/>
          <w:color w:val="auto"/>
          <w:sz w:val="21"/>
          <w:szCs w:val="24"/>
          <w:highlight w:val="none"/>
          <w:u w:val="single"/>
        </w:rPr>
        <w:t>工作日内</w:t>
      </w:r>
      <w:r>
        <w:rPr>
          <w:rFonts w:hint="eastAsia" w:ascii="宋体" w:hAnsi="宋体" w:eastAsia="宋体" w:cs="宋体"/>
          <w:color w:val="auto"/>
          <w:kern w:val="0"/>
          <w:sz w:val="22"/>
          <w:szCs w:val="22"/>
          <w:highlight w:val="none"/>
        </w:rPr>
        <w:t>；</w:t>
      </w:r>
    </w:p>
    <w:p w14:paraId="2275242D">
      <w:pPr>
        <w:tabs>
          <w:tab w:val="left" w:pos="1134"/>
        </w:tabs>
        <w:spacing w:line="360" w:lineRule="auto"/>
        <w:ind w:firstLine="44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2"/>
          <w:szCs w:val="22"/>
          <w:highlight w:val="none"/>
        </w:rPr>
        <w:t>（4）低价风险担保的期限：</w:t>
      </w:r>
      <w:r>
        <w:rPr>
          <w:rFonts w:hint="eastAsia" w:ascii="宋体" w:hAnsi="宋体" w:eastAsia="宋体" w:cs="宋体"/>
          <w:color w:val="auto"/>
          <w:kern w:val="0"/>
          <w:sz w:val="21"/>
          <w:szCs w:val="21"/>
          <w:highlight w:val="none"/>
          <w:u w:val="single"/>
        </w:rPr>
        <w:t>自低价风险担保生效之日起至工程交（竣）工验收合格之日止</w:t>
      </w:r>
      <w:r>
        <w:rPr>
          <w:rFonts w:hint="eastAsia" w:ascii="宋体" w:hAnsi="宋体" w:eastAsia="宋体" w:cs="宋体"/>
          <w:color w:val="auto"/>
          <w:kern w:val="0"/>
          <w:sz w:val="21"/>
          <w:szCs w:val="21"/>
          <w:highlight w:val="none"/>
        </w:rPr>
        <w:t>。</w:t>
      </w:r>
    </w:p>
    <w:p w14:paraId="1339D0EB">
      <w:pPr>
        <w:pStyle w:val="2"/>
        <w:spacing w:after="0" w:line="360" w:lineRule="auto"/>
        <w:ind w:firstLine="42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1"/>
          <w:szCs w:val="21"/>
          <w:highlight w:val="none"/>
        </w:rPr>
        <w:t>低价风险担保的退还时间：</w:t>
      </w:r>
      <w:r>
        <w:rPr>
          <w:rFonts w:hint="eastAsia" w:ascii="宋体" w:hAnsi="宋体" w:eastAsia="宋体" w:cs="宋体"/>
          <w:color w:val="auto"/>
          <w:kern w:val="0"/>
          <w:sz w:val="21"/>
          <w:szCs w:val="21"/>
          <w:highlight w:val="none"/>
          <w:u w:val="single"/>
        </w:rPr>
        <w:t>采用现金担保的，工程交（竣）工验收合格后14天内退还，合同履行期间允许承包人用符合要求的银行保函进行置换；采用银行保函的，工程交（竣）工验收合格后14天内退还</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2"/>
          <w:szCs w:val="22"/>
          <w:highlight w:val="none"/>
        </w:rPr>
        <w:t>采用分段退还的，低价风险担保的退还时间及方式为：</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w:t>
      </w:r>
    </w:p>
    <w:p w14:paraId="5BF3983F">
      <w:pPr>
        <w:pStyle w:val="2"/>
        <w:spacing w:after="0"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（5）低价风险担保的扣减：</w:t>
      </w:r>
    </w:p>
    <w:p w14:paraId="0FE80A27">
      <w:pPr>
        <w:pStyle w:val="2"/>
        <w:spacing w:after="0"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①承包人在工程施工期间，以其</w:t>
      </w:r>
      <w:r>
        <w:rPr>
          <w:rFonts w:hint="eastAsia" w:ascii="宋体" w:hAnsi="宋体" w:eastAsia="宋体" w:cs="宋体"/>
          <w:color w:val="auto"/>
          <w:sz w:val="22"/>
          <w:szCs w:val="22"/>
          <w:highlight w:val="none"/>
          <w:lang w:eastAsia="zh-CN"/>
        </w:rPr>
        <w:t>比选</w:t>
      </w:r>
      <w:r>
        <w:rPr>
          <w:rFonts w:hint="eastAsia" w:ascii="宋体" w:hAnsi="宋体" w:eastAsia="宋体" w:cs="宋体"/>
          <w:color w:val="auto"/>
          <w:sz w:val="22"/>
          <w:szCs w:val="22"/>
          <w:highlight w:val="none"/>
        </w:rPr>
        <w:t>时填报的工程主要材料价格低于同期工程造价管理机构发布的信息价格为由拒绝材料采购，或因其自身其他原因导致工程窝工或停工等，给发包人造成直接经济损失且拒绝承担的，按低价风险担保金额的</w:t>
      </w:r>
      <w:r>
        <w:rPr>
          <w:rFonts w:hint="eastAsia" w:ascii="宋体" w:hAnsi="宋体" w:eastAsia="宋体" w:cs="宋体"/>
          <w:color w:val="auto"/>
          <w:sz w:val="22"/>
          <w:szCs w:val="22"/>
          <w:highlight w:val="none"/>
          <w:u w:val="single"/>
        </w:rPr>
        <w:t>50～100%</w:t>
      </w:r>
      <w:r>
        <w:rPr>
          <w:rFonts w:hint="eastAsia" w:ascii="宋体" w:hAnsi="宋体" w:eastAsia="宋体" w:cs="宋体"/>
          <w:color w:val="auto"/>
          <w:sz w:val="22"/>
          <w:szCs w:val="22"/>
          <w:highlight w:val="none"/>
        </w:rPr>
        <w:t>扣减，直至解除合同；</w:t>
      </w:r>
    </w:p>
    <w:p w14:paraId="31B1CC11">
      <w:pPr>
        <w:pStyle w:val="2"/>
        <w:spacing w:after="0"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②承包人在工程施工期间或竣工验收时，工程质量不符合国家现行有关施工质量验收规范要求的，按低价风险担保金额的</w:t>
      </w:r>
      <w:r>
        <w:rPr>
          <w:rFonts w:hint="eastAsia" w:ascii="宋体" w:hAnsi="宋体" w:eastAsia="宋体" w:cs="宋体"/>
          <w:color w:val="auto"/>
          <w:sz w:val="22"/>
          <w:szCs w:val="22"/>
          <w:highlight w:val="none"/>
          <w:u w:val="single"/>
        </w:rPr>
        <w:t>50～100%</w:t>
      </w:r>
      <w:r>
        <w:rPr>
          <w:rFonts w:hint="eastAsia" w:ascii="宋体" w:hAnsi="宋体" w:eastAsia="宋体" w:cs="宋体"/>
          <w:color w:val="auto"/>
          <w:sz w:val="22"/>
          <w:szCs w:val="22"/>
          <w:highlight w:val="none"/>
        </w:rPr>
        <w:t>扣减，直至解除合同；</w:t>
      </w:r>
    </w:p>
    <w:p w14:paraId="408116F7">
      <w:pPr>
        <w:pStyle w:val="2"/>
        <w:spacing w:after="0"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③承包人因</w:t>
      </w:r>
      <w:r>
        <w:rPr>
          <w:rFonts w:hint="eastAsia" w:ascii="宋体" w:hAnsi="宋体" w:eastAsia="宋体" w:cs="宋体"/>
          <w:color w:val="auto"/>
          <w:sz w:val="22"/>
          <w:szCs w:val="22"/>
          <w:highlight w:val="none"/>
          <w:lang w:val="en-US" w:eastAsia="zh-CN"/>
        </w:rPr>
        <w:t>22</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.3项原因被解除合同的，低价风险担保将全额扣除；</w:t>
      </w:r>
    </w:p>
    <w:p w14:paraId="4F22ECD7">
      <w:pPr>
        <w:rPr>
          <w:rFonts w:hint="eastAsia" w:ascii="宋体" w:hAnsi="宋体" w:eastAsia="宋体" w:cs="宋体"/>
          <w:color w:val="auto"/>
          <w:sz w:val="22"/>
          <w:szCs w:val="28"/>
          <w:highlight w:val="none"/>
        </w:rPr>
      </w:pPr>
      <w:r>
        <w:rPr>
          <w:rFonts w:hint="eastAsia" w:ascii="宋体" w:hAnsi="宋体" w:eastAsia="宋体" w:cs="宋体"/>
          <w:color w:val="auto"/>
          <w:sz w:val="22"/>
          <w:szCs w:val="22"/>
          <w:highlight w:val="none"/>
        </w:rPr>
        <w:t>④因承包人过错导致的其他情形：</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w:t>
      </w:r>
    </w:p>
    <w:p w14:paraId="14C292C4">
      <w:pPr>
        <w:spacing w:line="360" w:lineRule="auto"/>
        <w:ind w:right="105" w:rightChars="50" w:firstLine="422" w:firstLineChars="200"/>
        <w:jc w:val="left"/>
        <w:rPr>
          <w:rFonts w:hint="eastAsia" w:ascii="宋体" w:hAnsi="宋体" w:eastAsia="宋体" w:cs="宋体"/>
          <w:b/>
          <w:bCs/>
          <w:color w:val="auto"/>
          <w:kern w:val="0"/>
          <w:szCs w:val="21"/>
          <w:highlight w:val="none"/>
          <w:u w:val="none"/>
          <w:lang w:val="en-US" w:eastAsia="zh-CN"/>
        </w:rPr>
      </w:pPr>
      <w:r>
        <w:rPr>
          <w:rFonts w:hint="eastAsia" w:ascii="宋体" w:hAnsi="宋体" w:eastAsia="宋体" w:cs="宋体"/>
          <w:b/>
          <w:bCs/>
          <w:color w:val="auto"/>
          <w:highlight w:val="none"/>
        </w:rPr>
        <w:t>25.</w:t>
      </w:r>
      <w:r>
        <w:rPr>
          <w:rFonts w:hint="eastAsia" w:ascii="宋体" w:hAnsi="宋体" w:eastAsia="宋体" w:cs="宋体"/>
          <w:b/>
          <w:bCs/>
          <w:color w:val="auto"/>
          <w:highlight w:val="none"/>
          <w:lang w:val="en-US" w:eastAsia="zh-CN"/>
        </w:rPr>
        <w:t>3</w:t>
      </w:r>
      <w:r>
        <w:rPr>
          <w:rFonts w:hint="eastAsia" w:ascii="宋体" w:hAnsi="宋体" w:eastAsia="宋体" w:cs="宋体"/>
          <w:b/>
          <w:bCs/>
          <w:color w:val="auto"/>
          <w:kern w:val="0"/>
          <w:szCs w:val="21"/>
          <w:highlight w:val="none"/>
        </w:rPr>
        <w:t xml:space="preserve"> </w:t>
      </w:r>
      <w:r>
        <w:rPr>
          <w:rFonts w:hint="eastAsia" w:ascii="宋体" w:hAnsi="宋体" w:eastAsia="宋体" w:cs="宋体"/>
          <w:color w:val="auto"/>
          <w:sz w:val="21"/>
          <w:szCs w:val="21"/>
          <w:highlight w:val="none"/>
        </w:rPr>
        <w:t>关于不平衡报价的约定</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kern w:val="0"/>
          <w:szCs w:val="21"/>
          <w:highlight w:val="none"/>
          <w:u w:val="single"/>
          <w:lang w:eastAsia="zh-CN"/>
        </w:rPr>
        <w:t xml:space="preserve"> </w:t>
      </w:r>
      <w:r>
        <w:rPr>
          <w:rFonts w:hint="eastAsia" w:ascii="宋体" w:hAnsi="宋体" w:eastAsia="宋体" w:cs="宋体"/>
          <w:b/>
          <w:bCs/>
          <w:color w:val="auto"/>
          <w:kern w:val="0"/>
          <w:szCs w:val="21"/>
          <w:highlight w:val="none"/>
          <w:u w:val="single"/>
          <w:lang w:val="en-US" w:eastAsia="zh-CN"/>
        </w:rPr>
        <w:t xml:space="preserve">       </w:t>
      </w:r>
      <w:r>
        <w:rPr>
          <w:rFonts w:hint="eastAsia" w:ascii="宋体" w:hAnsi="宋体" w:eastAsia="宋体" w:cs="宋体"/>
          <w:b/>
          <w:bCs/>
          <w:color w:val="auto"/>
          <w:kern w:val="0"/>
          <w:szCs w:val="21"/>
          <w:highlight w:val="none"/>
          <w:u w:val="none"/>
          <w:lang w:val="en-US" w:eastAsia="zh-CN"/>
        </w:rPr>
        <w:t>。</w:t>
      </w:r>
    </w:p>
    <w:p w14:paraId="1F8BF392">
      <w:pPr>
        <w:spacing w:line="360" w:lineRule="auto"/>
        <w:ind w:right="105" w:rightChars="50" w:firstLine="422" w:firstLineChars="200"/>
        <w:jc w:val="left"/>
        <w:rPr>
          <w:rFonts w:hint="eastAsia" w:ascii="宋体" w:hAnsi="宋体" w:eastAsia="宋体" w:cs="宋体"/>
          <w:b/>
          <w:color w:val="auto"/>
          <w:sz w:val="28"/>
          <w:szCs w:val="28"/>
          <w:highlight w:val="none"/>
        </w:rPr>
      </w:pPr>
      <w:r>
        <w:rPr>
          <w:rFonts w:hint="eastAsia" w:ascii="宋体" w:hAnsi="宋体" w:eastAsia="宋体" w:cs="宋体"/>
          <w:b/>
          <w:bCs/>
          <w:color w:val="auto"/>
          <w:highlight w:val="none"/>
        </w:rPr>
        <w:t>25.</w:t>
      </w:r>
      <w:r>
        <w:rPr>
          <w:rFonts w:hint="eastAsia" w:ascii="宋体" w:hAnsi="宋体" w:eastAsia="宋体" w:cs="宋体"/>
          <w:b/>
          <w:bCs/>
          <w:color w:val="auto"/>
          <w:highlight w:val="none"/>
          <w:lang w:val="en-US" w:eastAsia="zh-CN"/>
        </w:rPr>
        <w:t>4</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u w:val="single"/>
          <w:lang w:eastAsia="zh-CN"/>
        </w:rPr>
        <w:t xml:space="preserve"> </w:t>
      </w:r>
      <w:r>
        <w:rPr>
          <w:rFonts w:hint="eastAsia" w:ascii="宋体" w:hAnsi="宋体" w:eastAsia="宋体" w:cs="宋体"/>
          <w:b/>
          <w:bCs/>
          <w:color w:val="auto"/>
          <w:kern w:val="0"/>
          <w:szCs w:val="21"/>
          <w:highlight w:val="none"/>
          <w:u w:val="single"/>
          <w:lang w:val="en-US" w:eastAsia="zh-CN"/>
        </w:rPr>
        <w:t xml:space="preserve">       </w:t>
      </w:r>
      <w:r>
        <w:rPr>
          <w:rFonts w:hint="eastAsia" w:ascii="宋体" w:hAnsi="宋体" w:eastAsia="宋体" w:cs="宋体"/>
          <w:b/>
          <w:bCs/>
          <w:color w:val="auto"/>
          <w:kern w:val="0"/>
          <w:szCs w:val="21"/>
          <w:highlight w:val="none"/>
          <w:u w:val="none"/>
          <w:lang w:val="en-US" w:eastAsia="zh-CN"/>
        </w:rPr>
        <w:t>。</w:t>
      </w:r>
    </w:p>
    <w:p w14:paraId="05A7271C">
      <w:pPr>
        <w:pStyle w:val="4"/>
        <w:jc w:val="center"/>
        <w:rPr>
          <w:rFonts w:hint="eastAsia" w:ascii="宋体" w:hAnsi="宋体" w:eastAsia="宋体" w:cs="宋体"/>
          <w:color w:val="auto"/>
          <w:highlight w:val="none"/>
        </w:rPr>
      </w:pPr>
      <w:bookmarkStart w:id="548" w:name="_Toc57795990"/>
    </w:p>
    <w:p w14:paraId="1ACEF787">
      <w:pPr>
        <w:pStyle w:val="4"/>
        <w:jc w:val="center"/>
        <w:rPr>
          <w:rFonts w:hint="eastAsia" w:ascii="宋体" w:hAnsi="宋体" w:eastAsia="宋体" w:cs="宋体"/>
          <w:color w:val="auto"/>
          <w:highlight w:val="none"/>
        </w:rPr>
      </w:pPr>
    </w:p>
    <w:p w14:paraId="3DDEE51C">
      <w:pPr>
        <w:pStyle w:val="4"/>
        <w:jc w:val="center"/>
        <w:rPr>
          <w:rFonts w:hint="eastAsia" w:ascii="宋体" w:hAnsi="宋体" w:eastAsia="宋体" w:cs="宋体"/>
          <w:color w:val="auto"/>
          <w:highlight w:val="none"/>
        </w:rPr>
      </w:pPr>
    </w:p>
    <w:p w14:paraId="5E6C27A5">
      <w:pPr>
        <w:pStyle w:val="4"/>
        <w:jc w:val="center"/>
        <w:rPr>
          <w:rFonts w:hint="eastAsia" w:ascii="宋体" w:hAnsi="宋体" w:eastAsia="宋体" w:cs="宋体"/>
          <w:color w:val="auto"/>
          <w:highlight w:val="none"/>
        </w:rPr>
      </w:pPr>
    </w:p>
    <w:p w14:paraId="56ED64C0">
      <w:pPr>
        <w:pStyle w:val="4"/>
        <w:jc w:val="center"/>
        <w:rPr>
          <w:rFonts w:hint="eastAsia" w:ascii="宋体" w:hAnsi="宋体" w:eastAsia="宋体" w:cs="宋体"/>
          <w:color w:val="auto"/>
          <w:highlight w:val="none"/>
        </w:rPr>
      </w:pPr>
    </w:p>
    <w:p w14:paraId="5102E36A">
      <w:pPr>
        <w:pStyle w:val="4"/>
        <w:jc w:val="center"/>
        <w:rPr>
          <w:rFonts w:hint="eastAsia" w:ascii="宋体" w:hAnsi="宋体" w:eastAsia="宋体" w:cs="宋体"/>
          <w:color w:val="auto"/>
          <w:highlight w:val="none"/>
        </w:rPr>
      </w:pPr>
    </w:p>
    <w:p w14:paraId="46781567">
      <w:pPr>
        <w:pStyle w:val="4"/>
        <w:jc w:val="center"/>
        <w:rPr>
          <w:rFonts w:hint="eastAsia" w:ascii="宋体" w:hAnsi="宋体" w:eastAsia="宋体" w:cs="宋体"/>
          <w:color w:val="auto"/>
          <w:highlight w:val="none"/>
        </w:rPr>
      </w:pPr>
    </w:p>
    <w:p w14:paraId="0358B878">
      <w:pPr>
        <w:pStyle w:val="4"/>
        <w:jc w:val="center"/>
        <w:rPr>
          <w:rFonts w:hint="eastAsia" w:ascii="宋体" w:hAnsi="宋体" w:eastAsia="宋体" w:cs="宋体"/>
          <w:color w:val="auto"/>
          <w:highlight w:val="none"/>
        </w:rPr>
      </w:pPr>
    </w:p>
    <w:p w14:paraId="7E23ACC1">
      <w:pPr>
        <w:pStyle w:val="4"/>
        <w:jc w:val="center"/>
        <w:rPr>
          <w:rFonts w:hint="eastAsia" w:ascii="宋体" w:hAnsi="宋体" w:eastAsia="宋体" w:cs="宋体"/>
          <w:color w:val="auto"/>
          <w:highlight w:val="none"/>
        </w:rPr>
      </w:pPr>
    </w:p>
    <w:p w14:paraId="6037B8D0">
      <w:pPr>
        <w:pStyle w:val="4"/>
        <w:jc w:val="center"/>
        <w:rPr>
          <w:rFonts w:hint="eastAsia" w:ascii="宋体" w:hAnsi="宋体" w:eastAsia="宋体" w:cs="宋体"/>
          <w:color w:val="auto"/>
          <w:highlight w:val="none"/>
        </w:rPr>
      </w:pPr>
    </w:p>
    <w:p w14:paraId="70BDE9C1">
      <w:pPr>
        <w:pStyle w:val="4"/>
        <w:jc w:val="center"/>
        <w:rPr>
          <w:rFonts w:hint="eastAsia" w:ascii="宋体" w:hAnsi="宋体" w:eastAsia="宋体" w:cs="宋体"/>
          <w:color w:val="auto"/>
          <w:highlight w:val="none"/>
        </w:rPr>
      </w:pPr>
    </w:p>
    <w:p w14:paraId="2C7102E8">
      <w:pPr>
        <w:pStyle w:val="4"/>
        <w:jc w:val="center"/>
        <w:rPr>
          <w:rFonts w:hint="eastAsia" w:ascii="宋体" w:hAnsi="宋体" w:eastAsia="宋体" w:cs="宋体"/>
          <w:color w:val="auto"/>
          <w:highlight w:val="none"/>
        </w:rPr>
      </w:pPr>
    </w:p>
    <w:p w14:paraId="6E1C09B1">
      <w:pPr>
        <w:pStyle w:val="4"/>
        <w:jc w:val="center"/>
        <w:rPr>
          <w:rFonts w:hint="eastAsia" w:ascii="宋体" w:hAnsi="宋体" w:eastAsia="宋体" w:cs="宋体"/>
          <w:color w:val="auto"/>
          <w:highlight w:val="none"/>
        </w:rPr>
      </w:pP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四部分</w:t>
      </w:r>
      <w:r>
        <w:rPr>
          <w:rFonts w:hint="eastAsia" w:ascii="宋体" w:hAnsi="宋体" w:eastAsia="宋体" w:cs="宋体"/>
          <w:color w:val="auto"/>
          <w:highlight w:val="none"/>
        </w:rPr>
        <w:t xml:space="preserve"> 合同附件格式</w:t>
      </w:r>
      <w:bookmarkEnd w:id="548"/>
    </w:p>
    <w:p w14:paraId="54D069B2">
      <w:pPr>
        <w:widowControl/>
        <w:jc w:val="center"/>
        <w:rPr>
          <w:rFonts w:hint="eastAsia" w:ascii="宋体" w:hAnsi="宋体" w:eastAsia="宋体" w:cs="宋体"/>
          <w:color w:val="auto"/>
          <w:sz w:val="32"/>
          <w:szCs w:val="32"/>
          <w:highlight w:val="none"/>
        </w:rPr>
      </w:pPr>
      <w:r>
        <w:rPr>
          <w:rFonts w:hint="eastAsia" w:ascii="宋体" w:hAnsi="宋体" w:eastAsia="宋体" w:cs="宋体"/>
          <w:color w:val="auto"/>
          <w:highlight w:val="none"/>
        </w:rPr>
        <w:t>以下附件是本合同的有效组成部分。</w:t>
      </w:r>
      <w:bookmarkStart w:id="549" w:name="_Toc240180917"/>
      <w:bookmarkStart w:id="550" w:name="_Toc467164258"/>
      <w:bookmarkStart w:id="551" w:name="_Toc424558369"/>
      <w:bookmarkStart w:id="552" w:name="_Toc424558729"/>
      <w:bookmarkStart w:id="553" w:name="_Toc509390697"/>
      <w:bookmarkStart w:id="554" w:name="_Toc335223532"/>
      <w:bookmarkStart w:id="555" w:name="_Toc152045768"/>
      <w:bookmarkStart w:id="556" w:name="_Toc144974827"/>
      <w:bookmarkStart w:id="557" w:name="_Toc152042547"/>
      <w:bookmarkStart w:id="558" w:name="_Toc240180916"/>
      <w:bookmarkStart w:id="559" w:name="_Toc509390696"/>
      <w:bookmarkStart w:id="560" w:name="_Toc424558368"/>
      <w:bookmarkStart w:id="561" w:name="_Toc335223531"/>
      <w:bookmarkStart w:id="562" w:name="_Toc424558728"/>
      <w:bookmarkStart w:id="563" w:name="_Toc467164257"/>
    </w:p>
    <w:p w14:paraId="1A3E0BFA">
      <w:pPr>
        <w:pStyle w:val="5"/>
        <w:jc w:val="center"/>
        <w:rPr>
          <w:rFonts w:hint="eastAsia" w:ascii="宋体" w:hAnsi="宋体" w:eastAsia="宋体" w:cs="宋体"/>
          <w:b w:val="0"/>
          <w:bCs w:val="0"/>
          <w:color w:val="auto"/>
          <w:highlight w:val="none"/>
        </w:rPr>
      </w:pPr>
      <w:bookmarkStart w:id="564" w:name="_Toc57795992"/>
    </w:p>
    <w:p w14:paraId="3E0C3BE7">
      <w:pPr>
        <w:pStyle w:val="5"/>
        <w:jc w:val="center"/>
        <w:rPr>
          <w:rFonts w:hint="eastAsia" w:ascii="宋体" w:hAnsi="宋体" w:eastAsia="宋体" w:cs="宋体"/>
          <w:b w:val="0"/>
          <w:bCs w:val="0"/>
          <w:color w:val="auto"/>
          <w:highlight w:val="none"/>
        </w:rPr>
      </w:pPr>
    </w:p>
    <w:p w14:paraId="05AB6B3A">
      <w:pPr>
        <w:rPr>
          <w:rFonts w:hint="eastAsia" w:ascii="宋体" w:hAnsi="宋体" w:eastAsia="宋体" w:cs="宋体"/>
          <w:b w:val="0"/>
          <w:bCs w:val="0"/>
          <w:color w:val="auto"/>
          <w:highlight w:val="none"/>
        </w:rPr>
      </w:pPr>
    </w:p>
    <w:p w14:paraId="38B91166">
      <w:pPr>
        <w:pStyle w:val="2"/>
        <w:rPr>
          <w:rFonts w:hint="eastAsia" w:ascii="宋体" w:hAnsi="宋体" w:eastAsia="宋体" w:cs="宋体"/>
          <w:b w:val="0"/>
          <w:bCs w:val="0"/>
          <w:color w:val="auto"/>
          <w:highlight w:val="none"/>
        </w:rPr>
      </w:pPr>
    </w:p>
    <w:p w14:paraId="1C402E38">
      <w:pPr>
        <w:rPr>
          <w:rFonts w:hint="eastAsia" w:ascii="宋体" w:hAnsi="宋体" w:eastAsia="宋体" w:cs="宋体"/>
          <w:b w:val="0"/>
          <w:bCs w:val="0"/>
          <w:color w:val="auto"/>
          <w:highlight w:val="none"/>
        </w:rPr>
      </w:pPr>
    </w:p>
    <w:p w14:paraId="0C27EE2D">
      <w:pPr>
        <w:pStyle w:val="2"/>
        <w:rPr>
          <w:rFonts w:hint="eastAsia" w:ascii="宋体" w:hAnsi="宋体" w:eastAsia="宋体" w:cs="宋体"/>
          <w:b w:val="0"/>
          <w:bCs w:val="0"/>
          <w:color w:val="auto"/>
          <w:highlight w:val="none"/>
        </w:rPr>
      </w:pPr>
    </w:p>
    <w:p w14:paraId="04139FE1">
      <w:pPr>
        <w:rPr>
          <w:rFonts w:hint="eastAsia" w:ascii="宋体" w:hAnsi="宋体" w:eastAsia="宋体" w:cs="宋体"/>
          <w:color w:val="auto"/>
          <w:highlight w:val="none"/>
        </w:rPr>
      </w:pPr>
    </w:p>
    <w:p w14:paraId="42C26D45">
      <w:pPr>
        <w:pStyle w:val="5"/>
        <w:jc w:val="center"/>
        <w:rPr>
          <w:rFonts w:hint="eastAsia" w:ascii="宋体" w:hAnsi="宋体" w:eastAsia="宋体" w:cs="宋体"/>
          <w:b w:val="0"/>
          <w:bCs w:val="0"/>
          <w:color w:val="auto"/>
          <w:highlight w:val="none"/>
        </w:rPr>
      </w:pPr>
    </w:p>
    <w:p w14:paraId="61896EFB">
      <w:pPr>
        <w:rPr>
          <w:rFonts w:hint="eastAsia" w:ascii="宋体" w:hAnsi="宋体" w:eastAsia="宋体" w:cs="宋体"/>
          <w:b w:val="0"/>
          <w:bCs w:val="0"/>
          <w:color w:val="auto"/>
          <w:highlight w:val="none"/>
        </w:rPr>
      </w:pPr>
    </w:p>
    <w:p w14:paraId="75E1F40B">
      <w:pPr>
        <w:pStyle w:val="2"/>
        <w:rPr>
          <w:rFonts w:hint="eastAsia" w:ascii="宋体" w:hAnsi="宋体" w:eastAsia="宋体" w:cs="宋体"/>
          <w:b w:val="0"/>
          <w:bCs w:val="0"/>
          <w:color w:val="auto"/>
          <w:highlight w:val="none"/>
        </w:rPr>
      </w:pPr>
    </w:p>
    <w:p w14:paraId="25E22ED2">
      <w:pPr>
        <w:rPr>
          <w:rFonts w:hint="eastAsia" w:ascii="宋体" w:hAnsi="宋体" w:eastAsia="宋体" w:cs="宋体"/>
          <w:b w:val="0"/>
          <w:bCs w:val="0"/>
          <w:color w:val="auto"/>
          <w:highlight w:val="none"/>
        </w:rPr>
      </w:pPr>
    </w:p>
    <w:p w14:paraId="040BB8DB">
      <w:pPr>
        <w:pStyle w:val="2"/>
        <w:rPr>
          <w:rFonts w:hint="eastAsia" w:ascii="宋体" w:hAnsi="宋体" w:eastAsia="宋体" w:cs="宋体"/>
          <w:b w:val="0"/>
          <w:bCs w:val="0"/>
          <w:color w:val="auto"/>
          <w:highlight w:val="none"/>
        </w:rPr>
      </w:pPr>
    </w:p>
    <w:p w14:paraId="3282E412">
      <w:pPr>
        <w:rPr>
          <w:rFonts w:hint="eastAsia" w:ascii="宋体" w:hAnsi="宋体" w:eastAsia="宋体" w:cs="宋体"/>
          <w:b w:val="0"/>
          <w:bCs w:val="0"/>
          <w:color w:val="auto"/>
          <w:highlight w:val="none"/>
        </w:rPr>
      </w:pPr>
    </w:p>
    <w:p w14:paraId="39965653">
      <w:pPr>
        <w:pStyle w:val="2"/>
        <w:rPr>
          <w:rFonts w:hint="eastAsia" w:ascii="宋体" w:hAnsi="宋体" w:eastAsia="宋体" w:cs="宋体"/>
          <w:b w:val="0"/>
          <w:bCs w:val="0"/>
          <w:color w:val="auto"/>
          <w:highlight w:val="none"/>
        </w:rPr>
      </w:pPr>
    </w:p>
    <w:p w14:paraId="360DEA68">
      <w:pPr>
        <w:rPr>
          <w:rFonts w:hint="eastAsia" w:ascii="宋体" w:hAnsi="宋体" w:eastAsia="宋体" w:cs="宋体"/>
          <w:b w:val="0"/>
          <w:bCs w:val="0"/>
          <w:color w:val="auto"/>
          <w:highlight w:val="none"/>
        </w:rPr>
      </w:pPr>
    </w:p>
    <w:p w14:paraId="56709C51">
      <w:pPr>
        <w:pStyle w:val="2"/>
        <w:rPr>
          <w:rFonts w:hint="eastAsia" w:ascii="宋体" w:hAnsi="宋体" w:eastAsia="宋体" w:cs="宋体"/>
          <w:b w:val="0"/>
          <w:bCs w:val="0"/>
          <w:color w:val="auto"/>
          <w:highlight w:val="none"/>
        </w:rPr>
      </w:pPr>
    </w:p>
    <w:p w14:paraId="10B92EA2">
      <w:pPr>
        <w:rPr>
          <w:rFonts w:hint="eastAsia" w:ascii="宋体" w:hAnsi="宋体" w:eastAsia="宋体" w:cs="宋体"/>
          <w:b w:val="0"/>
          <w:bCs w:val="0"/>
          <w:color w:val="auto"/>
          <w:highlight w:val="none"/>
        </w:rPr>
      </w:pPr>
    </w:p>
    <w:p w14:paraId="59A6E89A">
      <w:pPr>
        <w:pStyle w:val="2"/>
        <w:rPr>
          <w:rFonts w:hint="eastAsia" w:ascii="宋体" w:hAnsi="宋体" w:eastAsia="宋体" w:cs="宋体"/>
          <w:b w:val="0"/>
          <w:bCs w:val="0"/>
          <w:color w:val="auto"/>
          <w:highlight w:val="none"/>
        </w:rPr>
      </w:pPr>
    </w:p>
    <w:p w14:paraId="400CA2FE">
      <w:pPr>
        <w:rPr>
          <w:rFonts w:hint="eastAsia" w:ascii="宋体" w:hAnsi="宋体" w:eastAsia="宋体" w:cs="宋体"/>
          <w:b w:val="0"/>
          <w:bCs w:val="0"/>
          <w:color w:val="auto"/>
          <w:highlight w:val="none"/>
        </w:rPr>
      </w:pPr>
    </w:p>
    <w:p w14:paraId="4D102C5F">
      <w:pPr>
        <w:pStyle w:val="2"/>
        <w:rPr>
          <w:rFonts w:hint="eastAsia" w:ascii="宋体" w:hAnsi="宋体" w:eastAsia="宋体" w:cs="宋体"/>
          <w:b w:val="0"/>
          <w:bCs w:val="0"/>
          <w:color w:val="auto"/>
          <w:highlight w:val="none"/>
        </w:rPr>
      </w:pPr>
    </w:p>
    <w:p w14:paraId="4CDA7F58">
      <w:pPr>
        <w:rPr>
          <w:rFonts w:hint="eastAsia" w:ascii="宋体" w:hAnsi="宋体" w:eastAsia="宋体" w:cs="宋体"/>
          <w:b w:val="0"/>
          <w:bCs w:val="0"/>
          <w:color w:val="auto"/>
          <w:highlight w:val="none"/>
        </w:rPr>
      </w:pPr>
    </w:p>
    <w:p w14:paraId="0752372D">
      <w:pPr>
        <w:pStyle w:val="2"/>
        <w:rPr>
          <w:rFonts w:hint="eastAsia" w:ascii="宋体" w:hAnsi="宋体" w:eastAsia="宋体" w:cs="宋体"/>
          <w:b w:val="0"/>
          <w:bCs w:val="0"/>
          <w:color w:val="auto"/>
          <w:highlight w:val="none"/>
        </w:rPr>
      </w:pPr>
    </w:p>
    <w:p w14:paraId="6B1699E6">
      <w:pPr>
        <w:rPr>
          <w:rFonts w:hint="eastAsia" w:ascii="宋体" w:hAnsi="宋体" w:eastAsia="宋体" w:cs="宋体"/>
          <w:b w:val="0"/>
          <w:bCs w:val="0"/>
          <w:color w:val="auto"/>
          <w:highlight w:val="none"/>
        </w:rPr>
      </w:pPr>
    </w:p>
    <w:p w14:paraId="5CCC13B7">
      <w:pPr>
        <w:pStyle w:val="2"/>
        <w:rPr>
          <w:rFonts w:hint="eastAsia" w:ascii="宋体" w:hAnsi="宋体" w:eastAsia="宋体" w:cs="宋体"/>
          <w:b w:val="0"/>
          <w:bCs w:val="0"/>
          <w:color w:val="auto"/>
          <w:highlight w:val="none"/>
        </w:rPr>
      </w:pPr>
    </w:p>
    <w:p w14:paraId="578DC8EF">
      <w:pPr>
        <w:rPr>
          <w:rFonts w:hint="eastAsia" w:ascii="宋体" w:hAnsi="宋体" w:eastAsia="宋体" w:cs="宋体"/>
          <w:b w:val="0"/>
          <w:bCs w:val="0"/>
          <w:color w:val="auto"/>
          <w:highlight w:val="none"/>
        </w:rPr>
      </w:pPr>
    </w:p>
    <w:p w14:paraId="0F43EA90">
      <w:pPr>
        <w:pStyle w:val="2"/>
        <w:rPr>
          <w:rFonts w:hint="eastAsia" w:ascii="宋体" w:hAnsi="宋体" w:eastAsia="宋体" w:cs="宋体"/>
          <w:b w:val="0"/>
          <w:bCs w:val="0"/>
          <w:color w:val="auto"/>
          <w:highlight w:val="none"/>
        </w:rPr>
      </w:pPr>
    </w:p>
    <w:p w14:paraId="1D49D969">
      <w:pPr>
        <w:rPr>
          <w:rFonts w:hint="eastAsia" w:ascii="宋体" w:hAnsi="宋体" w:eastAsia="宋体" w:cs="宋体"/>
          <w:b w:val="0"/>
          <w:bCs w:val="0"/>
          <w:color w:val="auto"/>
          <w:highlight w:val="none"/>
        </w:rPr>
      </w:pPr>
    </w:p>
    <w:p w14:paraId="1C788FF3">
      <w:pPr>
        <w:pStyle w:val="2"/>
        <w:rPr>
          <w:rFonts w:hint="eastAsia" w:ascii="宋体" w:hAnsi="宋体" w:eastAsia="宋体" w:cs="宋体"/>
          <w:b w:val="0"/>
          <w:bCs w:val="0"/>
          <w:color w:val="auto"/>
          <w:highlight w:val="none"/>
        </w:rPr>
      </w:pPr>
    </w:p>
    <w:p w14:paraId="3F03D3D2">
      <w:pPr>
        <w:rPr>
          <w:rFonts w:hint="eastAsia" w:ascii="宋体" w:hAnsi="宋体" w:eastAsia="宋体" w:cs="宋体"/>
          <w:b w:val="0"/>
          <w:bCs w:val="0"/>
          <w:color w:val="auto"/>
          <w:highlight w:val="none"/>
        </w:rPr>
      </w:pPr>
    </w:p>
    <w:p w14:paraId="69C0C4B3">
      <w:pPr>
        <w:pStyle w:val="2"/>
        <w:rPr>
          <w:rFonts w:hint="eastAsia" w:ascii="宋体" w:hAnsi="宋体" w:eastAsia="宋体" w:cs="宋体"/>
          <w:b w:val="0"/>
          <w:bCs w:val="0"/>
          <w:color w:val="auto"/>
          <w:highlight w:val="none"/>
        </w:rPr>
      </w:pPr>
    </w:p>
    <w:p w14:paraId="6A2430FC">
      <w:pPr>
        <w:rPr>
          <w:rFonts w:hint="eastAsia" w:ascii="宋体" w:hAnsi="宋体" w:eastAsia="宋体" w:cs="宋体"/>
          <w:b w:val="0"/>
          <w:bCs w:val="0"/>
          <w:color w:val="auto"/>
          <w:highlight w:val="none"/>
        </w:rPr>
      </w:pPr>
    </w:p>
    <w:p w14:paraId="521E350F">
      <w:pPr>
        <w:pStyle w:val="2"/>
        <w:rPr>
          <w:rFonts w:hint="eastAsia" w:ascii="宋体" w:hAnsi="宋体" w:eastAsia="宋体" w:cs="宋体"/>
          <w:b w:val="0"/>
          <w:bCs w:val="0"/>
          <w:color w:val="auto"/>
          <w:highlight w:val="none"/>
        </w:rPr>
      </w:pPr>
    </w:p>
    <w:p w14:paraId="0626404A">
      <w:pPr>
        <w:rPr>
          <w:rFonts w:hint="eastAsia" w:ascii="宋体" w:hAnsi="宋体" w:eastAsia="宋体" w:cs="宋体"/>
          <w:b w:val="0"/>
          <w:bCs w:val="0"/>
          <w:color w:val="auto"/>
          <w:highlight w:val="none"/>
        </w:rPr>
      </w:pPr>
    </w:p>
    <w:p w14:paraId="2BA01B61">
      <w:pPr>
        <w:pStyle w:val="2"/>
        <w:rPr>
          <w:rFonts w:hint="eastAsia" w:ascii="宋体" w:hAnsi="宋体" w:eastAsia="宋体" w:cs="宋体"/>
          <w:b w:val="0"/>
          <w:bCs w:val="0"/>
          <w:color w:val="auto"/>
          <w:highlight w:val="none"/>
        </w:rPr>
      </w:pPr>
    </w:p>
    <w:p w14:paraId="3BCDEF20">
      <w:pPr>
        <w:rPr>
          <w:rFonts w:hint="eastAsia" w:ascii="宋体" w:hAnsi="宋体" w:eastAsia="宋体" w:cs="宋体"/>
          <w:b w:val="0"/>
          <w:bCs w:val="0"/>
          <w:color w:val="auto"/>
          <w:highlight w:val="none"/>
        </w:rPr>
      </w:pPr>
    </w:p>
    <w:p w14:paraId="735F338B">
      <w:pPr>
        <w:pStyle w:val="2"/>
        <w:rPr>
          <w:rFonts w:hint="eastAsia" w:ascii="宋体" w:hAnsi="宋体" w:eastAsia="宋体" w:cs="宋体"/>
          <w:b w:val="0"/>
          <w:bCs w:val="0"/>
          <w:color w:val="auto"/>
          <w:highlight w:val="none"/>
        </w:rPr>
      </w:pPr>
    </w:p>
    <w:p w14:paraId="50E3BBDB">
      <w:pPr>
        <w:rPr>
          <w:rFonts w:hint="eastAsia" w:ascii="宋体" w:hAnsi="宋体" w:eastAsia="宋体" w:cs="宋体"/>
          <w:b w:val="0"/>
          <w:bCs w:val="0"/>
          <w:color w:val="auto"/>
          <w:highlight w:val="none"/>
        </w:rPr>
      </w:pPr>
    </w:p>
    <w:p w14:paraId="0C6C33D5">
      <w:pPr>
        <w:pStyle w:val="2"/>
        <w:rPr>
          <w:rFonts w:hint="eastAsia" w:ascii="宋体" w:hAnsi="宋体" w:eastAsia="宋体" w:cs="宋体"/>
          <w:b w:val="0"/>
          <w:bCs w:val="0"/>
          <w:color w:val="auto"/>
          <w:highlight w:val="none"/>
        </w:rPr>
      </w:pPr>
    </w:p>
    <w:p w14:paraId="47FCE29B">
      <w:pPr>
        <w:rPr>
          <w:rFonts w:hint="eastAsia" w:ascii="宋体" w:hAnsi="宋体" w:eastAsia="宋体" w:cs="宋体"/>
          <w:b w:val="0"/>
          <w:bCs w:val="0"/>
          <w:color w:val="auto"/>
          <w:highlight w:val="none"/>
        </w:rPr>
      </w:pPr>
    </w:p>
    <w:p w14:paraId="60EABB01">
      <w:pPr>
        <w:pStyle w:val="2"/>
        <w:rPr>
          <w:rFonts w:hint="eastAsia" w:ascii="宋体" w:hAnsi="宋体" w:eastAsia="宋体" w:cs="宋体"/>
          <w:b w:val="0"/>
          <w:bCs w:val="0"/>
          <w:color w:val="auto"/>
          <w:highlight w:val="none"/>
        </w:rPr>
      </w:pPr>
    </w:p>
    <w:p w14:paraId="19FBB49B">
      <w:pPr>
        <w:rPr>
          <w:rFonts w:hint="eastAsia" w:ascii="宋体" w:hAnsi="宋体" w:eastAsia="宋体" w:cs="宋体"/>
          <w:b w:val="0"/>
          <w:bCs w:val="0"/>
          <w:color w:val="auto"/>
          <w:highlight w:val="none"/>
        </w:rPr>
      </w:pPr>
    </w:p>
    <w:p w14:paraId="6BD5FC9D">
      <w:pPr>
        <w:pStyle w:val="2"/>
        <w:rPr>
          <w:rFonts w:hint="eastAsia"/>
          <w:color w:val="auto"/>
        </w:rPr>
      </w:pPr>
    </w:p>
    <w:p w14:paraId="218F98AC">
      <w:pPr>
        <w:rPr>
          <w:rFonts w:hint="eastAsia"/>
          <w:color w:val="auto"/>
        </w:rPr>
      </w:pPr>
    </w:p>
    <w:p w14:paraId="7E85874C">
      <w:pPr>
        <w:rPr>
          <w:rFonts w:hint="eastAsia" w:ascii="宋体" w:hAnsi="宋体" w:eastAsia="宋体" w:cs="宋体"/>
          <w:b w:val="0"/>
          <w:bCs w:val="0"/>
          <w:color w:val="auto"/>
          <w:highlight w:val="none"/>
        </w:rPr>
      </w:pPr>
    </w:p>
    <w:p w14:paraId="1863F9E0">
      <w:pPr>
        <w:pStyle w:val="2"/>
        <w:rPr>
          <w:rFonts w:hint="eastAsia"/>
          <w:color w:val="auto"/>
          <w:highlight w:val="none"/>
        </w:rPr>
      </w:pPr>
    </w:p>
    <w:p w14:paraId="11452759">
      <w:pPr>
        <w:pStyle w:val="5"/>
        <w:jc w:val="center"/>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附件</w:t>
      </w:r>
      <w:r>
        <w:rPr>
          <w:rFonts w:hint="eastAsia" w:ascii="宋体" w:hAnsi="宋体" w:eastAsia="宋体" w:cs="宋体"/>
          <w:b w:val="0"/>
          <w:bCs w:val="0"/>
          <w:color w:val="auto"/>
          <w:highlight w:val="none"/>
          <w:lang w:eastAsia="zh-CN"/>
        </w:rPr>
        <w:t>一</w:t>
      </w:r>
      <w:r>
        <w:rPr>
          <w:rFonts w:hint="eastAsia" w:ascii="宋体" w:hAnsi="宋体" w:eastAsia="宋体" w:cs="宋体"/>
          <w:b w:val="0"/>
          <w:bCs w:val="0"/>
          <w:color w:val="auto"/>
          <w:highlight w:val="none"/>
        </w:rPr>
        <w:t xml:space="preserve"> 廉政合同</w:t>
      </w:r>
      <w:bookmarkEnd w:id="549"/>
      <w:bookmarkEnd w:id="550"/>
      <w:bookmarkEnd w:id="551"/>
      <w:bookmarkEnd w:id="552"/>
      <w:bookmarkEnd w:id="553"/>
      <w:bookmarkEnd w:id="554"/>
      <w:bookmarkEnd w:id="564"/>
    </w:p>
    <w:p w14:paraId="56A4D598">
      <w:pPr>
        <w:snapToGrid w:val="0"/>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发包人（全称）：</w:t>
      </w:r>
      <w:r>
        <w:rPr>
          <w:rFonts w:hint="eastAsia" w:ascii="宋体" w:hAnsi="宋体" w:eastAsia="宋体" w:cs="宋体"/>
          <w:color w:val="auto"/>
          <w:szCs w:val="21"/>
          <w:highlight w:val="none"/>
          <w:u w:val="single"/>
        </w:rPr>
        <w:t xml:space="preserve">                             </w:t>
      </w:r>
    </w:p>
    <w:p w14:paraId="6D41E913">
      <w:pPr>
        <w:snapToGrid w:val="0"/>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承包人（全称）：</w:t>
      </w:r>
      <w:r>
        <w:rPr>
          <w:rFonts w:hint="eastAsia" w:ascii="宋体" w:hAnsi="宋体" w:eastAsia="宋体" w:cs="宋体"/>
          <w:color w:val="auto"/>
          <w:szCs w:val="21"/>
          <w:highlight w:val="none"/>
          <w:u w:val="single"/>
        </w:rPr>
        <w:t xml:space="preserve">                             </w:t>
      </w:r>
    </w:p>
    <w:p w14:paraId="2ADF03B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eastAsia="宋体" w:cs="宋体"/>
          <w:color w:val="auto"/>
          <w:szCs w:val="21"/>
          <w:highlight w:val="none"/>
          <w:u w:val="single"/>
          <w:lang w:bidi="ar"/>
        </w:rPr>
        <w:t>（项目名称）</w:t>
      </w:r>
      <w:r>
        <w:rPr>
          <w:rFonts w:hint="eastAsia" w:ascii="宋体" w:hAnsi="宋体" w:eastAsia="宋体" w:cs="宋体"/>
          <w:color w:val="auto"/>
          <w:highlight w:val="none"/>
          <w:lang w:bidi="ar"/>
        </w:rPr>
        <w:t>发包人</w:t>
      </w:r>
      <w:r>
        <w:rPr>
          <w:rFonts w:hint="eastAsia" w:ascii="宋体" w:hAnsi="宋体" w:eastAsia="宋体" w:cs="宋体"/>
          <w:color w:val="auto"/>
          <w:highlight w:val="none"/>
          <w:u w:val="single"/>
          <w:lang w:bidi="ar"/>
        </w:rPr>
        <w:t xml:space="preserve">（全称） </w:t>
      </w:r>
      <w:r>
        <w:rPr>
          <w:rFonts w:hint="eastAsia" w:ascii="宋体" w:hAnsi="宋体" w:eastAsia="宋体" w:cs="宋体"/>
          <w:color w:val="auto"/>
          <w:highlight w:val="none"/>
          <w:lang w:bidi="ar"/>
        </w:rPr>
        <w:t>与该项目</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标段施工单位</w:t>
      </w:r>
      <w:r>
        <w:rPr>
          <w:rFonts w:hint="eastAsia" w:ascii="宋体" w:hAnsi="宋体" w:eastAsia="宋体" w:cs="宋体"/>
          <w:color w:val="auto"/>
          <w:highlight w:val="none"/>
          <w:u w:val="single"/>
          <w:lang w:bidi="ar"/>
        </w:rPr>
        <w:t xml:space="preserve"> （全称）</w:t>
      </w:r>
      <w:r>
        <w:rPr>
          <w:rFonts w:hint="eastAsia" w:ascii="宋体" w:hAnsi="宋体" w:eastAsia="宋体" w:cs="宋体"/>
          <w:color w:val="auto"/>
          <w:highlight w:val="none"/>
          <w:lang w:bidi="ar"/>
        </w:rPr>
        <w:t>（以下称承包人），特订立如下合同。</w:t>
      </w:r>
    </w:p>
    <w:p w14:paraId="571D5EC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1. 发包人和承包人双方的权利和义务</w:t>
      </w:r>
    </w:p>
    <w:p w14:paraId="31718D2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（1）严格遵守党的政策规定和国家有关法律法规及交通运输部的有关规定。</w:t>
      </w:r>
    </w:p>
    <w:p w14:paraId="3948959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（2）严格执行</w:t>
      </w:r>
      <w:r>
        <w:rPr>
          <w:rFonts w:hint="eastAsia" w:ascii="宋体" w:hAnsi="宋体" w:eastAsia="宋体" w:cs="宋体"/>
          <w:color w:val="auto"/>
          <w:szCs w:val="21"/>
          <w:highlight w:val="none"/>
          <w:u w:val="single"/>
          <w:lang w:bidi="ar"/>
        </w:rPr>
        <w:t>（项目名称）（标段名称）</w:t>
      </w:r>
      <w:r>
        <w:rPr>
          <w:rFonts w:hint="eastAsia" w:ascii="宋体" w:hAnsi="宋体" w:eastAsia="宋体" w:cs="宋体"/>
          <w:color w:val="auto"/>
          <w:highlight w:val="none"/>
          <w:lang w:bidi="ar"/>
        </w:rPr>
        <w:t>的施工合同文件，自觉按合同办事。</w:t>
      </w:r>
    </w:p>
    <w:p w14:paraId="28C01D7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（3）双方的业务活动坚持公开、公正、诚信、透明的原则（法律认定的商业秘密和合同文件另有规定除外），不得损害国家和集体利益，违反工程建设管理规章制度。</w:t>
      </w:r>
    </w:p>
    <w:p w14:paraId="38C986C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（4）建立健全廉政制度，开展廉政教育，设立廉政告示牌，公布举报电话，监督并认真查处违法违纪行为。</w:t>
      </w:r>
    </w:p>
    <w:p w14:paraId="144357D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（5）发现对方在业务活动中有违反廉政规定的行为，有及时提醒对方纠正的权利和义务。</w:t>
      </w:r>
    </w:p>
    <w:p w14:paraId="28A4899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（6）发现对方严重违反本合同义务条款的行为，有向其上级有关部门举报、建议给予处理并要求告知处理结果的权利。</w:t>
      </w:r>
    </w:p>
    <w:p w14:paraId="0EECE24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2. 发包人的义务</w:t>
      </w:r>
    </w:p>
    <w:p w14:paraId="544DC36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（1）发包人及其工作人员不得索要或接受承包人的礼金、有价证券和贵重物品，不得让承包人报销任何应由发包人或发包人工作人员支付的费用等。</w:t>
      </w:r>
    </w:p>
    <w:p w14:paraId="2A615EF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（2）发包人工作人员不得参加承包人安排的超标准宴请和娱乐活动；不得接受承包人提供的通讯工具、交通工具和高档办公用品等。</w:t>
      </w:r>
    </w:p>
    <w:p w14:paraId="434A79F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（3）发包人及其工作人员不得要求或接受承包人为其住房装修、婚丧嫁娶活动、配偶子女的工作安排以及出国出境、旅游等提供方便等。</w:t>
      </w:r>
    </w:p>
    <w:p w14:paraId="1BDBED3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（4）发包人工作人员及其配偶、子女不得参与从事与发包人工程有关的材料设备供应、工程分包、劳务等经济活动。</w:t>
      </w:r>
    </w:p>
    <w:p w14:paraId="508C6A3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（5）发包人及其工作人员不得以任何理由向承包人推荐分包单位或推销材料，不得要求承包人购买合同规定外的材料和设备。</w:t>
      </w:r>
    </w:p>
    <w:p w14:paraId="598858F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（6）发包人工作人员要秉公办事，不准营私舞弊，不准利用职权从事各种个人有偿中介活动和安排个人施工队伍。</w:t>
      </w:r>
    </w:p>
    <w:p w14:paraId="71A9BF0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3. 承包人义务</w:t>
      </w:r>
    </w:p>
    <w:p w14:paraId="7CE726D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（1）承包人不得以任何理由向发包人及其工作人员行贿或赠礼金、有价证券、贵重礼品。</w:t>
      </w:r>
    </w:p>
    <w:p w14:paraId="60D378B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（2）承包人不得以任何名义为发包人及其工作人员报销应由发包人单位或个人支付的任何费用。</w:t>
      </w:r>
    </w:p>
    <w:p w14:paraId="7197B15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（3）承包人不得以任何理由安排发包人工作人员参加超标准宴请及娱乐活动。</w:t>
      </w:r>
    </w:p>
    <w:p w14:paraId="2EEF5C1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（4）承包人不得为发包人和个人购置或提供通讯工具、交通工具和高档办公用品等。</w:t>
      </w:r>
    </w:p>
    <w:p w14:paraId="41142CB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4. 违约责任</w:t>
      </w:r>
    </w:p>
    <w:p w14:paraId="5463BF2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（1）发包人及其工作人员违反本合同第1、2条，按管理权限，依据有关规定给予党纪、政纪或组织处理，涉嫌犯罪的，移交司法机关追究刑事责任；给承包人造成经济损失的，应予以赔偿。</w:t>
      </w:r>
    </w:p>
    <w:p w14:paraId="00E3FF1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（2）承包人及其工作人员违反本合同第1、3条，按管理权限，依据有关规定给予党纪、政纪或组织处理；给发包人单位造成损失的，应予以赔偿；情节严重的，发包人将上报交通工程建设主管部门。</w:t>
      </w:r>
    </w:p>
    <w:p w14:paraId="32B14BD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5. 双方约定：本合同由双方或双方上级单位的纪检监察机关负责监督执行。由发包人或发包人上级单位的纪检监察机关约请承包人或承包人上级单位纪检监察机关对本合同执行情况进行检查；提出在本合同规定范围内的裁定意见。</w:t>
      </w:r>
    </w:p>
    <w:p w14:paraId="3B856C7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6. 本合同有效期为发包人和承包人签署之日起至该工程项目竣工验收后止。</w:t>
      </w:r>
    </w:p>
    <w:p w14:paraId="4A59B05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7. 本合同作为</w:t>
      </w:r>
      <w:r>
        <w:rPr>
          <w:rFonts w:hint="eastAsia" w:ascii="宋体" w:hAnsi="宋体" w:eastAsia="宋体" w:cs="宋体"/>
          <w:color w:val="auto"/>
          <w:highlight w:val="none"/>
          <w:u w:val="single"/>
          <w:lang w:bidi="ar"/>
        </w:rPr>
        <w:t>　　</w:t>
      </w:r>
      <w:r>
        <w:rPr>
          <w:rFonts w:hint="eastAsia" w:ascii="宋体" w:hAnsi="宋体" w:eastAsia="宋体" w:cs="宋体"/>
          <w:color w:val="auto"/>
          <w:szCs w:val="21"/>
          <w:highlight w:val="none"/>
          <w:u w:val="single"/>
          <w:lang w:bidi="ar"/>
        </w:rPr>
        <w:t>（项目名称）　　</w:t>
      </w:r>
      <w:r>
        <w:rPr>
          <w:rFonts w:hint="eastAsia" w:ascii="宋体" w:hAnsi="宋体" w:eastAsia="宋体" w:cs="宋体"/>
          <w:color w:val="auto"/>
          <w:szCs w:val="21"/>
          <w:highlight w:val="none"/>
          <w:lang w:bidi="ar"/>
        </w:rPr>
        <w:t>标段施工</w:t>
      </w:r>
      <w:r>
        <w:rPr>
          <w:rFonts w:hint="eastAsia" w:ascii="宋体" w:hAnsi="宋体" w:eastAsia="宋体" w:cs="宋体"/>
          <w:color w:val="auto"/>
          <w:highlight w:val="none"/>
          <w:lang w:bidi="ar"/>
        </w:rPr>
        <w:t>合同的附件，与工程施工合同具有同等的法律效力，经合同双方签署立即生效。</w:t>
      </w:r>
    </w:p>
    <w:p w14:paraId="462C3D7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8. 本合同一式四份，由发包人和承包人各执一份，送交发包人和承包人的监督单位各一份。</w:t>
      </w:r>
    </w:p>
    <w:p w14:paraId="7DC32F85">
      <w:pPr>
        <w:spacing w:line="360" w:lineRule="auto"/>
        <w:rPr>
          <w:rFonts w:hint="eastAsia" w:ascii="宋体" w:hAnsi="宋体" w:eastAsia="宋体" w:cs="宋体"/>
          <w:color w:val="auto"/>
          <w:highlight w:val="none"/>
        </w:rPr>
      </w:pPr>
    </w:p>
    <w:p w14:paraId="7ABD52CB">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bidi="ar"/>
        </w:rPr>
        <w:t>发包人：</w:t>
      </w:r>
      <w:r>
        <w:rPr>
          <w:rFonts w:hint="eastAsia" w:ascii="宋体" w:hAnsi="宋体" w:eastAsia="宋体" w:cs="宋体"/>
          <w:color w:val="auto"/>
          <w:highlight w:val="none"/>
          <w:u w:val="single"/>
          <w:lang w:bidi="ar"/>
        </w:rPr>
        <w:t xml:space="preserve"> （单位全称）（盖</w:t>
      </w:r>
      <w:r>
        <w:rPr>
          <w:rFonts w:hint="eastAsia" w:ascii="宋体" w:hAnsi="宋体" w:eastAsia="宋体" w:cs="宋体"/>
          <w:color w:val="auto"/>
          <w:highlight w:val="none"/>
          <w:u w:val="single"/>
          <w:lang w:val="en-US" w:eastAsia="zh-CN" w:bidi="ar"/>
        </w:rPr>
        <w:t>单位公</w:t>
      </w:r>
      <w:r>
        <w:rPr>
          <w:rFonts w:hint="eastAsia" w:ascii="宋体" w:hAnsi="宋体" w:eastAsia="宋体" w:cs="宋体"/>
          <w:color w:val="auto"/>
          <w:highlight w:val="none"/>
          <w:u w:val="single"/>
          <w:lang w:bidi="ar"/>
        </w:rPr>
        <w:t xml:space="preserve">章） </w:t>
      </w:r>
      <w:r>
        <w:rPr>
          <w:rFonts w:hint="eastAsia" w:ascii="宋体" w:hAnsi="宋体" w:eastAsia="宋体" w:cs="宋体"/>
          <w:color w:val="auto"/>
          <w:highlight w:val="none"/>
          <w:lang w:bidi="ar"/>
        </w:rPr>
        <w:t xml:space="preserve">               承包人： </w:t>
      </w:r>
      <w:r>
        <w:rPr>
          <w:rFonts w:hint="eastAsia" w:ascii="宋体" w:hAnsi="宋体" w:eastAsia="宋体" w:cs="宋体"/>
          <w:color w:val="auto"/>
          <w:highlight w:val="none"/>
          <w:u w:val="single"/>
          <w:lang w:bidi="ar"/>
        </w:rPr>
        <w:t xml:space="preserve"> （单位全称）（盖</w:t>
      </w:r>
      <w:r>
        <w:rPr>
          <w:rFonts w:hint="eastAsia" w:ascii="宋体" w:hAnsi="宋体" w:eastAsia="宋体" w:cs="宋体"/>
          <w:color w:val="auto"/>
          <w:highlight w:val="none"/>
          <w:u w:val="single"/>
          <w:lang w:val="en-US" w:eastAsia="zh-CN" w:bidi="ar"/>
        </w:rPr>
        <w:t>单位公</w:t>
      </w:r>
      <w:r>
        <w:rPr>
          <w:rFonts w:hint="eastAsia" w:ascii="宋体" w:hAnsi="宋体" w:eastAsia="宋体" w:cs="宋体"/>
          <w:color w:val="auto"/>
          <w:highlight w:val="none"/>
          <w:u w:val="single"/>
          <w:lang w:bidi="ar"/>
        </w:rPr>
        <w:t>章）</w:t>
      </w:r>
    </w:p>
    <w:p w14:paraId="49FC16AD">
      <w:pPr>
        <w:spacing w:line="360" w:lineRule="auto"/>
        <w:ind w:left="2205" w:hanging="2205" w:hangingChars="1050"/>
        <w:rPr>
          <w:rFonts w:hint="eastAsia" w:ascii="宋体" w:hAnsi="宋体" w:eastAsia="宋体" w:cs="宋体"/>
          <w:color w:val="auto"/>
          <w:highlight w:val="none"/>
        </w:rPr>
      </w:pPr>
      <w:r>
        <w:rPr>
          <w:rFonts w:hint="eastAsia" w:ascii="宋体" w:hAnsi="宋体" w:eastAsia="宋体" w:cs="宋体"/>
          <w:color w:val="auto"/>
          <w:highlight w:val="none"/>
          <w:lang w:bidi="ar"/>
        </w:rPr>
        <w:t>法定代表人或其授权的代理人：</w:t>
      </w:r>
      <w:r>
        <w:rPr>
          <w:rFonts w:hint="eastAsia" w:ascii="宋体" w:hAnsi="宋体" w:eastAsia="宋体" w:cs="宋体"/>
          <w:color w:val="auto"/>
          <w:highlight w:val="none"/>
          <w:u w:val="single"/>
          <w:lang w:bidi="ar"/>
        </w:rPr>
        <w:t>（</w:t>
      </w:r>
      <w:r>
        <w:rPr>
          <w:rFonts w:hint="eastAsia" w:ascii="宋体" w:hAnsi="宋体" w:eastAsia="宋体" w:cs="宋体"/>
          <w:color w:val="auto"/>
          <w:highlight w:val="none"/>
          <w:u w:val="single"/>
          <w:lang w:eastAsia="zh-CN" w:bidi="ar"/>
        </w:rPr>
        <w:t>签名</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 xml:space="preserve">    法定代表人或其授权的代理人：</w:t>
      </w:r>
      <w:r>
        <w:rPr>
          <w:rFonts w:hint="eastAsia" w:ascii="宋体" w:hAnsi="宋体" w:eastAsia="宋体" w:cs="宋体"/>
          <w:color w:val="auto"/>
          <w:highlight w:val="none"/>
          <w:u w:val="single"/>
          <w:lang w:bidi="ar"/>
        </w:rPr>
        <w:t>（</w:t>
      </w:r>
      <w:r>
        <w:rPr>
          <w:rFonts w:hint="eastAsia" w:ascii="宋体" w:hAnsi="宋体" w:eastAsia="宋体" w:cs="宋体"/>
          <w:color w:val="auto"/>
          <w:highlight w:val="none"/>
          <w:u w:val="single"/>
          <w:lang w:eastAsia="zh-CN" w:bidi="ar"/>
        </w:rPr>
        <w:t>签名</w:t>
      </w:r>
      <w:r>
        <w:rPr>
          <w:rFonts w:hint="eastAsia" w:ascii="宋体" w:hAnsi="宋体" w:eastAsia="宋体" w:cs="宋体"/>
          <w:color w:val="auto"/>
          <w:highlight w:val="none"/>
          <w:u w:val="single"/>
          <w:lang w:bidi="ar"/>
        </w:rPr>
        <w:t>）</w:t>
      </w:r>
      <w:r>
        <w:rPr>
          <w:rFonts w:hint="eastAsia" w:ascii="宋体" w:hAnsi="宋体" w:eastAsia="宋体" w:cs="宋体"/>
          <w:color w:val="auto"/>
          <w:highlight w:val="none"/>
          <w:lang w:bidi="ar"/>
        </w:rPr>
        <w:t xml:space="preserve">                        </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 xml:space="preserve"> </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 xml:space="preserve">   </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 xml:space="preserve">   年</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月</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日                 年</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月</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日</w:t>
      </w:r>
    </w:p>
    <w:p w14:paraId="51CE2621">
      <w:pPr>
        <w:spacing w:line="360" w:lineRule="auto"/>
        <w:rPr>
          <w:rFonts w:hint="eastAsia" w:ascii="宋体" w:hAnsi="宋体" w:eastAsia="宋体" w:cs="宋体"/>
          <w:color w:val="auto"/>
          <w:highlight w:val="none"/>
        </w:rPr>
      </w:pPr>
    </w:p>
    <w:p w14:paraId="4167DBCC">
      <w:pPr>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lang w:bidi="ar"/>
        </w:rPr>
        <w:t>发包人监督单位：</w:t>
      </w:r>
      <w:r>
        <w:rPr>
          <w:rFonts w:hint="eastAsia" w:ascii="宋体" w:hAnsi="宋体" w:eastAsia="宋体" w:cs="宋体"/>
          <w:color w:val="auto"/>
          <w:highlight w:val="none"/>
          <w:u w:val="single"/>
          <w:lang w:bidi="ar"/>
        </w:rPr>
        <w:t>（全称） （盖</w:t>
      </w:r>
      <w:r>
        <w:rPr>
          <w:rFonts w:hint="eastAsia" w:ascii="宋体" w:hAnsi="宋体" w:eastAsia="宋体" w:cs="宋体"/>
          <w:color w:val="auto"/>
          <w:highlight w:val="none"/>
          <w:u w:val="single"/>
          <w:lang w:val="en-US" w:eastAsia="zh-CN" w:bidi="ar"/>
        </w:rPr>
        <w:t>公</w:t>
      </w:r>
      <w:r>
        <w:rPr>
          <w:rFonts w:hint="eastAsia" w:ascii="宋体" w:hAnsi="宋体" w:eastAsia="宋体" w:cs="宋体"/>
          <w:color w:val="auto"/>
          <w:highlight w:val="none"/>
          <w:u w:val="single"/>
          <w:lang w:bidi="ar"/>
        </w:rPr>
        <w:t xml:space="preserve">章） </w:t>
      </w:r>
      <w:r>
        <w:rPr>
          <w:rFonts w:hint="eastAsia" w:ascii="宋体" w:hAnsi="宋体" w:eastAsia="宋体" w:cs="宋体"/>
          <w:color w:val="auto"/>
          <w:highlight w:val="none"/>
          <w:lang w:bidi="ar"/>
        </w:rPr>
        <w:t xml:space="preserve">             承包人监督单位：</w:t>
      </w:r>
      <w:r>
        <w:rPr>
          <w:rFonts w:hint="eastAsia" w:ascii="宋体" w:hAnsi="宋体" w:eastAsia="宋体" w:cs="宋体"/>
          <w:color w:val="auto"/>
          <w:highlight w:val="none"/>
          <w:u w:val="single"/>
          <w:lang w:bidi="ar"/>
        </w:rPr>
        <w:t>（全称） （盖</w:t>
      </w:r>
      <w:r>
        <w:rPr>
          <w:rFonts w:hint="eastAsia" w:ascii="宋体" w:hAnsi="宋体" w:eastAsia="宋体" w:cs="宋体"/>
          <w:color w:val="auto"/>
          <w:highlight w:val="none"/>
          <w:u w:val="single"/>
          <w:lang w:val="en-US" w:eastAsia="zh-CN" w:bidi="ar"/>
        </w:rPr>
        <w:t>公</w:t>
      </w:r>
      <w:r>
        <w:rPr>
          <w:rFonts w:hint="eastAsia" w:ascii="宋体" w:hAnsi="宋体" w:eastAsia="宋体" w:cs="宋体"/>
          <w:color w:val="auto"/>
          <w:highlight w:val="none"/>
          <w:u w:val="single"/>
          <w:lang w:bidi="ar"/>
        </w:rPr>
        <w:t xml:space="preserve">章） </w:t>
      </w:r>
    </w:p>
    <w:p w14:paraId="13C01BD5">
      <w:pPr>
        <w:spacing w:line="360" w:lineRule="auto"/>
        <w:jc w:val="right"/>
        <w:rPr>
          <w:rFonts w:hint="eastAsia" w:ascii="宋体" w:hAnsi="宋体" w:eastAsia="宋体" w:cs="宋体"/>
          <w:snapToGrid w:val="0"/>
          <w:color w:val="auto"/>
          <w:kern w:val="0"/>
          <w:szCs w:val="21"/>
          <w:highlight w:val="none"/>
        </w:rPr>
      </w:pPr>
    </w:p>
    <w:bookmarkEnd w:id="555"/>
    <w:bookmarkEnd w:id="556"/>
    <w:bookmarkEnd w:id="557"/>
    <w:bookmarkEnd w:id="558"/>
    <w:bookmarkEnd w:id="559"/>
    <w:bookmarkEnd w:id="560"/>
    <w:bookmarkEnd w:id="561"/>
    <w:bookmarkEnd w:id="562"/>
    <w:bookmarkEnd w:id="563"/>
    <w:p w14:paraId="4277A25F">
      <w:pPr>
        <w:pStyle w:val="38"/>
        <w:keepNext/>
        <w:keepLines/>
        <w:tabs>
          <w:tab w:val="left" w:pos="420"/>
        </w:tabs>
        <w:spacing w:line="400" w:lineRule="exact"/>
        <w:jc w:val="center"/>
        <w:outlineLvl w:val="2"/>
        <w:rPr>
          <w:rFonts w:hint="eastAsia" w:ascii="宋体" w:hAnsi="宋体" w:eastAsia="宋体" w:cs="宋体"/>
          <w:color w:val="auto"/>
          <w:sz w:val="32"/>
          <w:szCs w:val="32"/>
          <w:highlight w:val="none"/>
        </w:rPr>
      </w:pPr>
      <w:bookmarkStart w:id="565" w:name="_Toc509390698"/>
      <w:bookmarkStart w:id="566" w:name="_Toc240180918"/>
      <w:bookmarkStart w:id="567" w:name="_Toc424558730"/>
      <w:bookmarkStart w:id="568" w:name="_Toc424558370"/>
      <w:bookmarkStart w:id="569" w:name="_Toc335223533"/>
      <w:bookmarkStart w:id="570" w:name="_Toc467164259"/>
      <w:bookmarkStart w:id="571" w:name="_Toc223335459"/>
      <w:bookmarkStart w:id="572" w:name="_Toc183589134"/>
      <w:bookmarkStart w:id="573" w:name="_Toc182293837"/>
      <w:r>
        <w:rPr>
          <w:rFonts w:hint="eastAsia" w:ascii="宋体" w:hAnsi="宋体" w:eastAsia="宋体" w:cs="宋体"/>
          <w:color w:val="auto"/>
          <w:sz w:val="21"/>
          <w:highlight w:val="none"/>
        </w:rPr>
        <w:br w:type="page"/>
      </w:r>
      <w:bookmarkStart w:id="574" w:name="_Toc57795993"/>
      <w:r>
        <w:rPr>
          <w:rFonts w:hint="eastAsia" w:ascii="宋体" w:hAnsi="宋体" w:eastAsia="宋体" w:cs="宋体"/>
          <w:color w:val="auto"/>
          <w:sz w:val="32"/>
          <w:szCs w:val="32"/>
          <w:highlight w:val="none"/>
          <w:lang w:bidi="ar"/>
        </w:rPr>
        <w:t>附件</w:t>
      </w:r>
      <w:r>
        <w:rPr>
          <w:rFonts w:hint="eastAsia" w:ascii="宋体" w:hAnsi="宋体" w:eastAsia="宋体" w:cs="宋体"/>
          <w:color w:val="auto"/>
          <w:sz w:val="32"/>
          <w:szCs w:val="32"/>
          <w:highlight w:val="none"/>
          <w:lang w:eastAsia="zh-CN" w:bidi="ar"/>
        </w:rPr>
        <w:t>二</w:t>
      </w:r>
      <w:r>
        <w:rPr>
          <w:rFonts w:hint="eastAsia" w:ascii="宋体" w:hAnsi="宋体" w:eastAsia="宋体" w:cs="宋体"/>
          <w:color w:val="auto"/>
          <w:sz w:val="32"/>
          <w:szCs w:val="32"/>
          <w:highlight w:val="none"/>
          <w:lang w:bidi="ar"/>
        </w:rPr>
        <w:t xml:space="preserve"> 安全生产合同</w:t>
      </w:r>
      <w:bookmarkEnd w:id="565"/>
      <w:bookmarkEnd w:id="566"/>
      <w:bookmarkEnd w:id="567"/>
      <w:bookmarkEnd w:id="568"/>
      <w:bookmarkEnd w:id="569"/>
      <w:bookmarkEnd w:id="570"/>
      <w:bookmarkEnd w:id="574"/>
    </w:p>
    <w:bookmarkEnd w:id="571"/>
    <w:bookmarkEnd w:id="572"/>
    <w:bookmarkEnd w:id="573"/>
    <w:p w14:paraId="3EEEACD0">
      <w:pPr>
        <w:jc w:val="center"/>
        <w:rPr>
          <w:rFonts w:hint="eastAsia" w:ascii="宋体" w:hAnsi="宋体" w:eastAsia="宋体" w:cs="宋体"/>
          <w:b/>
          <w:color w:val="auto"/>
          <w:sz w:val="32"/>
          <w:szCs w:val="32"/>
          <w:highlight w:val="none"/>
        </w:rPr>
      </w:pPr>
    </w:p>
    <w:p w14:paraId="1284ED7E">
      <w:pPr>
        <w:snapToGrid w:val="0"/>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发包人（全称）：</w:t>
      </w:r>
      <w:r>
        <w:rPr>
          <w:rFonts w:hint="eastAsia" w:ascii="宋体" w:hAnsi="宋体" w:eastAsia="宋体" w:cs="宋体"/>
          <w:color w:val="auto"/>
          <w:szCs w:val="21"/>
          <w:highlight w:val="none"/>
          <w:u w:val="single"/>
        </w:rPr>
        <w:t xml:space="preserve">                             </w:t>
      </w:r>
    </w:p>
    <w:p w14:paraId="33669983">
      <w:pPr>
        <w:snapToGrid w:val="0"/>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承包人（全称）：</w:t>
      </w:r>
      <w:r>
        <w:rPr>
          <w:rFonts w:hint="eastAsia" w:ascii="宋体" w:hAnsi="宋体" w:eastAsia="宋体" w:cs="宋体"/>
          <w:color w:val="auto"/>
          <w:szCs w:val="21"/>
          <w:highlight w:val="none"/>
          <w:u w:val="single"/>
        </w:rPr>
        <w:t xml:space="preserve">                             </w:t>
      </w:r>
    </w:p>
    <w:p w14:paraId="7C4B627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为在</w:t>
      </w:r>
      <w:r>
        <w:rPr>
          <w:rFonts w:hint="eastAsia" w:ascii="宋体" w:hAnsi="宋体" w:eastAsia="宋体" w:cs="宋体"/>
          <w:color w:val="auto"/>
          <w:highlight w:val="none"/>
          <w:u w:val="single"/>
          <w:lang w:bidi="ar"/>
        </w:rPr>
        <w:t xml:space="preserve">         （项目名称）      </w:t>
      </w:r>
      <w:r>
        <w:rPr>
          <w:rFonts w:hint="eastAsia" w:ascii="宋体" w:hAnsi="宋体" w:eastAsia="宋体" w:cs="宋体"/>
          <w:color w:val="auto"/>
          <w:szCs w:val="21"/>
          <w:highlight w:val="none"/>
          <w:u w:val="single"/>
          <w:lang w:bidi="ar"/>
        </w:rPr>
        <w:t xml:space="preserve">    标段</w:t>
      </w:r>
      <w:r>
        <w:rPr>
          <w:rFonts w:hint="eastAsia" w:ascii="宋体" w:hAnsi="宋体" w:eastAsia="宋体" w:cs="宋体"/>
          <w:color w:val="auto"/>
          <w:highlight w:val="none"/>
          <w:lang w:bidi="ar"/>
        </w:rPr>
        <w:t>合同的实施过程中创造安全、高效的施工环境，切实搞好本项目的管理工作，本项目发包人</w:t>
      </w:r>
      <w:r>
        <w:rPr>
          <w:rFonts w:hint="eastAsia" w:ascii="宋体" w:hAnsi="宋体" w:eastAsia="宋体" w:cs="宋体"/>
          <w:color w:val="auto"/>
          <w:highlight w:val="none"/>
          <w:u w:val="single"/>
          <w:lang w:bidi="ar"/>
        </w:rPr>
        <w:t xml:space="preserve">      （全称）       </w:t>
      </w:r>
      <w:r>
        <w:rPr>
          <w:rFonts w:hint="eastAsia" w:ascii="宋体" w:hAnsi="宋体" w:eastAsia="宋体" w:cs="宋体"/>
          <w:color w:val="auto"/>
          <w:highlight w:val="none"/>
          <w:lang w:bidi="ar"/>
        </w:rPr>
        <w:t>（以下简称“发包人”）与承包人_</w:t>
      </w:r>
      <w:r>
        <w:rPr>
          <w:rFonts w:hint="eastAsia" w:ascii="宋体" w:hAnsi="宋体" w:eastAsia="宋体" w:cs="宋体"/>
          <w:color w:val="auto"/>
          <w:highlight w:val="none"/>
          <w:u w:val="single"/>
          <w:lang w:bidi="ar"/>
        </w:rPr>
        <w:t xml:space="preserve">   （全称）   </w:t>
      </w:r>
      <w:r>
        <w:rPr>
          <w:rFonts w:hint="eastAsia" w:ascii="宋体" w:hAnsi="宋体" w:eastAsia="宋体" w:cs="宋体"/>
          <w:color w:val="auto"/>
          <w:highlight w:val="none"/>
          <w:lang w:bidi="ar"/>
        </w:rPr>
        <w:t xml:space="preserve"> （以下简称“承包人”）特此签订安全生产合同。</w:t>
      </w:r>
    </w:p>
    <w:p w14:paraId="6E42DDA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1.、发包人职责</w:t>
      </w:r>
    </w:p>
    <w:p w14:paraId="77BC424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（1）严格遵守国家有关安全生产的法律法规，认真执行工程承包合同中的有关安全要求。</w:t>
      </w:r>
    </w:p>
    <w:p w14:paraId="654143B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（2）按照“安全第一、预防为主”和坚持“管生产必须管理安全”的原则进行安全生产管理，做到生产与安全工作同时计划、布置、检查、总结和评比。</w:t>
      </w:r>
    </w:p>
    <w:p w14:paraId="46AF067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（3）重要的安全设施必须坚持与主体工程“三同时”的原则，即：同时设计、审批，同时施工，同时验收，投入使用。</w:t>
      </w:r>
    </w:p>
    <w:p w14:paraId="7F199B7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（4）定期召开安全生产调度会，及时传达中央及地方有关安全生产的精神。</w:t>
      </w:r>
    </w:p>
    <w:p w14:paraId="34C371E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（5）组织对承包人施工现场安全生产检查，监督承包人及时处理发现的各种安全隐患。</w:t>
      </w:r>
    </w:p>
    <w:p w14:paraId="41897AED">
      <w:pPr>
        <w:spacing w:line="360" w:lineRule="auto"/>
        <w:ind w:firstLine="420" w:firstLineChars="200"/>
        <w:rPr>
          <w:rFonts w:hint="eastAsia" w:ascii="宋体" w:hAnsi="宋体" w:eastAsia="宋体" w:cs="宋体"/>
          <w:color w:val="auto"/>
          <w:highlight w:val="none"/>
        </w:rPr>
      </w:pPr>
      <w:bookmarkStart w:id="575" w:name="_Toc424558371"/>
      <w:r>
        <w:rPr>
          <w:rFonts w:hint="eastAsia" w:ascii="宋体" w:hAnsi="宋体" w:eastAsia="宋体" w:cs="宋体"/>
          <w:color w:val="auto"/>
          <w:highlight w:val="none"/>
          <w:lang w:bidi="ar"/>
        </w:rPr>
        <w:t>2. 承包人职责</w:t>
      </w:r>
      <w:bookmarkEnd w:id="575"/>
    </w:p>
    <w:p w14:paraId="1F3EB4D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1）严格遵守《中华人民共和国安全生产法》、《建设工程安全生产管理条例》等国家有关安全生产的法律法规、《公路水运安全生产监督管理办法》、《公路工程施工安全技术规程》和《公路筑养路机械操作规程》有关安全生产的规定，认真执行工程承包合同中的有关安全要求。</w:t>
      </w:r>
    </w:p>
    <w:p w14:paraId="221EEC7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61B89DC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公路水运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3F95F67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（4）承包人在任何时候都应采取各种合理的预防措施，防止员工发生违法、违禁、暴力或妨碍治安的行为。</w:t>
      </w:r>
    </w:p>
    <w:p w14:paraId="285DD47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1C8182D7">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lang w:bidi="ar"/>
        </w:rPr>
        <w:t>（6）对于易燃易爆的材料应专门妥善保管之外，还应配备有足够的消防设施，所有施工人员都应熟悉消防设施的性能和使用方法；承包人不得将任何种类的爆炸物给予、易货或以其他方式转让给其他人，或允许、容忍上述同样行为。</w:t>
      </w:r>
    </w:p>
    <w:p w14:paraId="1A53EC69">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lang w:bidi="ar"/>
        </w:rPr>
        <w:t>（7）操作人员上岗，必须按规定穿戴防护用品。施工负责人和安全检查员应随时检查劳动防护用品的穿戴情况，不按规定穿戴防护用品的人员不得上岗。</w:t>
      </w:r>
    </w:p>
    <w:p w14:paraId="348A38D2">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lang w:bidi="ar"/>
        </w:rPr>
        <w:t>（8）所有施工机具设备和高空作业的设备均应定期检查，并有安全员的</w:t>
      </w:r>
      <w:r>
        <w:rPr>
          <w:rFonts w:hint="eastAsia" w:ascii="宋体" w:hAnsi="宋体" w:eastAsia="宋体" w:cs="宋体"/>
          <w:color w:val="auto"/>
          <w:highlight w:val="none"/>
          <w:lang w:eastAsia="zh-CN" w:bidi="ar"/>
        </w:rPr>
        <w:t>签名</w:t>
      </w:r>
      <w:r>
        <w:rPr>
          <w:rFonts w:hint="eastAsia" w:ascii="宋体" w:hAnsi="宋体" w:eastAsia="宋体" w:cs="宋体"/>
          <w:color w:val="auto"/>
          <w:highlight w:val="none"/>
          <w:lang w:bidi="ar"/>
        </w:rPr>
        <w:t>记录，保证其经常处于完好状态；不合格的机具、设备和劳动保护用品严禁使用。</w:t>
      </w:r>
    </w:p>
    <w:p w14:paraId="3C7A8311">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lang w:bidi="ar"/>
        </w:rPr>
        <w:t>（9）施工中采用新技术、新工艺、新设备、新材料时，必须制定相应的安全技术措施，施工现场必须具有相关的安全标志牌。</w:t>
      </w:r>
    </w:p>
    <w:p w14:paraId="21C2369E">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lang w:bidi="ar"/>
        </w:rPr>
        <w:t>（10）承包人必须按照本工程项目特点，组织指定本工程实施中的生产安全事故应急救援预案；如果发生安全事故，应按照《国务院关于特大安全事故行政责任追究的规定》以及其它有关规定，及时上报有关部门，并坚持“四不放过”的原则，严肃处理相关责任人。</w:t>
      </w:r>
    </w:p>
    <w:p w14:paraId="63E6C952">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lang w:bidi="ar"/>
        </w:rPr>
        <w:t>（11）安全生产费用按照《公路水运安全生产监督管理办法》的相关规定使用和管理。</w:t>
      </w:r>
    </w:p>
    <w:p w14:paraId="65D9F9F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3. 违约责任</w:t>
      </w:r>
    </w:p>
    <w:p w14:paraId="49A49FD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如因发包人或承包人违约造成安全事故，将依法追究责任。</w:t>
      </w:r>
    </w:p>
    <w:p w14:paraId="04D713F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4. 本合同由双方法定代表人或起授权的代理人签署与加盖公章后生效，全部工程竣工验收后失效。</w:t>
      </w:r>
    </w:p>
    <w:p w14:paraId="32707E64">
      <w:pPr>
        <w:spacing w:line="360" w:lineRule="auto"/>
        <w:ind w:firstLine="420" w:firstLineChars="200"/>
        <w:rPr>
          <w:rFonts w:hint="eastAsia" w:ascii="宋体" w:hAnsi="宋体" w:eastAsia="宋体" w:cs="宋体"/>
          <w:color w:val="auto"/>
          <w:highlight w:val="none"/>
          <w:lang w:bidi="ar"/>
        </w:rPr>
      </w:pPr>
      <w:r>
        <w:rPr>
          <w:rFonts w:hint="eastAsia" w:ascii="宋体" w:hAnsi="宋体" w:eastAsia="宋体" w:cs="宋体"/>
          <w:color w:val="auto"/>
          <w:highlight w:val="none"/>
          <w:lang w:bidi="ar"/>
        </w:rPr>
        <w:t>5.本合同正本二份，副本</w:t>
      </w:r>
      <w:r>
        <w:rPr>
          <w:rFonts w:hint="eastAsia" w:ascii="宋体" w:hAnsi="宋体" w:eastAsia="宋体" w:cs="宋体"/>
          <w:color w:val="auto"/>
          <w:highlight w:val="none"/>
          <w:u w:val="single"/>
          <w:lang w:bidi="ar"/>
        </w:rPr>
        <w:t>　　</w:t>
      </w:r>
      <w:r>
        <w:rPr>
          <w:rFonts w:hint="eastAsia" w:ascii="宋体" w:hAnsi="宋体" w:eastAsia="宋体" w:cs="宋体"/>
          <w:color w:val="auto"/>
          <w:highlight w:val="none"/>
          <w:lang w:bidi="ar"/>
        </w:rPr>
        <w:t>份，合同双方各执正本一份，副本</w:t>
      </w:r>
      <w:r>
        <w:rPr>
          <w:rFonts w:hint="eastAsia" w:ascii="宋体" w:hAnsi="宋体" w:eastAsia="宋体" w:cs="宋体"/>
          <w:color w:val="auto"/>
          <w:highlight w:val="none"/>
          <w:u w:val="single"/>
          <w:lang w:bidi="ar"/>
        </w:rPr>
        <w:t>　　</w:t>
      </w:r>
      <w:r>
        <w:rPr>
          <w:rFonts w:hint="eastAsia" w:ascii="宋体" w:hAnsi="宋体" w:eastAsia="宋体" w:cs="宋体"/>
          <w:color w:val="auto"/>
          <w:highlight w:val="none"/>
          <w:lang w:bidi="ar"/>
        </w:rPr>
        <w:t>份，当正本与副本不一致时，以正本为准。</w:t>
      </w:r>
    </w:p>
    <w:p w14:paraId="76CE44E6">
      <w:pPr>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lang w:bidi="ar"/>
        </w:rPr>
        <w:t>发包人：</w:t>
      </w:r>
      <w:r>
        <w:rPr>
          <w:rFonts w:hint="eastAsia" w:ascii="宋体" w:hAnsi="宋体" w:eastAsia="宋体" w:cs="宋体"/>
          <w:color w:val="auto"/>
          <w:highlight w:val="none"/>
          <w:u w:val="single"/>
          <w:lang w:bidi="ar"/>
        </w:rPr>
        <w:t xml:space="preserve">    （盖单位</w:t>
      </w:r>
      <w:r>
        <w:rPr>
          <w:rFonts w:hint="eastAsia" w:ascii="宋体" w:hAnsi="宋体" w:eastAsia="宋体" w:cs="宋体"/>
          <w:color w:val="auto"/>
          <w:highlight w:val="none"/>
          <w:u w:val="single"/>
          <w:lang w:val="en-US" w:eastAsia="zh-CN" w:bidi="ar"/>
        </w:rPr>
        <w:t>公</w:t>
      </w:r>
      <w:r>
        <w:rPr>
          <w:rFonts w:hint="eastAsia" w:ascii="宋体" w:hAnsi="宋体" w:eastAsia="宋体" w:cs="宋体"/>
          <w:color w:val="auto"/>
          <w:highlight w:val="none"/>
          <w:u w:val="single"/>
          <w:lang w:bidi="ar"/>
        </w:rPr>
        <w:t>章）</w:t>
      </w:r>
      <w:r>
        <w:rPr>
          <w:rFonts w:hint="eastAsia" w:ascii="宋体" w:hAnsi="宋体" w:eastAsia="宋体" w:cs="宋体"/>
          <w:color w:val="auto"/>
          <w:highlight w:val="none"/>
          <w:lang w:bidi="ar"/>
        </w:rPr>
        <w:t xml:space="preserve">                  承包人：</w:t>
      </w:r>
      <w:r>
        <w:rPr>
          <w:rFonts w:hint="eastAsia" w:ascii="宋体" w:hAnsi="宋体" w:eastAsia="宋体" w:cs="宋体"/>
          <w:color w:val="auto"/>
          <w:highlight w:val="none"/>
          <w:u w:val="single"/>
          <w:lang w:bidi="ar"/>
        </w:rPr>
        <w:t xml:space="preserve">    （盖单位</w:t>
      </w:r>
      <w:r>
        <w:rPr>
          <w:rFonts w:hint="eastAsia" w:ascii="宋体" w:hAnsi="宋体" w:eastAsia="宋体" w:cs="宋体"/>
          <w:color w:val="auto"/>
          <w:highlight w:val="none"/>
          <w:u w:val="single"/>
          <w:lang w:val="en-US" w:eastAsia="zh-CN" w:bidi="ar"/>
        </w:rPr>
        <w:t>公</w:t>
      </w:r>
      <w:r>
        <w:rPr>
          <w:rFonts w:hint="eastAsia" w:ascii="宋体" w:hAnsi="宋体" w:eastAsia="宋体" w:cs="宋体"/>
          <w:color w:val="auto"/>
          <w:highlight w:val="none"/>
          <w:u w:val="single"/>
          <w:lang w:bidi="ar"/>
        </w:rPr>
        <w:t>章）</w:t>
      </w:r>
    </w:p>
    <w:p w14:paraId="59B1CDC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bidi="ar"/>
        </w:rPr>
        <w:t>法定代表人或其授权的代理人：</w:t>
      </w:r>
      <w:r>
        <w:rPr>
          <w:rFonts w:hint="eastAsia" w:ascii="宋体" w:hAnsi="宋体" w:eastAsia="宋体" w:cs="宋体"/>
          <w:color w:val="auto"/>
          <w:highlight w:val="none"/>
          <w:u w:val="single"/>
          <w:lang w:bidi="ar"/>
        </w:rPr>
        <w:t>（</w:t>
      </w:r>
      <w:r>
        <w:rPr>
          <w:rFonts w:hint="eastAsia" w:ascii="宋体" w:hAnsi="宋体" w:eastAsia="宋体" w:cs="宋体"/>
          <w:color w:val="auto"/>
          <w:highlight w:val="none"/>
          <w:u w:val="single"/>
          <w:lang w:eastAsia="zh-CN" w:bidi="ar"/>
        </w:rPr>
        <w:t>签名</w:t>
      </w:r>
      <w:r>
        <w:rPr>
          <w:rFonts w:hint="eastAsia" w:ascii="宋体" w:hAnsi="宋体" w:eastAsia="宋体" w:cs="宋体"/>
          <w:color w:val="auto"/>
          <w:highlight w:val="none"/>
          <w:u w:val="single"/>
          <w:lang w:bidi="ar"/>
        </w:rPr>
        <w:t>）</w:t>
      </w:r>
      <w:r>
        <w:rPr>
          <w:rFonts w:hint="eastAsia" w:ascii="宋体" w:hAnsi="宋体" w:eastAsia="宋体" w:cs="宋体"/>
          <w:color w:val="auto"/>
          <w:highlight w:val="none"/>
          <w:lang w:bidi="ar"/>
        </w:rPr>
        <w:t xml:space="preserve">        法定代表人或其授权的代理人：</w:t>
      </w:r>
      <w:r>
        <w:rPr>
          <w:rFonts w:hint="eastAsia" w:ascii="宋体" w:hAnsi="宋体" w:eastAsia="宋体" w:cs="宋体"/>
          <w:color w:val="auto"/>
          <w:highlight w:val="none"/>
          <w:u w:val="single"/>
          <w:lang w:bidi="ar"/>
        </w:rPr>
        <w:t>（</w:t>
      </w:r>
      <w:r>
        <w:rPr>
          <w:rFonts w:hint="eastAsia" w:ascii="宋体" w:hAnsi="宋体" w:eastAsia="宋体" w:cs="宋体"/>
          <w:color w:val="auto"/>
          <w:highlight w:val="none"/>
          <w:u w:val="single"/>
          <w:lang w:eastAsia="zh-CN" w:bidi="ar"/>
        </w:rPr>
        <w:t>签名</w:t>
      </w:r>
      <w:r>
        <w:rPr>
          <w:rFonts w:hint="eastAsia" w:ascii="宋体" w:hAnsi="宋体" w:eastAsia="宋体" w:cs="宋体"/>
          <w:color w:val="auto"/>
          <w:highlight w:val="none"/>
          <w:u w:val="single"/>
          <w:lang w:bidi="ar"/>
        </w:rPr>
        <w:t>）</w:t>
      </w:r>
      <w:r>
        <w:rPr>
          <w:rFonts w:hint="eastAsia" w:ascii="宋体" w:hAnsi="宋体" w:eastAsia="宋体" w:cs="宋体"/>
          <w:color w:val="auto"/>
          <w:highlight w:val="none"/>
          <w:lang w:bidi="ar"/>
        </w:rPr>
        <w:t xml:space="preserve">                             </w:t>
      </w:r>
    </w:p>
    <w:p w14:paraId="5BA0E386">
      <w:pPr>
        <w:spacing w:line="360" w:lineRule="auto"/>
        <w:ind w:firstLine="1260" w:firstLineChars="600"/>
        <w:rPr>
          <w:rFonts w:hint="eastAsia" w:ascii="宋体" w:hAnsi="宋体" w:eastAsia="宋体" w:cs="宋体"/>
          <w:color w:val="auto"/>
          <w:highlight w:val="none"/>
        </w:rPr>
      </w:pP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月</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 xml:space="preserve">日                                </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年</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月</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日</w:t>
      </w:r>
    </w:p>
    <w:p w14:paraId="5AEEC2E1">
      <w:pPr>
        <w:pStyle w:val="5"/>
        <w:numPr>
          <w:ilvl w:val="0"/>
          <w:numId w:val="0"/>
        </w:numPr>
        <w:spacing w:after="120" w:afterLines="50" w:line="360" w:lineRule="auto"/>
        <w:jc w:val="both"/>
        <w:rPr>
          <w:rFonts w:hint="eastAsia" w:ascii="宋体" w:hAnsi="宋体" w:eastAsia="宋体" w:cs="宋体"/>
          <w:color w:val="auto"/>
        </w:rPr>
      </w:pPr>
      <w:r>
        <w:rPr>
          <w:rFonts w:hint="eastAsia" w:ascii="宋体" w:hAnsi="宋体" w:eastAsia="宋体" w:cs="宋体"/>
          <w:color w:val="auto"/>
          <w:szCs w:val="21"/>
        </w:rPr>
        <w:br w:type="page"/>
      </w:r>
      <w:bookmarkEnd w:id="457"/>
      <w:bookmarkEnd w:id="458"/>
      <w:bookmarkEnd w:id="459"/>
      <w:bookmarkStart w:id="576" w:name="_Toc2569"/>
      <w:bookmarkEnd w:id="576"/>
    </w:p>
    <w:p w14:paraId="47F52EE0">
      <w:pPr>
        <w:pStyle w:val="5"/>
        <w:spacing w:line="360" w:lineRule="auto"/>
        <w:jc w:val="center"/>
        <w:rPr>
          <w:rFonts w:hint="eastAsia" w:ascii="宋体" w:hAnsi="宋体" w:eastAsia="宋体" w:cs="宋体"/>
          <w:bCs/>
          <w:color w:val="auto"/>
          <w:sz w:val="32"/>
          <w:szCs w:val="32"/>
        </w:rPr>
      </w:pPr>
      <w:bookmarkStart w:id="577" w:name="_Toc86934228"/>
      <w:bookmarkStart w:id="578" w:name="_Toc19311"/>
      <w:r>
        <w:rPr>
          <w:rFonts w:hint="eastAsia" w:ascii="宋体" w:hAnsi="宋体" w:eastAsia="宋体" w:cs="宋体"/>
          <w:bCs/>
          <w:color w:val="auto"/>
          <w:sz w:val="36"/>
          <w:szCs w:val="36"/>
        </w:rPr>
        <w:t xml:space="preserve">第五章 </w:t>
      </w:r>
      <w:bookmarkEnd w:id="577"/>
      <w:r>
        <w:rPr>
          <w:rFonts w:hint="eastAsia" w:ascii="宋体" w:hAnsi="宋体" w:eastAsia="宋体" w:cs="宋体"/>
          <w:bCs/>
          <w:color w:val="auto"/>
          <w:sz w:val="36"/>
          <w:szCs w:val="36"/>
        </w:rPr>
        <w:t>技术要求</w:t>
      </w:r>
      <w:bookmarkEnd w:id="578"/>
    </w:p>
    <w:p w14:paraId="043A1CC4">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rPr>
      </w:pPr>
      <w:bookmarkStart w:id="579" w:name="_Toc33715823"/>
      <w:r>
        <w:rPr>
          <w:rFonts w:hint="eastAsia" w:ascii="宋体" w:hAnsi="宋体" w:eastAsia="宋体" w:cs="宋体"/>
          <w:color w:val="auto"/>
          <w:sz w:val="22"/>
          <w:szCs w:val="22"/>
        </w:rPr>
        <w:t>1.本项目工期为</w:t>
      </w:r>
      <w:r>
        <w:rPr>
          <w:rFonts w:hint="eastAsia" w:ascii="宋体" w:hAnsi="宋体" w:cs="宋体"/>
          <w:color w:val="auto"/>
          <w:sz w:val="22"/>
          <w:szCs w:val="22"/>
          <w:lang w:val="en-US" w:eastAsia="zh-CN"/>
        </w:rPr>
        <w:t>120日历天</w:t>
      </w:r>
      <w:r>
        <w:rPr>
          <w:rFonts w:hint="eastAsia" w:ascii="宋体" w:hAnsi="宋体" w:eastAsia="宋体" w:cs="宋体"/>
          <w:bCs/>
          <w:color w:val="auto"/>
          <w:sz w:val="22"/>
          <w:szCs w:val="22"/>
        </w:rPr>
        <w:t>。</w:t>
      </w:r>
    </w:p>
    <w:p w14:paraId="668335AA">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2.在实施过程中，投标人应做好工程造价控制，任何变更必须经过招标人书面签字同意后才能实施。</w:t>
      </w:r>
    </w:p>
    <w:p w14:paraId="48D9B133">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w:t>
      </w:r>
      <w:r>
        <w:rPr>
          <w:rFonts w:hint="eastAsia" w:ascii="宋体" w:hAnsi="宋体" w:cs="宋体"/>
          <w:color w:val="auto"/>
          <w:sz w:val="22"/>
          <w:szCs w:val="22"/>
          <w:lang w:val="en-US" w:eastAsia="zh-CN"/>
        </w:rPr>
        <w:t>.</w:t>
      </w:r>
      <w:r>
        <w:rPr>
          <w:rFonts w:hint="eastAsia" w:ascii="宋体" w:hAnsi="宋体" w:eastAsia="宋体" w:cs="宋体"/>
          <w:color w:val="auto"/>
          <w:sz w:val="22"/>
          <w:szCs w:val="22"/>
        </w:rPr>
        <w:t>主要管理人员要求</w:t>
      </w:r>
    </w:p>
    <w:p w14:paraId="65E22BA7">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中标人必须为本项目配备项目管理人员，未经招标人同意，项目管理人员在项目实施过程中不得变更。</w:t>
      </w:r>
    </w:p>
    <w:p w14:paraId="72164DAA">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rPr>
      </w:pPr>
      <w:bookmarkStart w:id="580" w:name="_Toc23178"/>
      <w:r>
        <w:rPr>
          <w:rFonts w:hint="eastAsia" w:ascii="宋体" w:hAnsi="宋体" w:eastAsia="宋体" w:cs="宋体"/>
          <w:color w:val="auto"/>
          <w:sz w:val="22"/>
          <w:szCs w:val="22"/>
        </w:rPr>
        <w:t>4．关于转、分包</w:t>
      </w:r>
      <w:bookmarkEnd w:id="580"/>
    </w:p>
    <w:p w14:paraId="59C938FD">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snapToGrid w:val="0"/>
          <w:color w:val="auto"/>
          <w:kern w:val="0"/>
          <w:sz w:val="22"/>
          <w:szCs w:val="22"/>
        </w:rPr>
        <w:t>本项目不允许分包。</w:t>
      </w:r>
    </w:p>
    <w:p w14:paraId="2D40F5A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    5．中标后，本次改造工程涉及的所有主材、辅材均须符合相关国家规定用料施工标准，主、辅材均需符合消防安全相关规定。</w:t>
      </w:r>
    </w:p>
    <w:p w14:paraId="10D27DDA">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6．严格执行施工规范、安全操作规程、防火安全规定、环境保护规定，遵守国家或地方政府及有关部门对施工现场管理的规定，做好安全文明施工，妥善保护好施工现场周围建（构）筑物、设备管线。承担施工过程中的全部安全责任事故责任。</w:t>
      </w:r>
    </w:p>
    <w:p w14:paraId="2A84B84F">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7．中标人做好各项质量检查记录，参加竣工验收，编制工程结算。</w:t>
      </w:r>
    </w:p>
    <w:p w14:paraId="1650F79E">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8．中标人工程竣工未移交招标人之前，负责对现场的一切设施和工程成品进行保护。</w:t>
      </w:r>
    </w:p>
    <w:p w14:paraId="383D04C5">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9．安全文明施工，中标人须搞好安全文明施工。在施工中发生的伤亡事故和中标人管理不善造成的其他损失，均由中标人负责。中标人须加强施工管理，积极与招标人配合。服从招标人的管理，不得影响招标人正常工作秩序。中标人应高度重视安全生产，严格按照规范施工，文明施工，严格管理制度。</w:t>
      </w:r>
      <w:r>
        <w:rPr>
          <w:rFonts w:hint="eastAsia" w:ascii="宋体" w:hAnsi="宋体" w:eastAsia="宋体" w:cs="宋体"/>
          <w:bCs/>
          <w:color w:val="auto"/>
          <w:sz w:val="22"/>
          <w:szCs w:val="22"/>
        </w:rPr>
        <w:t>在施工过程中所发生的一切安全事故（病、伤、亡）均由中标人负责，并全部承担其法律责任和经济责任</w:t>
      </w:r>
      <w:r>
        <w:rPr>
          <w:rFonts w:hint="eastAsia" w:ascii="宋体" w:hAnsi="宋体" w:eastAsia="宋体" w:cs="宋体"/>
          <w:b/>
          <w:color w:val="auto"/>
          <w:sz w:val="22"/>
          <w:szCs w:val="22"/>
        </w:rPr>
        <w:t>。</w:t>
      </w:r>
      <w:r>
        <w:rPr>
          <w:rFonts w:hint="eastAsia" w:ascii="宋体" w:hAnsi="宋体" w:eastAsia="宋体" w:cs="宋体"/>
          <w:color w:val="auto"/>
          <w:sz w:val="22"/>
          <w:szCs w:val="22"/>
        </w:rPr>
        <w:t>中标人必须加强对所用员工管理，遵守国家法律法规、遵守招标人相关规章制度，如有违反，一切责任由中标人全部承担。中标人在施工过程中应注意对招标人设施、设备的保护，如有损坏则照价赔偿。</w:t>
      </w:r>
    </w:p>
    <w:p w14:paraId="063E2388">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bCs/>
          <w:color w:val="auto"/>
          <w:sz w:val="36"/>
          <w:szCs w:val="36"/>
        </w:rPr>
      </w:pPr>
      <w:r>
        <w:rPr>
          <w:rFonts w:hint="eastAsia" w:ascii="宋体" w:hAnsi="宋体" w:eastAsia="宋体" w:cs="宋体"/>
          <w:color w:val="auto"/>
          <w:sz w:val="22"/>
          <w:szCs w:val="22"/>
        </w:rPr>
        <w:t>10.投标人应针对本项目制定服务方案，包括但不限于施工方案与技术措施，安全管理体系与措施，环境保护管理体系与措施，质量管理体系与措施等。</w:t>
      </w:r>
    </w:p>
    <w:p w14:paraId="399E207D">
      <w:pPr>
        <w:pStyle w:val="42"/>
        <w:autoSpaceDE w:val="0"/>
        <w:autoSpaceDN w:val="0"/>
        <w:ind w:firstLine="480" w:firstLineChars="200"/>
        <w:rPr>
          <w:rFonts w:hint="eastAsia" w:ascii="宋体" w:hAnsi="宋体" w:eastAsia="宋体" w:cs="宋体"/>
          <w:color w:val="auto"/>
          <w:szCs w:val="24"/>
          <w:lang w:bidi="zh-CN"/>
        </w:rPr>
      </w:pPr>
    </w:p>
    <w:p w14:paraId="72905CAF">
      <w:pPr>
        <w:rPr>
          <w:rFonts w:hint="eastAsia" w:ascii="宋体" w:hAnsi="宋体" w:eastAsia="宋体" w:cs="宋体"/>
          <w:color w:val="auto"/>
        </w:rPr>
      </w:pPr>
    </w:p>
    <w:p w14:paraId="640481F4">
      <w:pPr>
        <w:pStyle w:val="5"/>
        <w:spacing w:line="360" w:lineRule="auto"/>
        <w:jc w:val="center"/>
        <w:rPr>
          <w:rFonts w:hint="eastAsia" w:ascii="宋体" w:hAnsi="宋体" w:eastAsia="宋体" w:cs="宋体"/>
          <w:bCs/>
          <w:color w:val="auto"/>
          <w:sz w:val="32"/>
          <w:szCs w:val="32"/>
        </w:rPr>
      </w:pPr>
      <w:bookmarkStart w:id="581" w:name="_Toc86934231"/>
    </w:p>
    <w:p w14:paraId="6BD0006F">
      <w:pPr>
        <w:pStyle w:val="5"/>
        <w:spacing w:line="360" w:lineRule="auto"/>
        <w:jc w:val="both"/>
        <w:rPr>
          <w:rFonts w:hint="eastAsia" w:ascii="宋体" w:hAnsi="宋体" w:eastAsia="宋体" w:cs="宋体"/>
          <w:bCs/>
          <w:color w:val="auto"/>
          <w:sz w:val="32"/>
          <w:szCs w:val="32"/>
        </w:rPr>
      </w:pPr>
    </w:p>
    <w:p w14:paraId="21EF8840">
      <w:pPr>
        <w:rPr>
          <w:rFonts w:hint="eastAsia" w:ascii="宋体" w:hAnsi="宋体" w:eastAsia="宋体" w:cs="宋体"/>
          <w:bCs/>
          <w:color w:val="auto"/>
          <w:sz w:val="32"/>
          <w:szCs w:val="32"/>
        </w:rPr>
      </w:pPr>
    </w:p>
    <w:p w14:paraId="61C27ABB">
      <w:pPr>
        <w:pStyle w:val="2"/>
        <w:rPr>
          <w:rFonts w:hint="eastAsia" w:ascii="宋体" w:hAnsi="宋体" w:eastAsia="宋体" w:cs="宋体"/>
          <w:bCs/>
          <w:color w:val="auto"/>
          <w:sz w:val="32"/>
          <w:szCs w:val="32"/>
        </w:rPr>
      </w:pPr>
    </w:p>
    <w:p w14:paraId="6D26C283">
      <w:pPr>
        <w:rPr>
          <w:rFonts w:hint="eastAsia" w:ascii="宋体" w:hAnsi="宋体" w:eastAsia="宋体" w:cs="宋体"/>
          <w:bCs/>
          <w:color w:val="auto"/>
          <w:sz w:val="32"/>
          <w:szCs w:val="32"/>
        </w:rPr>
      </w:pPr>
    </w:p>
    <w:p w14:paraId="29CF6366">
      <w:pPr>
        <w:pStyle w:val="2"/>
        <w:rPr>
          <w:rFonts w:hint="eastAsia"/>
          <w:color w:val="auto"/>
        </w:rPr>
      </w:pPr>
    </w:p>
    <w:p w14:paraId="623B0E91">
      <w:pPr>
        <w:rPr>
          <w:rFonts w:hint="eastAsia" w:ascii="宋体" w:hAnsi="宋体" w:eastAsia="宋体" w:cs="宋体"/>
          <w:bCs/>
          <w:color w:val="auto"/>
          <w:sz w:val="32"/>
          <w:szCs w:val="32"/>
        </w:rPr>
      </w:pPr>
    </w:p>
    <w:p w14:paraId="52BFE240">
      <w:pPr>
        <w:pStyle w:val="5"/>
        <w:rPr>
          <w:rFonts w:hint="eastAsia"/>
          <w:color w:val="auto"/>
        </w:rPr>
      </w:pPr>
    </w:p>
    <w:p w14:paraId="27A14207">
      <w:pPr>
        <w:pStyle w:val="5"/>
        <w:spacing w:line="360" w:lineRule="auto"/>
        <w:jc w:val="center"/>
        <w:rPr>
          <w:rFonts w:hint="eastAsia" w:ascii="宋体" w:hAnsi="宋体" w:eastAsia="宋体" w:cs="宋体"/>
          <w:bCs/>
          <w:color w:val="auto"/>
          <w:sz w:val="36"/>
          <w:szCs w:val="36"/>
        </w:rPr>
      </w:pPr>
      <w:bookmarkStart w:id="582" w:name="_Toc18203"/>
    </w:p>
    <w:p w14:paraId="20385109">
      <w:pPr>
        <w:pStyle w:val="5"/>
        <w:spacing w:line="360" w:lineRule="auto"/>
        <w:jc w:val="center"/>
        <w:rPr>
          <w:rFonts w:hint="eastAsia" w:ascii="宋体" w:hAnsi="宋体" w:eastAsia="宋体" w:cs="宋体"/>
          <w:bCs/>
          <w:color w:val="auto"/>
          <w:sz w:val="32"/>
          <w:szCs w:val="32"/>
        </w:rPr>
      </w:pPr>
      <w:r>
        <w:rPr>
          <w:rFonts w:hint="eastAsia" w:ascii="宋体" w:hAnsi="宋体" w:eastAsia="宋体" w:cs="宋体"/>
          <w:bCs/>
          <w:color w:val="auto"/>
          <w:sz w:val="36"/>
          <w:szCs w:val="36"/>
        </w:rPr>
        <w:t xml:space="preserve">第六章 </w:t>
      </w:r>
      <w:bookmarkEnd w:id="579"/>
      <w:bookmarkStart w:id="583" w:name="招标文件07章技术标准和要求01"/>
      <w:bookmarkEnd w:id="583"/>
      <w:bookmarkStart w:id="584" w:name="_Toc430530524"/>
      <w:bookmarkStart w:id="585" w:name="_Toc287620808"/>
      <w:r>
        <w:rPr>
          <w:rFonts w:hint="eastAsia" w:ascii="宋体" w:hAnsi="宋体" w:eastAsia="宋体" w:cs="宋体"/>
          <w:bCs/>
          <w:color w:val="auto"/>
          <w:sz w:val="36"/>
          <w:szCs w:val="36"/>
        </w:rPr>
        <w:t>商务需求</w:t>
      </w:r>
      <w:bookmarkEnd w:id="581"/>
      <w:bookmarkEnd w:id="582"/>
    </w:p>
    <w:bookmarkEnd w:id="460"/>
    <w:bookmarkEnd w:id="461"/>
    <w:bookmarkEnd w:id="462"/>
    <w:bookmarkEnd w:id="463"/>
    <w:bookmarkEnd w:id="464"/>
    <w:bookmarkEnd w:id="465"/>
    <w:bookmarkEnd w:id="584"/>
    <w:bookmarkEnd w:id="585"/>
    <w:p w14:paraId="57D88251">
      <w:pPr>
        <w:pStyle w:val="5"/>
        <w:keepNext w:val="0"/>
        <w:keepLines w:val="0"/>
        <w:pageBreakBefore w:val="0"/>
        <w:kinsoku/>
        <w:wordWrap/>
        <w:overflowPunct/>
        <w:topLinePunct w:val="0"/>
        <w:bidi w:val="0"/>
        <w:spacing w:line="400" w:lineRule="exact"/>
        <w:ind w:firstLine="482" w:firstLineChars="200"/>
        <w:rPr>
          <w:rFonts w:hint="eastAsia" w:ascii="宋体" w:hAnsi="宋体" w:eastAsia="宋体" w:cs="宋体"/>
          <w:color w:val="auto"/>
          <w:szCs w:val="24"/>
        </w:rPr>
      </w:pPr>
      <w:bookmarkStart w:id="586" w:name="_Toc344475120"/>
      <w:bookmarkStart w:id="587" w:name="_Toc86934232"/>
      <w:bookmarkStart w:id="588" w:name="_Toc9841"/>
      <w:bookmarkStart w:id="589" w:name="_Toc17923"/>
      <w:bookmarkStart w:id="590" w:name="_Toc14740"/>
      <w:bookmarkStart w:id="591" w:name="_Toc25261"/>
      <w:bookmarkStart w:id="592" w:name="_Toc87339941"/>
      <w:bookmarkStart w:id="593" w:name="_Toc419974528"/>
      <w:bookmarkStart w:id="594" w:name="_Toc370384675"/>
      <w:bookmarkStart w:id="595" w:name="_Toc419977313"/>
      <w:bookmarkStart w:id="596" w:name="_Toc338941681"/>
      <w:bookmarkStart w:id="597" w:name="_Toc428172776"/>
      <w:bookmarkStart w:id="598" w:name="_Toc419974286"/>
      <w:bookmarkStart w:id="599" w:name="_Toc430186005"/>
      <w:bookmarkStart w:id="600" w:name="_Toc430184721"/>
      <w:bookmarkStart w:id="601" w:name="_Toc428518773"/>
      <w:r>
        <w:rPr>
          <w:rFonts w:hint="eastAsia" w:ascii="宋体" w:hAnsi="宋体" w:eastAsia="宋体" w:cs="宋体"/>
          <w:color w:val="auto"/>
          <w:szCs w:val="24"/>
        </w:rPr>
        <w:t>一、</w:t>
      </w:r>
      <w:bookmarkEnd w:id="586"/>
      <w:bookmarkStart w:id="602" w:name="_Toc338150114"/>
      <w:r>
        <w:rPr>
          <w:rFonts w:hint="eastAsia" w:ascii="宋体" w:hAnsi="宋体" w:eastAsia="宋体" w:cs="宋体"/>
          <w:color w:val="auto"/>
          <w:szCs w:val="24"/>
        </w:rPr>
        <w:t>验收方式</w:t>
      </w:r>
      <w:bookmarkEnd w:id="587"/>
      <w:bookmarkEnd w:id="588"/>
      <w:bookmarkEnd w:id="589"/>
      <w:bookmarkEnd w:id="590"/>
      <w:bookmarkEnd w:id="591"/>
      <w:bookmarkEnd w:id="592"/>
    </w:p>
    <w:bookmarkEnd w:id="602"/>
    <w:p w14:paraId="1581C252">
      <w:pPr>
        <w:keepNext w:val="0"/>
        <w:keepLines w:val="0"/>
        <w:pageBreakBefore w:val="0"/>
        <w:kinsoku/>
        <w:wordWrap/>
        <w:overflowPunct/>
        <w:topLinePunct w:val="0"/>
        <w:bidi w:val="0"/>
        <w:adjustRightInd w:val="0"/>
        <w:spacing w:line="400" w:lineRule="exact"/>
        <w:ind w:firstLine="660" w:firstLineChars="300"/>
        <w:rPr>
          <w:rFonts w:hint="eastAsia" w:ascii="宋体" w:hAnsi="宋体" w:eastAsia="宋体" w:cs="宋体"/>
          <w:color w:val="auto"/>
          <w:sz w:val="22"/>
          <w:szCs w:val="22"/>
        </w:rPr>
      </w:pPr>
      <w:r>
        <w:rPr>
          <w:rFonts w:hint="eastAsia" w:ascii="宋体" w:hAnsi="宋体" w:eastAsia="宋体" w:cs="宋体"/>
          <w:color w:val="auto"/>
          <w:sz w:val="22"/>
          <w:szCs w:val="22"/>
        </w:rPr>
        <w:t>1．中标人应派遣有丰富经验和相应能力的人员进行现场组织施工，并对施工操作不当或错误所导致的直接损失和间接损失承担全部赔偿责任。</w:t>
      </w:r>
    </w:p>
    <w:p w14:paraId="0798F464">
      <w:pPr>
        <w:keepNext w:val="0"/>
        <w:keepLines w:val="0"/>
        <w:pageBreakBefore w:val="0"/>
        <w:kinsoku/>
        <w:wordWrap/>
        <w:overflowPunct/>
        <w:topLinePunct w:val="0"/>
        <w:bidi w:val="0"/>
        <w:adjustRightInd w:val="0"/>
        <w:spacing w:line="400" w:lineRule="exact"/>
        <w:ind w:firstLine="660" w:firstLineChars="300"/>
        <w:rPr>
          <w:rFonts w:hint="eastAsia" w:ascii="宋体" w:hAnsi="宋体" w:eastAsia="宋体" w:cs="宋体"/>
          <w:color w:val="auto"/>
          <w:sz w:val="22"/>
          <w:szCs w:val="22"/>
        </w:rPr>
      </w:pPr>
      <w:r>
        <w:rPr>
          <w:rFonts w:hint="eastAsia" w:ascii="宋体" w:hAnsi="宋体" w:eastAsia="宋体" w:cs="宋体"/>
          <w:color w:val="auto"/>
          <w:sz w:val="22"/>
          <w:szCs w:val="22"/>
        </w:rPr>
        <w:t>2．施工服务过程应遵照现行国家有关及规程规范进行施工，按照有关要求进行检查验收。中标人提供所有设备和材料应有完善的质量检测手段和质量保证体系，必须符合国家标准和行业标准。</w:t>
      </w:r>
    </w:p>
    <w:p w14:paraId="525CDC1B">
      <w:pPr>
        <w:keepNext w:val="0"/>
        <w:keepLines w:val="0"/>
        <w:pageBreakBefore w:val="0"/>
        <w:kinsoku/>
        <w:wordWrap/>
        <w:overflowPunct/>
        <w:topLinePunct w:val="0"/>
        <w:bidi w:val="0"/>
        <w:adjustRightInd w:val="0"/>
        <w:spacing w:line="400" w:lineRule="exact"/>
        <w:ind w:firstLine="660" w:firstLineChars="300"/>
        <w:rPr>
          <w:rFonts w:hint="eastAsia" w:ascii="宋体" w:hAnsi="宋体" w:eastAsia="宋体" w:cs="宋体"/>
          <w:color w:val="auto"/>
          <w:sz w:val="22"/>
          <w:szCs w:val="22"/>
        </w:rPr>
      </w:pPr>
      <w:r>
        <w:rPr>
          <w:rFonts w:hint="eastAsia" w:ascii="宋体" w:hAnsi="宋体" w:eastAsia="宋体" w:cs="宋体"/>
          <w:color w:val="auto"/>
          <w:sz w:val="22"/>
          <w:szCs w:val="22"/>
        </w:rPr>
        <w:t>3．施工服务完工后，招标人按国家相关标准验收程序和规程进行验收，验收合格后双方认可签字。</w:t>
      </w:r>
    </w:p>
    <w:p w14:paraId="1A64853A">
      <w:pPr>
        <w:pStyle w:val="5"/>
        <w:keepNext w:val="0"/>
        <w:keepLines w:val="0"/>
        <w:pageBreakBefore w:val="0"/>
        <w:kinsoku/>
        <w:wordWrap/>
        <w:overflowPunct/>
        <w:topLinePunct w:val="0"/>
        <w:bidi w:val="0"/>
        <w:spacing w:line="400" w:lineRule="exact"/>
        <w:ind w:firstLine="482" w:firstLineChars="200"/>
        <w:rPr>
          <w:rFonts w:hint="eastAsia" w:ascii="宋体" w:hAnsi="宋体" w:eastAsia="宋体" w:cs="宋体"/>
          <w:color w:val="auto"/>
          <w:szCs w:val="24"/>
        </w:rPr>
      </w:pPr>
      <w:bookmarkStart w:id="603" w:name="_Toc597"/>
      <w:bookmarkStart w:id="604" w:name="_Toc28645"/>
      <w:bookmarkStart w:id="605" w:name="_Toc16232"/>
      <w:bookmarkStart w:id="606" w:name="_Toc14755"/>
      <w:bookmarkStart w:id="607" w:name="_Toc87339942"/>
      <w:bookmarkStart w:id="608" w:name="_Toc86934233"/>
      <w:r>
        <w:rPr>
          <w:rFonts w:hint="eastAsia" w:ascii="宋体" w:hAnsi="宋体" w:eastAsia="宋体" w:cs="宋体"/>
          <w:color w:val="auto"/>
          <w:szCs w:val="24"/>
        </w:rPr>
        <w:t>二、质量保证</w:t>
      </w:r>
      <w:bookmarkEnd w:id="603"/>
      <w:bookmarkEnd w:id="604"/>
      <w:bookmarkEnd w:id="605"/>
      <w:r>
        <w:rPr>
          <w:rFonts w:hint="eastAsia" w:ascii="宋体" w:hAnsi="宋体" w:eastAsia="宋体" w:cs="宋体"/>
          <w:color w:val="auto"/>
          <w:szCs w:val="24"/>
        </w:rPr>
        <w:t>及售后服务</w:t>
      </w:r>
      <w:bookmarkEnd w:id="606"/>
      <w:bookmarkEnd w:id="607"/>
      <w:bookmarkEnd w:id="608"/>
    </w:p>
    <w:p w14:paraId="7165AA61">
      <w:pPr>
        <w:keepNext w:val="0"/>
        <w:keepLines w:val="0"/>
        <w:pageBreakBefore w:val="0"/>
        <w:kinsoku/>
        <w:wordWrap/>
        <w:overflowPunct/>
        <w:topLinePunct w:val="0"/>
        <w:bidi w:val="0"/>
        <w:adjustRightInd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rPr>
        <w:t>（一</w:t>
      </w:r>
      <w:r>
        <w:rPr>
          <w:rFonts w:hint="eastAsia" w:ascii="宋体" w:hAnsi="宋体" w:eastAsia="宋体" w:cs="宋体"/>
          <w:color w:val="auto"/>
          <w:sz w:val="22"/>
          <w:szCs w:val="22"/>
          <w:highlight w:val="none"/>
        </w:rPr>
        <w:t>）质量保修期:根据《建设工程质量管理条例》及有关规定，约定本工程的质量保修期：自工程验收合格之日起计算，质量保修期不少于2年。</w:t>
      </w:r>
    </w:p>
    <w:p w14:paraId="29A1FD62">
      <w:pPr>
        <w:keepNext w:val="0"/>
        <w:keepLines w:val="0"/>
        <w:pageBreakBefore w:val="0"/>
        <w:kinsoku/>
        <w:wordWrap/>
        <w:overflowPunct/>
        <w:topLinePunct w:val="0"/>
        <w:bidi w:val="0"/>
        <w:adjustRightInd w:val="0"/>
        <w:snapToGrid w:val="0"/>
        <w:spacing w:line="40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（二）在质保期内，所有设备和施工质量缺陷的维护及维修（非人为损坏）均为免费。</w:t>
      </w:r>
    </w:p>
    <w:p w14:paraId="76F87B72">
      <w:pPr>
        <w:keepNext w:val="0"/>
        <w:keepLines w:val="0"/>
        <w:pageBreakBefore w:val="0"/>
        <w:kinsoku/>
        <w:wordWrap/>
        <w:overflowPunct/>
        <w:topLinePunct w:val="0"/>
        <w:bidi w:val="0"/>
        <w:adjustRightInd w:val="0"/>
        <w:snapToGrid w:val="0"/>
        <w:spacing w:line="40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（三）在质保期内，所有设备维护和施工质量缺陷维修均为现场服务，由此产生的费用均不再收取。</w:t>
      </w:r>
    </w:p>
    <w:p w14:paraId="79DE2D1C">
      <w:pPr>
        <w:keepNext w:val="0"/>
        <w:keepLines w:val="0"/>
        <w:pageBreakBefore w:val="0"/>
        <w:kinsoku/>
        <w:wordWrap/>
        <w:overflowPunct/>
        <w:topLinePunct w:val="0"/>
        <w:bidi w:val="0"/>
        <w:adjustRightInd w:val="0"/>
        <w:snapToGrid w:val="0"/>
        <w:spacing w:line="40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（四）工程质量</w:t>
      </w:r>
      <w:r>
        <w:rPr>
          <w:rFonts w:hint="eastAsia" w:ascii="宋体" w:hAnsi="宋体" w:eastAsia="宋体" w:cs="宋体"/>
          <w:color w:val="auto"/>
          <w:kern w:val="0"/>
          <w:sz w:val="22"/>
          <w:szCs w:val="22"/>
          <w:highlight w:val="none"/>
        </w:rPr>
        <w:t>达到国家有关验收规范规定的标准，并一次性验收合格</w:t>
      </w:r>
      <w:r>
        <w:rPr>
          <w:rFonts w:hint="eastAsia" w:ascii="宋体" w:hAnsi="宋体" w:eastAsia="宋体" w:cs="宋体"/>
          <w:color w:val="auto"/>
          <w:sz w:val="22"/>
          <w:szCs w:val="22"/>
        </w:rPr>
        <w:t>。</w:t>
      </w:r>
    </w:p>
    <w:p w14:paraId="17205FD7">
      <w:pPr>
        <w:pStyle w:val="5"/>
        <w:keepNext w:val="0"/>
        <w:keepLines w:val="0"/>
        <w:pageBreakBefore w:val="0"/>
        <w:kinsoku/>
        <w:wordWrap/>
        <w:overflowPunct/>
        <w:topLinePunct w:val="0"/>
        <w:bidi w:val="0"/>
        <w:spacing w:line="400" w:lineRule="exact"/>
        <w:ind w:firstLine="482" w:firstLineChars="200"/>
        <w:rPr>
          <w:rFonts w:hint="eastAsia" w:ascii="宋体" w:hAnsi="宋体" w:eastAsia="宋体" w:cs="宋体"/>
          <w:color w:val="auto"/>
          <w:szCs w:val="24"/>
          <w:highlight w:val="none"/>
        </w:rPr>
      </w:pPr>
      <w:bookmarkStart w:id="609" w:name="_Toc522378522"/>
      <w:bookmarkStart w:id="610" w:name="_Toc9703"/>
      <w:bookmarkStart w:id="611" w:name="_Toc87339943"/>
      <w:bookmarkStart w:id="612" w:name="_Toc86934234"/>
      <w:bookmarkStart w:id="613" w:name="_Toc30574"/>
      <w:bookmarkStart w:id="614" w:name="_Toc11355"/>
      <w:r>
        <w:rPr>
          <w:rFonts w:hint="eastAsia" w:ascii="宋体" w:hAnsi="宋体" w:eastAsia="宋体" w:cs="宋体"/>
          <w:color w:val="auto"/>
          <w:szCs w:val="24"/>
          <w:highlight w:val="none"/>
        </w:rPr>
        <w:t>三、</w:t>
      </w:r>
      <w:bookmarkEnd w:id="609"/>
      <w:r>
        <w:rPr>
          <w:rFonts w:hint="eastAsia" w:ascii="宋体" w:hAnsi="宋体" w:eastAsia="宋体" w:cs="宋体"/>
          <w:color w:val="auto"/>
          <w:szCs w:val="24"/>
          <w:highlight w:val="none"/>
        </w:rPr>
        <w:t>报价要求</w:t>
      </w:r>
      <w:bookmarkEnd w:id="610"/>
      <w:bookmarkEnd w:id="611"/>
      <w:bookmarkEnd w:id="612"/>
      <w:bookmarkEnd w:id="613"/>
      <w:bookmarkEnd w:id="614"/>
    </w:p>
    <w:p w14:paraId="49323314">
      <w:pPr>
        <w:keepNext w:val="0"/>
        <w:keepLines w:val="0"/>
        <w:pageBreakBefore w:val="0"/>
        <w:kinsoku/>
        <w:wordWrap/>
        <w:overflowPunct/>
        <w:topLinePunct w:val="0"/>
        <w:bidi w:val="0"/>
        <w:adjustRightInd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1．投标人报价不得超过清单单价和最高限价。</w:t>
      </w:r>
    </w:p>
    <w:p w14:paraId="0E61DFE5">
      <w:pPr>
        <w:keepNext w:val="0"/>
        <w:keepLines w:val="0"/>
        <w:pageBreakBefore w:val="0"/>
        <w:kinsoku/>
        <w:wordWrap/>
        <w:overflowPunct/>
        <w:topLinePunct w:val="0"/>
        <w:bidi w:val="0"/>
        <w:adjustRightInd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2．投标人报价应包括本次比选范围内所需整体施工人工、材料、机具、设备、安装、包装费、运杂费、保险费、调试费、检测费(第三方检测验收等相关费用）、维护培训费、</w:t>
      </w:r>
      <w:r>
        <w:rPr>
          <w:rFonts w:hint="eastAsia" w:ascii="宋体" w:hAnsi="宋体" w:cs="宋体"/>
          <w:color w:val="auto"/>
          <w:sz w:val="22"/>
          <w:szCs w:val="22"/>
          <w:highlight w:val="none"/>
          <w:lang w:eastAsia="zh-CN"/>
        </w:rPr>
        <w:t>安全生产费</w:t>
      </w:r>
      <w:r>
        <w:rPr>
          <w:rFonts w:hint="eastAsia" w:ascii="宋体" w:hAnsi="宋体" w:eastAsia="宋体" w:cs="宋体"/>
          <w:color w:val="auto"/>
          <w:sz w:val="22"/>
          <w:szCs w:val="22"/>
          <w:highlight w:val="none"/>
        </w:rPr>
        <w:t>、除渣费、现有物品防护费、税费及利润等一切费用。</w:t>
      </w:r>
    </w:p>
    <w:p w14:paraId="37CE82CE">
      <w:pPr>
        <w:pStyle w:val="5"/>
        <w:keepNext w:val="0"/>
        <w:keepLines w:val="0"/>
        <w:pageBreakBefore w:val="0"/>
        <w:kinsoku/>
        <w:wordWrap/>
        <w:overflowPunct/>
        <w:topLinePunct w:val="0"/>
        <w:bidi w:val="0"/>
        <w:spacing w:line="400" w:lineRule="exact"/>
        <w:ind w:firstLine="482" w:firstLineChars="200"/>
        <w:rPr>
          <w:rFonts w:hint="eastAsia" w:ascii="宋体" w:hAnsi="宋体" w:eastAsia="宋体" w:cs="宋体"/>
          <w:color w:val="auto"/>
          <w:szCs w:val="24"/>
        </w:rPr>
      </w:pPr>
      <w:bookmarkStart w:id="615" w:name="_Toc26519"/>
      <w:bookmarkStart w:id="616" w:name="_Toc522378524"/>
      <w:bookmarkStart w:id="617" w:name="_Toc87339944"/>
      <w:bookmarkStart w:id="618" w:name="_Toc30458"/>
      <w:bookmarkStart w:id="619" w:name="_Toc86934235"/>
      <w:bookmarkStart w:id="620" w:name="_Toc32670"/>
      <w:bookmarkStart w:id="621" w:name="_Toc267320051"/>
      <w:r>
        <w:rPr>
          <w:rFonts w:hint="eastAsia" w:ascii="宋体" w:hAnsi="宋体" w:eastAsia="宋体" w:cs="宋体"/>
          <w:color w:val="auto"/>
          <w:szCs w:val="24"/>
        </w:rPr>
        <w:t>四、付款方式</w:t>
      </w:r>
      <w:bookmarkEnd w:id="615"/>
      <w:bookmarkEnd w:id="616"/>
      <w:bookmarkEnd w:id="617"/>
      <w:bookmarkEnd w:id="618"/>
      <w:bookmarkEnd w:id="619"/>
      <w:bookmarkEnd w:id="620"/>
      <w:bookmarkEnd w:id="621"/>
    </w:p>
    <w:p w14:paraId="6CAA6783">
      <w:pPr>
        <w:keepNext w:val="0"/>
        <w:keepLines w:val="0"/>
        <w:pageBreakBefore w:val="0"/>
        <w:widowControl/>
        <w:tabs>
          <w:tab w:val="left" w:pos="0"/>
        </w:tabs>
        <w:kinsoku/>
        <w:wordWrap/>
        <w:overflowPunct/>
        <w:topLinePunct w:val="0"/>
        <w:bidi w:val="0"/>
        <w:spacing w:line="400" w:lineRule="exact"/>
        <w:textAlignment w:val="top"/>
        <w:rPr>
          <w:rFonts w:hint="eastAsia" w:ascii="宋体" w:hAnsi="宋体" w:eastAsia="宋体" w:cs="宋体"/>
          <w:color w:val="auto"/>
          <w:kern w:val="0"/>
          <w:sz w:val="22"/>
          <w:szCs w:val="22"/>
          <w:highlight w:val="none"/>
          <w:lang w:val="en-US" w:eastAsia="zh-CN"/>
        </w:rPr>
      </w:pPr>
      <w:bookmarkStart w:id="622" w:name="_Toc87339945"/>
      <w:bookmarkStart w:id="623" w:name="_Toc11110"/>
      <w:bookmarkStart w:id="624" w:name="_Toc18232"/>
      <w:bookmarkStart w:id="625" w:name="_Toc522378525"/>
      <w:bookmarkStart w:id="626" w:name="_Toc86934236"/>
      <w:bookmarkStart w:id="627" w:name="_Toc267320052"/>
      <w:r>
        <w:rPr>
          <w:rFonts w:hint="eastAsia" w:ascii="宋体" w:hAnsi="宋体" w:eastAsia="宋体" w:cs="宋体"/>
          <w:color w:val="auto"/>
          <w:kern w:val="0"/>
          <w:sz w:val="22"/>
          <w:szCs w:val="22"/>
          <w:highlight w:val="none"/>
          <w:lang w:val="en-US" w:eastAsia="zh-CN"/>
        </w:rPr>
        <w:t>发包人以转账汇款方式支付工程款（进度款）：</w:t>
      </w:r>
    </w:p>
    <w:p w14:paraId="1923E73C">
      <w:pPr>
        <w:keepNext w:val="0"/>
        <w:keepLines w:val="0"/>
        <w:pageBreakBefore w:val="0"/>
        <w:widowControl/>
        <w:numPr>
          <w:ilvl w:val="0"/>
          <w:numId w:val="0"/>
        </w:numPr>
        <w:tabs>
          <w:tab w:val="left" w:pos="0"/>
        </w:tabs>
        <w:kinsoku/>
        <w:wordWrap/>
        <w:overflowPunct/>
        <w:topLinePunct w:val="0"/>
        <w:bidi w:val="0"/>
        <w:spacing w:line="400" w:lineRule="exact"/>
        <w:ind w:firstLine="440" w:firstLineChars="200"/>
        <w:textAlignment w:val="top"/>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1）本工程不支持预付款，</w:t>
      </w:r>
      <w:r>
        <w:rPr>
          <w:rFonts w:hint="eastAsia" w:ascii="宋体" w:hAnsi="宋体" w:eastAsia="宋体" w:cs="宋体"/>
          <w:color w:val="auto"/>
          <w:kern w:val="0"/>
          <w:sz w:val="22"/>
          <w:szCs w:val="22"/>
          <w:highlight w:val="none"/>
        </w:rPr>
        <w:t>在上级资金到位的情况下</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工程完工并验收合格支付至合同金额的80%、审计完成后</w:t>
      </w:r>
      <w:r>
        <w:rPr>
          <w:rFonts w:hint="eastAsia" w:ascii="宋体" w:hAnsi="宋体" w:eastAsia="宋体" w:cs="宋体"/>
          <w:color w:val="auto"/>
          <w:kern w:val="0"/>
          <w:sz w:val="22"/>
          <w:szCs w:val="22"/>
          <w:highlight w:val="none"/>
          <w:lang w:val="en-US" w:eastAsia="zh-CN"/>
        </w:rPr>
        <w:t>支付</w:t>
      </w:r>
      <w:r>
        <w:rPr>
          <w:rFonts w:hint="eastAsia" w:ascii="宋体" w:hAnsi="宋体" w:cs="宋体"/>
          <w:color w:val="auto"/>
          <w:kern w:val="0"/>
          <w:sz w:val="22"/>
          <w:szCs w:val="22"/>
          <w:highlight w:val="none"/>
          <w:lang w:val="en-US" w:eastAsia="zh-CN"/>
        </w:rPr>
        <w:t>至</w:t>
      </w:r>
      <w:r>
        <w:rPr>
          <w:rFonts w:hint="eastAsia" w:ascii="宋体" w:hAnsi="宋体" w:eastAsia="宋体" w:cs="宋体"/>
          <w:color w:val="auto"/>
          <w:kern w:val="0"/>
          <w:sz w:val="22"/>
          <w:szCs w:val="22"/>
          <w:highlight w:val="none"/>
          <w:lang w:val="en-US" w:eastAsia="zh-CN"/>
        </w:rPr>
        <w:t>审计审定金额97%的工程款，剩余3%作为质量保证金，保修期满后无息支付剩余的3%。</w:t>
      </w:r>
    </w:p>
    <w:p w14:paraId="0453BB5E">
      <w:pPr>
        <w:pStyle w:val="5"/>
        <w:keepNext w:val="0"/>
        <w:keepLines w:val="0"/>
        <w:pageBreakBefore w:val="0"/>
        <w:kinsoku/>
        <w:wordWrap/>
        <w:overflowPunct/>
        <w:topLinePunct w:val="0"/>
        <w:bidi w:val="0"/>
        <w:spacing w:line="400" w:lineRule="exact"/>
        <w:ind w:firstLine="482" w:firstLineChars="200"/>
        <w:rPr>
          <w:rFonts w:hint="eastAsia" w:ascii="宋体" w:hAnsi="宋体" w:eastAsia="宋体" w:cs="宋体"/>
          <w:color w:val="auto"/>
          <w:szCs w:val="24"/>
        </w:rPr>
      </w:pPr>
      <w:bookmarkStart w:id="628" w:name="_Toc2751"/>
      <w:r>
        <w:rPr>
          <w:rFonts w:hint="eastAsia" w:ascii="宋体" w:hAnsi="宋体" w:eastAsia="宋体" w:cs="宋体"/>
          <w:color w:val="auto"/>
          <w:szCs w:val="24"/>
        </w:rPr>
        <w:t>五、知识产权</w:t>
      </w:r>
      <w:bookmarkEnd w:id="622"/>
      <w:bookmarkEnd w:id="623"/>
      <w:bookmarkEnd w:id="624"/>
      <w:bookmarkEnd w:id="625"/>
      <w:bookmarkEnd w:id="626"/>
      <w:bookmarkEnd w:id="627"/>
      <w:bookmarkEnd w:id="628"/>
    </w:p>
    <w:p w14:paraId="6A053A9B">
      <w:pPr>
        <w:keepNext w:val="0"/>
        <w:keepLines w:val="0"/>
        <w:pageBreakBefore w:val="0"/>
        <w:kinsoku/>
        <w:wordWrap/>
        <w:overflowPunct/>
        <w:topLinePunct w:val="0"/>
        <w:bidi w:val="0"/>
        <w:adjustRightInd w:val="0"/>
        <w:snapToGrid w:val="0"/>
        <w:spacing w:line="400" w:lineRule="exact"/>
        <w:ind w:firstLine="440" w:firstLineChars="200"/>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招标人在中华人民共和国境内使用中标人提供的货物及服务时免受第三方提出的侵犯其专利权或其它知识产权的起诉。如果第三方提出侵权指控，中标人应承担由此而引起的一切法律责任和费用。</w:t>
      </w:r>
    </w:p>
    <w:p w14:paraId="63FF579B">
      <w:pPr>
        <w:pStyle w:val="5"/>
        <w:keepNext w:val="0"/>
        <w:keepLines w:val="0"/>
        <w:pageBreakBefore w:val="0"/>
        <w:kinsoku/>
        <w:wordWrap/>
        <w:overflowPunct/>
        <w:topLinePunct w:val="0"/>
        <w:bidi w:val="0"/>
        <w:spacing w:line="400" w:lineRule="exact"/>
        <w:ind w:firstLine="482" w:firstLineChars="200"/>
        <w:rPr>
          <w:rFonts w:hint="eastAsia" w:ascii="宋体" w:hAnsi="宋体" w:eastAsia="宋体" w:cs="宋体"/>
          <w:color w:val="auto"/>
          <w:szCs w:val="24"/>
        </w:rPr>
      </w:pPr>
      <w:bookmarkStart w:id="629" w:name="_Toc267320054"/>
      <w:bookmarkStart w:id="630" w:name="_Toc87339946"/>
      <w:bookmarkStart w:id="631" w:name="_Toc522378526"/>
      <w:bookmarkStart w:id="632" w:name="_Toc10935"/>
      <w:bookmarkStart w:id="633" w:name="_Toc2763"/>
      <w:bookmarkStart w:id="634" w:name="_Toc8361"/>
      <w:bookmarkStart w:id="635" w:name="_Toc86934237"/>
      <w:r>
        <w:rPr>
          <w:rFonts w:hint="eastAsia" w:ascii="宋体" w:hAnsi="宋体" w:eastAsia="宋体" w:cs="宋体"/>
          <w:color w:val="auto"/>
          <w:szCs w:val="24"/>
        </w:rPr>
        <w:t>六、</w:t>
      </w:r>
      <w:bookmarkEnd w:id="629"/>
      <w:r>
        <w:rPr>
          <w:rFonts w:hint="eastAsia" w:ascii="宋体" w:hAnsi="宋体" w:eastAsia="宋体" w:cs="宋体"/>
          <w:color w:val="auto"/>
          <w:szCs w:val="24"/>
        </w:rPr>
        <w:t>其他内容</w:t>
      </w:r>
      <w:bookmarkEnd w:id="630"/>
      <w:bookmarkEnd w:id="631"/>
      <w:bookmarkEnd w:id="632"/>
      <w:bookmarkEnd w:id="633"/>
      <w:bookmarkEnd w:id="634"/>
      <w:bookmarkEnd w:id="635"/>
    </w:p>
    <w:p w14:paraId="33258D77">
      <w:pPr>
        <w:keepNext w:val="0"/>
        <w:keepLines w:val="0"/>
        <w:pageBreakBefore w:val="0"/>
        <w:kinsoku/>
        <w:wordWrap/>
        <w:overflowPunct/>
        <w:topLinePunct w:val="0"/>
        <w:bidi w:val="0"/>
        <w:adjustRightInd w:val="0"/>
        <w:snapToGrid w:val="0"/>
        <w:spacing w:line="400" w:lineRule="exact"/>
        <w:ind w:firstLine="440" w:firstLineChars="200"/>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（一）投标人必须在投标文件中对以上条款和服务承诺明确列出，承诺内容必须达到本章及比选文件其他条款的要求。</w:t>
      </w:r>
    </w:p>
    <w:p w14:paraId="14A754BC">
      <w:pPr>
        <w:keepNext w:val="0"/>
        <w:keepLines w:val="0"/>
        <w:pageBreakBefore w:val="0"/>
        <w:kinsoku/>
        <w:wordWrap/>
        <w:overflowPunct/>
        <w:topLinePunct w:val="0"/>
        <w:bidi w:val="0"/>
        <w:adjustRightInd w:val="0"/>
        <w:snapToGrid w:val="0"/>
        <w:spacing w:line="400" w:lineRule="exact"/>
        <w:ind w:firstLine="440" w:firstLineChars="200"/>
        <w:rPr>
          <w:rFonts w:hint="eastAsia" w:ascii="宋体" w:hAnsi="宋体" w:eastAsia="宋体" w:cs="宋体"/>
          <w:bCs/>
          <w:color w:val="auto"/>
          <w:sz w:val="36"/>
          <w:szCs w:val="36"/>
        </w:rPr>
      </w:pPr>
      <w:r>
        <w:rPr>
          <w:rFonts w:hint="eastAsia" w:ascii="宋体" w:hAnsi="宋体" w:eastAsia="宋体" w:cs="宋体"/>
          <w:color w:val="auto"/>
          <w:kern w:val="0"/>
          <w:sz w:val="22"/>
          <w:szCs w:val="22"/>
        </w:rPr>
        <w:t>（二）其他未尽事宜由供需双方在合同中详细约定。</w:t>
      </w:r>
      <w:bookmarkStart w:id="636" w:name="_Toc86934238"/>
    </w:p>
    <w:p w14:paraId="52B8A08B">
      <w:pPr>
        <w:pStyle w:val="5"/>
        <w:spacing w:line="360" w:lineRule="auto"/>
        <w:jc w:val="center"/>
        <w:rPr>
          <w:rFonts w:hint="eastAsia" w:ascii="宋体" w:hAnsi="宋体" w:eastAsia="宋体" w:cs="宋体"/>
          <w:bCs/>
          <w:color w:val="auto"/>
          <w:sz w:val="32"/>
          <w:szCs w:val="32"/>
        </w:rPr>
        <w:sectPr>
          <w:pgSz w:w="11907" w:h="16840"/>
          <w:pgMar w:top="1134" w:right="1191" w:bottom="1134" w:left="1304" w:header="851" w:footer="992" w:gutter="0"/>
          <w:pgNumType w:fmt="decimal"/>
          <w:cols w:space="720" w:num="1"/>
          <w:docGrid w:linePitch="380" w:charSpace="-5735"/>
        </w:sectPr>
      </w:pPr>
    </w:p>
    <w:p w14:paraId="23D19A2A">
      <w:pPr>
        <w:pStyle w:val="5"/>
        <w:spacing w:line="360" w:lineRule="auto"/>
        <w:jc w:val="center"/>
        <w:rPr>
          <w:rFonts w:hint="eastAsia" w:ascii="宋体" w:hAnsi="宋体" w:eastAsia="宋体" w:cs="宋体"/>
          <w:bCs/>
          <w:color w:val="auto"/>
          <w:sz w:val="52"/>
          <w:szCs w:val="52"/>
        </w:rPr>
      </w:pPr>
    </w:p>
    <w:p w14:paraId="443FB093">
      <w:pPr>
        <w:pStyle w:val="5"/>
        <w:spacing w:line="360" w:lineRule="auto"/>
        <w:jc w:val="both"/>
        <w:rPr>
          <w:rFonts w:hint="eastAsia" w:ascii="宋体" w:hAnsi="宋体" w:eastAsia="宋体" w:cs="宋体"/>
          <w:bCs/>
          <w:color w:val="auto"/>
          <w:sz w:val="52"/>
          <w:szCs w:val="52"/>
        </w:rPr>
      </w:pPr>
    </w:p>
    <w:p w14:paraId="338F2CE8">
      <w:pPr>
        <w:pStyle w:val="5"/>
        <w:spacing w:line="360" w:lineRule="auto"/>
        <w:jc w:val="center"/>
        <w:rPr>
          <w:rFonts w:hint="eastAsia" w:ascii="宋体" w:hAnsi="宋体" w:eastAsia="宋体" w:cs="宋体"/>
          <w:bCs/>
          <w:color w:val="auto"/>
          <w:sz w:val="52"/>
          <w:szCs w:val="52"/>
        </w:rPr>
      </w:pPr>
    </w:p>
    <w:p w14:paraId="7B8DCB5B">
      <w:pPr>
        <w:pStyle w:val="5"/>
        <w:spacing w:line="360" w:lineRule="auto"/>
        <w:jc w:val="center"/>
        <w:rPr>
          <w:rFonts w:hint="eastAsia" w:ascii="宋体" w:hAnsi="宋体" w:eastAsia="宋体" w:cs="宋体"/>
          <w:bCs/>
          <w:color w:val="auto"/>
          <w:sz w:val="52"/>
          <w:szCs w:val="52"/>
        </w:rPr>
      </w:pPr>
    </w:p>
    <w:p w14:paraId="3E5E0685">
      <w:pPr>
        <w:pStyle w:val="5"/>
        <w:spacing w:line="360" w:lineRule="auto"/>
        <w:jc w:val="center"/>
        <w:rPr>
          <w:rFonts w:hint="eastAsia" w:ascii="宋体" w:hAnsi="宋体" w:eastAsia="宋体" w:cs="宋体"/>
          <w:bCs/>
          <w:color w:val="auto"/>
          <w:sz w:val="52"/>
          <w:szCs w:val="52"/>
        </w:rPr>
      </w:pPr>
    </w:p>
    <w:p w14:paraId="010E3E4D">
      <w:pPr>
        <w:pStyle w:val="5"/>
        <w:spacing w:line="360" w:lineRule="auto"/>
        <w:jc w:val="center"/>
        <w:rPr>
          <w:rFonts w:hint="eastAsia" w:ascii="宋体" w:hAnsi="宋体" w:eastAsia="宋体" w:cs="宋体"/>
          <w:bCs/>
          <w:color w:val="auto"/>
          <w:sz w:val="52"/>
          <w:szCs w:val="52"/>
        </w:rPr>
      </w:pPr>
    </w:p>
    <w:p w14:paraId="681B6AD4">
      <w:pPr>
        <w:pStyle w:val="5"/>
        <w:spacing w:line="360" w:lineRule="auto"/>
        <w:jc w:val="center"/>
        <w:rPr>
          <w:rFonts w:hint="eastAsia" w:ascii="宋体" w:hAnsi="宋体" w:eastAsia="宋体" w:cs="宋体"/>
          <w:color w:val="auto"/>
          <w:sz w:val="32"/>
          <w:szCs w:val="32"/>
        </w:rPr>
      </w:pPr>
      <w:bookmarkStart w:id="637" w:name="_Toc4589"/>
      <w:r>
        <w:rPr>
          <w:rFonts w:hint="eastAsia" w:ascii="宋体" w:hAnsi="宋体" w:eastAsia="宋体" w:cs="宋体"/>
          <w:bCs/>
          <w:color w:val="auto"/>
          <w:sz w:val="52"/>
          <w:szCs w:val="52"/>
        </w:rPr>
        <w:t xml:space="preserve">第七章 </w:t>
      </w:r>
      <w:r>
        <w:rPr>
          <w:rFonts w:hint="eastAsia" w:ascii="宋体" w:hAnsi="宋体" w:eastAsia="宋体" w:cs="宋体"/>
          <w:color w:val="auto"/>
          <w:sz w:val="52"/>
          <w:szCs w:val="52"/>
        </w:rPr>
        <w:t>投标文件格式</w:t>
      </w:r>
      <w:bookmarkEnd w:id="593"/>
      <w:bookmarkEnd w:id="594"/>
      <w:bookmarkEnd w:id="595"/>
      <w:bookmarkEnd w:id="596"/>
      <w:bookmarkEnd w:id="597"/>
      <w:bookmarkEnd w:id="598"/>
      <w:bookmarkEnd w:id="599"/>
      <w:bookmarkEnd w:id="600"/>
      <w:bookmarkEnd w:id="601"/>
      <w:bookmarkEnd w:id="636"/>
      <w:bookmarkEnd w:id="637"/>
      <w:bookmarkStart w:id="638" w:name="_Toc338941682"/>
      <w:bookmarkStart w:id="639" w:name="_Toc370384676"/>
    </w:p>
    <w:p w14:paraId="5C18508A">
      <w:pPr>
        <w:pStyle w:val="2"/>
        <w:rPr>
          <w:rFonts w:hint="eastAsia" w:ascii="宋体" w:hAnsi="宋体" w:eastAsia="宋体" w:cs="宋体"/>
          <w:b/>
          <w:color w:val="auto"/>
          <w:kern w:val="0"/>
          <w:sz w:val="44"/>
          <w:szCs w:val="44"/>
        </w:rPr>
      </w:pPr>
    </w:p>
    <w:p w14:paraId="77AC9323">
      <w:pPr>
        <w:pStyle w:val="2"/>
        <w:rPr>
          <w:rFonts w:hint="eastAsia" w:ascii="宋体" w:hAnsi="宋体" w:eastAsia="宋体" w:cs="宋体"/>
          <w:b/>
          <w:color w:val="auto"/>
          <w:kern w:val="0"/>
          <w:sz w:val="44"/>
          <w:szCs w:val="44"/>
        </w:rPr>
      </w:pPr>
    </w:p>
    <w:p w14:paraId="6679F9E2">
      <w:pPr>
        <w:pStyle w:val="2"/>
        <w:rPr>
          <w:rFonts w:hint="eastAsia" w:ascii="宋体" w:hAnsi="宋体" w:eastAsia="宋体" w:cs="宋体"/>
          <w:b/>
          <w:color w:val="auto"/>
          <w:kern w:val="0"/>
          <w:sz w:val="44"/>
          <w:szCs w:val="44"/>
        </w:rPr>
      </w:pPr>
    </w:p>
    <w:p w14:paraId="24C33B54">
      <w:pPr>
        <w:pStyle w:val="2"/>
        <w:rPr>
          <w:rFonts w:hint="eastAsia" w:ascii="宋体" w:hAnsi="宋体" w:eastAsia="宋体" w:cs="宋体"/>
          <w:b/>
          <w:color w:val="auto"/>
          <w:kern w:val="0"/>
          <w:sz w:val="44"/>
          <w:szCs w:val="44"/>
        </w:rPr>
      </w:pPr>
    </w:p>
    <w:p w14:paraId="60341FFF">
      <w:pPr>
        <w:pStyle w:val="2"/>
        <w:rPr>
          <w:rFonts w:hint="eastAsia" w:ascii="宋体" w:hAnsi="宋体" w:eastAsia="宋体" w:cs="宋体"/>
          <w:b/>
          <w:color w:val="auto"/>
          <w:kern w:val="0"/>
          <w:sz w:val="44"/>
          <w:szCs w:val="44"/>
        </w:rPr>
      </w:pPr>
    </w:p>
    <w:p w14:paraId="1D692005">
      <w:pPr>
        <w:pStyle w:val="2"/>
        <w:rPr>
          <w:rFonts w:hint="eastAsia" w:ascii="宋体" w:hAnsi="宋体" w:eastAsia="宋体" w:cs="宋体"/>
          <w:b/>
          <w:color w:val="auto"/>
          <w:kern w:val="0"/>
          <w:sz w:val="44"/>
          <w:szCs w:val="44"/>
        </w:rPr>
      </w:pPr>
    </w:p>
    <w:p w14:paraId="422EF379">
      <w:pPr>
        <w:pStyle w:val="2"/>
        <w:rPr>
          <w:rFonts w:hint="eastAsia" w:ascii="宋体" w:hAnsi="宋体" w:eastAsia="宋体" w:cs="宋体"/>
          <w:b/>
          <w:color w:val="auto"/>
          <w:kern w:val="0"/>
          <w:sz w:val="44"/>
          <w:szCs w:val="44"/>
        </w:rPr>
      </w:pPr>
    </w:p>
    <w:p w14:paraId="7F08890E">
      <w:pPr>
        <w:pStyle w:val="2"/>
        <w:rPr>
          <w:rFonts w:hint="eastAsia" w:ascii="宋体" w:hAnsi="宋体" w:eastAsia="宋体" w:cs="宋体"/>
          <w:b/>
          <w:color w:val="auto"/>
          <w:kern w:val="0"/>
          <w:sz w:val="44"/>
          <w:szCs w:val="44"/>
        </w:rPr>
      </w:pPr>
    </w:p>
    <w:p w14:paraId="707210CD">
      <w:pPr>
        <w:pStyle w:val="2"/>
        <w:rPr>
          <w:rFonts w:hint="eastAsia" w:ascii="宋体" w:hAnsi="宋体" w:eastAsia="宋体" w:cs="宋体"/>
          <w:b/>
          <w:color w:val="auto"/>
          <w:kern w:val="0"/>
          <w:sz w:val="44"/>
          <w:szCs w:val="44"/>
        </w:rPr>
      </w:pPr>
    </w:p>
    <w:p w14:paraId="30B70D50">
      <w:pPr>
        <w:pStyle w:val="2"/>
        <w:rPr>
          <w:rFonts w:hint="eastAsia" w:ascii="宋体" w:hAnsi="宋体" w:eastAsia="宋体" w:cs="宋体"/>
          <w:b/>
          <w:color w:val="auto"/>
          <w:kern w:val="0"/>
          <w:sz w:val="44"/>
          <w:szCs w:val="44"/>
        </w:rPr>
      </w:pPr>
    </w:p>
    <w:p w14:paraId="7D0A7C66">
      <w:pPr>
        <w:pStyle w:val="2"/>
        <w:rPr>
          <w:rFonts w:hint="eastAsia" w:ascii="宋体" w:hAnsi="宋体" w:eastAsia="宋体" w:cs="宋体"/>
          <w:b/>
          <w:color w:val="auto"/>
          <w:kern w:val="0"/>
          <w:sz w:val="44"/>
          <w:szCs w:val="44"/>
        </w:rPr>
      </w:pPr>
    </w:p>
    <w:p w14:paraId="7E42959B">
      <w:pPr>
        <w:pStyle w:val="2"/>
        <w:rPr>
          <w:rFonts w:hint="eastAsia" w:ascii="宋体" w:hAnsi="宋体" w:eastAsia="宋体" w:cs="宋体"/>
          <w:b/>
          <w:color w:val="auto"/>
          <w:kern w:val="0"/>
          <w:sz w:val="44"/>
          <w:szCs w:val="44"/>
        </w:rPr>
      </w:pPr>
    </w:p>
    <w:p w14:paraId="6F68F0FB">
      <w:pPr>
        <w:pStyle w:val="2"/>
        <w:rPr>
          <w:rFonts w:hint="eastAsia" w:ascii="宋体" w:hAnsi="宋体" w:eastAsia="宋体" w:cs="宋体"/>
          <w:b/>
          <w:color w:val="auto"/>
          <w:kern w:val="0"/>
          <w:sz w:val="44"/>
          <w:szCs w:val="44"/>
        </w:rPr>
      </w:pPr>
      <w:r>
        <w:rPr>
          <w:rFonts w:hint="eastAsia" w:ascii="宋体" w:hAnsi="宋体" w:eastAsia="宋体" w:cs="宋体"/>
          <w:b/>
          <w:color w:val="auto"/>
          <w:kern w:val="0"/>
          <w:sz w:val="44"/>
          <w:szCs w:val="44"/>
        </w:rPr>
        <w:t>封面格式：</w:t>
      </w:r>
    </w:p>
    <w:p w14:paraId="22A909D0">
      <w:pPr>
        <w:tabs>
          <w:tab w:val="left" w:pos="3600"/>
          <w:tab w:val="left" w:pos="4480"/>
          <w:tab w:val="left" w:pos="5360"/>
        </w:tabs>
        <w:autoSpaceDE w:val="0"/>
        <w:autoSpaceDN w:val="0"/>
        <w:adjustRightInd w:val="0"/>
        <w:snapToGrid w:val="0"/>
        <w:jc w:val="center"/>
        <w:rPr>
          <w:rFonts w:hint="eastAsia" w:ascii="宋体" w:hAnsi="宋体" w:eastAsia="宋体" w:cs="宋体"/>
          <w:color w:val="auto"/>
          <w:spacing w:val="80"/>
          <w:sz w:val="112"/>
          <w:szCs w:val="112"/>
        </w:rPr>
      </w:pPr>
      <w:bookmarkStart w:id="640" w:name="_Toc4214"/>
      <w:bookmarkStart w:id="641" w:name="_Toc8290"/>
      <w:bookmarkStart w:id="642" w:name="_Toc8708"/>
      <w:bookmarkStart w:id="643" w:name="_Toc31918"/>
      <w:bookmarkStart w:id="644" w:name="_Toc2072"/>
      <w:bookmarkStart w:id="645" w:name="_Toc10956"/>
      <w:bookmarkStart w:id="646" w:name="_Toc12063"/>
    </w:p>
    <w:p w14:paraId="4E0A7701">
      <w:pPr>
        <w:tabs>
          <w:tab w:val="left" w:pos="3600"/>
          <w:tab w:val="left" w:pos="4480"/>
          <w:tab w:val="left" w:pos="5360"/>
        </w:tabs>
        <w:autoSpaceDE w:val="0"/>
        <w:autoSpaceDN w:val="0"/>
        <w:adjustRightInd w:val="0"/>
        <w:snapToGrid w:val="0"/>
        <w:jc w:val="center"/>
        <w:rPr>
          <w:rFonts w:hint="eastAsia" w:ascii="宋体" w:hAnsi="宋体" w:eastAsia="宋体" w:cs="宋体"/>
          <w:color w:val="auto"/>
          <w:spacing w:val="80"/>
          <w:sz w:val="72"/>
          <w:szCs w:val="72"/>
        </w:rPr>
      </w:pPr>
    </w:p>
    <w:p w14:paraId="7DC9FF8D">
      <w:pPr>
        <w:spacing w:after="240" w:afterLines="100" w:line="360" w:lineRule="auto"/>
        <w:jc w:val="center"/>
        <w:rPr>
          <w:rStyle w:val="59"/>
          <w:rFonts w:hint="eastAsia" w:ascii="宋体" w:hAnsi="宋体" w:eastAsia="宋体" w:cs="宋体"/>
          <w:color w:val="auto"/>
          <w:sz w:val="84"/>
          <w:szCs w:val="84"/>
        </w:rPr>
      </w:pPr>
      <w:bookmarkStart w:id="647" w:name="_Toc86934239"/>
      <w:bookmarkStart w:id="648" w:name="_Toc26376"/>
      <w:bookmarkStart w:id="649" w:name="_Toc28938"/>
      <w:bookmarkStart w:id="650" w:name="_Toc4927"/>
      <w:r>
        <w:rPr>
          <w:rStyle w:val="59"/>
          <w:rFonts w:hint="eastAsia" w:ascii="宋体" w:hAnsi="宋体" w:eastAsia="宋体" w:cs="宋体"/>
          <w:color w:val="auto"/>
          <w:sz w:val="84"/>
          <w:szCs w:val="84"/>
        </w:rPr>
        <w:t>响应文件</w:t>
      </w:r>
      <w:bookmarkEnd w:id="640"/>
      <w:bookmarkEnd w:id="641"/>
      <w:bookmarkEnd w:id="642"/>
      <w:bookmarkEnd w:id="643"/>
      <w:bookmarkEnd w:id="644"/>
      <w:bookmarkEnd w:id="645"/>
      <w:bookmarkEnd w:id="646"/>
      <w:bookmarkEnd w:id="647"/>
    </w:p>
    <w:bookmarkEnd w:id="648"/>
    <w:bookmarkEnd w:id="649"/>
    <w:bookmarkEnd w:id="650"/>
    <w:p w14:paraId="38A609E2">
      <w:pPr>
        <w:pStyle w:val="2"/>
        <w:rPr>
          <w:rFonts w:hint="eastAsia" w:ascii="宋体" w:hAnsi="宋体" w:eastAsia="宋体" w:cs="宋体"/>
          <w:color w:val="auto"/>
        </w:rPr>
      </w:pPr>
    </w:p>
    <w:p w14:paraId="78DF040A">
      <w:pPr>
        <w:pStyle w:val="2"/>
        <w:rPr>
          <w:rFonts w:hint="eastAsia" w:ascii="宋体" w:hAnsi="宋体" w:eastAsia="宋体" w:cs="宋体"/>
          <w:color w:val="auto"/>
        </w:rPr>
      </w:pPr>
    </w:p>
    <w:p w14:paraId="4218C9A5">
      <w:pPr>
        <w:pStyle w:val="2"/>
        <w:rPr>
          <w:rFonts w:hint="eastAsia" w:ascii="宋体" w:hAnsi="宋体" w:eastAsia="宋体" w:cs="宋体"/>
          <w:color w:val="auto"/>
        </w:rPr>
      </w:pPr>
    </w:p>
    <w:p w14:paraId="615563A8">
      <w:pPr>
        <w:tabs>
          <w:tab w:val="left" w:pos="6904"/>
        </w:tabs>
        <w:autoSpaceDE w:val="0"/>
        <w:autoSpaceDN w:val="0"/>
        <w:adjustRightInd w:val="0"/>
        <w:snapToGrid w:val="0"/>
        <w:spacing w:line="360" w:lineRule="auto"/>
        <w:ind w:firstLine="1093" w:firstLineChars="393"/>
        <w:jc w:val="left"/>
        <w:rPr>
          <w:rFonts w:hint="eastAsia" w:ascii="宋体" w:hAnsi="宋体" w:eastAsia="宋体" w:cs="宋体"/>
          <w:b/>
          <w:bCs/>
          <w:color w:val="auto"/>
          <w:w w:val="99"/>
          <w:kern w:val="0"/>
          <w:sz w:val="28"/>
          <w:szCs w:val="28"/>
        </w:rPr>
      </w:pPr>
    </w:p>
    <w:p w14:paraId="653C5B11">
      <w:pPr>
        <w:tabs>
          <w:tab w:val="left" w:pos="6904"/>
        </w:tabs>
        <w:autoSpaceDE w:val="0"/>
        <w:autoSpaceDN w:val="0"/>
        <w:adjustRightInd w:val="0"/>
        <w:snapToGrid w:val="0"/>
        <w:spacing w:line="360" w:lineRule="auto"/>
        <w:ind w:firstLine="1093" w:firstLineChars="393"/>
        <w:jc w:val="left"/>
        <w:rPr>
          <w:rFonts w:hint="eastAsia" w:ascii="宋体" w:hAnsi="宋体" w:eastAsia="宋体" w:cs="宋体"/>
          <w:b/>
          <w:bCs/>
          <w:color w:val="auto"/>
          <w:w w:val="99"/>
          <w:kern w:val="0"/>
          <w:sz w:val="28"/>
          <w:szCs w:val="28"/>
        </w:rPr>
      </w:pPr>
    </w:p>
    <w:p w14:paraId="6D30A447">
      <w:pPr>
        <w:tabs>
          <w:tab w:val="left" w:pos="6904"/>
        </w:tabs>
        <w:autoSpaceDE w:val="0"/>
        <w:autoSpaceDN w:val="0"/>
        <w:adjustRightInd w:val="0"/>
        <w:snapToGrid w:val="0"/>
        <w:spacing w:line="360" w:lineRule="auto"/>
        <w:ind w:firstLine="1093" w:firstLineChars="393"/>
        <w:jc w:val="left"/>
        <w:rPr>
          <w:rFonts w:hint="eastAsia" w:ascii="宋体" w:hAnsi="宋体" w:eastAsia="宋体" w:cs="宋体"/>
          <w:b/>
          <w:bCs/>
          <w:color w:val="auto"/>
          <w:kern w:val="0"/>
          <w:sz w:val="28"/>
          <w:szCs w:val="28"/>
          <w:u w:val="single"/>
        </w:rPr>
      </w:pPr>
      <w:r>
        <w:rPr>
          <w:rFonts w:hint="eastAsia" w:ascii="宋体" w:hAnsi="宋体" w:eastAsia="宋体" w:cs="宋体"/>
          <w:b/>
          <w:bCs/>
          <w:color w:val="auto"/>
          <w:w w:val="99"/>
          <w:kern w:val="0"/>
          <w:sz w:val="28"/>
          <w:szCs w:val="28"/>
        </w:rPr>
        <w:t>项目名称：</w:t>
      </w:r>
      <w:r>
        <w:rPr>
          <w:rFonts w:hint="eastAsia" w:ascii="宋体" w:hAnsi="宋体" w:eastAsia="宋体" w:cs="宋体"/>
          <w:b/>
          <w:bCs/>
          <w:color w:val="auto"/>
          <w:w w:val="99"/>
          <w:kern w:val="0"/>
          <w:sz w:val="28"/>
          <w:szCs w:val="28"/>
          <w:u w:val="single"/>
        </w:rPr>
        <w:t xml:space="preserve">                      </w:t>
      </w:r>
      <w:r>
        <w:rPr>
          <w:rFonts w:hint="eastAsia" w:ascii="宋体" w:hAnsi="宋体" w:eastAsia="宋体" w:cs="宋体"/>
          <w:b/>
          <w:bCs/>
          <w:color w:val="auto"/>
          <w:kern w:val="0"/>
          <w:sz w:val="28"/>
          <w:szCs w:val="28"/>
          <w:u w:val="single"/>
        </w:rPr>
        <w:t xml:space="preserve">        </w:t>
      </w:r>
    </w:p>
    <w:p w14:paraId="2A23D78B">
      <w:pPr>
        <w:autoSpaceDE w:val="0"/>
        <w:autoSpaceDN w:val="0"/>
        <w:adjustRightInd w:val="0"/>
        <w:snapToGrid w:val="0"/>
        <w:spacing w:line="360" w:lineRule="auto"/>
        <w:ind w:firstLine="1124" w:firstLineChars="400"/>
        <w:jc w:val="left"/>
        <w:rPr>
          <w:rFonts w:hint="default" w:ascii="宋体" w:hAnsi="宋体" w:eastAsia="宋体" w:cs="宋体"/>
          <w:b/>
          <w:bCs/>
          <w:color w:val="auto"/>
          <w:kern w:val="0"/>
          <w:sz w:val="28"/>
          <w:szCs w:val="28"/>
          <w:u w:val="single"/>
          <w:lang w:val="en-US" w:eastAsia="zh-CN"/>
        </w:rPr>
      </w:pPr>
      <w:r>
        <w:rPr>
          <w:rFonts w:hint="eastAsia" w:ascii="宋体" w:hAnsi="宋体" w:eastAsia="宋体" w:cs="宋体"/>
          <w:b/>
          <w:bCs/>
          <w:color w:val="auto"/>
          <w:kern w:val="0"/>
          <w:sz w:val="28"/>
          <w:szCs w:val="28"/>
          <w:u w:val="none"/>
          <w:lang w:val="en-US" w:eastAsia="zh-CN"/>
        </w:rPr>
        <w:t>项目编号：</w:t>
      </w:r>
      <w:r>
        <w:rPr>
          <w:rFonts w:hint="eastAsia" w:ascii="宋体" w:hAnsi="宋体" w:cs="宋体"/>
          <w:b/>
          <w:bCs/>
          <w:color w:val="auto"/>
          <w:kern w:val="0"/>
          <w:sz w:val="28"/>
          <w:szCs w:val="28"/>
          <w:u w:val="single"/>
          <w:lang w:val="en-US" w:eastAsia="zh-CN"/>
        </w:rPr>
        <w:t xml:space="preserve">                             </w:t>
      </w:r>
    </w:p>
    <w:p w14:paraId="71CE0487">
      <w:pPr>
        <w:autoSpaceDE w:val="0"/>
        <w:autoSpaceDN w:val="0"/>
        <w:adjustRightInd w:val="0"/>
        <w:snapToGrid w:val="0"/>
        <w:spacing w:line="360" w:lineRule="auto"/>
        <w:jc w:val="left"/>
        <w:rPr>
          <w:rFonts w:hint="eastAsia" w:ascii="宋体" w:hAnsi="宋体" w:eastAsia="宋体" w:cs="宋体"/>
          <w:b/>
          <w:bCs/>
          <w:color w:val="auto"/>
          <w:kern w:val="0"/>
          <w:sz w:val="28"/>
          <w:szCs w:val="28"/>
          <w:u w:val="single"/>
        </w:rPr>
      </w:pPr>
    </w:p>
    <w:p w14:paraId="15B26684">
      <w:pPr>
        <w:autoSpaceDE w:val="0"/>
        <w:autoSpaceDN w:val="0"/>
        <w:adjustRightInd w:val="0"/>
        <w:snapToGrid w:val="0"/>
        <w:spacing w:line="360" w:lineRule="auto"/>
        <w:jc w:val="left"/>
        <w:rPr>
          <w:rFonts w:hint="eastAsia" w:ascii="宋体" w:hAnsi="宋体" w:eastAsia="宋体" w:cs="宋体"/>
          <w:b/>
          <w:bCs/>
          <w:color w:val="auto"/>
          <w:kern w:val="0"/>
          <w:sz w:val="28"/>
          <w:szCs w:val="28"/>
        </w:rPr>
      </w:pPr>
    </w:p>
    <w:p w14:paraId="15711709">
      <w:pPr>
        <w:autoSpaceDE w:val="0"/>
        <w:autoSpaceDN w:val="0"/>
        <w:adjustRightInd w:val="0"/>
        <w:snapToGrid w:val="0"/>
        <w:spacing w:line="360" w:lineRule="auto"/>
        <w:jc w:val="left"/>
        <w:rPr>
          <w:rFonts w:hint="eastAsia" w:ascii="宋体" w:hAnsi="宋体" w:eastAsia="宋体" w:cs="宋体"/>
          <w:b/>
          <w:bCs/>
          <w:color w:val="auto"/>
          <w:kern w:val="0"/>
          <w:sz w:val="28"/>
          <w:szCs w:val="28"/>
        </w:rPr>
      </w:pPr>
    </w:p>
    <w:p w14:paraId="4A90DC56">
      <w:pPr>
        <w:autoSpaceDE w:val="0"/>
        <w:autoSpaceDN w:val="0"/>
        <w:adjustRightInd w:val="0"/>
        <w:snapToGrid w:val="0"/>
        <w:spacing w:line="360" w:lineRule="auto"/>
        <w:jc w:val="left"/>
        <w:rPr>
          <w:rFonts w:hint="eastAsia" w:ascii="宋体" w:hAnsi="宋体" w:eastAsia="宋体" w:cs="宋体"/>
          <w:b/>
          <w:bCs/>
          <w:color w:val="auto"/>
          <w:kern w:val="0"/>
          <w:sz w:val="28"/>
          <w:szCs w:val="28"/>
        </w:rPr>
      </w:pPr>
    </w:p>
    <w:p w14:paraId="74190719">
      <w:pPr>
        <w:tabs>
          <w:tab w:val="left" w:pos="6080"/>
          <w:tab w:val="left" w:pos="6640"/>
        </w:tabs>
        <w:autoSpaceDE w:val="0"/>
        <w:autoSpaceDN w:val="0"/>
        <w:adjustRightInd w:val="0"/>
        <w:snapToGrid w:val="0"/>
        <w:spacing w:line="360" w:lineRule="auto"/>
        <w:ind w:firstLine="1251" w:firstLineChars="450"/>
        <w:rPr>
          <w:rFonts w:hint="eastAsia" w:ascii="宋体" w:hAnsi="宋体" w:eastAsia="宋体" w:cs="宋体"/>
          <w:b/>
          <w:bCs/>
          <w:color w:val="auto"/>
          <w:w w:val="99"/>
          <w:kern w:val="0"/>
          <w:sz w:val="28"/>
          <w:szCs w:val="28"/>
        </w:rPr>
      </w:pPr>
      <w:r>
        <w:rPr>
          <w:rFonts w:hint="eastAsia" w:ascii="宋体" w:hAnsi="宋体" w:eastAsia="宋体" w:cs="宋体"/>
          <w:b/>
          <w:bCs/>
          <w:color w:val="auto"/>
          <w:w w:val="99"/>
          <w:kern w:val="0"/>
          <w:sz w:val="28"/>
          <w:szCs w:val="28"/>
        </w:rPr>
        <w:t>投标单位</w:t>
      </w:r>
      <w:r>
        <w:rPr>
          <w:rFonts w:hint="eastAsia" w:ascii="宋体" w:hAnsi="宋体" w:eastAsia="宋体" w:cs="宋体"/>
          <w:b/>
          <w:bCs/>
          <w:color w:val="auto"/>
          <w:spacing w:val="1"/>
          <w:w w:val="99"/>
          <w:kern w:val="0"/>
          <w:sz w:val="28"/>
          <w:szCs w:val="28"/>
        </w:rPr>
        <w:t>：</w:t>
      </w:r>
      <w:r>
        <w:rPr>
          <w:rFonts w:hint="eastAsia" w:ascii="宋体" w:hAnsi="宋体" w:eastAsia="宋体" w:cs="宋体"/>
          <w:b/>
          <w:bCs/>
          <w:color w:val="auto"/>
          <w:w w:val="198"/>
          <w:kern w:val="0"/>
          <w:sz w:val="28"/>
          <w:szCs w:val="28"/>
          <w:u w:val="single"/>
        </w:rPr>
        <w:t xml:space="preserve"> 　  　　　 　　</w:t>
      </w:r>
      <w:r>
        <w:rPr>
          <w:rFonts w:hint="eastAsia" w:ascii="宋体" w:hAnsi="宋体" w:eastAsia="宋体" w:cs="宋体"/>
          <w:b/>
          <w:bCs/>
          <w:color w:val="auto"/>
          <w:w w:val="99"/>
          <w:kern w:val="0"/>
          <w:sz w:val="28"/>
          <w:szCs w:val="28"/>
        </w:rPr>
        <w:t>（公章）</w:t>
      </w:r>
    </w:p>
    <w:p w14:paraId="78A02769">
      <w:pPr>
        <w:tabs>
          <w:tab w:val="left" w:pos="6080"/>
          <w:tab w:val="left" w:pos="6640"/>
        </w:tabs>
        <w:autoSpaceDE w:val="0"/>
        <w:autoSpaceDN w:val="0"/>
        <w:adjustRightInd w:val="0"/>
        <w:snapToGrid w:val="0"/>
        <w:spacing w:line="360" w:lineRule="auto"/>
        <w:ind w:firstLine="1251" w:firstLineChars="450"/>
        <w:rPr>
          <w:rFonts w:hint="eastAsia" w:ascii="宋体" w:hAnsi="宋体" w:eastAsia="宋体" w:cs="宋体"/>
          <w:b/>
          <w:bCs/>
          <w:color w:val="auto"/>
          <w:w w:val="99"/>
          <w:kern w:val="0"/>
          <w:sz w:val="28"/>
          <w:szCs w:val="28"/>
        </w:rPr>
      </w:pPr>
    </w:p>
    <w:p w14:paraId="1371ED71">
      <w:pPr>
        <w:tabs>
          <w:tab w:val="left" w:pos="6080"/>
          <w:tab w:val="left" w:pos="6640"/>
        </w:tabs>
        <w:autoSpaceDE w:val="0"/>
        <w:autoSpaceDN w:val="0"/>
        <w:adjustRightInd w:val="0"/>
        <w:snapToGrid w:val="0"/>
        <w:spacing w:line="360" w:lineRule="auto"/>
        <w:ind w:firstLine="1251" w:firstLineChars="450"/>
        <w:rPr>
          <w:rFonts w:hint="eastAsia" w:ascii="宋体" w:hAnsi="宋体" w:eastAsia="宋体" w:cs="宋体"/>
          <w:b/>
          <w:bCs/>
          <w:color w:val="auto"/>
          <w:w w:val="99"/>
          <w:kern w:val="0"/>
          <w:sz w:val="28"/>
          <w:szCs w:val="28"/>
        </w:rPr>
      </w:pPr>
      <w:r>
        <w:rPr>
          <w:rFonts w:hint="eastAsia" w:ascii="宋体" w:hAnsi="宋体" w:eastAsia="宋体" w:cs="宋体"/>
          <w:b/>
          <w:bCs/>
          <w:color w:val="auto"/>
          <w:w w:val="99"/>
          <w:kern w:val="0"/>
          <w:sz w:val="28"/>
          <w:szCs w:val="28"/>
        </w:rPr>
        <w:t>法定代表人或其授权代表：</w:t>
      </w:r>
      <w:r>
        <w:rPr>
          <w:rFonts w:hint="eastAsia" w:ascii="宋体" w:hAnsi="宋体" w:eastAsia="宋体" w:cs="宋体"/>
          <w:b/>
          <w:bCs/>
          <w:color w:val="auto"/>
          <w:w w:val="198"/>
          <w:kern w:val="0"/>
          <w:sz w:val="28"/>
          <w:szCs w:val="28"/>
          <w:u w:val="single"/>
        </w:rPr>
        <w:t xml:space="preserve"> 　　 　</w:t>
      </w:r>
      <w:r>
        <w:rPr>
          <w:rFonts w:hint="eastAsia" w:ascii="宋体" w:hAnsi="宋体" w:eastAsia="宋体" w:cs="宋体"/>
          <w:b/>
          <w:bCs/>
          <w:color w:val="auto"/>
          <w:w w:val="99"/>
          <w:kern w:val="0"/>
          <w:sz w:val="28"/>
          <w:szCs w:val="28"/>
        </w:rPr>
        <w:t>（签字）</w:t>
      </w:r>
    </w:p>
    <w:p w14:paraId="429CEA81">
      <w:pPr>
        <w:tabs>
          <w:tab w:val="left" w:pos="3280"/>
          <w:tab w:val="left" w:pos="4680"/>
          <w:tab w:val="left" w:pos="6080"/>
        </w:tabs>
        <w:autoSpaceDE w:val="0"/>
        <w:autoSpaceDN w:val="0"/>
        <w:adjustRightInd w:val="0"/>
        <w:snapToGrid w:val="0"/>
        <w:spacing w:line="360" w:lineRule="auto"/>
        <w:jc w:val="center"/>
        <w:rPr>
          <w:rFonts w:hint="eastAsia" w:ascii="宋体" w:hAnsi="宋体" w:eastAsia="宋体" w:cs="宋体"/>
          <w:color w:val="auto"/>
          <w:w w:val="99"/>
          <w:kern w:val="0"/>
          <w:sz w:val="28"/>
          <w:szCs w:val="28"/>
          <w:u w:val="single"/>
        </w:rPr>
      </w:pPr>
    </w:p>
    <w:p w14:paraId="7145BBBC">
      <w:pPr>
        <w:tabs>
          <w:tab w:val="left" w:pos="3280"/>
          <w:tab w:val="left" w:pos="4680"/>
          <w:tab w:val="left" w:pos="6080"/>
        </w:tabs>
        <w:autoSpaceDE w:val="0"/>
        <w:autoSpaceDN w:val="0"/>
        <w:adjustRightInd w:val="0"/>
        <w:snapToGrid w:val="0"/>
        <w:spacing w:line="360" w:lineRule="auto"/>
        <w:jc w:val="center"/>
        <w:rPr>
          <w:rFonts w:hint="eastAsia" w:ascii="宋体" w:hAnsi="宋体" w:eastAsia="宋体" w:cs="宋体"/>
          <w:b/>
          <w:bCs/>
          <w:color w:val="auto"/>
          <w:w w:val="99"/>
          <w:kern w:val="0"/>
          <w:sz w:val="28"/>
          <w:szCs w:val="28"/>
        </w:rPr>
      </w:pPr>
      <w:r>
        <w:rPr>
          <w:rFonts w:hint="eastAsia" w:ascii="宋体" w:hAnsi="宋体" w:eastAsia="宋体" w:cs="宋体"/>
          <w:b/>
          <w:bCs/>
          <w:color w:val="auto"/>
          <w:w w:val="99"/>
          <w:kern w:val="0"/>
          <w:sz w:val="28"/>
          <w:szCs w:val="28"/>
          <w:u w:val="single"/>
        </w:rPr>
        <w:t xml:space="preserve">     　</w:t>
      </w:r>
      <w:r>
        <w:rPr>
          <w:rFonts w:hint="eastAsia" w:ascii="宋体" w:hAnsi="宋体" w:eastAsia="宋体" w:cs="宋体"/>
          <w:b/>
          <w:bCs/>
          <w:color w:val="auto"/>
          <w:w w:val="99"/>
          <w:kern w:val="0"/>
          <w:sz w:val="28"/>
          <w:szCs w:val="28"/>
        </w:rPr>
        <w:t>年</w:t>
      </w:r>
      <w:r>
        <w:rPr>
          <w:rFonts w:hint="eastAsia" w:ascii="宋体" w:hAnsi="宋体" w:eastAsia="宋体" w:cs="宋体"/>
          <w:b/>
          <w:bCs/>
          <w:color w:val="auto"/>
          <w:w w:val="198"/>
          <w:kern w:val="0"/>
          <w:sz w:val="28"/>
          <w:szCs w:val="28"/>
          <w:u w:val="single"/>
        </w:rPr>
        <w:t xml:space="preserve">  </w:t>
      </w:r>
      <w:r>
        <w:rPr>
          <w:rFonts w:hint="eastAsia" w:ascii="宋体" w:hAnsi="宋体" w:eastAsia="宋体" w:cs="宋体"/>
          <w:b/>
          <w:bCs/>
          <w:color w:val="auto"/>
          <w:w w:val="99"/>
          <w:kern w:val="0"/>
          <w:sz w:val="28"/>
          <w:szCs w:val="28"/>
        </w:rPr>
        <w:t>月</w:t>
      </w:r>
      <w:r>
        <w:rPr>
          <w:rFonts w:hint="eastAsia" w:ascii="宋体" w:hAnsi="宋体" w:eastAsia="宋体" w:cs="宋体"/>
          <w:b/>
          <w:bCs/>
          <w:color w:val="auto"/>
          <w:w w:val="198"/>
          <w:kern w:val="0"/>
          <w:sz w:val="28"/>
          <w:szCs w:val="28"/>
          <w:u w:val="single"/>
        </w:rPr>
        <w:t xml:space="preserve">  </w:t>
      </w:r>
      <w:r>
        <w:rPr>
          <w:rFonts w:hint="eastAsia" w:ascii="宋体" w:hAnsi="宋体" w:eastAsia="宋体" w:cs="宋体"/>
          <w:b/>
          <w:bCs/>
          <w:color w:val="auto"/>
          <w:w w:val="99"/>
          <w:kern w:val="0"/>
          <w:sz w:val="28"/>
          <w:szCs w:val="28"/>
        </w:rPr>
        <w:t>日</w:t>
      </w:r>
    </w:p>
    <w:p w14:paraId="08D6E382">
      <w:pPr>
        <w:spacing w:line="360" w:lineRule="auto"/>
        <w:jc w:val="center"/>
        <w:rPr>
          <w:rFonts w:hint="eastAsia" w:ascii="宋体" w:hAnsi="宋体" w:eastAsia="宋体" w:cs="宋体"/>
          <w:b/>
          <w:color w:val="auto"/>
          <w:sz w:val="28"/>
          <w:szCs w:val="28"/>
        </w:rPr>
      </w:pPr>
    </w:p>
    <w:p w14:paraId="01A15BF7">
      <w:pPr>
        <w:spacing w:line="360" w:lineRule="auto"/>
        <w:jc w:val="both"/>
        <w:rPr>
          <w:rFonts w:hint="eastAsia" w:ascii="宋体" w:hAnsi="宋体" w:eastAsia="宋体" w:cs="宋体"/>
          <w:b/>
          <w:bCs/>
          <w:color w:val="auto"/>
          <w:sz w:val="32"/>
          <w:szCs w:val="32"/>
        </w:rPr>
      </w:pPr>
    </w:p>
    <w:p w14:paraId="697DA5AA">
      <w:pPr>
        <w:spacing w:line="360" w:lineRule="auto"/>
        <w:ind w:firstLine="643" w:firstLineChars="200"/>
        <w:jc w:val="center"/>
        <w:outlineLvl w:val="3"/>
        <w:rPr>
          <w:rFonts w:hint="eastAsia" w:ascii="宋体" w:hAnsi="宋体" w:eastAsia="宋体" w:cs="宋体"/>
          <w:b/>
          <w:bCs/>
          <w:color w:val="auto"/>
          <w:sz w:val="32"/>
          <w:szCs w:val="32"/>
        </w:rPr>
      </w:pPr>
    </w:p>
    <w:p w14:paraId="6454E705">
      <w:pPr>
        <w:spacing w:line="360" w:lineRule="auto"/>
        <w:ind w:firstLine="643" w:firstLineChars="200"/>
        <w:jc w:val="center"/>
        <w:outlineLvl w:val="3"/>
        <w:rPr>
          <w:rFonts w:hint="eastAsia" w:ascii="宋体" w:hAnsi="宋体" w:eastAsia="宋体" w:cs="宋体"/>
          <w:b/>
          <w:bCs/>
          <w:color w:val="auto"/>
          <w:sz w:val="32"/>
          <w:szCs w:val="32"/>
        </w:rPr>
      </w:pPr>
      <w:r>
        <w:rPr>
          <w:rFonts w:hint="eastAsia" w:ascii="宋体" w:hAnsi="宋体" w:eastAsia="宋体" w:cs="宋体"/>
          <w:b/>
          <w:bCs/>
          <w:color w:val="auto"/>
          <w:sz w:val="32"/>
          <w:szCs w:val="32"/>
        </w:rPr>
        <w:t>目  录</w:t>
      </w:r>
    </w:p>
    <w:p w14:paraId="4B0DA3EA">
      <w:pPr>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一、经济部分</w:t>
      </w:r>
    </w:p>
    <w:p w14:paraId="37A6F6B4">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（一）竞争性比选报价函</w:t>
      </w:r>
    </w:p>
    <w:p w14:paraId="3E93D94A">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（二）明细报价表</w:t>
      </w:r>
    </w:p>
    <w:p w14:paraId="27F94AEC">
      <w:pPr>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二、</w:t>
      </w:r>
      <w:r>
        <w:rPr>
          <w:rFonts w:hint="eastAsia" w:ascii="宋体" w:hAnsi="宋体" w:cs="宋体"/>
          <w:b/>
          <w:bCs/>
          <w:color w:val="auto"/>
          <w:sz w:val="24"/>
          <w:szCs w:val="24"/>
          <w:lang w:val="en-US" w:eastAsia="zh-CN"/>
        </w:rPr>
        <w:t>技术</w:t>
      </w:r>
      <w:r>
        <w:rPr>
          <w:rFonts w:hint="eastAsia" w:ascii="宋体" w:hAnsi="宋体" w:eastAsia="宋体" w:cs="宋体"/>
          <w:b/>
          <w:bCs/>
          <w:color w:val="auto"/>
          <w:sz w:val="24"/>
          <w:szCs w:val="24"/>
        </w:rPr>
        <w:t>部分</w:t>
      </w:r>
    </w:p>
    <w:p w14:paraId="5377F1BB">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技术</w:t>
      </w:r>
      <w:r>
        <w:rPr>
          <w:rFonts w:hint="eastAsia" w:ascii="宋体" w:hAnsi="宋体" w:eastAsia="宋体" w:cs="宋体"/>
          <w:color w:val="auto"/>
          <w:sz w:val="24"/>
          <w:szCs w:val="24"/>
        </w:rPr>
        <w:t>响应偏离表</w:t>
      </w:r>
    </w:p>
    <w:p w14:paraId="520E02AC">
      <w:pPr>
        <w:spacing w:line="44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二</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其他</w:t>
      </w:r>
    </w:p>
    <w:p w14:paraId="3144376B">
      <w:pPr>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三、商务部分</w:t>
      </w:r>
    </w:p>
    <w:p w14:paraId="5A20A733">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（一）商务响应偏离表</w:t>
      </w:r>
    </w:p>
    <w:p w14:paraId="10F7B973">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（二）其它优惠承诺</w:t>
      </w:r>
    </w:p>
    <w:p w14:paraId="19FA2521">
      <w:pPr>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四、资格条件及其他</w:t>
      </w:r>
    </w:p>
    <w:p w14:paraId="45538C94">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（一）营业执照（副本）或事业单位法人证书（副本）复印件</w:t>
      </w:r>
    </w:p>
    <w:p w14:paraId="3345D341">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（二）法定代表人身份证明书（格式）</w:t>
      </w:r>
    </w:p>
    <w:p w14:paraId="7CFAA183">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（三）法定代表人授权委托书（格式）</w:t>
      </w:r>
    </w:p>
    <w:p w14:paraId="69312321">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（四）资质证书副本复印件</w:t>
      </w:r>
    </w:p>
    <w:p w14:paraId="2C0BCD84">
      <w:pPr>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五、其他资料</w:t>
      </w:r>
    </w:p>
    <w:p w14:paraId="3884E0E5">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（一）其他与项目有关的资料</w:t>
      </w:r>
    </w:p>
    <w:p w14:paraId="71AB3C54">
      <w:pPr>
        <w:spacing w:line="440" w:lineRule="exact"/>
        <w:ind w:firstLine="480" w:firstLineChars="200"/>
        <w:rPr>
          <w:rFonts w:hint="eastAsia" w:ascii="宋体" w:hAnsi="宋体" w:eastAsia="宋体" w:cs="宋体"/>
          <w:color w:val="auto"/>
          <w:sz w:val="24"/>
          <w:szCs w:val="24"/>
        </w:rPr>
      </w:pPr>
    </w:p>
    <w:p w14:paraId="2BF6FB0F">
      <w:pPr>
        <w:spacing w:line="440" w:lineRule="exact"/>
        <w:ind w:firstLine="480" w:firstLineChars="200"/>
        <w:rPr>
          <w:rFonts w:hint="eastAsia" w:ascii="宋体" w:hAnsi="宋体" w:eastAsia="宋体" w:cs="宋体"/>
          <w:color w:val="auto"/>
          <w:sz w:val="24"/>
          <w:szCs w:val="24"/>
        </w:rPr>
      </w:pPr>
    </w:p>
    <w:p w14:paraId="22AB64AC">
      <w:pPr>
        <w:pStyle w:val="2"/>
        <w:rPr>
          <w:rFonts w:hint="eastAsia" w:ascii="宋体" w:hAnsi="宋体" w:eastAsia="宋体" w:cs="宋体"/>
          <w:color w:val="auto"/>
        </w:rPr>
      </w:pPr>
    </w:p>
    <w:p w14:paraId="0087B506">
      <w:pPr>
        <w:rPr>
          <w:rFonts w:hint="eastAsia" w:ascii="宋体" w:hAnsi="宋体" w:eastAsia="宋体" w:cs="宋体"/>
          <w:color w:val="auto"/>
        </w:rPr>
      </w:pPr>
    </w:p>
    <w:p w14:paraId="0E8342B3">
      <w:pPr>
        <w:pStyle w:val="2"/>
        <w:rPr>
          <w:rFonts w:hint="eastAsia" w:ascii="宋体" w:hAnsi="宋体" w:eastAsia="宋体" w:cs="宋体"/>
          <w:color w:val="auto"/>
        </w:rPr>
      </w:pPr>
    </w:p>
    <w:p w14:paraId="7BA0D0AF">
      <w:pPr>
        <w:rPr>
          <w:rFonts w:hint="eastAsia" w:ascii="宋体" w:hAnsi="宋体" w:eastAsia="宋体" w:cs="宋体"/>
          <w:color w:val="auto"/>
        </w:rPr>
      </w:pPr>
    </w:p>
    <w:p w14:paraId="3907231B">
      <w:pPr>
        <w:pStyle w:val="2"/>
        <w:rPr>
          <w:rFonts w:hint="eastAsia" w:ascii="宋体" w:hAnsi="宋体" w:eastAsia="宋体" w:cs="宋体"/>
          <w:color w:val="auto"/>
        </w:rPr>
      </w:pPr>
    </w:p>
    <w:p w14:paraId="35C06993">
      <w:pPr>
        <w:rPr>
          <w:rFonts w:hint="eastAsia" w:ascii="宋体" w:hAnsi="宋体" w:eastAsia="宋体" w:cs="宋体"/>
          <w:color w:val="auto"/>
        </w:rPr>
      </w:pPr>
    </w:p>
    <w:p w14:paraId="00ABBA0C">
      <w:pPr>
        <w:pStyle w:val="2"/>
        <w:rPr>
          <w:rFonts w:hint="eastAsia" w:ascii="宋体" w:hAnsi="宋体" w:eastAsia="宋体" w:cs="宋体"/>
          <w:color w:val="auto"/>
        </w:rPr>
      </w:pPr>
    </w:p>
    <w:p w14:paraId="56D30531">
      <w:pPr>
        <w:rPr>
          <w:rFonts w:hint="eastAsia" w:ascii="宋体" w:hAnsi="宋体" w:eastAsia="宋体" w:cs="宋体"/>
          <w:color w:val="auto"/>
        </w:rPr>
      </w:pPr>
    </w:p>
    <w:p w14:paraId="73B62B18">
      <w:pPr>
        <w:pStyle w:val="2"/>
        <w:rPr>
          <w:rFonts w:hint="eastAsia" w:ascii="宋体" w:hAnsi="宋体" w:eastAsia="宋体" w:cs="宋体"/>
          <w:color w:val="auto"/>
        </w:rPr>
      </w:pPr>
    </w:p>
    <w:p w14:paraId="72909E12">
      <w:pPr>
        <w:rPr>
          <w:rFonts w:hint="eastAsia" w:ascii="宋体" w:hAnsi="宋体" w:eastAsia="宋体" w:cs="宋体"/>
          <w:color w:val="auto"/>
        </w:rPr>
      </w:pPr>
    </w:p>
    <w:p w14:paraId="3B1941F2">
      <w:pPr>
        <w:pStyle w:val="2"/>
        <w:rPr>
          <w:rFonts w:hint="eastAsia" w:ascii="宋体" w:hAnsi="宋体" w:eastAsia="宋体" w:cs="宋体"/>
          <w:color w:val="auto"/>
        </w:rPr>
      </w:pPr>
    </w:p>
    <w:p w14:paraId="247F53A2">
      <w:pPr>
        <w:rPr>
          <w:rFonts w:hint="eastAsia" w:ascii="宋体" w:hAnsi="宋体" w:eastAsia="宋体" w:cs="宋体"/>
          <w:color w:val="auto"/>
        </w:rPr>
      </w:pPr>
    </w:p>
    <w:p w14:paraId="45E8C13A">
      <w:pPr>
        <w:pStyle w:val="2"/>
        <w:rPr>
          <w:rFonts w:hint="eastAsia" w:ascii="宋体" w:hAnsi="宋体" w:eastAsia="宋体" w:cs="宋体"/>
          <w:color w:val="auto"/>
        </w:rPr>
      </w:pPr>
    </w:p>
    <w:p w14:paraId="162E2BDF">
      <w:pPr>
        <w:rPr>
          <w:rFonts w:hint="eastAsia" w:ascii="宋体" w:hAnsi="宋体" w:eastAsia="宋体" w:cs="宋体"/>
          <w:color w:val="auto"/>
        </w:rPr>
      </w:pPr>
    </w:p>
    <w:p w14:paraId="3B488A30">
      <w:pPr>
        <w:pStyle w:val="2"/>
        <w:rPr>
          <w:rFonts w:hint="eastAsia" w:ascii="宋体" w:hAnsi="宋体" w:eastAsia="宋体" w:cs="宋体"/>
          <w:color w:val="auto"/>
        </w:rPr>
      </w:pPr>
    </w:p>
    <w:p w14:paraId="64586012">
      <w:pPr>
        <w:rPr>
          <w:rFonts w:hint="eastAsia" w:ascii="宋体" w:hAnsi="宋体" w:eastAsia="宋体" w:cs="宋体"/>
          <w:color w:val="auto"/>
        </w:rPr>
      </w:pPr>
    </w:p>
    <w:p w14:paraId="51A6211E">
      <w:pPr>
        <w:pStyle w:val="2"/>
        <w:rPr>
          <w:rFonts w:hint="eastAsia"/>
          <w:color w:val="auto"/>
        </w:rPr>
      </w:pPr>
    </w:p>
    <w:p w14:paraId="79FF592B">
      <w:pPr>
        <w:rPr>
          <w:rFonts w:hint="eastAsia" w:ascii="宋体" w:hAnsi="宋体" w:eastAsia="宋体" w:cs="宋体"/>
          <w:color w:val="auto"/>
        </w:rPr>
      </w:pPr>
    </w:p>
    <w:p w14:paraId="0271595E">
      <w:pPr>
        <w:rPr>
          <w:rFonts w:hint="eastAsia" w:ascii="宋体" w:hAnsi="宋体" w:eastAsia="宋体" w:cs="宋体"/>
          <w:color w:val="auto"/>
          <w:sz w:val="24"/>
          <w:szCs w:val="24"/>
        </w:rPr>
      </w:pPr>
    </w:p>
    <w:p w14:paraId="7CD587F7">
      <w:pPr>
        <w:pStyle w:val="6"/>
        <w:spacing w:line="400" w:lineRule="exact"/>
        <w:jc w:val="both"/>
        <w:rPr>
          <w:rFonts w:hint="eastAsia" w:ascii="宋体" w:hAnsi="宋体" w:eastAsia="宋体" w:cs="宋体"/>
          <w:b/>
          <w:color w:val="auto"/>
          <w:sz w:val="24"/>
          <w:szCs w:val="32"/>
        </w:rPr>
      </w:pPr>
      <w:bookmarkStart w:id="651" w:name="_Toc313888360"/>
      <w:bookmarkStart w:id="652" w:name="_Toc86934240"/>
      <w:bookmarkStart w:id="653" w:name="_Toc81834346"/>
      <w:bookmarkStart w:id="654" w:name="_Toc313008356"/>
      <w:bookmarkStart w:id="655" w:name="_Toc23236"/>
      <w:bookmarkStart w:id="656" w:name="_Toc342913419"/>
      <w:bookmarkStart w:id="657" w:name="_Toc283382454"/>
      <w:bookmarkStart w:id="658" w:name="_Toc12789073"/>
      <w:r>
        <w:rPr>
          <w:rFonts w:hint="eastAsia" w:ascii="宋体" w:hAnsi="宋体" w:eastAsia="宋体" w:cs="宋体"/>
          <w:b/>
          <w:color w:val="auto"/>
          <w:sz w:val="24"/>
          <w:szCs w:val="32"/>
        </w:rPr>
        <w:t>一、经济部分</w:t>
      </w:r>
      <w:bookmarkEnd w:id="651"/>
      <w:bookmarkEnd w:id="652"/>
      <w:bookmarkEnd w:id="653"/>
      <w:bookmarkEnd w:id="654"/>
      <w:bookmarkEnd w:id="655"/>
      <w:bookmarkEnd w:id="656"/>
    </w:p>
    <w:bookmarkEnd w:id="657"/>
    <w:bookmarkEnd w:id="658"/>
    <w:p w14:paraId="70B8A5A9">
      <w:pPr>
        <w:tabs>
          <w:tab w:val="left" w:pos="6300"/>
        </w:tabs>
        <w:snapToGrid w:val="0"/>
        <w:spacing w:line="312" w:lineRule="auto"/>
        <w:ind w:firstLine="480" w:firstLineChars="200"/>
        <w:rPr>
          <w:rFonts w:hint="eastAsia" w:ascii="宋体" w:hAnsi="宋体" w:eastAsia="宋体" w:cs="宋体"/>
          <w:color w:val="auto"/>
          <w:sz w:val="24"/>
          <w:szCs w:val="24"/>
        </w:rPr>
      </w:pPr>
    </w:p>
    <w:p w14:paraId="128591BD">
      <w:pPr>
        <w:numPr>
          <w:ilvl w:val="0"/>
          <w:numId w:val="3"/>
        </w:numPr>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竞争性比选报价函</w:t>
      </w:r>
    </w:p>
    <w:p w14:paraId="0A3DE172">
      <w:pPr>
        <w:pStyle w:val="12"/>
        <w:ind w:firstLine="0"/>
        <w:rPr>
          <w:rFonts w:hint="eastAsia" w:ascii="宋体" w:hAnsi="宋体" w:eastAsia="宋体" w:cs="宋体"/>
          <w:color w:val="auto"/>
        </w:rPr>
      </w:pPr>
    </w:p>
    <w:p w14:paraId="5DCD87F3">
      <w:pPr>
        <w:pStyle w:val="134"/>
        <w:ind w:firstLine="562"/>
        <w:jc w:val="center"/>
        <w:rPr>
          <w:rFonts w:hint="eastAsia" w:ascii="宋体" w:hAnsi="宋体" w:eastAsia="宋体" w:cs="宋体"/>
          <w:b/>
          <w:bCs/>
          <w:color w:val="auto"/>
        </w:rPr>
      </w:pPr>
      <w:r>
        <w:rPr>
          <w:rFonts w:hint="eastAsia" w:ascii="宋体" w:hAnsi="宋体" w:eastAsia="宋体" w:cs="宋体"/>
          <w:b/>
          <w:bCs/>
          <w:color w:val="auto"/>
        </w:rPr>
        <w:t>竞争性比选报价函</w:t>
      </w:r>
    </w:p>
    <w:bookmarkEnd w:id="638"/>
    <w:bookmarkEnd w:id="639"/>
    <w:p w14:paraId="48A407B0">
      <w:pPr>
        <w:tabs>
          <w:tab w:val="left" w:pos="6300"/>
        </w:tabs>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u w:val="single"/>
        </w:rPr>
        <w:t>（招标人名称）</w:t>
      </w:r>
      <w:r>
        <w:rPr>
          <w:rFonts w:hint="eastAsia" w:ascii="宋体" w:hAnsi="宋体" w:eastAsia="宋体" w:cs="宋体"/>
          <w:color w:val="auto"/>
          <w:sz w:val="24"/>
          <w:szCs w:val="24"/>
        </w:rPr>
        <w:t>：</w:t>
      </w:r>
    </w:p>
    <w:p w14:paraId="20A31225">
      <w:pPr>
        <w:tabs>
          <w:tab w:val="left" w:pos="6300"/>
        </w:tabs>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我方收到____________________________（项目名称）的竞争性比选文件，经详细研究，决定参加该项目的比选。</w:t>
      </w:r>
    </w:p>
    <w:p w14:paraId="1612CC2A">
      <w:pPr>
        <w:tabs>
          <w:tab w:val="left" w:pos="6300"/>
        </w:tabs>
        <w:snapToGrid w:val="0"/>
        <w:spacing w:line="360" w:lineRule="auto"/>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1、愿意按照竞争性比选文件中的一切要求，提供本项目的施工服务，报价为人民币</w:t>
      </w:r>
      <w:r>
        <w:rPr>
          <w:rFonts w:hint="eastAsia" w:ascii="宋体" w:hAnsi="宋体" w:eastAsia="宋体" w:cs="宋体"/>
          <w:color w:val="auto"/>
          <w:sz w:val="24"/>
          <w:szCs w:val="24"/>
          <w:u w:val="none"/>
        </w:rPr>
        <w:t>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；人民币</w:t>
      </w:r>
      <w:r>
        <w:rPr>
          <w:rFonts w:hint="eastAsia" w:ascii="宋体" w:hAnsi="宋体" w:eastAsia="宋体" w:cs="宋体"/>
          <w:color w:val="auto"/>
          <w:sz w:val="24"/>
          <w:szCs w:val="24"/>
          <w:u w:val="none"/>
        </w:rPr>
        <w:t>小写：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，其中</w:t>
      </w:r>
      <w:r>
        <w:rPr>
          <w:rFonts w:hint="eastAsia" w:ascii="宋体" w:hAnsi="宋体" w:cs="宋体"/>
          <w:color w:val="auto"/>
          <w:sz w:val="24"/>
          <w:szCs w:val="24"/>
          <w:lang w:eastAsia="zh-CN"/>
        </w:rPr>
        <w:t>安全生产费</w:t>
      </w:r>
      <w:r>
        <w:rPr>
          <w:rFonts w:hint="eastAsia" w:ascii="宋体" w:hAnsi="宋体" w:eastAsia="宋体" w:cs="宋体"/>
          <w:color w:val="auto"/>
          <w:sz w:val="24"/>
          <w:szCs w:val="24"/>
        </w:rPr>
        <w:t>为：大写：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none"/>
        </w:rPr>
        <w:t>，</w:t>
      </w:r>
      <w:r>
        <w:rPr>
          <w:rFonts w:hint="eastAsia" w:ascii="宋体" w:hAnsi="宋体" w:eastAsia="宋体" w:cs="宋体"/>
          <w:color w:val="auto"/>
          <w:sz w:val="24"/>
          <w:szCs w:val="24"/>
        </w:rPr>
        <w:t>小写：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none"/>
        </w:rPr>
        <w:t>。工期为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none"/>
        </w:rPr>
        <w:t xml:space="preserve"> </w:t>
      </w:r>
      <w:r>
        <w:rPr>
          <w:rFonts w:hint="eastAsia" w:ascii="宋体" w:hAnsi="宋体" w:cs="宋体"/>
          <w:color w:val="auto"/>
          <w:sz w:val="24"/>
          <w:szCs w:val="24"/>
          <w:u w:val="none"/>
          <w:lang w:val="en-US" w:eastAsia="zh-CN"/>
        </w:rPr>
        <w:t>日历天</w:t>
      </w:r>
      <w:r>
        <w:rPr>
          <w:rFonts w:hint="eastAsia" w:ascii="宋体" w:hAnsi="宋体" w:eastAsia="宋体" w:cs="宋体"/>
          <w:color w:val="auto"/>
          <w:sz w:val="24"/>
          <w:szCs w:val="24"/>
          <w:u w:val="none"/>
        </w:rPr>
        <w:t>，按合同约定实施和完成承包工程，修补工程中的任何缺陷，工程质量达到</w:t>
      </w:r>
      <w:r>
        <w:rPr>
          <w:rFonts w:hint="eastAsia" w:ascii="宋体" w:hAnsi="宋体" w:eastAsia="宋体" w:cs="宋体"/>
          <w:color w:val="auto"/>
          <w:sz w:val="24"/>
          <w:szCs w:val="24"/>
          <w:u w:val="single"/>
        </w:rPr>
        <w:t>国家有关验收规范规定的标准，并一次性验收合格</w:t>
      </w:r>
      <w:r>
        <w:rPr>
          <w:rFonts w:hint="eastAsia" w:ascii="宋体" w:hAnsi="宋体" w:eastAsia="宋体" w:cs="宋体"/>
          <w:color w:val="auto"/>
          <w:sz w:val="24"/>
          <w:szCs w:val="24"/>
          <w:u w:val="none"/>
        </w:rPr>
        <w:t xml:space="preserve"> 。</w:t>
      </w:r>
    </w:p>
    <w:p w14:paraId="3605F28E">
      <w:pPr>
        <w:tabs>
          <w:tab w:val="left" w:pos="6300"/>
        </w:tabs>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2、我方现提交的响应文件为：响应文件正本</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份，副本</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w:t>
      </w:r>
    </w:p>
    <w:p w14:paraId="47D0474B">
      <w:pPr>
        <w:tabs>
          <w:tab w:val="left" w:pos="6300"/>
        </w:tabs>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3、我方承诺：本次比选的有效期为90天。</w:t>
      </w:r>
    </w:p>
    <w:p w14:paraId="1BF228D4">
      <w:pPr>
        <w:tabs>
          <w:tab w:val="left" w:pos="6300"/>
        </w:tabs>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4、我方完全理解和接受贵方竞争性比选文件的一切规定和要求及评审办法。</w:t>
      </w:r>
    </w:p>
    <w:p w14:paraId="134618E1">
      <w:pPr>
        <w:tabs>
          <w:tab w:val="left" w:pos="6300"/>
        </w:tabs>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5、在整个竞争性比选过程中，我方若有违规行为，接受按照《中华人民共和国招标投标法》及其实施条例等规定给予惩罚。</w:t>
      </w:r>
    </w:p>
    <w:p w14:paraId="2FC14040">
      <w:pPr>
        <w:tabs>
          <w:tab w:val="left" w:pos="6300"/>
        </w:tabs>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6、我方若成为中标人，将按照最终比选结果签订合同，并且严格履行合同义务。本承诺函将成为合同不可分割的一部分，与合同具有同等的法律效力。</w:t>
      </w:r>
    </w:p>
    <w:p w14:paraId="56BF03A9">
      <w:pPr>
        <w:tabs>
          <w:tab w:val="left" w:pos="6300"/>
        </w:tabs>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8"/>
        </w:rPr>
        <w:t>我方理解，最低报价不是成交的唯一条件。</w:t>
      </w:r>
    </w:p>
    <w:p w14:paraId="4526C538">
      <w:pPr>
        <w:tabs>
          <w:tab w:val="left" w:pos="6300"/>
        </w:tabs>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eastAsia="宋体" w:cs="宋体"/>
          <w:color w:val="auto"/>
          <w:sz w:val="24"/>
          <w:szCs w:val="28"/>
        </w:rPr>
        <w:t>我方未</w:t>
      </w:r>
      <w:r>
        <w:rPr>
          <w:rFonts w:hint="eastAsia" w:ascii="宋体" w:hAnsi="宋体" w:eastAsia="宋体" w:cs="宋体"/>
          <w:color w:val="auto"/>
          <w:sz w:val="24"/>
          <w:szCs w:val="24"/>
        </w:rPr>
        <w:t>为招标项目提供整体设计、规范编制或者项目管理、监理、检测等服务。</w:t>
      </w:r>
    </w:p>
    <w:p w14:paraId="2AEDB026">
      <w:pPr>
        <w:tabs>
          <w:tab w:val="left" w:pos="6300"/>
        </w:tabs>
        <w:snapToGrid w:val="0"/>
        <w:spacing w:line="312" w:lineRule="auto"/>
        <w:ind w:firstLine="570"/>
        <w:rPr>
          <w:rFonts w:hint="eastAsia" w:ascii="宋体" w:hAnsi="宋体" w:eastAsia="宋体" w:cs="宋体"/>
          <w:color w:val="auto"/>
          <w:sz w:val="24"/>
          <w:szCs w:val="24"/>
        </w:rPr>
      </w:pPr>
    </w:p>
    <w:p w14:paraId="69F32BC6">
      <w:pPr>
        <w:tabs>
          <w:tab w:val="left" w:pos="6300"/>
        </w:tabs>
        <w:snapToGrid w:val="0"/>
        <w:spacing w:line="312" w:lineRule="auto"/>
        <w:ind w:firstLine="570"/>
        <w:rPr>
          <w:rFonts w:hint="eastAsia" w:ascii="宋体" w:hAnsi="宋体" w:eastAsia="宋体" w:cs="宋体"/>
          <w:color w:val="auto"/>
          <w:sz w:val="24"/>
          <w:szCs w:val="24"/>
        </w:rPr>
      </w:pPr>
    </w:p>
    <w:p w14:paraId="47271727">
      <w:pPr>
        <w:tabs>
          <w:tab w:val="left" w:pos="6300"/>
        </w:tabs>
        <w:snapToGrid w:val="0"/>
        <w:spacing w:line="312" w:lineRule="auto"/>
        <w:rPr>
          <w:rFonts w:hint="eastAsia" w:ascii="宋体" w:hAnsi="宋体" w:eastAsia="宋体" w:cs="宋体"/>
          <w:color w:val="auto"/>
          <w:sz w:val="24"/>
          <w:szCs w:val="24"/>
        </w:rPr>
      </w:pPr>
    </w:p>
    <w:p w14:paraId="1409FDCF">
      <w:pPr>
        <w:tabs>
          <w:tab w:val="left" w:pos="6300"/>
        </w:tabs>
        <w:snapToGrid w:val="0"/>
        <w:spacing w:line="312" w:lineRule="auto"/>
        <w:ind w:firstLine="570"/>
        <w:rPr>
          <w:rFonts w:hint="eastAsia" w:ascii="宋体" w:hAnsi="宋体" w:eastAsia="宋体" w:cs="宋体"/>
          <w:color w:val="auto"/>
          <w:sz w:val="24"/>
          <w:szCs w:val="24"/>
        </w:rPr>
      </w:pPr>
      <w:r>
        <w:rPr>
          <w:rFonts w:hint="eastAsia" w:ascii="宋体" w:hAnsi="宋体" w:eastAsia="宋体" w:cs="宋体"/>
          <w:color w:val="auto"/>
          <w:sz w:val="24"/>
          <w:szCs w:val="24"/>
        </w:rPr>
        <w:t xml:space="preserve">                                                投标人（公章）：</w:t>
      </w:r>
    </w:p>
    <w:p w14:paraId="5DD9129D">
      <w:pPr>
        <w:snapToGrid w:val="0"/>
        <w:spacing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213E00ED">
      <w:pPr>
        <w:snapToGrid w:val="0"/>
        <w:spacing w:line="312" w:lineRule="auto"/>
        <w:ind w:firstLine="480" w:firstLineChars="200"/>
        <w:jc w:val="center"/>
        <w:rPr>
          <w:rFonts w:hint="eastAsia" w:ascii="宋体" w:hAnsi="宋体" w:eastAsia="宋体" w:cs="宋体"/>
          <w:color w:val="auto"/>
          <w:sz w:val="24"/>
          <w:szCs w:val="24"/>
        </w:rPr>
        <w:sectPr>
          <w:pgSz w:w="11907" w:h="16840"/>
          <w:pgMar w:top="1134" w:right="1191" w:bottom="1134" w:left="1304" w:header="851" w:footer="992" w:gutter="0"/>
          <w:pgNumType w:fmt="decimal"/>
          <w:cols w:space="720" w:num="1"/>
          <w:docGrid w:linePitch="380" w:charSpace="-5735"/>
        </w:sectPr>
      </w:pPr>
      <w:r>
        <w:rPr>
          <w:rFonts w:hint="eastAsia" w:ascii="宋体" w:hAnsi="宋体" w:eastAsia="宋体" w:cs="宋体"/>
          <w:color w:val="auto"/>
          <w:sz w:val="24"/>
          <w:szCs w:val="24"/>
        </w:rPr>
        <w:t xml:space="preserve">                                     年   月   日</w:t>
      </w:r>
    </w:p>
    <w:p w14:paraId="1D98DE9B">
      <w:pPr>
        <w:tabs>
          <w:tab w:val="left" w:pos="2895"/>
        </w:tabs>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b/>
          <w:color w:val="auto"/>
          <w:spacing w:val="1"/>
          <w:w w:val="99"/>
          <w:kern w:val="0"/>
          <w:sz w:val="24"/>
          <w:szCs w:val="24"/>
        </w:rPr>
        <w:t>二）明细报价表（工程量清单报价明细，每页需加盖投标人公章）</w:t>
      </w:r>
    </w:p>
    <w:p w14:paraId="56538B62">
      <w:pPr>
        <w:tabs>
          <w:tab w:val="left" w:pos="2895"/>
        </w:tabs>
        <w:spacing w:line="360" w:lineRule="auto"/>
        <w:jc w:val="center"/>
        <w:rPr>
          <w:rFonts w:hint="eastAsia" w:ascii="宋体" w:hAnsi="宋体" w:eastAsia="宋体" w:cs="宋体"/>
          <w:b/>
          <w:color w:val="auto"/>
          <w:spacing w:val="1"/>
          <w:w w:val="99"/>
          <w:kern w:val="0"/>
          <w:sz w:val="24"/>
          <w:szCs w:val="24"/>
          <w:lang w:eastAsia="zh-CN"/>
        </w:rPr>
      </w:pPr>
      <w:r>
        <w:rPr>
          <w:rFonts w:hint="eastAsia" w:ascii="宋体" w:hAnsi="宋体" w:eastAsia="宋体" w:cs="宋体"/>
          <w:b/>
          <w:color w:val="auto"/>
          <w:spacing w:val="1"/>
          <w:w w:val="99"/>
          <w:kern w:val="0"/>
          <w:sz w:val="24"/>
          <w:szCs w:val="24"/>
        </w:rPr>
        <w:t>参照附件“工程量清单”</w:t>
      </w:r>
    </w:p>
    <w:p w14:paraId="262D347B">
      <w:pPr>
        <w:rPr>
          <w:rFonts w:hint="eastAsia" w:ascii="宋体" w:hAnsi="宋体" w:eastAsia="宋体" w:cs="宋体"/>
          <w:color w:val="auto"/>
        </w:rPr>
      </w:pPr>
    </w:p>
    <w:p w14:paraId="3385EFC8">
      <w:pPr>
        <w:rPr>
          <w:rFonts w:hint="eastAsia" w:ascii="宋体" w:hAnsi="宋体" w:eastAsia="宋体" w:cs="宋体"/>
          <w:color w:val="auto"/>
        </w:rPr>
      </w:pPr>
    </w:p>
    <w:p w14:paraId="770BCE34">
      <w:pPr>
        <w:rPr>
          <w:rFonts w:hint="eastAsia" w:ascii="宋体" w:hAnsi="宋体" w:eastAsia="宋体" w:cs="宋体"/>
          <w:color w:val="auto"/>
        </w:rPr>
      </w:pPr>
    </w:p>
    <w:p w14:paraId="320519D3">
      <w:pPr>
        <w:rPr>
          <w:rFonts w:hint="eastAsia" w:ascii="宋体" w:hAnsi="宋体" w:eastAsia="宋体" w:cs="宋体"/>
          <w:color w:val="auto"/>
        </w:rPr>
      </w:pPr>
    </w:p>
    <w:p w14:paraId="0E1610B2">
      <w:pPr>
        <w:rPr>
          <w:rFonts w:hint="eastAsia" w:ascii="宋体" w:hAnsi="宋体" w:eastAsia="宋体" w:cs="宋体"/>
          <w:color w:val="auto"/>
        </w:rPr>
      </w:pPr>
    </w:p>
    <w:p w14:paraId="7726EB52">
      <w:pPr>
        <w:rPr>
          <w:rFonts w:hint="eastAsia" w:ascii="宋体" w:hAnsi="宋体" w:eastAsia="宋体" w:cs="宋体"/>
          <w:color w:val="auto"/>
        </w:rPr>
      </w:pPr>
    </w:p>
    <w:p w14:paraId="0BAB4831">
      <w:pPr>
        <w:rPr>
          <w:rFonts w:hint="eastAsia" w:ascii="宋体" w:hAnsi="宋体" w:eastAsia="宋体" w:cs="宋体"/>
          <w:color w:val="auto"/>
        </w:rPr>
      </w:pPr>
    </w:p>
    <w:p w14:paraId="6E99C4A3">
      <w:pPr>
        <w:rPr>
          <w:rFonts w:hint="eastAsia" w:ascii="宋体" w:hAnsi="宋体" w:eastAsia="宋体" w:cs="宋体"/>
          <w:color w:val="auto"/>
        </w:rPr>
      </w:pPr>
    </w:p>
    <w:p w14:paraId="2650B9C4">
      <w:pPr>
        <w:rPr>
          <w:rFonts w:hint="eastAsia" w:ascii="宋体" w:hAnsi="宋体" w:eastAsia="宋体" w:cs="宋体"/>
          <w:color w:val="auto"/>
        </w:rPr>
      </w:pPr>
    </w:p>
    <w:p w14:paraId="1C34CE9C">
      <w:pPr>
        <w:rPr>
          <w:rFonts w:hint="eastAsia" w:ascii="宋体" w:hAnsi="宋体" w:eastAsia="宋体" w:cs="宋体"/>
          <w:color w:val="auto"/>
        </w:rPr>
      </w:pPr>
    </w:p>
    <w:p w14:paraId="0551D0C8">
      <w:pPr>
        <w:rPr>
          <w:rFonts w:hint="eastAsia" w:ascii="宋体" w:hAnsi="宋体" w:eastAsia="宋体" w:cs="宋体"/>
          <w:color w:val="auto"/>
        </w:rPr>
      </w:pPr>
    </w:p>
    <w:p w14:paraId="245579A0">
      <w:pPr>
        <w:rPr>
          <w:rFonts w:hint="eastAsia" w:ascii="宋体" w:hAnsi="宋体" w:eastAsia="宋体" w:cs="宋体"/>
          <w:color w:val="auto"/>
        </w:rPr>
      </w:pPr>
    </w:p>
    <w:p w14:paraId="51D3594B">
      <w:pPr>
        <w:rPr>
          <w:rFonts w:hint="eastAsia" w:ascii="宋体" w:hAnsi="宋体" w:eastAsia="宋体" w:cs="宋体"/>
          <w:color w:val="auto"/>
        </w:rPr>
      </w:pPr>
    </w:p>
    <w:p w14:paraId="00CFD632">
      <w:pPr>
        <w:rPr>
          <w:rFonts w:hint="eastAsia" w:ascii="宋体" w:hAnsi="宋体" w:eastAsia="宋体" w:cs="宋体"/>
          <w:color w:val="auto"/>
        </w:rPr>
      </w:pPr>
    </w:p>
    <w:p w14:paraId="7CAC4250">
      <w:pPr>
        <w:rPr>
          <w:rFonts w:hint="eastAsia" w:ascii="宋体" w:hAnsi="宋体" w:eastAsia="宋体" w:cs="宋体"/>
          <w:color w:val="auto"/>
        </w:rPr>
      </w:pPr>
    </w:p>
    <w:p w14:paraId="25231DE5">
      <w:pPr>
        <w:rPr>
          <w:rFonts w:hint="eastAsia" w:ascii="宋体" w:hAnsi="宋体" w:eastAsia="宋体" w:cs="宋体"/>
          <w:color w:val="auto"/>
        </w:rPr>
      </w:pPr>
    </w:p>
    <w:p w14:paraId="1657B4DD">
      <w:pPr>
        <w:rPr>
          <w:rFonts w:hint="eastAsia" w:ascii="宋体" w:hAnsi="宋体" w:eastAsia="宋体" w:cs="宋体"/>
          <w:color w:val="auto"/>
        </w:rPr>
      </w:pPr>
    </w:p>
    <w:p w14:paraId="09391311">
      <w:pPr>
        <w:rPr>
          <w:rFonts w:hint="eastAsia" w:ascii="宋体" w:hAnsi="宋体" w:eastAsia="宋体" w:cs="宋体"/>
          <w:color w:val="auto"/>
        </w:rPr>
      </w:pPr>
    </w:p>
    <w:p w14:paraId="4C3FD96D">
      <w:pPr>
        <w:rPr>
          <w:rFonts w:hint="eastAsia" w:ascii="宋体" w:hAnsi="宋体" w:eastAsia="宋体" w:cs="宋体"/>
          <w:color w:val="auto"/>
        </w:rPr>
      </w:pPr>
    </w:p>
    <w:p w14:paraId="3EEBFC6F">
      <w:pPr>
        <w:rPr>
          <w:rFonts w:hint="eastAsia" w:ascii="宋体" w:hAnsi="宋体" w:eastAsia="宋体" w:cs="宋体"/>
          <w:color w:val="auto"/>
        </w:rPr>
      </w:pPr>
    </w:p>
    <w:p w14:paraId="290603FE">
      <w:pPr>
        <w:rPr>
          <w:rFonts w:hint="eastAsia" w:ascii="宋体" w:hAnsi="宋体" w:eastAsia="宋体" w:cs="宋体"/>
          <w:color w:val="auto"/>
        </w:rPr>
      </w:pPr>
    </w:p>
    <w:p w14:paraId="580F29B7">
      <w:pPr>
        <w:rPr>
          <w:rFonts w:hint="eastAsia" w:ascii="宋体" w:hAnsi="宋体" w:eastAsia="宋体" w:cs="宋体"/>
          <w:color w:val="auto"/>
        </w:rPr>
      </w:pPr>
    </w:p>
    <w:p w14:paraId="43DA4082">
      <w:pPr>
        <w:rPr>
          <w:rFonts w:hint="eastAsia" w:ascii="宋体" w:hAnsi="宋体" w:eastAsia="宋体" w:cs="宋体"/>
          <w:color w:val="auto"/>
        </w:rPr>
      </w:pPr>
    </w:p>
    <w:p w14:paraId="5344D68E">
      <w:pPr>
        <w:rPr>
          <w:rFonts w:hint="eastAsia" w:ascii="宋体" w:hAnsi="宋体" w:eastAsia="宋体" w:cs="宋体"/>
          <w:color w:val="auto"/>
        </w:rPr>
      </w:pPr>
    </w:p>
    <w:p w14:paraId="2FCE5C53">
      <w:pPr>
        <w:rPr>
          <w:rFonts w:hint="eastAsia" w:ascii="宋体" w:hAnsi="宋体" w:eastAsia="宋体" w:cs="宋体"/>
          <w:color w:val="auto"/>
        </w:rPr>
      </w:pPr>
    </w:p>
    <w:p w14:paraId="48E7B042">
      <w:pPr>
        <w:rPr>
          <w:rFonts w:hint="eastAsia" w:ascii="宋体" w:hAnsi="宋体" w:eastAsia="宋体" w:cs="宋体"/>
          <w:color w:val="auto"/>
        </w:rPr>
      </w:pPr>
    </w:p>
    <w:p w14:paraId="7E858155">
      <w:pPr>
        <w:rPr>
          <w:rFonts w:hint="eastAsia" w:ascii="宋体" w:hAnsi="宋体" w:eastAsia="宋体" w:cs="宋体"/>
          <w:color w:val="auto"/>
        </w:rPr>
      </w:pPr>
    </w:p>
    <w:p w14:paraId="269F097C">
      <w:pPr>
        <w:rPr>
          <w:rFonts w:hint="eastAsia" w:ascii="宋体" w:hAnsi="宋体" w:eastAsia="宋体" w:cs="宋体"/>
          <w:color w:val="auto"/>
        </w:rPr>
      </w:pPr>
    </w:p>
    <w:p w14:paraId="7B49ABC5">
      <w:pPr>
        <w:rPr>
          <w:rFonts w:hint="eastAsia" w:ascii="宋体" w:hAnsi="宋体" w:eastAsia="宋体" w:cs="宋体"/>
          <w:color w:val="auto"/>
        </w:rPr>
      </w:pPr>
    </w:p>
    <w:p w14:paraId="765DDCA0">
      <w:pPr>
        <w:rPr>
          <w:rFonts w:hint="eastAsia" w:ascii="宋体" w:hAnsi="宋体" w:eastAsia="宋体" w:cs="宋体"/>
          <w:color w:val="auto"/>
        </w:rPr>
      </w:pPr>
    </w:p>
    <w:p w14:paraId="1A69C356">
      <w:pPr>
        <w:rPr>
          <w:rFonts w:hint="eastAsia" w:ascii="宋体" w:hAnsi="宋体" w:eastAsia="宋体" w:cs="宋体"/>
          <w:color w:val="auto"/>
        </w:rPr>
      </w:pPr>
    </w:p>
    <w:p w14:paraId="5A962DE8">
      <w:pPr>
        <w:rPr>
          <w:rFonts w:hint="eastAsia" w:ascii="宋体" w:hAnsi="宋体" w:eastAsia="宋体" w:cs="宋体"/>
          <w:color w:val="auto"/>
        </w:rPr>
      </w:pPr>
    </w:p>
    <w:p w14:paraId="326EF826">
      <w:pPr>
        <w:rPr>
          <w:rFonts w:hint="eastAsia" w:ascii="宋体" w:hAnsi="宋体" w:eastAsia="宋体" w:cs="宋体"/>
          <w:color w:val="auto"/>
        </w:rPr>
      </w:pPr>
    </w:p>
    <w:p w14:paraId="4682E3C5">
      <w:pPr>
        <w:rPr>
          <w:rFonts w:hint="eastAsia" w:ascii="宋体" w:hAnsi="宋体" w:eastAsia="宋体" w:cs="宋体"/>
          <w:color w:val="auto"/>
        </w:rPr>
      </w:pPr>
    </w:p>
    <w:p w14:paraId="0AEB5A9C">
      <w:pPr>
        <w:rPr>
          <w:rFonts w:hint="eastAsia" w:ascii="宋体" w:hAnsi="宋体" w:eastAsia="宋体" w:cs="宋体"/>
          <w:color w:val="auto"/>
        </w:rPr>
      </w:pPr>
    </w:p>
    <w:p w14:paraId="188B7E35">
      <w:pPr>
        <w:rPr>
          <w:rFonts w:hint="eastAsia" w:ascii="宋体" w:hAnsi="宋体" w:eastAsia="宋体" w:cs="宋体"/>
          <w:color w:val="auto"/>
        </w:rPr>
      </w:pPr>
    </w:p>
    <w:p w14:paraId="75DA5386">
      <w:pPr>
        <w:rPr>
          <w:rFonts w:hint="eastAsia" w:ascii="宋体" w:hAnsi="宋体" w:eastAsia="宋体" w:cs="宋体"/>
          <w:color w:val="auto"/>
        </w:rPr>
      </w:pPr>
    </w:p>
    <w:p w14:paraId="3A329158">
      <w:pPr>
        <w:rPr>
          <w:rFonts w:hint="eastAsia" w:ascii="宋体" w:hAnsi="宋体" w:eastAsia="宋体" w:cs="宋体"/>
          <w:color w:val="auto"/>
        </w:rPr>
      </w:pPr>
    </w:p>
    <w:p w14:paraId="7617997D">
      <w:pPr>
        <w:rPr>
          <w:rFonts w:hint="eastAsia" w:ascii="宋体" w:hAnsi="宋体" w:eastAsia="宋体" w:cs="宋体"/>
          <w:color w:val="auto"/>
        </w:rPr>
      </w:pPr>
    </w:p>
    <w:p w14:paraId="43DEF895">
      <w:pPr>
        <w:rPr>
          <w:rFonts w:hint="eastAsia" w:ascii="宋体" w:hAnsi="宋体" w:eastAsia="宋体" w:cs="宋体"/>
          <w:color w:val="auto"/>
        </w:rPr>
      </w:pPr>
    </w:p>
    <w:p w14:paraId="1607B8B3">
      <w:pPr>
        <w:rPr>
          <w:rFonts w:hint="eastAsia" w:ascii="宋体" w:hAnsi="宋体" w:eastAsia="宋体" w:cs="宋体"/>
          <w:color w:val="auto"/>
        </w:rPr>
      </w:pPr>
    </w:p>
    <w:p w14:paraId="64AF164B">
      <w:pPr>
        <w:rPr>
          <w:rFonts w:hint="eastAsia" w:ascii="宋体" w:hAnsi="宋体" w:eastAsia="宋体" w:cs="宋体"/>
          <w:color w:val="auto"/>
        </w:rPr>
      </w:pPr>
    </w:p>
    <w:p w14:paraId="56F9CB52">
      <w:pPr>
        <w:rPr>
          <w:rFonts w:hint="eastAsia" w:ascii="宋体" w:hAnsi="宋体" w:eastAsia="宋体" w:cs="宋体"/>
          <w:color w:val="auto"/>
        </w:rPr>
      </w:pPr>
    </w:p>
    <w:p w14:paraId="062929D0">
      <w:pPr>
        <w:rPr>
          <w:rFonts w:hint="eastAsia" w:ascii="宋体" w:hAnsi="宋体" w:eastAsia="宋体" w:cs="宋体"/>
          <w:color w:val="auto"/>
        </w:rPr>
      </w:pPr>
    </w:p>
    <w:p w14:paraId="47D4525E">
      <w:pPr>
        <w:rPr>
          <w:rFonts w:hint="eastAsia" w:ascii="宋体" w:hAnsi="宋体" w:eastAsia="宋体" w:cs="宋体"/>
          <w:color w:val="auto"/>
        </w:rPr>
      </w:pPr>
    </w:p>
    <w:p w14:paraId="31C4FE8E">
      <w:pPr>
        <w:rPr>
          <w:rFonts w:hint="eastAsia" w:ascii="宋体" w:hAnsi="宋体" w:eastAsia="宋体" w:cs="宋体"/>
          <w:color w:val="auto"/>
        </w:rPr>
      </w:pPr>
    </w:p>
    <w:p w14:paraId="5F70425D">
      <w:pPr>
        <w:pStyle w:val="6"/>
        <w:spacing w:line="400" w:lineRule="exact"/>
        <w:rPr>
          <w:rFonts w:hint="eastAsia" w:ascii="宋体" w:hAnsi="宋体" w:eastAsia="宋体" w:cs="宋体"/>
          <w:b/>
          <w:color w:val="auto"/>
          <w:spacing w:val="1"/>
          <w:w w:val="99"/>
          <w:kern w:val="0"/>
          <w:sz w:val="24"/>
          <w:szCs w:val="24"/>
        </w:rPr>
        <w:sectPr>
          <w:headerReference r:id="rId4" w:type="default"/>
          <w:footerReference r:id="rId5" w:type="default"/>
          <w:pgSz w:w="11907" w:h="16840"/>
          <w:pgMar w:top="1134" w:right="1191" w:bottom="1134" w:left="1304" w:header="851" w:footer="992" w:gutter="0"/>
          <w:pgNumType w:fmt="decimal"/>
          <w:cols w:space="720" w:num="1"/>
          <w:docGrid w:linePitch="380" w:charSpace="-5735"/>
        </w:sectPr>
      </w:pPr>
      <w:bookmarkStart w:id="659" w:name="_Toc342913420"/>
      <w:bookmarkStart w:id="660" w:name="_Toc313008357"/>
      <w:bookmarkStart w:id="661" w:name="_Toc313888361"/>
      <w:bookmarkStart w:id="662" w:name="_Toc6323"/>
      <w:bookmarkStart w:id="663" w:name="_Toc86934241"/>
      <w:bookmarkStart w:id="664" w:name="_Toc81834347"/>
    </w:p>
    <w:p w14:paraId="3A77F452">
      <w:pPr>
        <w:pStyle w:val="6"/>
        <w:spacing w:line="400" w:lineRule="exact"/>
        <w:jc w:val="left"/>
        <w:rPr>
          <w:rFonts w:hint="eastAsia" w:ascii="宋体" w:hAnsi="宋体" w:eastAsia="宋体" w:cs="宋体"/>
          <w:b/>
          <w:color w:val="auto"/>
          <w:spacing w:val="1"/>
          <w:w w:val="99"/>
          <w:kern w:val="0"/>
          <w:sz w:val="24"/>
          <w:szCs w:val="24"/>
        </w:rPr>
      </w:pPr>
      <w:r>
        <w:rPr>
          <w:rFonts w:hint="eastAsia" w:ascii="宋体" w:hAnsi="宋体" w:eastAsia="宋体" w:cs="宋体"/>
          <w:b/>
          <w:color w:val="auto"/>
          <w:spacing w:val="1"/>
          <w:w w:val="99"/>
          <w:kern w:val="0"/>
          <w:sz w:val="24"/>
          <w:szCs w:val="24"/>
        </w:rPr>
        <w:t>二、</w:t>
      </w:r>
      <w:bookmarkEnd w:id="659"/>
      <w:bookmarkEnd w:id="660"/>
      <w:bookmarkEnd w:id="661"/>
      <w:r>
        <w:rPr>
          <w:rFonts w:hint="eastAsia" w:ascii="宋体" w:hAnsi="宋体" w:eastAsia="宋体" w:cs="宋体"/>
          <w:b/>
          <w:color w:val="auto"/>
          <w:spacing w:val="1"/>
          <w:w w:val="99"/>
          <w:kern w:val="0"/>
          <w:sz w:val="24"/>
          <w:szCs w:val="24"/>
        </w:rPr>
        <w:t>技术部分</w:t>
      </w:r>
      <w:bookmarkEnd w:id="662"/>
      <w:bookmarkEnd w:id="663"/>
      <w:bookmarkEnd w:id="664"/>
    </w:p>
    <w:p w14:paraId="0EDC5553">
      <w:pPr>
        <w:jc w:val="center"/>
        <w:rPr>
          <w:rFonts w:hint="eastAsia" w:ascii="宋体" w:hAnsi="宋体" w:eastAsia="宋体" w:cs="宋体"/>
          <w:b/>
          <w:color w:val="auto"/>
          <w:sz w:val="24"/>
          <w:szCs w:val="24"/>
        </w:rPr>
      </w:pPr>
    </w:p>
    <w:p w14:paraId="58003B8F">
      <w:pPr>
        <w:ind w:firstLine="482" w:firstLineChars="200"/>
        <w:jc w:val="left"/>
        <w:rPr>
          <w:rFonts w:hint="eastAsia" w:ascii="宋体" w:hAnsi="宋体" w:eastAsia="宋体" w:cs="宋体"/>
          <w:b/>
          <w:color w:val="auto"/>
          <w:sz w:val="24"/>
          <w:szCs w:val="24"/>
        </w:rPr>
      </w:pPr>
      <w:r>
        <w:rPr>
          <w:rFonts w:hint="eastAsia" w:ascii="宋体" w:hAnsi="宋体" w:eastAsia="宋体" w:cs="宋体"/>
          <w:b/>
          <w:color w:val="auto"/>
          <w:sz w:val="24"/>
          <w:szCs w:val="24"/>
        </w:rPr>
        <w:t>（一）技术响应偏离表</w:t>
      </w:r>
    </w:p>
    <w:p w14:paraId="0F6ADFDA">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17665286">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项目名称： </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679C4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vAlign w:val="center"/>
          </w:tcPr>
          <w:p w14:paraId="61D64D92">
            <w:pPr>
              <w:snapToGrid w:val="0"/>
              <w:spacing w:line="500" w:lineRule="exact"/>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844" w:type="dxa"/>
            <w:vAlign w:val="center"/>
          </w:tcPr>
          <w:p w14:paraId="113192BE">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招标需求</w:t>
            </w:r>
          </w:p>
        </w:tc>
        <w:tc>
          <w:tcPr>
            <w:tcW w:w="2952" w:type="dxa"/>
            <w:vAlign w:val="center"/>
          </w:tcPr>
          <w:p w14:paraId="67157BCC">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响应情况</w:t>
            </w:r>
          </w:p>
        </w:tc>
        <w:tc>
          <w:tcPr>
            <w:tcW w:w="2212" w:type="dxa"/>
            <w:vAlign w:val="center"/>
          </w:tcPr>
          <w:p w14:paraId="46920F83">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差异说明</w:t>
            </w:r>
          </w:p>
        </w:tc>
      </w:tr>
      <w:tr w14:paraId="53A74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15CB20B">
            <w:pPr>
              <w:snapToGrid w:val="0"/>
              <w:spacing w:line="500" w:lineRule="exact"/>
              <w:ind w:firstLine="480" w:firstLineChars="200"/>
              <w:rPr>
                <w:rFonts w:hint="eastAsia" w:ascii="宋体" w:hAnsi="宋体" w:eastAsia="宋体" w:cs="宋体"/>
                <w:color w:val="auto"/>
                <w:sz w:val="24"/>
                <w:szCs w:val="24"/>
              </w:rPr>
            </w:pPr>
          </w:p>
        </w:tc>
        <w:tc>
          <w:tcPr>
            <w:tcW w:w="2844" w:type="dxa"/>
            <w:vAlign w:val="center"/>
          </w:tcPr>
          <w:p w14:paraId="27C4824E">
            <w:pPr>
              <w:snapToGrid w:val="0"/>
              <w:spacing w:line="500" w:lineRule="exact"/>
              <w:ind w:firstLine="480" w:firstLineChars="200"/>
              <w:rPr>
                <w:rFonts w:hint="eastAsia" w:ascii="宋体" w:hAnsi="宋体" w:eastAsia="宋体" w:cs="宋体"/>
                <w:color w:val="auto"/>
                <w:sz w:val="24"/>
                <w:szCs w:val="24"/>
              </w:rPr>
            </w:pPr>
          </w:p>
        </w:tc>
        <w:tc>
          <w:tcPr>
            <w:tcW w:w="2952" w:type="dxa"/>
            <w:vAlign w:val="center"/>
          </w:tcPr>
          <w:p w14:paraId="44BC5AAE">
            <w:pPr>
              <w:snapToGrid w:val="0"/>
              <w:spacing w:line="500" w:lineRule="exact"/>
              <w:ind w:firstLine="480" w:firstLineChars="200"/>
              <w:rPr>
                <w:rFonts w:hint="eastAsia" w:ascii="宋体" w:hAnsi="宋体" w:eastAsia="宋体" w:cs="宋体"/>
                <w:color w:val="auto"/>
                <w:sz w:val="24"/>
                <w:szCs w:val="24"/>
              </w:rPr>
            </w:pPr>
          </w:p>
        </w:tc>
        <w:tc>
          <w:tcPr>
            <w:tcW w:w="2212" w:type="dxa"/>
            <w:vAlign w:val="center"/>
          </w:tcPr>
          <w:p w14:paraId="1D458C6A">
            <w:pPr>
              <w:snapToGrid w:val="0"/>
              <w:spacing w:line="500" w:lineRule="exact"/>
              <w:ind w:firstLine="480" w:firstLineChars="200"/>
              <w:rPr>
                <w:rFonts w:hint="eastAsia" w:ascii="宋体" w:hAnsi="宋体" w:eastAsia="宋体" w:cs="宋体"/>
                <w:color w:val="auto"/>
                <w:sz w:val="24"/>
                <w:szCs w:val="24"/>
              </w:rPr>
            </w:pPr>
          </w:p>
        </w:tc>
      </w:tr>
      <w:tr w14:paraId="54CF8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6BB1DF18">
            <w:pPr>
              <w:snapToGrid w:val="0"/>
              <w:spacing w:line="500" w:lineRule="exact"/>
              <w:ind w:firstLine="480" w:firstLineChars="200"/>
              <w:rPr>
                <w:rFonts w:hint="eastAsia" w:ascii="宋体" w:hAnsi="宋体" w:eastAsia="宋体" w:cs="宋体"/>
                <w:color w:val="auto"/>
                <w:sz w:val="24"/>
                <w:szCs w:val="24"/>
              </w:rPr>
            </w:pPr>
          </w:p>
        </w:tc>
        <w:tc>
          <w:tcPr>
            <w:tcW w:w="2844" w:type="dxa"/>
            <w:vAlign w:val="center"/>
          </w:tcPr>
          <w:p w14:paraId="06073116">
            <w:pPr>
              <w:snapToGrid w:val="0"/>
              <w:spacing w:line="500" w:lineRule="exact"/>
              <w:ind w:firstLine="480" w:firstLineChars="200"/>
              <w:rPr>
                <w:rFonts w:hint="eastAsia" w:ascii="宋体" w:hAnsi="宋体" w:eastAsia="宋体" w:cs="宋体"/>
                <w:color w:val="auto"/>
                <w:sz w:val="24"/>
                <w:szCs w:val="24"/>
              </w:rPr>
            </w:pPr>
          </w:p>
        </w:tc>
        <w:tc>
          <w:tcPr>
            <w:tcW w:w="2952" w:type="dxa"/>
            <w:vAlign w:val="center"/>
          </w:tcPr>
          <w:p w14:paraId="592738D0">
            <w:pPr>
              <w:snapToGrid w:val="0"/>
              <w:spacing w:line="500" w:lineRule="exact"/>
              <w:ind w:firstLine="480" w:firstLineChars="200"/>
              <w:rPr>
                <w:rFonts w:hint="eastAsia" w:ascii="宋体" w:hAnsi="宋体" w:eastAsia="宋体" w:cs="宋体"/>
                <w:color w:val="auto"/>
                <w:sz w:val="24"/>
                <w:szCs w:val="24"/>
              </w:rPr>
            </w:pPr>
          </w:p>
        </w:tc>
        <w:tc>
          <w:tcPr>
            <w:tcW w:w="2212" w:type="dxa"/>
            <w:vAlign w:val="center"/>
          </w:tcPr>
          <w:p w14:paraId="267388F5">
            <w:pPr>
              <w:snapToGrid w:val="0"/>
              <w:spacing w:line="500" w:lineRule="exact"/>
              <w:ind w:firstLine="480" w:firstLineChars="200"/>
              <w:rPr>
                <w:rFonts w:hint="eastAsia" w:ascii="宋体" w:hAnsi="宋体" w:eastAsia="宋体" w:cs="宋体"/>
                <w:color w:val="auto"/>
                <w:sz w:val="24"/>
                <w:szCs w:val="24"/>
              </w:rPr>
            </w:pPr>
          </w:p>
        </w:tc>
      </w:tr>
      <w:tr w14:paraId="12ACB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C482E6F">
            <w:pPr>
              <w:snapToGrid w:val="0"/>
              <w:spacing w:line="500" w:lineRule="exact"/>
              <w:ind w:firstLine="480" w:firstLineChars="200"/>
              <w:rPr>
                <w:rFonts w:hint="eastAsia" w:ascii="宋体" w:hAnsi="宋体" w:eastAsia="宋体" w:cs="宋体"/>
                <w:color w:val="auto"/>
                <w:sz w:val="24"/>
                <w:szCs w:val="24"/>
              </w:rPr>
            </w:pPr>
          </w:p>
        </w:tc>
        <w:tc>
          <w:tcPr>
            <w:tcW w:w="2844" w:type="dxa"/>
            <w:vAlign w:val="center"/>
          </w:tcPr>
          <w:p w14:paraId="33449678">
            <w:pPr>
              <w:snapToGrid w:val="0"/>
              <w:spacing w:line="500" w:lineRule="exact"/>
              <w:ind w:firstLine="480" w:firstLineChars="200"/>
              <w:rPr>
                <w:rFonts w:hint="eastAsia" w:ascii="宋体" w:hAnsi="宋体" w:eastAsia="宋体" w:cs="宋体"/>
                <w:color w:val="auto"/>
                <w:sz w:val="24"/>
                <w:szCs w:val="24"/>
              </w:rPr>
            </w:pPr>
          </w:p>
        </w:tc>
        <w:tc>
          <w:tcPr>
            <w:tcW w:w="2952" w:type="dxa"/>
            <w:vAlign w:val="center"/>
          </w:tcPr>
          <w:p w14:paraId="76AF26E7">
            <w:pPr>
              <w:snapToGrid w:val="0"/>
              <w:spacing w:line="500" w:lineRule="exact"/>
              <w:ind w:firstLine="480" w:firstLineChars="200"/>
              <w:rPr>
                <w:rFonts w:hint="eastAsia" w:ascii="宋体" w:hAnsi="宋体" w:eastAsia="宋体" w:cs="宋体"/>
                <w:color w:val="auto"/>
                <w:sz w:val="24"/>
                <w:szCs w:val="24"/>
              </w:rPr>
            </w:pPr>
          </w:p>
        </w:tc>
        <w:tc>
          <w:tcPr>
            <w:tcW w:w="2212" w:type="dxa"/>
            <w:vAlign w:val="center"/>
          </w:tcPr>
          <w:p w14:paraId="2B3EFD9D">
            <w:pPr>
              <w:snapToGrid w:val="0"/>
              <w:spacing w:line="500" w:lineRule="exact"/>
              <w:ind w:firstLine="480" w:firstLineChars="200"/>
              <w:rPr>
                <w:rFonts w:hint="eastAsia" w:ascii="宋体" w:hAnsi="宋体" w:eastAsia="宋体" w:cs="宋体"/>
                <w:color w:val="auto"/>
                <w:sz w:val="24"/>
                <w:szCs w:val="24"/>
              </w:rPr>
            </w:pPr>
          </w:p>
        </w:tc>
      </w:tr>
      <w:tr w14:paraId="0F9DB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D3DC3E9">
            <w:pPr>
              <w:snapToGrid w:val="0"/>
              <w:spacing w:line="500" w:lineRule="exact"/>
              <w:ind w:firstLine="480" w:firstLineChars="200"/>
              <w:rPr>
                <w:rFonts w:hint="eastAsia" w:ascii="宋体" w:hAnsi="宋体" w:eastAsia="宋体" w:cs="宋体"/>
                <w:color w:val="auto"/>
                <w:sz w:val="24"/>
                <w:szCs w:val="24"/>
              </w:rPr>
            </w:pPr>
          </w:p>
        </w:tc>
        <w:tc>
          <w:tcPr>
            <w:tcW w:w="2844" w:type="dxa"/>
            <w:vAlign w:val="center"/>
          </w:tcPr>
          <w:p w14:paraId="6B07A9D6">
            <w:pPr>
              <w:snapToGrid w:val="0"/>
              <w:spacing w:line="500" w:lineRule="exact"/>
              <w:ind w:firstLine="480" w:firstLineChars="200"/>
              <w:rPr>
                <w:rFonts w:hint="eastAsia" w:ascii="宋体" w:hAnsi="宋体" w:eastAsia="宋体" w:cs="宋体"/>
                <w:color w:val="auto"/>
                <w:sz w:val="24"/>
                <w:szCs w:val="24"/>
              </w:rPr>
            </w:pPr>
          </w:p>
        </w:tc>
        <w:tc>
          <w:tcPr>
            <w:tcW w:w="2952" w:type="dxa"/>
            <w:vAlign w:val="center"/>
          </w:tcPr>
          <w:p w14:paraId="56AC4B48">
            <w:pPr>
              <w:snapToGrid w:val="0"/>
              <w:spacing w:line="500" w:lineRule="exact"/>
              <w:ind w:firstLine="480" w:firstLineChars="200"/>
              <w:rPr>
                <w:rFonts w:hint="eastAsia" w:ascii="宋体" w:hAnsi="宋体" w:eastAsia="宋体" w:cs="宋体"/>
                <w:color w:val="auto"/>
                <w:sz w:val="24"/>
                <w:szCs w:val="24"/>
              </w:rPr>
            </w:pPr>
          </w:p>
        </w:tc>
        <w:tc>
          <w:tcPr>
            <w:tcW w:w="2212" w:type="dxa"/>
            <w:vAlign w:val="center"/>
          </w:tcPr>
          <w:p w14:paraId="639496BD">
            <w:pPr>
              <w:snapToGrid w:val="0"/>
              <w:spacing w:line="500" w:lineRule="exact"/>
              <w:ind w:firstLine="480" w:firstLineChars="200"/>
              <w:rPr>
                <w:rFonts w:hint="eastAsia" w:ascii="宋体" w:hAnsi="宋体" w:eastAsia="宋体" w:cs="宋体"/>
                <w:color w:val="auto"/>
                <w:sz w:val="24"/>
                <w:szCs w:val="24"/>
              </w:rPr>
            </w:pPr>
          </w:p>
        </w:tc>
      </w:tr>
      <w:tr w14:paraId="30464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EA3677B">
            <w:pPr>
              <w:snapToGrid w:val="0"/>
              <w:spacing w:line="500" w:lineRule="exact"/>
              <w:ind w:firstLine="480" w:firstLineChars="200"/>
              <w:rPr>
                <w:rFonts w:hint="eastAsia" w:ascii="宋体" w:hAnsi="宋体" w:eastAsia="宋体" w:cs="宋体"/>
                <w:color w:val="auto"/>
                <w:sz w:val="24"/>
                <w:szCs w:val="24"/>
              </w:rPr>
            </w:pPr>
          </w:p>
        </w:tc>
        <w:tc>
          <w:tcPr>
            <w:tcW w:w="2844" w:type="dxa"/>
            <w:vAlign w:val="center"/>
          </w:tcPr>
          <w:p w14:paraId="29D45AE7">
            <w:pPr>
              <w:snapToGrid w:val="0"/>
              <w:spacing w:line="500" w:lineRule="exact"/>
              <w:ind w:firstLine="480" w:firstLineChars="200"/>
              <w:rPr>
                <w:rFonts w:hint="eastAsia" w:ascii="宋体" w:hAnsi="宋体" w:eastAsia="宋体" w:cs="宋体"/>
                <w:color w:val="auto"/>
                <w:sz w:val="24"/>
                <w:szCs w:val="24"/>
              </w:rPr>
            </w:pPr>
          </w:p>
        </w:tc>
        <w:tc>
          <w:tcPr>
            <w:tcW w:w="2952" w:type="dxa"/>
            <w:vAlign w:val="center"/>
          </w:tcPr>
          <w:p w14:paraId="18026A08">
            <w:pPr>
              <w:snapToGrid w:val="0"/>
              <w:spacing w:line="500" w:lineRule="exact"/>
              <w:ind w:firstLine="480" w:firstLineChars="200"/>
              <w:rPr>
                <w:rFonts w:hint="eastAsia" w:ascii="宋体" w:hAnsi="宋体" w:eastAsia="宋体" w:cs="宋体"/>
                <w:color w:val="auto"/>
                <w:sz w:val="24"/>
                <w:szCs w:val="24"/>
              </w:rPr>
            </w:pPr>
          </w:p>
        </w:tc>
        <w:tc>
          <w:tcPr>
            <w:tcW w:w="2212" w:type="dxa"/>
            <w:vAlign w:val="center"/>
          </w:tcPr>
          <w:p w14:paraId="7C0F4CE7">
            <w:pPr>
              <w:snapToGrid w:val="0"/>
              <w:spacing w:line="500" w:lineRule="exact"/>
              <w:ind w:firstLine="480" w:firstLineChars="200"/>
              <w:rPr>
                <w:rFonts w:hint="eastAsia" w:ascii="宋体" w:hAnsi="宋体" w:eastAsia="宋体" w:cs="宋体"/>
                <w:color w:val="auto"/>
                <w:sz w:val="24"/>
                <w:szCs w:val="24"/>
              </w:rPr>
            </w:pPr>
          </w:p>
        </w:tc>
      </w:tr>
      <w:tr w14:paraId="49A8F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0A99BC9">
            <w:pPr>
              <w:snapToGrid w:val="0"/>
              <w:spacing w:line="500" w:lineRule="exact"/>
              <w:ind w:firstLine="480" w:firstLineChars="200"/>
              <w:rPr>
                <w:rFonts w:hint="eastAsia" w:ascii="宋体" w:hAnsi="宋体" w:eastAsia="宋体" w:cs="宋体"/>
                <w:color w:val="auto"/>
                <w:sz w:val="24"/>
                <w:szCs w:val="24"/>
              </w:rPr>
            </w:pPr>
          </w:p>
        </w:tc>
        <w:tc>
          <w:tcPr>
            <w:tcW w:w="2844" w:type="dxa"/>
            <w:vAlign w:val="center"/>
          </w:tcPr>
          <w:p w14:paraId="1E00F26B">
            <w:pPr>
              <w:snapToGrid w:val="0"/>
              <w:spacing w:line="500" w:lineRule="exact"/>
              <w:ind w:firstLine="480" w:firstLineChars="200"/>
              <w:rPr>
                <w:rFonts w:hint="eastAsia" w:ascii="宋体" w:hAnsi="宋体" w:eastAsia="宋体" w:cs="宋体"/>
                <w:color w:val="auto"/>
                <w:sz w:val="24"/>
                <w:szCs w:val="24"/>
              </w:rPr>
            </w:pPr>
          </w:p>
        </w:tc>
        <w:tc>
          <w:tcPr>
            <w:tcW w:w="2952" w:type="dxa"/>
            <w:vAlign w:val="center"/>
          </w:tcPr>
          <w:p w14:paraId="5A41CEE1">
            <w:pPr>
              <w:snapToGrid w:val="0"/>
              <w:spacing w:line="500" w:lineRule="exact"/>
              <w:ind w:firstLine="480" w:firstLineChars="200"/>
              <w:rPr>
                <w:rFonts w:hint="eastAsia" w:ascii="宋体" w:hAnsi="宋体" w:eastAsia="宋体" w:cs="宋体"/>
                <w:color w:val="auto"/>
                <w:sz w:val="24"/>
                <w:szCs w:val="24"/>
              </w:rPr>
            </w:pPr>
          </w:p>
        </w:tc>
        <w:tc>
          <w:tcPr>
            <w:tcW w:w="2212" w:type="dxa"/>
            <w:vAlign w:val="center"/>
          </w:tcPr>
          <w:p w14:paraId="5118323F">
            <w:pPr>
              <w:snapToGrid w:val="0"/>
              <w:spacing w:line="500" w:lineRule="exact"/>
              <w:ind w:firstLine="480" w:firstLineChars="200"/>
              <w:rPr>
                <w:rFonts w:hint="eastAsia" w:ascii="宋体" w:hAnsi="宋体" w:eastAsia="宋体" w:cs="宋体"/>
                <w:color w:val="auto"/>
                <w:sz w:val="24"/>
                <w:szCs w:val="24"/>
              </w:rPr>
            </w:pPr>
          </w:p>
        </w:tc>
      </w:tr>
      <w:tr w14:paraId="3763B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2039EE0">
            <w:pPr>
              <w:snapToGrid w:val="0"/>
              <w:spacing w:line="500" w:lineRule="exact"/>
              <w:ind w:firstLine="480" w:firstLineChars="200"/>
              <w:rPr>
                <w:rFonts w:hint="eastAsia" w:ascii="宋体" w:hAnsi="宋体" w:eastAsia="宋体" w:cs="宋体"/>
                <w:color w:val="auto"/>
                <w:sz w:val="24"/>
                <w:szCs w:val="24"/>
              </w:rPr>
            </w:pPr>
          </w:p>
        </w:tc>
        <w:tc>
          <w:tcPr>
            <w:tcW w:w="2844" w:type="dxa"/>
            <w:vAlign w:val="center"/>
          </w:tcPr>
          <w:p w14:paraId="271592FA">
            <w:pPr>
              <w:snapToGrid w:val="0"/>
              <w:spacing w:line="500" w:lineRule="exact"/>
              <w:ind w:firstLine="480" w:firstLineChars="200"/>
              <w:rPr>
                <w:rFonts w:hint="eastAsia" w:ascii="宋体" w:hAnsi="宋体" w:eastAsia="宋体" w:cs="宋体"/>
                <w:color w:val="auto"/>
                <w:sz w:val="24"/>
                <w:szCs w:val="24"/>
              </w:rPr>
            </w:pPr>
          </w:p>
        </w:tc>
        <w:tc>
          <w:tcPr>
            <w:tcW w:w="2952" w:type="dxa"/>
            <w:vAlign w:val="center"/>
          </w:tcPr>
          <w:p w14:paraId="46714861">
            <w:pPr>
              <w:snapToGrid w:val="0"/>
              <w:spacing w:line="500" w:lineRule="exact"/>
              <w:ind w:firstLine="480" w:firstLineChars="200"/>
              <w:rPr>
                <w:rFonts w:hint="eastAsia" w:ascii="宋体" w:hAnsi="宋体" w:eastAsia="宋体" w:cs="宋体"/>
                <w:color w:val="auto"/>
                <w:sz w:val="24"/>
                <w:szCs w:val="24"/>
              </w:rPr>
            </w:pPr>
          </w:p>
        </w:tc>
        <w:tc>
          <w:tcPr>
            <w:tcW w:w="2212" w:type="dxa"/>
            <w:vAlign w:val="center"/>
          </w:tcPr>
          <w:p w14:paraId="63EC4E8C">
            <w:pPr>
              <w:snapToGrid w:val="0"/>
              <w:spacing w:line="500" w:lineRule="exact"/>
              <w:ind w:firstLine="480" w:firstLineChars="200"/>
              <w:rPr>
                <w:rFonts w:hint="eastAsia" w:ascii="宋体" w:hAnsi="宋体" w:eastAsia="宋体" w:cs="宋体"/>
                <w:color w:val="auto"/>
                <w:sz w:val="24"/>
                <w:szCs w:val="24"/>
              </w:rPr>
            </w:pPr>
          </w:p>
        </w:tc>
      </w:tr>
      <w:tr w14:paraId="7663C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5CA53C1">
            <w:pPr>
              <w:snapToGrid w:val="0"/>
              <w:spacing w:line="500" w:lineRule="exact"/>
              <w:ind w:firstLine="480" w:firstLineChars="200"/>
              <w:rPr>
                <w:rFonts w:hint="eastAsia" w:ascii="宋体" w:hAnsi="宋体" w:eastAsia="宋体" w:cs="宋体"/>
                <w:color w:val="auto"/>
                <w:sz w:val="24"/>
                <w:szCs w:val="24"/>
              </w:rPr>
            </w:pPr>
          </w:p>
        </w:tc>
        <w:tc>
          <w:tcPr>
            <w:tcW w:w="2844" w:type="dxa"/>
            <w:vAlign w:val="center"/>
          </w:tcPr>
          <w:p w14:paraId="26595C97">
            <w:pPr>
              <w:snapToGrid w:val="0"/>
              <w:spacing w:line="500" w:lineRule="exact"/>
              <w:ind w:firstLine="480" w:firstLineChars="200"/>
              <w:rPr>
                <w:rFonts w:hint="eastAsia" w:ascii="宋体" w:hAnsi="宋体" w:eastAsia="宋体" w:cs="宋体"/>
                <w:color w:val="auto"/>
                <w:sz w:val="24"/>
                <w:szCs w:val="24"/>
              </w:rPr>
            </w:pPr>
          </w:p>
        </w:tc>
        <w:tc>
          <w:tcPr>
            <w:tcW w:w="2952" w:type="dxa"/>
            <w:vAlign w:val="center"/>
          </w:tcPr>
          <w:p w14:paraId="20573494">
            <w:pPr>
              <w:snapToGrid w:val="0"/>
              <w:spacing w:line="500" w:lineRule="exact"/>
              <w:ind w:firstLine="480" w:firstLineChars="200"/>
              <w:rPr>
                <w:rFonts w:hint="eastAsia" w:ascii="宋体" w:hAnsi="宋体" w:eastAsia="宋体" w:cs="宋体"/>
                <w:color w:val="auto"/>
                <w:sz w:val="24"/>
                <w:szCs w:val="24"/>
              </w:rPr>
            </w:pPr>
          </w:p>
        </w:tc>
        <w:tc>
          <w:tcPr>
            <w:tcW w:w="2212" w:type="dxa"/>
            <w:vAlign w:val="center"/>
          </w:tcPr>
          <w:p w14:paraId="4D767E20">
            <w:pPr>
              <w:snapToGrid w:val="0"/>
              <w:spacing w:line="500" w:lineRule="exact"/>
              <w:ind w:firstLine="480" w:firstLineChars="200"/>
              <w:rPr>
                <w:rFonts w:hint="eastAsia" w:ascii="宋体" w:hAnsi="宋体" w:eastAsia="宋体" w:cs="宋体"/>
                <w:color w:val="auto"/>
                <w:sz w:val="24"/>
                <w:szCs w:val="24"/>
              </w:rPr>
            </w:pPr>
          </w:p>
        </w:tc>
      </w:tr>
    </w:tbl>
    <w:p w14:paraId="09CCE5DF">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投标人：                                      法人代表或授权代表：</w:t>
      </w:r>
    </w:p>
    <w:p w14:paraId="5892C539">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12393B43">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（投标人公章）                               （签字或盖章）</w:t>
      </w:r>
    </w:p>
    <w:p w14:paraId="4A675C55">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p w14:paraId="61ECCF90">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注：</w:t>
      </w:r>
    </w:p>
    <w:p w14:paraId="63C7E502">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1、本表即为对本项目“第五章 技术要求”中所列服务要求进行比较和响应；</w:t>
      </w:r>
    </w:p>
    <w:p w14:paraId="34F94F1F">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2、该表必须按照竞争性比选要求逐条如实填写，根据响应情况在“差异说明”项填写正偏离或负偏离及原因，完全符合的填写“无差异”；</w:t>
      </w:r>
    </w:p>
    <w:p w14:paraId="5661A14C">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3、该表可扩展，并逐页签字或盖章；</w:t>
      </w:r>
    </w:p>
    <w:p w14:paraId="092925B3">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4、可附相关服务支撑材料。（格式自定）</w:t>
      </w:r>
      <w:bookmarkStart w:id="665" w:name="_Toc10966"/>
    </w:p>
    <w:p w14:paraId="6A559454">
      <w:pPr>
        <w:rPr>
          <w:rFonts w:hint="eastAsia" w:ascii="宋体" w:hAnsi="宋体" w:eastAsia="宋体" w:cs="宋体"/>
          <w:color w:val="auto"/>
          <w:sz w:val="24"/>
          <w:szCs w:val="24"/>
        </w:rPr>
      </w:pPr>
    </w:p>
    <w:p w14:paraId="53F51636">
      <w:pPr>
        <w:rPr>
          <w:rFonts w:hint="eastAsia" w:ascii="宋体" w:hAnsi="宋体" w:eastAsia="宋体" w:cs="宋体"/>
          <w:color w:val="auto"/>
          <w:sz w:val="24"/>
          <w:szCs w:val="24"/>
        </w:rPr>
      </w:pPr>
    </w:p>
    <w:p w14:paraId="3D1DEEA3">
      <w:pPr>
        <w:rPr>
          <w:rFonts w:hint="eastAsia" w:ascii="宋体" w:hAnsi="宋体" w:eastAsia="宋体" w:cs="宋体"/>
          <w:color w:val="auto"/>
          <w:sz w:val="24"/>
          <w:szCs w:val="24"/>
        </w:rPr>
      </w:pPr>
    </w:p>
    <w:p w14:paraId="106D283C">
      <w:pPr>
        <w:rPr>
          <w:rFonts w:hint="eastAsia" w:ascii="宋体" w:hAnsi="宋体" w:eastAsia="宋体" w:cs="宋体"/>
          <w:color w:val="auto"/>
          <w:sz w:val="24"/>
          <w:szCs w:val="24"/>
        </w:rPr>
      </w:pPr>
    </w:p>
    <w:p w14:paraId="2AB0ECF1">
      <w:pPr>
        <w:rPr>
          <w:rFonts w:hint="eastAsia" w:ascii="宋体" w:hAnsi="宋体" w:eastAsia="宋体" w:cs="宋体"/>
          <w:color w:val="auto"/>
          <w:sz w:val="24"/>
          <w:szCs w:val="24"/>
        </w:rPr>
      </w:pPr>
    </w:p>
    <w:p w14:paraId="635D8B24">
      <w:pPr>
        <w:rPr>
          <w:rFonts w:hint="eastAsia" w:ascii="宋体" w:hAnsi="宋体" w:eastAsia="宋体" w:cs="宋体"/>
          <w:color w:val="auto"/>
          <w:sz w:val="24"/>
          <w:szCs w:val="24"/>
        </w:rPr>
      </w:pPr>
    </w:p>
    <w:p w14:paraId="5CFDD7EB">
      <w:pPr>
        <w:rPr>
          <w:rFonts w:hint="eastAsia" w:ascii="宋体" w:hAnsi="宋体" w:eastAsia="宋体" w:cs="宋体"/>
          <w:color w:val="auto"/>
          <w:sz w:val="24"/>
          <w:szCs w:val="24"/>
        </w:rPr>
      </w:pPr>
    </w:p>
    <w:p w14:paraId="367D2EF7">
      <w:pPr>
        <w:rPr>
          <w:rFonts w:hint="eastAsia" w:ascii="宋体" w:hAnsi="宋体" w:eastAsia="宋体" w:cs="宋体"/>
          <w:color w:val="auto"/>
          <w:sz w:val="24"/>
          <w:szCs w:val="24"/>
        </w:rPr>
      </w:pPr>
    </w:p>
    <w:p w14:paraId="581D7FF8">
      <w:pPr>
        <w:rPr>
          <w:rFonts w:hint="eastAsia" w:ascii="宋体" w:hAnsi="宋体" w:eastAsia="宋体" w:cs="宋体"/>
          <w:color w:val="auto"/>
        </w:rPr>
      </w:pPr>
    </w:p>
    <w:bookmarkEnd w:id="665"/>
    <w:p w14:paraId="04076C2C">
      <w:pPr>
        <w:rPr>
          <w:rFonts w:hint="eastAsia" w:ascii="宋体" w:hAnsi="宋体" w:eastAsia="宋体" w:cs="宋体"/>
          <w:color w:val="auto"/>
          <w:sz w:val="24"/>
          <w:szCs w:val="24"/>
        </w:rPr>
      </w:pPr>
    </w:p>
    <w:p w14:paraId="782999F7">
      <w:pPr>
        <w:pStyle w:val="5"/>
        <w:spacing w:before="0" w:line="400" w:lineRule="exact"/>
        <w:ind w:firstLine="482" w:firstLineChars="200"/>
        <w:rPr>
          <w:rFonts w:hint="default" w:ascii="宋体" w:hAnsi="宋体" w:eastAsia="宋体" w:cs="宋体"/>
          <w:bCs/>
          <w:color w:val="auto"/>
          <w:szCs w:val="24"/>
          <w:lang w:val="en-US" w:eastAsia="zh-CN"/>
        </w:rPr>
        <w:sectPr>
          <w:pgSz w:w="11907" w:h="16840"/>
          <w:pgMar w:top="1134" w:right="1191" w:bottom="1134" w:left="1304" w:header="851" w:footer="992" w:gutter="0"/>
          <w:pgNumType w:fmt="decimal"/>
          <w:cols w:space="720" w:num="1"/>
          <w:docGrid w:linePitch="380" w:charSpace="-5735"/>
        </w:sectPr>
      </w:pPr>
      <w:bookmarkStart w:id="666" w:name="_Toc313008358"/>
      <w:bookmarkStart w:id="667" w:name="_Toc86934242"/>
      <w:bookmarkStart w:id="668" w:name="_Toc10894"/>
      <w:bookmarkStart w:id="669" w:name="_Toc81834348"/>
      <w:bookmarkStart w:id="670" w:name="_Toc342913421"/>
      <w:bookmarkStart w:id="671" w:name="_Toc313888362"/>
      <w:r>
        <w:rPr>
          <w:rFonts w:hint="eastAsia" w:ascii="宋体" w:hAnsi="宋体" w:eastAsia="宋体" w:cs="宋体"/>
          <w:bCs/>
          <w:color w:val="auto"/>
          <w:szCs w:val="24"/>
          <w:lang w:eastAsia="zh-CN"/>
        </w:rPr>
        <w:t>（</w:t>
      </w:r>
      <w:r>
        <w:rPr>
          <w:rFonts w:hint="eastAsia" w:ascii="宋体" w:hAnsi="宋体" w:eastAsia="宋体" w:cs="宋体"/>
          <w:bCs/>
          <w:color w:val="auto"/>
          <w:szCs w:val="24"/>
          <w:lang w:val="en-US" w:eastAsia="zh-CN"/>
        </w:rPr>
        <w:t>二</w:t>
      </w:r>
      <w:r>
        <w:rPr>
          <w:rFonts w:hint="eastAsia" w:ascii="宋体" w:hAnsi="宋体" w:eastAsia="宋体" w:cs="宋体"/>
          <w:bCs/>
          <w:color w:val="auto"/>
          <w:szCs w:val="24"/>
          <w:lang w:eastAsia="zh-CN"/>
        </w:rPr>
        <w:t>）</w:t>
      </w:r>
      <w:r>
        <w:rPr>
          <w:rFonts w:hint="eastAsia" w:ascii="宋体" w:hAnsi="宋体" w:eastAsia="宋体" w:cs="宋体"/>
          <w:bCs/>
          <w:color w:val="auto"/>
          <w:szCs w:val="24"/>
          <w:lang w:val="en-US" w:eastAsia="zh-CN"/>
        </w:rPr>
        <w:t>其他</w:t>
      </w:r>
    </w:p>
    <w:p w14:paraId="069F8F77">
      <w:pPr>
        <w:pStyle w:val="6"/>
        <w:spacing w:line="400" w:lineRule="exact"/>
        <w:jc w:val="both"/>
        <w:rPr>
          <w:rFonts w:hint="eastAsia" w:ascii="宋体" w:hAnsi="宋体" w:eastAsia="宋体" w:cs="宋体"/>
          <w:b/>
          <w:color w:val="auto"/>
          <w:szCs w:val="24"/>
        </w:rPr>
      </w:pPr>
      <w:r>
        <w:rPr>
          <w:rFonts w:hint="eastAsia" w:ascii="宋体" w:hAnsi="宋体" w:eastAsia="宋体" w:cs="宋体"/>
          <w:b/>
          <w:color w:val="auto"/>
          <w:szCs w:val="24"/>
        </w:rPr>
        <w:t>三、商务部分</w:t>
      </w:r>
      <w:bookmarkEnd w:id="666"/>
      <w:bookmarkEnd w:id="667"/>
      <w:bookmarkEnd w:id="668"/>
      <w:bookmarkEnd w:id="669"/>
      <w:bookmarkEnd w:id="670"/>
      <w:bookmarkEnd w:id="671"/>
    </w:p>
    <w:p w14:paraId="61FD4C87">
      <w:pPr>
        <w:snapToGrid w:val="0"/>
        <w:spacing w:line="500" w:lineRule="exact"/>
        <w:ind w:firstLine="482" w:firstLineChars="200"/>
        <w:rPr>
          <w:rFonts w:hint="eastAsia" w:ascii="宋体" w:hAnsi="宋体" w:eastAsia="宋体" w:cs="宋体"/>
          <w:b/>
          <w:bCs/>
          <w:color w:val="auto"/>
          <w:sz w:val="24"/>
          <w:szCs w:val="24"/>
        </w:rPr>
      </w:pPr>
      <w:bookmarkStart w:id="672" w:name="_Toc283382459"/>
      <w:r>
        <w:rPr>
          <w:rFonts w:hint="eastAsia" w:ascii="宋体" w:hAnsi="宋体" w:eastAsia="宋体" w:cs="宋体"/>
          <w:b/>
          <w:bCs/>
          <w:color w:val="auto"/>
          <w:sz w:val="24"/>
          <w:szCs w:val="24"/>
        </w:rPr>
        <w:t>（一）商务响应偏离表</w:t>
      </w:r>
    </w:p>
    <w:p w14:paraId="38634517">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商务响应偏离表</w:t>
      </w:r>
    </w:p>
    <w:p w14:paraId="02792F74">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25881425">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项目名称： </w:t>
      </w:r>
    </w:p>
    <w:tbl>
      <w:tblPr>
        <w:tblStyle w:val="4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0AC69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20D72F57">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3179" w:type="dxa"/>
            <w:vAlign w:val="center"/>
          </w:tcPr>
          <w:p w14:paraId="3D3D2EFD">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项目商务需求</w:t>
            </w:r>
          </w:p>
        </w:tc>
        <w:tc>
          <w:tcPr>
            <w:tcW w:w="2434" w:type="dxa"/>
            <w:vAlign w:val="center"/>
          </w:tcPr>
          <w:p w14:paraId="42F7F2AC">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响应情况</w:t>
            </w:r>
          </w:p>
        </w:tc>
        <w:tc>
          <w:tcPr>
            <w:tcW w:w="2355" w:type="dxa"/>
            <w:vAlign w:val="center"/>
          </w:tcPr>
          <w:p w14:paraId="2BD63FE4">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偏离说明</w:t>
            </w:r>
          </w:p>
        </w:tc>
      </w:tr>
      <w:tr w14:paraId="2154E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107832D">
            <w:pPr>
              <w:snapToGrid w:val="0"/>
              <w:spacing w:line="500" w:lineRule="exact"/>
              <w:ind w:firstLine="480" w:firstLineChars="200"/>
              <w:rPr>
                <w:rFonts w:hint="eastAsia" w:ascii="宋体" w:hAnsi="宋体" w:eastAsia="宋体" w:cs="宋体"/>
                <w:color w:val="auto"/>
                <w:sz w:val="24"/>
                <w:szCs w:val="24"/>
              </w:rPr>
            </w:pPr>
          </w:p>
        </w:tc>
        <w:tc>
          <w:tcPr>
            <w:tcW w:w="3179" w:type="dxa"/>
            <w:vAlign w:val="center"/>
          </w:tcPr>
          <w:p w14:paraId="7EF87138">
            <w:pPr>
              <w:snapToGrid w:val="0"/>
              <w:spacing w:line="500" w:lineRule="exact"/>
              <w:ind w:firstLine="480" w:firstLineChars="200"/>
              <w:rPr>
                <w:rFonts w:hint="eastAsia" w:ascii="宋体" w:hAnsi="宋体" w:eastAsia="宋体" w:cs="宋体"/>
                <w:color w:val="auto"/>
                <w:sz w:val="24"/>
                <w:szCs w:val="24"/>
              </w:rPr>
            </w:pPr>
          </w:p>
        </w:tc>
        <w:tc>
          <w:tcPr>
            <w:tcW w:w="2434" w:type="dxa"/>
            <w:vAlign w:val="center"/>
          </w:tcPr>
          <w:p w14:paraId="6A472B62">
            <w:pPr>
              <w:snapToGrid w:val="0"/>
              <w:spacing w:line="500" w:lineRule="exact"/>
              <w:ind w:firstLine="480" w:firstLineChars="200"/>
              <w:rPr>
                <w:rFonts w:hint="eastAsia" w:ascii="宋体" w:hAnsi="宋体" w:eastAsia="宋体" w:cs="宋体"/>
                <w:color w:val="auto"/>
                <w:sz w:val="24"/>
                <w:szCs w:val="24"/>
              </w:rPr>
            </w:pPr>
          </w:p>
        </w:tc>
        <w:tc>
          <w:tcPr>
            <w:tcW w:w="2355" w:type="dxa"/>
            <w:vAlign w:val="center"/>
          </w:tcPr>
          <w:p w14:paraId="6A9E0BE1">
            <w:pPr>
              <w:snapToGrid w:val="0"/>
              <w:spacing w:line="500" w:lineRule="exact"/>
              <w:ind w:firstLine="480" w:firstLineChars="200"/>
              <w:rPr>
                <w:rFonts w:hint="eastAsia" w:ascii="宋体" w:hAnsi="宋体" w:eastAsia="宋体" w:cs="宋体"/>
                <w:color w:val="auto"/>
                <w:sz w:val="24"/>
                <w:szCs w:val="24"/>
              </w:rPr>
            </w:pPr>
          </w:p>
        </w:tc>
      </w:tr>
      <w:tr w14:paraId="57353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072C4B5">
            <w:pPr>
              <w:snapToGrid w:val="0"/>
              <w:spacing w:line="500" w:lineRule="exact"/>
              <w:ind w:firstLine="480" w:firstLineChars="200"/>
              <w:rPr>
                <w:rFonts w:hint="eastAsia" w:ascii="宋体" w:hAnsi="宋体" w:eastAsia="宋体" w:cs="宋体"/>
                <w:color w:val="auto"/>
                <w:sz w:val="24"/>
                <w:szCs w:val="24"/>
              </w:rPr>
            </w:pPr>
          </w:p>
        </w:tc>
        <w:tc>
          <w:tcPr>
            <w:tcW w:w="3179" w:type="dxa"/>
            <w:vAlign w:val="center"/>
          </w:tcPr>
          <w:p w14:paraId="7B036026">
            <w:pPr>
              <w:snapToGrid w:val="0"/>
              <w:spacing w:line="500" w:lineRule="exact"/>
              <w:ind w:firstLine="480" w:firstLineChars="200"/>
              <w:rPr>
                <w:rFonts w:hint="eastAsia" w:ascii="宋体" w:hAnsi="宋体" w:eastAsia="宋体" w:cs="宋体"/>
                <w:color w:val="auto"/>
                <w:sz w:val="24"/>
                <w:szCs w:val="24"/>
              </w:rPr>
            </w:pPr>
          </w:p>
        </w:tc>
        <w:tc>
          <w:tcPr>
            <w:tcW w:w="2434" w:type="dxa"/>
            <w:vAlign w:val="center"/>
          </w:tcPr>
          <w:p w14:paraId="45223C9B">
            <w:pPr>
              <w:snapToGrid w:val="0"/>
              <w:spacing w:line="500" w:lineRule="exact"/>
              <w:ind w:firstLine="480" w:firstLineChars="200"/>
              <w:rPr>
                <w:rFonts w:hint="eastAsia" w:ascii="宋体" w:hAnsi="宋体" w:eastAsia="宋体" w:cs="宋体"/>
                <w:color w:val="auto"/>
                <w:sz w:val="24"/>
                <w:szCs w:val="24"/>
              </w:rPr>
            </w:pPr>
          </w:p>
        </w:tc>
        <w:tc>
          <w:tcPr>
            <w:tcW w:w="2355" w:type="dxa"/>
            <w:vAlign w:val="center"/>
          </w:tcPr>
          <w:p w14:paraId="42B81AFF">
            <w:pPr>
              <w:snapToGrid w:val="0"/>
              <w:spacing w:line="500" w:lineRule="exact"/>
              <w:ind w:firstLine="480" w:firstLineChars="200"/>
              <w:rPr>
                <w:rFonts w:hint="eastAsia" w:ascii="宋体" w:hAnsi="宋体" w:eastAsia="宋体" w:cs="宋体"/>
                <w:color w:val="auto"/>
                <w:sz w:val="24"/>
                <w:szCs w:val="24"/>
              </w:rPr>
            </w:pPr>
          </w:p>
        </w:tc>
      </w:tr>
      <w:tr w14:paraId="6404F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4B7F0BC">
            <w:pPr>
              <w:snapToGrid w:val="0"/>
              <w:spacing w:line="500" w:lineRule="exact"/>
              <w:ind w:firstLine="480" w:firstLineChars="200"/>
              <w:rPr>
                <w:rFonts w:hint="eastAsia" w:ascii="宋体" w:hAnsi="宋体" w:eastAsia="宋体" w:cs="宋体"/>
                <w:color w:val="auto"/>
                <w:sz w:val="24"/>
                <w:szCs w:val="24"/>
              </w:rPr>
            </w:pPr>
          </w:p>
        </w:tc>
        <w:tc>
          <w:tcPr>
            <w:tcW w:w="3179" w:type="dxa"/>
            <w:vAlign w:val="center"/>
          </w:tcPr>
          <w:p w14:paraId="5E6506DA">
            <w:pPr>
              <w:snapToGrid w:val="0"/>
              <w:spacing w:line="500" w:lineRule="exact"/>
              <w:ind w:firstLine="480" w:firstLineChars="200"/>
              <w:rPr>
                <w:rFonts w:hint="eastAsia" w:ascii="宋体" w:hAnsi="宋体" w:eastAsia="宋体" w:cs="宋体"/>
                <w:color w:val="auto"/>
                <w:sz w:val="24"/>
                <w:szCs w:val="24"/>
              </w:rPr>
            </w:pPr>
          </w:p>
        </w:tc>
        <w:tc>
          <w:tcPr>
            <w:tcW w:w="2434" w:type="dxa"/>
            <w:vAlign w:val="center"/>
          </w:tcPr>
          <w:p w14:paraId="31DC9963">
            <w:pPr>
              <w:snapToGrid w:val="0"/>
              <w:spacing w:line="500" w:lineRule="exact"/>
              <w:ind w:firstLine="480" w:firstLineChars="200"/>
              <w:rPr>
                <w:rFonts w:hint="eastAsia" w:ascii="宋体" w:hAnsi="宋体" w:eastAsia="宋体" w:cs="宋体"/>
                <w:color w:val="auto"/>
                <w:sz w:val="24"/>
                <w:szCs w:val="24"/>
              </w:rPr>
            </w:pPr>
          </w:p>
        </w:tc>
        <w:tc>
          <w:tcPr>
            <w:tcW w:w="2355" w:type="dxa"/>
            <w:vAlign w:val="center"/>
          </w:tcPr>
          <w:p w14:paraId="6C5872B8">
            <w:pPr>
              <w:snapToGrid w:val="0"/>
              <w:spacing w:line="500" w:lineRule="exact"/>
              <w:ind w:firstLine="480" w:firstLineChars="200"/>
              <w:rPr>
                <w:rFonts w:hint="eastAsia" w:ascii="宋体" w:hAnsi="宋体" w:eastAsia="宋体" w:cs="宋体"/>
                <w:color w:val="auto"/>
                <w:sz w:val="24"/>
                <w:szCs w:val="24"/>
              </w:rPr>
            </w:pPr>
          </w:p>
        </w:tc>
      </w:tr>
      <w:tr w14:paraId="698ED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74C1688">
            <w:pPr>
              <w:snapToGrid w:val="0"/>
              <w:spacing w:line="500" w:lineRule="exact"/>
              <w:ind w:firstLine="480" w:firstLineChars="200"/>
              <w:rPr>
                <w:rFonts w:hint="eastAsia" w:ascii="宋体" w:hAnsi="宋体" w:eastAsia="宋体" w:cs="宋体"/>
                <w:color w:val="auto"/>
                <w:sz w:val="24"/>
                <w:szCs w:val="24"/>
              </w:rPr>
            </w:pPr>
          </w:p>
        </w:tc>
        <w:tc>
          <w:tcPr>
            <w:tcW w:w="3179" w:type="dxa"/>
            <w:vAlign w:val="center"/>
          </w:tcPr>
          <w:p w14:paraId="51D6932B">
            <w:pPr>
              <w:snapToGrid w:val="0"/>
              <w:spacing w:line="500" w:lineRule="exact"/>
              <w:ind w:firstLine="480" w:firstLineChars="200"/>
              <w:rPr>
                <w:rFonts w:hint="eastAsia" w:ascii="宋体" w:hAnsi="宋体" w:eastAsia="宋体" w:cs="宋体"/>
                <w:color w:val="auto"/>
                <w:sz w:val="24"/>
                <w:szCs w:val="24"/>
              </w:rPr>
            </w:pPr>
          </w:p>
        </w:tc>
        <w:tc>
          <w:tcPr>
            <w:tcW w:w="2434" w:type="dxa"/>
            <w:vAlign w:val="center"/>
          </w:tcPr>
          <w:p w14:paraId="0D67788A">
            <w:pPr>
              <w:snapToGrid w:val="0"/>
              <w:spacing w:line="500" w:lineRule="exact"/>
              <w:ind w:firstLine="480" w:firstLineChars="200"/>
              <w:rPr>
                <w:rFonts w:hint="eastAsia" w:ascii="宋体" w:hAnsi="宋体" w:eastAsia="宋体" w:cs="宋体"/>
                <w:color w:val="auto"/>
                <w:sz w:val="24"/>
                <w:szCs w:val="24"/>
              </w:rPr>
            </w:pPr>
          </w:p>
        </w:tc>
        <w:tc>
          <w:tcPr>
            <w:tcW w:w="2355" w:type="dxa"/>
            <w:vAlign w:val="center"/>
          </w:tcPr>
          <w:p w14:paraId="1E37DD57">
            <w:pPr>
              <w:snapToGrid w:val="0"/>
              <w:spacing w:line="500" w:lineRule="exact"/>
              <w:ind w:firstLine="480" w:firstLineChars="200"/>
              <w:rPr>
                <w:rFonts w:hint="eastAsia" w:ascii="宋体" w:hAnsi="宋体" w:eastAsia="宋体" w:cs="宋体"/>
                <w:color w:val="auto"/>
                <w:sz w:val="24"/>
                <w:szCs w:val="24"/>
              </w:rPr>
            </w:pPr>
          </w:p>
        </w:tc>
      </w:tr>
      <w:tr w14:paraId="3C3A1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18E5432">
            <w:pPr>
              <w:snapToGrid w:val="0"/>
              <w:spacing w:line="500" w:lineRule="exact"/>
              <w:ind w:firstLine="480" w:firstLineChars="200"/>
              <w:rPr>
                <w:rFonts w:hint="eastAsia" w:ascii="宋体" w:hAnsi="宋体" w:eastAsia="宋体" w:cs="宋体"/>
                <w:color w:val="auto"/>
                <w:sz w:val="24"/>
                <w:szCs w:val="24"/>
              </w:rPr>
            </w:pPr>
          </w:p>
        </w:tc>
        <w:tc>
          <w:tcPr>
            <w:tcW w:w="3179" w:type="dxa"/>
            <w:vAlign w:val="center"/>
          </w:tcPr>
          <w:p w14:paraId="14E54271">
            <w:pPr>
              <w:snapToGrid w:val="0"/>
              <w:spacing w:line="500" w:lineRule="exact"/>
              <w:ind w:firstLine="480" w:firstLineChars="200"/>
              <w:rPr>
                <w:rFonts w:hint="eastAsia" w:ascii="宋体" w:hAnsi="宋体" w:eastAsia="宋体" w:cs="宋体"/>
                <w:color w:val="auto"/>
                <w:sz w:val="24"/>
                <w:szCs w:val="24"/>
              </w:rPr>
            </w:pPr>
          </w:p>
        </w:tc>
        <w:tc>
          <w:tcPr>
            <w:tcW w:w="2434" w:type="dxa"/>
            <w:vAlign w:val="center"/>
          </w:tcPr>
          <w:p w14:paraId="7BBCF99A">
            <w:pPr>
              <w:snapToGrid w:val="0"/>
              <w:spacing w:line="500" w:lineRule="exact"/>
              <w:ind w:firstLine="480" w:firstLineChars="200"/>
              <w:rPr>
                <w:rFonts w:hint="eastAsia" w:ascii="宋体" w:hAnsi="宋体" w:eastAsia="宋体" w:cs="宋体"/>
                <w:color w:val="auto"/>
                <w:sz w:val="24"/>
                <w:szCs w:val="24"/>
              </w:rPr>
            </w:pPr>
          </w:p>
        </w:tc>
        <w:tc>
          <w:tcPr>
            <w:tcW w:w="2355" w:type="dxa"/>
            <w:vAlign w:val="center"/>
          </w:tcPr>
          <w:p w14:paraId="46B64E5E">
            <w:pPr>
              <w:snapToGrid w:val="0"/>
              <w:spacing w:line="500" w:lineRule="exact"/>
              <w:ind w:firstLine="480" w:firstLineChars="200"/>
              <w:rPr>
                <w:rFonts w:hint="eastAsia" w:ascii="宋体" w:hAnsi="宋体" w:eastAsia="宋体" w:cs="宋体"/>
                <w:color w:val="auto"/>
                <w:sz w:val="24"/>
                <w:szCs w:val="24"/>
              </w:rPr>
            </w:pPr>
          </w:p>
        </w:tc>
      </w:tr>
      <w:tr w14:paraId="09C24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C6A7537">
            <w:pPr>
              <w:snapToGrid w:val="0"/>
              <w:spacing w:line="500" w:lineRule="exact"/>
              <w:ind w:firstLine="480" w:firstLineChars="200"/>
              <w:rPr>
                <w:rFonts w:hint="eastAsia" w:ascii="宋体" w:hAnsi="宋体" w:eastAsia="宋体" w:cs="宋体"/>
                <w:color w:val="auto"/>
                <w:sz w:val="24"/>
                <w:szCs w:val="24"/>
              </w:rPr>
            </w:pPr>
          </w:p>
        </w:tc>
        <w:tc>
          <w:tcPr>
            <w:tcW w:w="3179" w:type="dxa"/>
            <w:vAlign w:val="center"/>
          </w:tcPr>
          <w:p w14:paraId="5E0AAB5B">
            <w:pPr>
              <w:snapToGrid w:val="0"/>
              <w:spacing w:line="500" w:lineRule="exact"/>
              <w:ind w:firstLine="480" w:firstLineChars="200"/>
              <w:rPr>
                <w:rFonts w:hint="eastAsia" w:ascii="宋体" w:hAnsi="宋体" w:eastAsia="宋体" w:cs="宋体"/>
                <w:color w:val="auto"/>
                <w:sz w:val="24"/>
                <w:szCs w:val="24"/>
              </w:rPr>
            </w:pPr>
          </w:p>
        </w:tc>
        <w:tc>
          <w:tcPr>
            <w:tcW w:w="2434" w:type="dxa"/>
            <w:vAlign w:val="center"/>
          </w:tcPr>
          <w:p w14:paraId="7A94DFD2">
            <w:pPr>
              <w:snapToGrid w:val="0"/>
              <w:spacing w:line="500" w:lineRule="exact"/>
              <w:ind w:firstLine="480" w:firstLineChars="200"/>
              <w:rPr>
                <w:rFonts w:hint="eastAsia" w:ascii="宋体" w:hAnsi="宋体" w:eastAsia="宋体" w:cs="宋体"/>
                <w:color w:val="auto"/>
                <w:sz w:val="24"/>
                <w:szCs w:val="24"/>
              </w:rPr>
            </w:pPr>
          </w:p>
        </w:tc>
        <w:tc>
          <w:tcPr>
            <w:tcW w:w="2355" w:type="dxa"/>
            <w:vAlign w:val="center"/>
          </w:tcPr>
          <w:p w14:paraId="0CA7A165">
            <w:pPr>
              <w:snapToGrid w:val="0"/>
              <w:spacing w:line="500" w:lineRule="exact"/>
              <w:ind w:firstLine="480" w:firstLineChars="200"/>
              <w:rPr>
                <w:rFonts w:hint="eastAsia" w:ascii="宋体" w:hAnsi="宋体" w:eastAsia="宋体" w:cs="宋体"/>
                <w:color w:val="auto"/>
                <w:sz w:val="24"/>
                <w:szCs w:val="24"/>
              </w:rPr>
            </w:pPr>
          </w:p>
        </w:tc>
      </w:tr>
    </w:tbl>
    <w:p w14:paraId="35A8569F">
      <w:pPr>
        <w:snapToGrid w:val="0"/>
        <w:spacing w:line="360" w:lineRule="auto"/>
        <w:ind w:firstLine="465"/>
        <w:rPr>
          <w:rFonts w:hint="eastAsia" w:ascii="宋体" w:hAnsi="宋体" w:eastAsia="宋体" w:cs="宋体"/>
          <w:color w:val="auto"/>
          <w:sz w:val="24"/>
          <w:szCs w:val="24"/>
        </w:rPr>
      </w:pPr>
    </w:p>
    <w:p w14:paraId="5F509A2F">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投标人：                                      法人代表或授权代表：</w:t>
      </w:r>
    </w:p>
    <w:p w14:paraId="33B36C91">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1466C8B8">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（投标人公章）                               （签字或盖章）</w:t>
      </w:r>
    </w:p>
    <w:p w14:paraId="1B22136E">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p w14:paraId="395FBE92">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注：</w:t>
      </w:r>
    </w:p>
    <w:p w14:paraId="444808DB">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1.本表即为对本项目“第六章 商务需求”中所列要求进行比较和响应；</w:t>
      </w:r>
    </w:p>
    <w:p w14:paraId="64B19F65">
      <w:pPr>
        <w:tabs>
          <w:tab w:val="left" w:pos="6300"/>
        </w:tabs>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rPr>
        <w:t>2.该表必须按照竞争性比选要求逐条如实填写，根据响应情况在“差异说明”项填写正偏离或负偏离及原因，完全符合的填写“无差异”；</w:t>
      </w:r>
    </w:p>
    <w:p w14:paraId="7D31C11C">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3.该表可扩展，并逐页签字或盖章。</w:t>
      </w:r>
    </w:p>
    <w:p w14:paraId="003D33A3">
      <w:pPr>
        <w:pStyle w:val="2"/>
        <w:rPr>
          <w:rFonts w:hint="eastAsia" w:ascii="宋体" w:hAnsi="宋体" w:eastAsia="宋体" w:cs="宋体"/>
          <w:color w:val="auto"/>
        </w:rPr>
      </w:pPr>
    </w:p>
    <w:p w14:paraId="45ADC208">
      <w:pPr>
        <w:pStyle w:val="5"/>
        <w:spacing w:before="0"/>
        <w:jc w:val="both"/>
        <w:rPr>
          <w:rFonts w:hint="eastAsia" w:ascii="宋体" w:hAnsi="宋体" w:eastAsia="宋体" w:cs="宋体"/>
          <w:b w:val="0"/>
          <w:color w:val="auto"/>
          <w:kern w:val="2"/>
          <w:sz w:val="21"/>
          <w:szCs w:val="21"/>
        </w:rPr>
      </w:pPr>
      <w:r>
        <w:rPr>
          <w:rFonts w:hint="eastAsia" w:ascii="宋体" w:hAnsi="宋体" w:eastAsia="宋体" w:cs="宋体"/>
          <w:color w:val="auto"/>
          <w:szCs w:val="24"/>
        </w:rPr>
        <w:br w:type="page"/>
      </w:r>
      <w:bookmarkStart w:id="673" w:name="_Toc224103520"/>
      <w:bookmarkStart w:id="674" w:name="_Toc430530552"/>
      <w:bookmarkStart w:id="675" w:name="_Toc287620839"/>
      <w:bookmarkStart w:id="676" w:name="_Toc277082663"/>
      <w:bookmarkStart w:id="677" w:name="_Toc287607893"/>
      <w:bookmarkStart w:id="678" w:name="_Toc57905935"/>
      <w:bookmarkStart w:id="679" w:name="_Toc5928"/>
      <w:bookmarkStart w:id="680" w:name="_Toc24425"/>
      <w:bookmarkStart w:id="681" w:name="_Toc32279"/>
      <w:bookmarkStart w:id="682" w:name="_Toc509218866"/>
      <w:bookmarkStart w:id="683" w:name="_Toc534185843"/>
      <w:r>
        <w:rPr>
          <w:rFonts w:hint="eastAsia" w:ascii="宋体" w:hAnsi="宋体" w:eastAsia="宋体" w:cs="宋体"/>
          <w:color w:val="auto"/>
          <w:szCs w:val="24"/>
          <w:lang w:val="en-US" w:eastAsia="zh-CN"/>
        </w:rPr>
        <w:t xml:space="preserve"> </w:t>
      </w:r>
      <w:r>
        <w:rPr>
          <w:rFonts w:hint="eastAsia" w:ascii="宋体" w:hAnsi="宋体" w:eastAsia="宋体" w:cs="宋体"/>
          <w:b w:val="0"/>
          <w:color w:val="auto"/>
        </w:rPr>
        <w:t>（二</w:t>
      </w:r>
      <w:r>
        <w:rPr>
          <w:rFonts w:hint="eastAsia" w:ascii="宋体" w:hAnsi="宋体" w:eastAsia="宋体" w:cs="宋体"/>
          <w:b w:val="0"/>
          <w:color w:val="auto"/>
          <w:kern w:val="2"/>
          <w:sz w:val="21"/>
          <w:szCs w:val="21"/>
        </w:rPr>
        <w:t>）</w:t>
      </w:r>
      <w:bookmarkEnd w:id="673"/>
      <w:bookmarkEnd w:id="674"/>
      <w:bookmarkEnd w:id="675"/>
      <w:bookmarkEnd w:id="676"/>
      <w:bookmarkEnd w:id="677"/>
      <w:r>
        <w:rPr>
          <w:rFonts w:hint="eastAsia" w:ascii="宋体" w:hAnsi="宋体" w:eastAsia="宋体" w:cs="宋体"/>
          <w:b w:val="0"/>
          <w:color w:val="auto"/>
          <w:kern w:val="2"/>
          <w:sz w:val="21"/>
          <w:szCs w:val="21"/>
        </w:rPr>
        <w:t>承诺</w:t>
      </w:r>
      <w:bookmarkEnd w:id="678"/>
      <w:bookmarkEnd w:id="679"/>
      <w:bookmarkEnd w:id="680"/>
      <w:bookmarkEnd w:id="681"/>
    </w:p>
    <w:p w14:paraId="7F0D9149">
      <w:pPr>
        <w:snapToGrid w:val="0"/>
        <w:spacing w:line="400" w:lineRule="exact"/>
        <w:rPr>
          <w:rFonts w:hint="eastAsia" w:ascii="宋体" w:hAnsi="宋体" w:eastAsia="宋体" w:cs="宋体"/>
          <w:color w:val="auto"/>
          <w:szCs w:val="21"/>
          <w:u w:val="single"/>
        </w:rPr>
      </w:pPr>
      <w:r>
        <w:rPr>
          <w:rFonts w:hint="eastAsia" w:ascii="宋体" w:hAnsi="宋体" w:eastAsia="宋体" w:cs="宋体"/>
          <w:color w:val="auto"/>
          <w:szCs w:val="21"/>
          <w:u w:val="single"/>
        </w:rPr>
        <w:t xml:space="preserve">        （招标人名称）</w:t>
      </w:r>
      <w:r>
        <w:rPr>
          <w:rFonts w:hint="eastAsia" w:ascii="宋体" w:hAnsi="宋体" w:eastAsia="宋体" w:cs="宋体"/>
          <w:color w:val="auto"/>
          <w:szCs w:val="21"/>
        </w:rPr>
        <w:t>：</w:t>
      </w:r>
    </w:p>
    <w:p w14:paraId="01E98A52">
      <w:pPr>
        <w:snapToGrid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我公司</w:t>
      </w:r>
      <w:r>
        <w:rPr>
          <w:rFonts w:hint="eastAsia" w:ascii="宋体" w:hAnsi="宋体" w:eastAsia="宋体" w:cs="宋体"/>
          <w:color w:val="auto"/>
          <w:szCs w:val="21"/>
          <w:u w:val="single"/>
        </w:rPr>
        <w:t xml:space="preserve">        （投标人名称）</w:t>
      </w:r>
      <w:r>
        <w:rPr>
          <w:rFonts w:hint="eastAsia" w:ascii="宋体" w:hAnsi="宋体" w:eastAsia="宋体" w:cs="宋体"/>
          <w:color w:val="auto"/>
          <w:szCs w:val="21"/>
        </w:rPr>
        <w:t>参加了贵单位</w:t>
      </w:r>
      <w:r>
        <w:rPr>
          <w:rFonts w:hint="eastAsia" w:ascii="宋体" w:hAnsi="宋体" w:eastAsia="宋体" w:cs="宋体"/>
          <w:color w:val="auto"/>
          <w:szCs w:val="21"/>
          <w:u w:val="single"/>
        </w:rPr>
        <w:t xml:space="preserve">        （项目名称）</w:t>
      </w:r>
      <w:r>
        <w:rPr>
          <w:rFonts w:hint="eastAsia" w:ascii="宋体" w:hAnsi="宋体" w:eastAsia="宋体" w:cs="宋体"/>
          <w:color w:val="auto"/>
          <w:szCs w:val="21"/>
        </w:rPr>
        <w:t>的投标，自愿作出以下承诺：</w:t>
      </w:r>
    </w:p>
    <w:p w14:paraId="64E0DD7F">
      <w:pPr>
        <w:snapToGrid w:val="0"/>
        <w:spacing w:line="400" w:lineRule="exact"/>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1.我公司具有良好的商业信誉和健全的财务会计制度，具有履行合同所必需的设备和专业技术能力，</w:t>
      </w:r>
      <w:r>
        <w:rPr>
          <w:rFonts w:hint="eastAsia" w:ascii="宋体" w:hAnsi="宋体" w:cs="宋体"/>
          <w:color w:val="auto"/>
          <w:szCs w:val="21"/>
          <w:lang w:val="zh-CN" w:eastAsia="zh-CN"/>
        </w:rPr>
        <w:t>有依法缴纳税收和社会保障金的良好记录，</w:t>
      </w:r>
      <w:r>
        <w:rPr>
          <w:rFonts w:hint="eastAsia" w:ascii="宋体" w:hAnsi="宋体" w:cs="宋体"/>
          <w:color w:val="auto"/>
          <w:szCs w:val="21"/>
          <w:lang w:val="en-US" w:eastAsia="zh-CN"/>
        </w:rPr>
        <w:t>在合同签订前后随时愿意提供相关证明材料；我公司还同时承诺参加本项目采购活动前三年内无重大违法活动记录，符合比选文件规定的供应商资格条件。我方对以上承诺负全部法律责任。</w:t>
      </w:r>
    </w:p>
    <w:p w14:paraId="523D721C">
      <w:pPr>
        <w:snapToGrid w:val="0"/>
        <w:spacing w:line="400" w:lineRule="exact"/>
        <w:ind w:firstLine="420" w:firstLineChars="200"/>
        <w:rPr>
          <w:rFonts w:hint="eastAsia" w:ascii="宋体" w:hAnsi="宋体" w:eastAsia="宋体" w:cs="宋体"/>
          <w:color w:val="auto"/>
          <w:szCs w:val="21"/>
        </w:rPr>
      </w:pPr>
      <w:r>
        <w:rPr>
          <w:rFonts w:hint="eastAsia" w:ascii="宋体" w:hAnsi="宋体" w:cs="宋体"/>
          <w:color w:val="auto"/>
          <w:szCs w:val="21"/>
          <w:lang w:val="en-US" w:eastAsia="zh-CN"/>
        </w:rPr>
        <w:t>2</w:t>
      </w:r>
      <w:r>
        <w:rPr>
          <w:rFonts w:hint="eastAsia" w:ascii="宋体" w:hAnsi="宋体" w:eastAsia="宋体" w:cs="宋体"/>
          <w:color w:val="auto"/>
          <w:szCs w:val="21"/>
        </w:rPr>
        <w:t>、我公司提供的相关证明材料真实有效，不存在弄虚作假情形。招标人在合同签订前均有权对我司提供的资料进行核实，若发现弄虚作假，取消中标资格，我司自愿承担因此造成的相关责任并赔偿相应损失。</w:t>
      </w:r>
    </w:p>
    <w:p w14:paraId="6B0375E6">
      <w:pPr>
        <w:pStyle w:val="5"/>
        <w:rPr>
          <w:rFonts w:hint="eastAsia" w:ascii="宋体" w:hAnsi="宋体" w:eastAsia="宋体" w:cs="宋体"/>
          <w:color w:val="auto"/>
          <w:kern w:val="0"/>
          <w:szCs w:val="21"/>
        </w:rPr>
      </w:pPr>
    </w:p>
    <w:p w14:paraId="6D60444C">
      <w:pPr>
        <w:pStyle w:val="382"/>
        <w:ind w:firstLine="480"/>
        <w:rPr>
          <w:rFonts w:hint="eastAsia" w:ascii="宋体" w:hAnsi="宋体" w:eastAsia="宋体" w:cs="宋体"/>
          <w:color w:val="auto"/>
          <w:highlight w:val="none"/>
        </w:rPr>
      </w:pPr>
      <w:r>
        <w:rPr>
          <w:rFonts w:hint="eastAsia" w:ascii="宋体" w:hAnsi="宋体" w:eastAsia="宋体" w:cs="宋体"/>
          <w:color w:val="auto"/>
          <w:highlight w:val="none"/>
        </w:rPr>
        <w:t>特此</w:t>
      </w:r>
      <w:r>
        <w:rPr>
          <w:rFonts w:hint="eastAsia" w:ascii="宋体" w:hAnsi="宋体" w:eastAsia="宋体" w:cs="宋体"/>
          <w:color w:val="auto"/>
          <w:highlight w:val="none"/>
          <w:lang w:eastAsia="zh-CN"/>
        </w:rPr>
        <w:t>承诺</w:t>
      </w:r>
      <w:r>
        <w:rPr>
          <w:rFonts w:hint="eastAsia" w:ascii="宋体" w:hAnsi="宋体" w:eastAsia="宋体" w:cs="宋体"/>
          <w:color w:val="auto"/>
          <w:highlight w:val="none"/>
        </w:rPr>
        <w:t>。</w:t>
      </w:r>
    </w:p>
    <w:p w14:paraId="679296E5">
      <w:pPr>
        <w:rPr>
          <w:rFonts w:hint="eastAsia"/>
          <w:color w:val="auto"/>
        </w:rPr>
      </w:pPr>
    </w:p>
    <w:p w14:paraId="43798D6A">
      <w:pPr>
        <w:pStyle w:val="5"/>
        <w:rPr>
          <w:rFonts w:hint="eastAsia"/>
          <w:color w:val="auto"/>
        </w:rPr>
      </w:pPr>
    </w:p>
    <w:p w14:paraId="09BDBD65">
      <w:pPr>
        <w:rPr>
          <w:rFonts w:hint="eastAsia"/>
          <w:color w:val="auto"/>
        </w:rPr>
      </w:pPr>
    </w:p>
    <w:bookmarkEnd w:id="682"/>
    <w:bookmarkEnd w:id="683"/>
    <w:p w14:paraId="37C1E785">
      <w:pPr>
        <w:tabs>
          <w:tab w:val="left" w:pos="4200"/>
          <w:tab w:val="left" w:pos="4620"/>
        </w:tabs>
        <w:autoSpaceDE w:val="0"/>
        <w:autoSpaceDN w:val="0"/>
        <w:adjustRightInd w:val="0"/>
        <w:snapToGrid w:val="0"/>
        <w:spacing w:line="360" w:lineRule="auto"/>
        <w:ind w:firstLine="420" w:firstLineChars="200"/>
        <w:jc w:val="right"/>
        <w:rPr>
          <w:rFonts w:hint="eastAsia" w:ascii="宋体" w:hAnsi="宋体" w:eastAsia="宋体" w:cs="宋体"/>
          <w:color w:val="auto"/>
          <w:kern w:val="0"/>
          <w:szCs w:val="21"/>
        </w:rPr>
      </w:pPr>
      <w:r>
        <w:rPr>
          <w:rFonts w:hint="eastAsia" w:ascii="宋体" w:hAnsi="宋体" w:eastAsia="宋体" w:cs="宋体"/>
          <w:color w:val="auto"/>
          <w:kern w:val="0"/>
          <w:szCs w:val="21"/>
        </w:rPr>
        <w:t>投  标  人：</w:t>
      </w:r>
      <w:r>
        <w:rPr>
          <w:rFonts w:hint="eastAsia" w:ascii="宋体" w:hAnsi="宋体" w:eastAsia="宋体" w:cs="宋体"/>
          <w:color w:val="auto"/>
          <w:w w:val="200"/>
          <w:kern w:val="0"/>
          <w:szCs w:val="21"/>
          <w:u w:val="single"/>
        </w:rPr>
        <w:t xml:space="preserve">                </w:t>
      </w:r>
      <w:r>
        <w:rPr>
          <w:rFonts w:hint="eastAsia" w:ascii="宋体" w:hAnsi="宋体" w:eastAsia="宋体" w:cs="宋体"/>
          <w:color w:val="auto"/>
          <w:kern w:val="0"/>
          <w:szCs w:val="21"/>
        </w:rPr>
        <w:t>（</w:t>
      </w:r>
      <w:r>
        <w:rPr>
          <w:rFonts w:hint="eastAsia" w:ascii="宋体" w:hAnsi="宋体" w:eastAsia="宋体" w:cs="宋体"/>
          <w:color w:val="auto"/>
          <w:spacing w:val="-1"/>
          <w:kern w:val="0"/>
          <w:szCs w:val="21"/>
        </w:rPr>
        <w:t>盖单位法人章</w:t>
      </w:r>
      <w:r>
        <w:rPr>
          <w:rFonts w:hint="eastAsia" w:ascii="宋体" w:hAnsi="宋体" w:eastAsia="宋体" w:cs="宋体"/>
          <w:color w:val="auto"/>
          <w:kern w:val="0"/>
          <w:szCs w:val="21"/>
        </w:rPr>
        <w:t>）</w:t>
      </w:r>
    </w:p>
    <w:p w14:paraId="50DF5516">
      <w:pPr>
        <w:tabs>
          <w:tab w:val="left" w:pos="6300"/>
        </w:tabs>
        <w:autoSpaceDE w:val="0"/>
        <w:autoSpaceDN w:val="0"/>
        <w:adjustRightInd w:val="0"/>
        <w:snapToGrid w:val="0"/>
        <w:spacing w:line="360" w:lineRule="auto"/>
        <w:ind w:firstLine="420" w:firstLineChars="200"/>
        <w:jc w:val="right"/>
        <w:rPr>
          <w:rFonts w:hint="eastAsia" w:ascii="宋体" w:hAnsi="宋体" w:eastAsia="宋体" w:cs="宋体"/>
          <w:color w:val="auto"/>
          <w:kern w:val="0"/>
          <w:szCs w:val="21"/>
        </w:rPr>
      </w:pPr>
      <w:r>
        <w:rPr>
          <w:rFonts w:hint="eastAsia" w:ascii="宋体" w:hAnsi="宋体" w:eastAsia="宋体" w:cs="宋体"/>
          <w:color w:val="auto"/>
          <w:kern w:val="0"/>
          <w:szCs w:val="21"/>
        </w:rPr>
        <w:t>法定代表人：</w:t>
      </w:r>
      <w:r>
        <w:rPr>
          <w:rFonts w:hint="eastAsia" w:ascii="宋体" w:hAnsi="宋体" w:eastAsia="宋体" w:cs="宋体"/>
          <w:color w:val="auto"/>
          <w:w w:val="200"/>
          <w:kern w:val="0"/>
          <w:szCs w:val="21"/>
          <w:u w:val="single"/>
        </w:rPr>
        <w:t xml:space="preserve">                 </w:t>
      </w:r>
      <w:r>
        <w:rPr>
          <w:rFonts w:hint="eastAsia" w:ascii="宋体" w:hAnsi="宋体" w:eastAsia="宋体" w:cs="宋体"/>
          <w:color w:val="auto"/>
          <w:kern w:val="0"/>
          <w:szCs w:val="21"/>
        </w:rPr>
        <w:t>（签字或盖章）</w:t>
      </w:r>
    </w:p>
    <w:p w14:paraId="4599B12F">
      <w:pPr>
        <w:tabs>
          <w:tab w:val="left" w:pos="6300"/>
        </w:tabs>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rPr>
      </w:pPr>
    </w:p>
    <w:p w14:paraId="554ACCA6">
      <w:pPr>
        <w:tabs>
          <w:tab w:val="left" w:pos="6300"/>
        </w:tabs>
        <w:autoSpaceDE w:val="0"/>
        <w:autoSpaceDN w:val="0"/>
        <w:adjustRightInd w:val="0"/>
        <w:snapToGrid w:val="0"/>
        <w:ind w:firstLine="420" w:firstLineChars="200"/>
        <w:jc w:val="right"/>
        <w:rPr>
          <w:rFonts w:hint="eastAsia" w:ascii="宋体" w:hAnsi="宋体" w:eastAsia="宋体" w:cs="宋体"/>
          <w:b/>
          <w:color w:val="auto"/>
        </w:rPr>
      </w:pP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年</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月</w:t>
      </w:r>
      <w:r>
        <w:rPr>
          <w:rFonts w:hint="eastAsia" w:ascii="宋体" w:hAnsi="宋体" w:eastAsia="宋体" w:cs="宋体"/>
          <w:color w:val="auto"/>
          <w:kern w:val="0"/>
          <w:szCs w:val="21"/>
          <w:u w:val="single"/>
        </w:rPr>
        <w:t xml:space="preserve">    日</w:t>
      </w:r>
    </w:p>
    <w:p w14:paraId="20AD5EEF">
      <w:pPr>
        <w:rPr>
          <w:rFonts w:hint="eastAsia" w:ascii="宋体" w:hAnsi="宋体" w:eastAsia="宋体" w:cs="宋体"/>
          <w:color w:val="auto"/>
        </w:rPr>
      </w:pPr>
      <w:r>
        <w:rPr>
          <w:rFonts w:hint="eastAsia" w:ascii="宋体" w:hAnsi="宋体" w:eastAsia="宋体" w:cs="宋体"/>
          <w:color w:val="auto"/>
        </w:rPr>
        <w:br w:type="page"/>
      </w:r>
    </w:p>
    <w:p w14:paraId="1BE2AA37">
      <w:pPr>
        <w:spacing w:line="360" w:lineRule="auto"/>
        <w:rPr>
          <w:rFonts w:hint="eastAsia" w:ascii="宋体" w:hAnsi="宋体" w:eastAsia="宋体" w:cs="宋体"/>
          <w:color w:val="auto"/>
          <w:sz w:val="24"/>
          <w:szCs w:val="24"/>
        </w:rPr>
      </w:pPr>
      <w:r>
        <w:rPr>
          <w:rFonts w:hint="eastAsia" w:ascii="宋体" w:hAnsi="宋体" w:eastAsia="宋体" w:cs="宋体"/>
          <w:b/>
          <w:bCs/>
          <w:color w:val="auto"/>
          <w:sz w:val="24"/>
          <w:szCs w:val="24"/>
        </w:rPr>
        <w:t>（三）其它优惠承诺（格式自定）</w:t>
      </w:r>
    </w:p>
    <w:p w14:paraId="73456DDF">
      <w:pPr>
        <w:rPr>
          <w:rFonts w:hint="eastAsia" w:ascii="宋体" w:hAnsi="宋体" w:eastAsia="宋体" w:cs="宋体"/>
          <w:color w:val="auto"/>
          <w:sz w:val="24"/>
          <w:szCs w:val="24"/>
        </w:rPr>
      </w:pPr>
    </w:p>
    <w:p w14:paraId="3840FCBD">
      <w:pPr>
        <w:rPr>
          <w:rFonts w:hint="eastAsia" w:ascii="宋体" w:hAnsi="宋体" w:eastAsia="宋体" w:cs="宋体"/>
          <w:color w:val="auto"/>
          <w:sz w:val="24"/>
          <w:szCs w:val="24"/>
        </w:rPr>
      </w:pPr>
    </w:p>
    <w:p w14:paraId="62EB72D6">
      <w:pPr>
        <w:rPr>
          <w:rFonts w:hint="eastAsia" w:ascii="宋体" w:hAnsi="宋体" w:eastAsia="宋体" w:cs="宋体"/>
          <w:color w:val="auto"/>
          <w:sz w:val="24"/>
          <w:szCs w:val="24"/>
        </w:rPr>
      </w:pPr>
    </w:p>
    <w:p w14:paraId="1F7600F2">
      <w:pPr>
        <w:rPr>
          <w:rFonts w:hint="eastAsia" w:ascii="宋体" w:hAnsi="宋体" w:eastAsia="宋体" w:cs="宋体"/>
          <w:color w:val="auto"/>
          <w:sz w:val="24"/>
          <w:szCs w:val="24"/>
        </w:rPr>
      </w:pPr>
    </w:p>
    <w:p w14:paraId="30094617">
      <w:pPr>
        <w:rPr>
          <w:rFonts w:hint="eastAsia" w:ascii="宋体" w:hAnsi="宋体" w:eastAsia="宋体" w:cs="宋体"/>
          <w:color w:val="auto"/>
          <w:sz w:val="24"/>
          <w:szCs w:val="24"/>
        </w:rPr>
      </w:pPr>
    </w:p>
    <w:p w14:paraId="66CD8214">
      <w:pPr>
        <w:rPr>
          <w:rFonts w:hint="eastAsia" w:ascii="宋体" w:hAnsi="宋体" w:eastAsia="宋体" w:cs="宋体"/>
          <w:color w:val="auto"/>
          <w:sz w:val="24"/>
          <w:szCs w:val="24"/>
        </w:rPr>
      </w:pPr>
    </w:p>
    <w:p w14:paraId="3F080E04">
      <w:pPr>
        <w:rPr>
          <w:rFonts w:hint="eastAsia" w:ascii="宋体" w:hAnsi="宋体" w:eastAsia="宋体" w:cs="宋体"/>
          <w:color w:val="auto"/>
          <w:sz w:val="24"/>
          <w:szCs w:val="24"/>
        </w:rPr>
      </w:pPr>
    </w:p>
    <w:p w14:paraId="65A11021">
      <w:pPr>
        <w:rPr>
          <w:rFonts w:hint="eastAsia" w:ascii="宋体" w:hAnsi="宋体" w:eastAsia="宋体" w:cs="宋体"/>
          <w:color w:val="auto"/>
          <w:sz w:val="24"/>
          <w:szCs w:val="24"/>
        </w:rPr>
      </w:pPr>
    </w:p>
    <w:p w14:paraId="0DB27ECF">
      <w:pPr>
        <w:rPr>
          <w:rFonts w:hint="eastAsia" w:ascii="宋体" w:hAnsi="宋体" w:eastAsia="宋体" w:cs="宋体"/>
          <w:color w:val="auto"/>
          <w:sz w:val="24"/>
          <w:szCs w:val="24"/>
        </w:rPr>
      </w:pPr>
    </w:p>
    <w:p w14:paraId="07038AC2">
      <w:pPr>
        <w:rPr>
          <w:rFonts w:hint="eastAsia" w:ascii="宋体" w:hAnsi="宋体" w:eastAsia="宋体" w:cs="宋体"/>
          <w:color w:val="auto"/>
          <w:sz w:val="24"/>
          <w:szCs w:val="24"/>
        </w:rPr>
      </w:pPr>
    </w:p>
    <w:p w14:paraId="23F5CA37">
      <w:pPr>
        <w:rPr>
          <w:rFonts w:hint="eastAsia" w:ascii="宋体" w:hAnsi="宋体" w:eastAsia="宋体" w:cs="宋体"/>
          <w:color w:val="auto"/>
          <w:sz w:val="24"/>
          <w:szCs w:val="24"/>
        </w:rPr>
      </w:pPr>
    </w:p>
    <w:p w14:paraId="0A4F2620">
      <w:pPr>
        <w:rPr>
          <w:rFonts w:hint="eastAsia" w:ascii="宋体" w:hAnsi="宋体" w:eastAsia="宋体" w:cs="宋体"/>
          <w:color w:val="auto"/>
          <w:sz w:val="24"/>
          <w:szCs w:val="24"/>
        </w:rPr>
      </w:pPr>
    </w:p>
    <w:p w14:paraId="4162AEDF">
      <w:pPr>
        <w:rPr>
          <w:rFonts w:hint="eastAsia" w:ascii="宋体" w:hAnsi="宋体" w:eastAsia="宋体" w:cs="宋体"/>
          <w:color w:val="auto"/>
          <w:sz w:val="24"/>
          <w:szCs w:val="24"/>
        </w:rPr>
      </w:pPr>
    </w:p>
    <w:p w14:paraId="65747F08">
      <w:pPr>
        <w:rPr>
          <w:rFonts w:hint="eastAsia" w:ascii="宋体" w:hAnsi="宋体" w:eastAsia="宋体" w:cs="宋体"/>
          <w:color w:val="auto"/>
          <w:sz w:val="24"/>
          <w:szCs w:val="24"/>
        </w:rPr>
      </w:pPr>
    </w:p>
    <w:p w14:paraId="06B719D7">
      <w:pPr>
        <w:rPr>
          <w:rFonts w:hint="eastAsia" w:ascii="宋体" w:hAnsi="宋体" w:eastAsia="宋体" w:cs="宋体"/>
          <w:color w:val="auto"/>
          <w:sz w:val="24"/>
          <w:szCs w:val="24"/>
        </w:rPr>
      </w:pPr>
    </w:p>
    <w:p w14:paraId="07117D1B">
      <w:pPr>
        <w:rPr>
          <w:rFonts w:hint="eastAsia" w:ascii="宋体" w:hAnsi="宋体" w:eastAsia="宋体" w:cs="宋体"/>
          <w:color w:val="auto"/>
          <w:sz w:val="24"/>
          <w:szCs w:val="24"/>
        </w:rPr>
      </w:pPr>
    </w:p>
    <w:p w14:paraId="76A70F1B">
      <w:pPr>
        <w:rPr>
          <w:rFonts w:hint="eastAsia" w:ascii="宋体" w:hAnsi="宋体" w:eastAsia="宋体" w:cs="宋体"/>
          <w:color w:val="auto"/>
          <w:sz w:val="24"/>
          <w:szCs w:val="24"/>
        </w:rPr>
      </w:pPr>
    </w:p>
    <w:p w14:paraId="6E1561A7">
      <w:pPr>
        <w:rPr>
          <w:rFonts w:hint="eastAsia" w:ascii="宋体" w:hAnsi="宋体" w:eastAsia="宋体" w:cs="宋体"/>
          <w:color w:val="auto"/>
          <w:sz w:val="24"/>
          <w:szCs w:val="24"/>
        </w:rPr>
      </w:pPr>
    </w:p>
    <w:p w14:paraId="2F89F7FE">
      <w:pPr>
        <w:pStyle w:val="40"/>
        <w:rPr>
          <w:rFonts w:hint="eastAsia" w:ascii="宋体" w:hAnsi="宋体" w:eastAsia="宋体" w:cs="宋体"/>
          <w:color w:val="auto"/>
          <w:sz w:val="24"/>
          <w:lang w:eastAsia="zh-CN"/>
        </w:rPr>
      </w:pPr>
    </w:p>
    <w:p w14:paraId="4D7D40BA">
      <w:pPr>
        <w:rPr>
          <w:rFonts w:hint="eastAsia" w:ascii="宋体" w:hAnsi="宋体" w:eastAsia="宋体" w:cs="宋体"/>
          <w:color w:val="auto"/>
          <w:sz w:val="24"/>
          <w:szCs w:val="24"/>
        </w:rPr>
      </w:pPr>
    </w:p>
    <w:p w14:paraId="72C05CC1">
      <w:pPr>
        <w:pStyle w:val="40"/>
        <w:rPr>
          <w:rFonts w:hint="eastAsia" w:ascii="宋体" w:hAnsi="宋体" w:eastAsia="宋体" w:cs="宋体"/>
          <w:color w:val="auto"/>
          <w:lang w:eastAsia="zh-CN"/>
        </w:rPr>
      </w:pPr>
    </w:p>
    <w:p w14:paraId="35CE53B4">
      <w:pPr>
        <w:rPr>
          <w:rFonts w:hint="eastAsia" w:ascii="宋体" w:hAnsi="宋体" w:eastAsia="宋体" w:cs="宋体"/>
          <w:color w:val="auto"/>
          <w:sz w:val="24"/>
          <w:szCs w:val="24"/>
        </w:rPr>
      </w:pPr>
    </w:p>
    <w:p w14:paraId="186C1CAB">
      <w:pPr>
        <w:rPr>
          <w:rFonts w:hint="eastAsia" w:ascii="宋体" w:hAnsi="宋体" w:eastAsia="宋体" w:cs="宋体"/>
          <w:color w:val="auto"/>
          <w:sz w:val="24"/>
          <w:szCs w:val="24"/>
        </w:rPr>
      </w:pPr>
    </w:p>
    <w:p w14:paraId="23417080">
      <w:pPr>
        <w:rPr>
          <w:rFonts w:hint="eastAsia" w:ascii="宋体" w:hAnsi="宋体" w:eastAsia="宋体" w:cs="宋体"/>
          <w:color w:val="auto"/>
          <w:sz w:val="24"/>
          <w:szCs w:val="24"/>
        </w:rPr>
      </w:pPr>
    </w:p>
    <w:p w14:paraId="5A997A95">
      <w:pPr>
        <w:rPr>
          <w:rFonts w:hint="eastAsia" w:ascii="宋体" w:hAnsi="宋体" w:eastAsia="宋体" w:cs="宋体"/>
          <w:color w:val="auto"/>
          <w:sz w:val="24"/>
          <w:szCs w:val="24"/>
        </w:rPr>
      </w:pPr>
    </w:p>
    <w:p w14:paraId="555F0B70">
      <w:pPr>
        <w:rPr>
          <w:rFonts w:hint="eastAsia" w:ascii="宋体" w:hAnsi="宋体" w:eastAsia="宋体" w:cs="宋体"/>
          <w:color w:val="auto"/>
          <w:sz w:val="24"/>
          <w:szCs w:val="24"/>
        </w:rPr>
      </w:pPr>
    </w:p>
    <w:p w14:paraId="02C38F23">
      <w:pPr>
        <w:rPr>
          <w:rFonts w:hint="eastAsia" w:ascii="宋体" w:hAnsi="宋体" w:eastAsia="宋体" w:cs="宋体"/>
          <w:color w:val="auto"/>
          <w:sz w:val="24"/>
          <w:szCs w:val="24"/>
        </w:rPr>
      </w:pPr>
    </w:p>
    <w:p w14:paraId="769DD539">
      <w:pPr>
        <w:rPr>
          <w:rFonts w:hint="eastAsia" w:ascii="宋体" w:hAnsi="宋体" w:eastAsia="宋体" w:cs="宋体"/>
          <w:color w:val="auto"/>
          <w:sz w:val="24"/>
          <w:szCs w:val="24"/>
        </w:rPr>
      </w:pPr>
    </w:p>
    <w:p w14:paraId="7438837C">
      <w:pPr>
        <w:rPr>
          <w:rFonts w:hint="eastAsia" w:ascii="宋体" w:hAnsi="宋体" w:eastAsia="宋体" w:cs="宋体"/>
          <w:color w:val="auto"/>
          <w:sz w:val="24"/>
          <w:szCs w:val="24"/>
        </w:rPr>
      </w:pPr>
    </w:p>
    <w:p w14:paraId="19BB6E03">
      <w:pPr>
        <w:rPr>
          <w:rFonts w:hint="eastAsia" w:ascii="宋体" w:hAnsi="宋体" w:eastAsia="宋体" w:cs="宋体"/>
          <w:color w:val="auto"/>
          <w:sz w:val="24"/>
          <w:szCs w:val="24"/>
        </w:rPr>
      </w:pPr>
    </w:p>
    <w:p w14:paraId="0BA517AF">
      <w:pPr>
        <w:rPr>
          <w:rFonts w:hint="eastAsia" w:ascii="宋体" w:hAnsi="宋体" w:eastAsia="宋体" w:cs="宋体"/>
          <w:color w:val="auto"/>
          <w:sz w:val="24"/>
          <w:szCs w:val="24"/>
        </w:rPr>
      </w:pPr>
    </w:p>
    <w:p w14:paraId="752D6483">
      <w:pPr>
        <w:rPr>
          <w:rFonts w:hint="eastAsia" w:ascii="宋体" w:hAnsi="宋体" w:eastAsia="宋体" w:cs="宋体"/>
          <w:color w:val="auto"/>
          <w:sz w:val="24"/>
          <w:szCs w:val="24"/>
        </w:rPr>
      </w:pPr>
    </w:p>
    <w:p w14:paraId="3066D32D">
      <w:pPr>
        <w:rPr>
          <w:rFonts w:hint="eastAsia" w:ascii="宋体" w:hAnsi="宋体" w:eastAsia="宋体" w:cs="宋体"/>
          <w:color w:val="auto"/>
          <w:sz w:val="24"/>
          <w:szCs w:val="24"/>
        </w:rPr>
      </w:pPr>
    </w:p>
    <w:p w14:paraId="06D3B660">
      <w:pPr>
        <w:rPr>
          <w:rFonts w:hint="eastAsia" w:ascii="宋体" w:hAnsi="宋体" w:eastAsia="宋体" w:cs="宋体"/>
          <w:color w:val="auto"/>
          <w:sz w:val="24"/>
          <w:szCs w:val="24"/>
        </w:rPr>
      </w:pPr>
    </w:p>
    <w:p w14:paraId="1ABA11B4">
      <w:pPr>
        <w:rPr>
          <w:rFonts w:hint="eastAsia" w:ascii="宋体" w:hAnsi="宋体" w:eastAsia="宋体" w:cs="宋体"/>
          <w:color w:val="auto"/>
          <w:sz w:val="24"/>
          <w:szCs w:val="24"/>
        </w:rPr>
      </w:pPr>
    </w:p>
    <w:p w14:paraId="6C55C242">
      <w:pPr>
        <w:rPr>
          <w:rFonts w:hint="eastAsia" w:ascii="宋体" w:hAnsi="宋体" w:eastAsia="宋体" w:cs="宋体"/>
          <w:color w:val="auto"/>
          <w:sz w:val="24"/>
          <w:szCs w:val="24"/>
        </w:rPr>
      </w:pPr>
    </w:p>
    <w:p w14:paraId="3F6F44D8">
      <w:pPr>
        <w:rPr>
          <w:rFonts w:hint="eastAsia" w:ascii="宋体" w:hAnsi="宋体" w:eastAsia="宋体" w:cs="宋体"/>
          <w:color w:val="auto"/>
          <w:sz w:val="24"/>
          <w:szCs w:val="24"/>
        </w:rPr>
      </w:pPr>
    </w:p>
    <w:p w14:paraId="6129FAFE">
      <w:pPr>
        <w:rPr>
          <w:rFonts w:hint="eastAsia" w:ascii="宋体" w:hAnsi="宋体" w:eastAsia="宋体" w:cs="宋体"/>
          <w:color w:val="auto"/>
          <w:sz w:val="24"/>
          <w:szCs w:val="24"/>
        </w:rPr>
      </w:pPr>
    </w:p>
    <w:p w14:paraId="21B3451D">
      <w:pPr>
        <w:rPr>
          <w:rFonts w:hint="eastAsia" w:ascii="宋体" w:hAnsi="宋体" w:eastAsia="宋体" w:cs="宋体"/>
          <w:color w:val="auto"/>
        </w:rPr>
      </w:pPr>
    </w:p>
    <w:p w14:paraId="78DA16AF">
      <w:pPr>
        <w:pStyle w:val="2"/>
        <w:rPr>
          <w:rFonts w:hint="eastAsia" w:ascii="宋体" w:hAnsi="宋体" w:eastAsia="宋体" w:cs="宋体"/>
          <w:color w:val="auto"/>
          <w:sz w:val="24"/>
          <w:szCs w:val="24"/>
        </w:rPr>
      </w:pPr>
    </w:p>
    <w:p w14:paraId="4D1471B8">
      <w:pPr>
        <w:rPr>
          <w:rFonts w:hint="eastAsia" w:ascii="宋体" w:hAnsi="宋体" w:eastAsia="宋体" w:cs="宋体"/>
          <w:color w:val="auto"/>
          <w:sz w:val="24"/>
          <w:szCs w:val="24"/>
        </w:rPr>
      </w:pPr>
    </w:p>
    <w:p w14:paraId="6F040961">
      <w:pPr>
        <w:pStyle w:val="2"/>
        <w:rPr>
          <w:rFonts w:hint="eastAsia" w:ascii="宋体" w:hAnsi="宋体" w:eastAsia="宋体" w:cs="宋体"/>
          <w:color w:val="auto"/>
        </w:rPr>
      </w:pPr>
    </w:p>
    <w:p w14:paraId="1AD56609">
      <w:pPr>
        <w:pStyle w:val="2"/>
        <w:rPr>
          <w:rFonts w:hint="eastAsia" w:ascii="宋体" w:hAnsi="宋体" w:eastAsia="宋体" w:cs="宋体"/>
          <w:color w:val="auto"/>
        </w:rPr>
      </w:pPr>
    </w:p>
    <w:bookmarkEnd w:id="672"/>
    <w:p w14:paraId="70C40C7E">
      <w:pPr>
        <w:spacing w:line="400" w:lineRule="exact"/>
        <w:ind w:firstLine="630" w:firstLineChars="300"/>
        <w:rPr>
          <w:rFonts w:hint="eastAsia" w:ascii="宋体" w:hAnsi="宋体" w:eastAsia="宋体" w:cs="宋体"/>
          <w:bCs/>
          <w:color w:val="auto"/>
          <w:szCs w:val="24"/>
        </w:rPr>
      </w:pPr>
      <w:bookmarkStart w:id="684" w:name="_Toc81834349"/>
      <w:bookmarkStart w:id="685" w:name="_Toc14779"/>
      <w:bookmarkStart w:id="686" w:name="_Toc313008359"/>
      <w:bookmarkStart w:id="687" w:name="_Toc342913422"/>
      <w:bookmarkStart w:id="688" w:name="_Toc313888363"/>
    </w:p>
    <w:p w14:paraId="7261796B">
      <w:pPr>
        <w:pStyle w:val="5"/>
        <w:spacing w:before="0" w:line="400" w:lineRule="exact"/>
        <w:ind w:firstLine="723" w:firstLineChars="300"/>
        <w:rPr>
          <w:rFonts w:hint="eastAsia" w:ascii="宋体" w:hAnsi="宋体" w:eastAsia="宋体" w:cs="宋体"/>
          <w:bCs/>
          <w:color w:val="auto"/>
          <w:szCs w:val="24"/>
        </w:rPr>
        <w:sectPr>
          <w:pgSz w:w="11907" w:h="16840"/>
          <w:pgMar w:top="1134" w:right="1191" w:bottom="1134" w:left="1304" w:header="851" w:footer="992" w:gutter="0"/>
          <w:pgNumType w:fmt="decimal"/>
          <w:cols w:space="720" w:num="1"/>
          <w:docGrid w:linePitch="380" w:charSpace="-5735"/>
        </w:sectPr>
      </w:pPr>
      <w:bookmarkStart w:id="689" w:name="_Toc86934243"/>
    </w:p>
    <w:p w14:paraId="6B8BEDA6">
      <w:pPr>
        <w:pStyle w:val="6"/>
        <w:spacing w:line="400" w:lineRule="exact"/>
        <w:jc w:val="both"/>
        <w:rPr>
          <w:rFonts w:hint="eastAsia" w:ascii="宋体" w:hAnsi="宋体" w:eastAsia="宋体" w:cs="宋体"/>
          <w:b/>
          <w:color w:val="auto"/>
          <w:sz w:val="24"/>
          <w:szCs w:val="32"/>
        </w:rPr>
      </w:pPr>
      <w:r>
        <w:rPr>
          <w:rFonts w:hint="eastAsia" w:ascii="宋体" w:hAnsi="宋体" w:eastAsia="宋体" w:cs="宋体"/>
          <w:b/>
          <w:color w:val="auto"/>
          <w:sz w:val="24"/>
          <w:szCs w:val="32"/>
        </w:rPr>
        <w:t>四、资格条件及其他</w:t>
      </w:r>
      <w:bookmarkEnd w:id="684"/>
      <w:bookmarkEnd w:id="685"/>
      <w:bookmarkEnd w:id="686"/>
      <w:bookmarkEnd w:id="687"/>
      <w:bookmarkEnd w:id="688"/>
      <w:bookmarkEnd w:id="689"/>
    </w:p>
    <w:p w14:paraId="662EFD14">
      <w:pPr>
        <w:keepNext/>
        <w:adjustRightInd w:val="0"/>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（一）投标人必须具有独立法人资格。（提供营业执照副本复印件加盖投标人公章）</w:t>
      </w:r>
    </w:p>
    <w:p w14:paraId="34B07D53">
      <w:pPr>
        <w:spacing w:line="360" w:lineRule="auto"/>
        <w:ind w:firstLine="480" w:firstLineChars="200"/>
        <w:rPr>
          <w:rFonts w:hint="eastAsia" w:ascii="宋体" w:hAnsi="宋体" w:eastAsia="宋体" w:cs="宋体"/>
          <w:color w:val="auto"/>
          <w:sz w:val="24"/>
          <w:szCs w:val="24"/>
        </w:rPr>
      </w:pPr>
    </w:p>
    <w:p w14:paraId="18AEE33C">
      <w:pPr>
        <w:pStyle w:val="2"/>
        <w:rPr>
          <w:rFonts w:hint="eastAsia" w:ascii="宋体" w:hAnsi="宋体" w:eastAsia="宋体" w:cs="宋体"/>
          <w:color w:val="auto"/>
          <w:sz w:val="24"/>
          <w:szCs w:val="24"/>
        </w:rPr>
      </w:pPr>
    </w:p>
    <w:p w14:paraId="26AC9CA0">
      <w:pPr>
        <w:rPr>
          <w:rFonts w:hint="eastAsia" w:ascii="宋体" w:hAnsi="宋体" w:eastAsia="宋体" w:cs="宋体"/>
          <w:color w:val="auto"/>
        </w:rPr>
      </w:pPr>
    </w:p>
    <w:p w14:paraId="3E75D0A1">
      <w:pPr>
        <w:pStyle w:val="2"/>
        <w:rPr>
          <w:rFonts w:hint="eastAsia" w:ascii="宋体" w:hAnsi="宋体" w:eastAsia="宋体" w:cs="宋体"/>
          <w:color w:val="auto"/>
          <w:sz w:val="24"/>
          <w:szCs w:val="24"/>
        </w:rPr>
      </w:pPr>
    </w:p>
    <w:p w14:paraId="11305B2F">
      <w:pPr>
        <w:rPr>
          <w:rFonts w:hint="eastAsia" w:ascii="宋体" w:hAnsi="宋体" w:eastAsia="宋体" w:cs="宋体"/>
          <w:color w:val="auto"/>
          <w:sz w:val="24"/>
          <w:szCs w:val="24"/>
        </w:rPr>
      </w:pPr>
    </w:p>
    <w:p w14:paraId="3D89B8CF">
      <w:pPr>
        <w:rPr>
          <w:rFonts w:hint="eastAsia" w:ascii="宋体" w:hAnsi="宋体" w:eastAsia="宋体" w:cs="宋体"/>
          <w:color w:val="auto"/>
          <w:sz w:val="24"/>
          <w:szCs w:val="24"/>
        </w:rPr>
      </w:pPr>
    </w:p>
    <w:p w14:paraId="03806D03">
      <w:pPr>
        <w:rPr>
          <w:rFonts w:hint="eastAsia" w:ascii="宋体" w:hAnsi="宋体" w:eastAsia="宋体" w:cs="宋体"/>
          <w:color w:val="auto"/>
          <w:sz w:val="24"/>
          <w:szCs w:val="24"/>
        </w:rPr>
      </w:pPr>
    </w:p>
    <w:p w14:paraId="284C8D79">
      <w:pPr>
        <w:rPr>
          <w:rFonts w:hint="eastAsia" w:ascii="宋体" w:hAnsi="宋体" w:eastAsia="宋体" w:cs="宋体"/>
          <w:color w:val="auto"/>
          <w:sz w:val="24"/>
          <w:szCs w:val="24"/>
        </w:rPr>
      </w:pPr>
    </w:p>
    <w:p w14:paraId="29126663">
      <w:pPr>
        <w:rPr>
          <w:rFonts w:hint="eastAsia" w:ascii="宋体" w:hAnsi="宋体" w:eastAsia="宋体" w:cs="宋体"/>
          <w:color w:val="auto"/>
          <w:sz w:val="24"/>
          <w:szCs w:val="24"/>
        </w:rPr>
      </w:pPr>
    </w:p>
    <w:p w14:paraId="5DFC49D4">
      <w:pPr>
        <w:rPr>
          <w:rFonts w:hint="eastAsia" w:ascii="宋体" w:hAnsi="宋体" w:eastAsia="宋体" w:cs="宋体"/>
          <w:color w:val="auto"/>
          <w:sz w:val="24"/>
          <w:szCs w:val="24"/>
        </w:rPr>
      </w:pPr>
    </w:p>
    <w:p w14:paraId="34C8646E">
      <w:pPr>
        <w:rPr>
          <w:rFonts w:hint="eastAsia" w:ascii="宋体" w:hAnsi="宋体" w:eastAsia="宋体" w:cs="宋体"/>
          <w:color w:val="auto"/>
          <w:sz w:val="24"/>
          <w:szCs w:val="24"/>
        </w:rPr>
      </w:pPr>
    </w:p>
    <w:p w14:paraId="756E813B">
      <w:pPr>
        <w:rPr>
          <w:rFonts w:hint="eastAsia" w:ascii="宋体" w:hAnsi="宋体" w:eastAsia="宋体" w:cs="宋体"/>
          <w:color w:val="auto"/>
          <w:sz w:val="24"/>
          <w:szCs w:val="24"/>
        </w:rPr>
      </w:pPr>
    </w:p>
    <w:p w14:paraId="4708D238">
      <w:pPr>
        <w:rPr>
          <w:rFonts w:hint="eastAsia" w:ascii="宋体" w:hAnsi="宋体" w:eastAsia="宋体" w:cs="宋体"/>
          <w:color w:val="auto"/>
          <w:sz w:val="24"/>
          <w:szCs w:val="24"/>
        </w:rPr>
      </w:pPr>
    </w:p>
    <w:p w14:paraId="198F5C54">
      <w:pPr>
        <w:rPr>
          <w:rFonts w:hint="eastAsia" w:ascii="宋体" w:hAnsi="宋体" w:eastAsia="宋体" w:cs="宋体"/>
          <w:color w:val="auto"/>
          <w:sz w:val="24"/>
          <w:szCs w:val="24"/>
        </w:rPr>
      </w:pPr>
    </w:p>
    <w:p w14:paraId="535A28E2">
      <w:pPr>
        <w:rPr>
          <w:rFonts w:hint="eastAsia" w:ascii="宋体" w:hAnsi="宋体" w:eastAsia="宋体" w:cs="宋体"/>
          <w:color w:val="auto"/>
          <w:sz w:val="24"/>
          <w:szCs w:val="24"/>
        </w:rPr>
      </w:pPr>
    </w:p>
    <w:p w14:paraId="687FB9C7">
      <w:pPr>
        <w:rPr>
          <w:rFonts w:hint="eastAsia" w:ascii="宋体" w:hAnsi="宋体" w:eastAsia="宋体" w:cs="宋体"/>
          <w:color w:val="auto"/>
          <w:sz w:val="24"/>
          <w:szCs w:val="24"/>
        </w:rPr>
      </w:pPr>
    </w:p>
    <w:p w14:paraId="1B3B5C30">
      <w:pPr>
        <w:rPr>
          <w:rFonts w:hint="eastAsia" w:ascii="宋体" w:hAnsi="宋体" w:eastAsia="宋体" w:cs="宋体"/>
          <w:color w:val="auto"/>
          <w:sz w:val="24"/>
          <w:szCs w:val="24"/>
        </w:rPr>
      </w:pPr>
    </w:p>
    <w:p w14:paraId="080B88D5">
      <w:pPr>
        <w:rPr>
          <w:rFonts w:hint="eastAsia" w:ascii="宋体" w:hAnsi="宋体" w:eastAsia="宋体" w:cs="宋体"/>
          <w:color w:val="auto"/>
          <w:sz w:val="24"/>
          <w:szCs w:val="24"/>
        </w:rPr>
      </w:pPr>
    </w:p>
    <w:p w14:paraId="7855F650">
      <w:pPr>
        <w:rPr>
          <w:rFonts w:hint="eastAsia" w:ascii="宋体" w:hAnsi="宋体" w:eastAsia="宋体" w:cs="宋体"/>
          <w:color w:val="auto"/>
          <w:sz w:val="24"/>
          <w:szCs w:val="24"/>
        </w:rPr>
      </w:pPr>
    </w:p>
    <w:p w14:paraId="3CAE28CE">
      <w:pPr>
        <w:rPr>
          <w:rFonts w:hint="eastAsia" w:ascii="宋体" w:hAnsi="宋体" w:eastAsia="宋体" w:cs="宋体"/>
          <w:color w:val="auto"/>
          <w:sz w:val="24"/>
          <w:szCs w:val="24"/>
        </w:rPr>
      </w:pPr>
    </w:p>
    <w:p w14:paraId="612BCBA5">
      <w:pPr>
        <w:rPr>
          <w:rFonts w:hint="eastAsia" w:ascii="宋体" w:hAnsi="宋体" w:eastAsia="宋体" w:cs="宋体"/>
          <w:color w:val="auto"/>
          <w:sz w:val="24"/>
          <w:szCs w:val="24"/>
        </w:rPr>
      </w:pPr>
    </w:p>
    <w:p w14:paraId="3D5143F2">
      <w:pPr>
        <w:rPr>
          <w:rFonts w:hint="eastAsia" w:ascii="宋体" w:hAnsi="宋体" w:eastAsia="宋体" w:cs="宋体"/>
          <w:color w:val="auto"/>
          <w:sz w:val="24"/>
          <w:szCs w:val="24"/>
        </w:rPr>
      </w:pPr>
    </w:p>
    <w:p w14:paraId="213B3378">
      <w:pPr>
        <w:rPr>
          <w:rFonts w:hint="eastAsia" w:ascii="宋体" w:hAnsi="宋体" w:eastAsia="宋体" w:cs="宋体"/>
          <w:color w:val="auto"/>
          <w:sz w:val="24"/>
          <w:szCs w:val="24"/>
        </w:rPr>
      </w:pPr>
    </w:p>
    <w:p w14:paraId="797B3C0A">
      <w:pPr>
        <w:rPr>
          <w:rFonts w:hint="eastAsia" w:ascii="宋体" w:hAnsi="宋体" w:eastAsia="宋体" w:cs="宋体"/>
          <w:color w:val="auto"/>
          <w:sz w:val="24"/>
          <w:szCs w:val="24"/>
        </w:rPr>
      </w:pPr>
    </w:p>
    <w:p w14:paraId="1D399CAF">
      <w:pPr>
        <w:rPr>
          <w:rFonts w:hint="eastAsia" w:ascii="宋体" w:hAnsi="宋体" w:eastAsia="宋体" w:cs="宋体"/>
          <w:color w:val="auto"/>
          <w:sz w:val="24"/>
          <w:szCs w:val="24"/>
        </w:rPr>
      </w:pPr>
    </w:p>
    <w:p w14:paraId="6B833F83">
      <w:pPr>
        <w:rPr>
          <w:rFonts w:hint="eastAsia" w:ascii="宋体" w:hAnsi="宋体" w:eastAsia="宋体" w:cs="宋体"/>
          <w:color w:val="auto"/>
          <w:sz w:val="24"/>
          <w:szCs w:val="24"/>
        </w:rPr>
      </w:pPr>
    </w:p>
    <w:p w14:paraId="335A570C">
      <w:pPr>
        <w:rPr>
          <w:rFonts w:hint="eastAsia" w:ascii="宋体" w:hAnsi="宋体" w:eastAsia="宋体" w:cs="宋体"/>
          <w:color w:val="auto"/>
          <w:sz w:val="24"/>
          <w:szCs w:val="24"/>
        </w:rPr>
      </w:pPr>
    </w:p>
    <w:p w14:paraId="73EAAC80">
      <w:pPr>
        <w:rPr>
          <w:rFonts w:hint="eastAsia" w:ascii="宋体" w:hAnsi="宋体" w:eastAsia="宋体" w:cs="宋体"/>
          <w:color w:val="auto"/>
          <w:sz w:val="24"/>
          <w:szCs w:val="24"/>
        </w:rPr>
      </w:pPr>
    </w:p>
    <w:p w14:paraId="2B27EED1">
      <w:pPr>
        <w:rPr>
          <w:rFonts w:hint="eastAsia" w:ascii="宋体" w:hAnsi="宋体" w:eastAsia="宋体" w:cs="宋体"/>
          <w:color w:val="auto"/>
          <w:sz w:val="24"/>
          <w:szCs w:val="24"/>
        </w:rPr>
      </w:pPr>
    </w:p>
    <w:p w14:paraId="4514F430">
      <w:pPr>
        <w:rPr>
          <w:rFonts w:hint="eastAsia" w:ascii="宋体" w:hAnsi="宋体" w:eastAsia="宋体" w:cs="宋体"/>
          <w:color w:val="auto"/>
          <w:sz w:val="24"/>
          <w:szCs w:val="24"/>
        </w:rPr>
      </w:pPr>
    </w:p>
    <w:p w14:paraId="07065D64">
      <w:pPr>
        <w:rPr>
          <w:rFonts w:hint="eastAsia" w:ascii="宋体" w:hAnsi="宋体" w:eastAsia="宋体" w:cs="宋体"/>
          <w:color w:val="auto"/>
          <w:sz w:val="24"/>
          <w:szCs w:val="24"/>
        </w:rPr>
      </w:pPr>
    </w:p>
    <w:p w14:paraId="6C6BAF12">
      <w:pPr>
        <w:rPr>
          <w:rFonts w:hint="eastAsia" w:ascii="宋体" w:hAnsi="宋体" w:eastAsia="宋体" w:cs="宋体"/>
          <w:color w:val="auto"/>
          <w:sz w:val="24"/>
          <w:szCs w:val="24"/>
        </w:rPr>
      </w:pPr>
    </w:p>
    <w:p w14:paraId="38AEE2CD">
      <w:pPr>
        <w:rPr>
          <w:rFonts w:hint="eastAsia" w:ascii="宋体" w:hAnsi="宋体" w:eastAsia="宋体" w:cs="宋体"/>
          <w:color w:val="auto"/>
          <w:sz w:val="24"/>
          <w:szCs w:val="24"/>
        </w:rPr>
      </w:pPr>
    </w:p>
    <w:p w14:paraId="37C6BBF1">
      <w:pPr>
        <w:rPr>
          <w:rFonts w:hint="eastAsia" w:ascii="宋体" w:hAnsi="宋体" w:eastAsia="宋体" w:cs="宋体"/>
          <w:color w:val="auto"/>
          <w:sz w:val="24"/>
          <w:szCs w:val="24"/>
        </w:rPr>
      </w:pPr>
    </w:p>
    <w:p w14:paraId="2BD49B90">
      <w:pPr>
        <w:rPr>
          <w:rFonts w:hint="eastAsia" w:ascii="宋体" w:hAnsi="宋体" w:eastAsia="宋体" w:cs="宋体"/>
          <w:color w:val="auto"/>
          <w:sz w:val="24"/>
          <w:szCs w:val="24"/>
        </w:rPr>
      </w:pPr>
    </w:p>
    <w:p w14:paraId="29B8B260">
      <w:pPr>
        <w:rPr>
          <w:rFonts w:hint="eastAsia" w:ascii="宋体" w:hAnsi="宋体" w:eastAsia="宋体" w:cs="宋体"/>
          <w:color w:val="auto"/>
          <w:sz w:val="24"/>
          <w:szCs w:val="24"/>
        </w:rPr>
      </w:pPr>
    </w:p>
    <w:p w14:paraId="5DE3B1DD">
      <w:pPr>
        <w:rPr>
          <w:rFonts w:hint="eastAsia" w:ascii="宋体" w:hAnsi="宋体" w:eastAsia="宋体" w:cs="宋体"/>
          <w:color w:val="auto"/>
          <w:sz w:val="24"/>
          <w:szCs w:val="24"/>
        </w:rPr>
      </w:pPr>
    </w:p>
    <w:p w14:paraId="54F2E002">
      <w:pPr>
        <w:rPr>
          <w:rFonts w:hint="eastAsia" w:ascii="宋体" w:hAnsi="宋体" w:eastAsia="宋体" w:cs="宋体"/>
          <w:color w:val="auto"/>
          <w:sz w:val="24"/>
          <w:szCs w:val="24"/>
        </w:rPr>
      </w:pPr>
    </w:p>
    <w:p w14:paraId="244D5A92">
      <w:pPr>
        <w:rPr>
          <w:rFonts w:hint="eastAsia" w:ascii="宋体" w:hAnsi="宋体" w:eastAsia="宋体" w:cs="宋体"/>
          <w:color w:val="auto"/>
          <w:sz w:val="24"/>
          <w:szCs w:val="24"/>
        </w:rPr>
      </w:pPr>
    </w:p>
    <w:p w14:paraId="04F48D7D">
      <w:pPr>
        <w:rPr>
          <w:rFonts w:hint="eastAsia" w:ascii="宋体" w:hAnsi="宋体" w:eastAsia="宋体" w:cs="宋体"/>
          <w:color w:val="auto"/>
          <w:sz w:val="24"/>
          <w:szCs w:val="24"/>
        </w:rPr>
      </w:pPr>
    </w:p>
    <w:p w14:paraId="02B636C0">
      <w:pPr>
        <w:rPr>
          <w:rFonts w:hint="eastAsia" w:ascii="宋体" w:hAnsi="宋体" w:eastAsia="宋体" w:cs="宋体"/>
          <w:color w:val="auto"/>
          <w:sz w:val="24"/>
          <w:szCs w:val="24"/>
        </w:rPr>
      </w:pPr>
    </w:p>
    <w:p w14:paraId="7EB39127">
      <w:pPr>
        <w:rPr>
          <w:rFonts w:hint="eastAsia" w:ascii="宋体" w:hAnsi="宋体" w:eastAsia="宋体" w:cs="宋体"/>
          <w:color w:val="auto"/>
        </w:rPr>
      </w:pPr>
    </w:p>
    <w:p w14:paraId="012DAF17">
      <w:pPr>
        <w:pStyle w:val="2"/>
        <w:rPr>
          <w:rFonts w:hint="eastAsia" w:ascii="宋体" w:hAnsi="宋体" w:eastAsia="宋体" w:cs="宋体"/>
          <w:color w:val="auto"/>
        </w:rPr>
      </w:pPr>
    </w:p>
    <w:p w14:paraId="0F7127FB">
      <w:pPr>
        <w:widowControl/>
        <w:jc w:val="left"/>
        <w:rPr>
          <w:rFonts w:hint="eastAsia" w:ascii="宋体" w:hAnsi="宋体" w:eastAsia="宋体" w:cs="宋体"/>
          <w:color w:val="auto"/>
          <w:sz w:val="24"/>
          <w:szCs w:val="24"/>
        </w:rPr>
      </w:pPr>
      <w:r>
        <w:rPr>
          <w:rFonts w:hint="eastAsia" w:ascii="宋体" w:hAnsi="宋体" w:eastAsia="宋体" w:cs="宋体"/>
          <w:color w:val="auto"/>
          <w:sz w:val="24"/>
          <w:szCs w:val="24"/>
        </w:rPr>
        <w:t>（二）法定代表人身份证明书（格式）</w:t>
      </w:r>
    </w:p>
    <w:p w14:paraId="13BB4630">
      <w:pPr>
        <w:widowControl/>
        <w:ind w:firstLine="480" w:firstLineChars="200"/>
        <w:jc w:val="left"/>
        <w:rPr>
          <w:rFonts w:hint="eastAsia" w:ascii="宋体" w:hAnsi="宋体" w:eastAsia="宋体" w:cs="宋体"/>
          <w:color w:val="auto"/>
          <w:sz w:val="24"/>
          <w:szCs w:val="24"/>
        </w:rPr>
      </w:pPr>
    </w:p>
    <w:p w14:paraId="71495DEA">
      <w:pPr>
        <w:tabs>
          <w:tab w:val="left" w:pos="6300"/>
        </w:tabs>
        <w:snapToGrid w:val="0"/>
        <w:spacing w:line="500" w:lineRule="exact"/>
        <w:ind w:firstLine="570"/>
        <w:rPr>
          <w:rFonts w:hint="eastAsia" w:ascii="宋体" w:hAnsi="宋体" w:eastAsia="宋体" w:cs="宋体"/>
          <w:color w:val="auto"/>
          <w:sz w:val="24"/>
          <w:szCs w:val="24"/>
        </w:rPr>
      </w:pPr>
      <w:r>
        <w:rPr>
          <w:rFonts w:hint="eastAsia" w:ascii="宋体" w:hAnsi="宋体" w:eastAsia="宋体" w:cs="宋体"/>
          <w:color w:val="auto"/>
          <w:sz w:val="24"/>
          <w:szCs w:val="24"/>
        </w:rPr>
        <w:t>比选项目名称：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1F16C743">
      <w:pPr>
        <w:tabs>
          <w:tab w:val="left" w:pos="6300"/>
        </w:tabs>
        <w:snapToGrid w:val="0"/>
        <w:spacing w:line="500" w:lineRule="exact"/>
        <w:ind w:firstLine="570"/>
        <w:rPr>
          <w:rFonts w:hint="eastAsia" w:ascii="宋体" w:hAnsi="宋体" w:eastAsia="宋体" w:cs="宋体"/>
          <w:color w:val="auto"/>
          <w:sz w:val="24"/>
          <w:szCs w:val="24"/>
        </w:rPr>
      </w:pPr>
    </w:p>
    <w:p w14:paraId="7D43A1AB">
      <w:pPr>
        <w:tabs>
          <w:tab w:val="left" w:pos="6300"/>
        </w:tabs>
        <w:snapToGrid w:val="0"/>
        <w:spacing w:line="500" w:lineRule="exact"/>
        <w:ind w:firstLine="57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p>
    <w:p w14:paraId="1B2DF88B">
      <w:pPr>
        <w:tabs>
          <w:tab w:val="left" w:pos="6300"/>
        </w:tabs>
        <w:snapToGrid w:val="0"/>
        <w:spacing w:line="500" w:lineRule="exact"/>
        <w:ind w:firstLine="570"/>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（法定代表人姓名）在</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（投标人名称）任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（职务名称）职务，是</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（投标人名称） 的法定代表人。</w:t>
      </w:r>
    </w:p>
    <w:p w14:paraId="460BFF19">
      <w:pPr>
        <w:tabs>
          <w:tab w:val="left" w:pos="6300"/>
        </w:tabs>
        <w:snapToGrid w:val="0"/>
        <w:spacing w:line="500" w:lineRule="exact"/>
        <w:ind w:firstLine="570"/>
        <w:rPr>
          <w:rFonts w:hint="eastAsia" w:ascii="宋体" w:hAnsi="宋体" w:eastAsia="宋体" w:cs="宋体"/>
          <w:color w:val="auto"/>
          <w:sz w:val="24"/>
          <w:szCs w:val="24"/>
        </w:rPr>
      </w:pPr>
    </w:p>
    <w:p w14:paraId="71524CEE">
      <w:pPr>
        <w:tabs>
          <w:tab w:val="left" w:pos="6300"/>
        </w:tabs>
        <w:snapToGrid w:val="0"/>
        <w:spacing w:line="500" w:lineRule="exact"/>
        <w:ind w:firstLine="570"/>
        <w:rPr>
          <w:rFonts w:hint="eastAsia" w:ascii="宋体" w:hAnsi="宋体" w:eastAsia="宋体" w:cs="宋体"/>
          <w:color w:val="auto"/>
          <w:sz w:val="24"/>
          <w:szCs w:val="24"/>
        </w:rPr>
      </w:pPr>
      <w:r>
        <w:rPr>
          <w:rFonts w:hint="eastAsia" w:ascii="宋体" w:hAnsi="宋体" w:eastAsia="宋体" w:cs="宋体"/>
          <w:color w:val="auto"/>
          <w:sz w:val="24"/>
          <w:szCs w:val="24"/>
        </w:rPr>
        <w:t>特此证明。</w:t>
      </w:r>
    </w:p>
    <w:p w14:paraId="3FE1809E">
      <w:pPr>
        <w:tabs>
          <w:tab w:val="left" w:pos="6300"/>
        </w:tabs>
        <w:snapToGrid w:val="0"/>
        <w:spacing w:line="500" w:lineRule="exact"/>
        <w:ind w:firstLine="570"/>
        <w:rPr>
          <w:rFonts w:hint="eastAsia" w:ascii="宋体" w:hAnsi="宋体" w:eastAsia="宋体" w:cs="宋体"/>
          <w:color w:val="auto"/>
          <w:sz w:val="24"/>
          <w:szCs w:val="24"/>
        </w:rPr>
      </w:pPr>
    </w:p>
    <w:p w14:paraId="0466450C">
      <w:pPr>
        <w:tabs>
          <w:tab w:val="left" w:pos="6300"/>
        </w:tabs>
        <w:snapToGrid w:val="0"/>
        <w:spacing w:line="500" w:lineRule="exact"/>
        <w:ind w:firstLine="570"/>
        <w:rPr>
          <w:rFonts w:hint="eastAsia" w:ascii="宋体" w:hAnsi="宋体" w:eastAsia="宋体" w:cs="宋体"/>
          <w:color w:val="auto"/>
          <w:sz w:val="24"/>
          <w:szCs w:val="24"/>
        </w:rPr>
      </w:pPr>
    </w:p>
    <w:p w14:paraId="34ACE782">
      <w:pPr>
        <w:tabs>
          <w:tab w:val="left" w:pos="6300"/>
        </w:tabs>
        <w:snapToGrid w:val="0"/>
        <w:spacing w:line="500" w:lineRule="exact"/>
        <w:ind w:firstLine="570"/>
        <w:rPr>
          <w:rFonts w:hint="eastAsia" w:ascii="宋体" w:hAnsi="宋体" w:eastAsia="宋体" w:cs="宋体"/>
          <w:color w:val="auto"/>
          <w:sz w:val="24"/>
          <w:szCs w:val="24"/>
        </w:rPr>
      </w:pPr>
    </w:p>
    <w:p w14:paraId="627774BB">
      <w:pPr>
        <w:tabs>
          <w:tab w:val="left" w:pos="6300"/>
        </w:tabs>
        <w:snapToGrid w:val="0"/>
        <w:spacing w:line="500" w:lineRule="exact"/>
        <w:ind w:firstLine="570"/>
        <w:rPr>
          <w:rFonts w:hint="eastAsia" w:ascii="宋体" w:hAnsi="宋体" w:eastAsia="宋体" w:cs="宋体"/>
          <w:color w:val="auto"/>
          <w:sz w:val="24"/>
          <w:szCs w:val="24"/>
        </w:rPr>
      </w:pPr>
      <w:r>
        <w:rPr>
          <w:rFonts w:hint="eastAsia" w:ascii="宋体" w:hAnsi="宋体" w:eastAsia="宋体" w:cs="宋体"/>
          <w:color w:val="auto"/>
          <w:sz w:val="24"/>
          <w:szCs w:val="24"/>
        </w:rPr>
        <w:t xml:space="preserve">                                             （投标人公章）</w:t>
      </w:r>
    </w:p>
    <w:p w14:paraId="5B74E796">
      <w:pPr>
        <w:tabs>
          <w:tab w:val="left" w:pos="6300"/>
        </w:tabs>
        <w:snapToGrid w:val="0"/>
        <w:spacing w:line="500" w:lineRule="exact"/>
        <w:ind w:firstLine="570"/>
        <w:rPr>
          <w:rFonts w:hint="eastAsia" w:ascii="宋体" w:hAnsi="宋体" w:eastAsia="宋体" w:cs="宋体"/>
          <w:color w:val="auto"/>
          <w:sz w:val="24"/>
          <w:szCs w:val="24"/>
        </w:rPr>
      </w:pPr>
    </w:p>
    <w:p w14:paraId="5B1B4E11">
      <w:pPr>
        <w:tabs>
          <w:tab w:val="left" w:pos="6300"/>
        </w:tabs>
        <w:snapToGrid w:val="0"/>
        <w:spacing w:line="500" w:lineRule="exact"/>
        <w:ind w:firstLine="570"/>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p w14:paraId="64DBA065">
      <w:pPr>
        <w:tabs>
          <w:tab w:val="left" w:pos="6300"/>
        </w:tabs>
        <w:snapToGrid w:val="0"/>
        <w:spacing w:line="500" w:lineRule="exact"/>
        <w:ind w:firstLine="570"/>
        <w:rPr>
          <w:rFonts w:hint="eastAsia" w:ascii="宋体" w:hAnsi="宋体" w:eastAsia="宋体" w:cs="宋体"/>
          <w:color w:val="auto"/>
          <w:sz w:val="24"/>
          <w:szCs w:val="24"/>
        </w:rPr>
      </w:pPr>
    </w:p>
    <w:p w14:paraId="58F3EA52">
      <w:pPr>
        <w:tabs>
          <w:tab w:val="left" w:pos="6300"/>
        </w:tabs>
        <w:snapToGrid w:val="0"/>
        <w:spacing w:line="500" w:lineRule="exact"/>
        <w:ind w:firstLine="570"/>
        <w:rPr>
          <w:rFonts w:hint="eastAsia" w:ascii="宋体" w:hAnsi="宋体" w:eastAsia="宋体" w:cs="宋体"/>
          <w:color w:val="auto"/>
          <w:sz w:val="24"/>
          <w:szCs w:val="24"/>
        </w:rPr>
      </w:pPr>
      <w:r>
        <w:rPr>
          <w:rFonts w:hint="eastAsia" w:ascii="宋体" w:hAnsi="宋体" w:eastAsia="宋体" w:cs="宋体"/>
          <w:color w:val="auto"/>
          <w:sz w:val="24"/>
          <w:szCs w:val="24"/>
        </w:rPr>
        <w:t>（附：法定代表人身份证正反面复印件）</w:t>
      </w:r>
    </w:p>
    <w:p w14:paraId="57E13893">
      <w:pPr>
        <w:tabs>
          <w:tab w:val="left" w:pos="6300"/>
        </w:tabs>
        <w:snapToGrid w:val="0"/>
        <w:spacing w:line="500" w:lineRule="exact"/>
        <w:rPr>
          <w:rFonts w:hint="eastAsia" w:ascii="宋体" w:hAnsi="宋体" w:eastAsia="宋体" w:cs="宋体"/>
          <w:color w:val="auto"/>
          <w:sz w:val="24"/>
          <w:szCs w:val="24"/>
        </w:rPr>
      </w:pPr>
    </w:p>
    <w:p w14:paraId="4CBE2CAB">
      <w:pPr>
        <w:rPr>
          <w:rFonts w:hint="eastAsia" w:ascii="宋体" w:hAnsi="宋体" w:eastAsia="宋体" w:cs="宋体"/>
          <w:color w:val="auto"/>
          <w:sz w:val="24"/>
          <w:szCs w:val="24"/>
        </w:rPr>
      </w:pPr>
    </w:p>
    <w:p w14:paraId="25C42B46">
      <w:pPr>
        <w:rPr>
          <w:rFonts w:hint="eastAsia" w:ascii="宋体" w:hAnsi="宋体" w:eastAsia="宋体" w:cs="宋体"/>
          <w:color w:val="auto"/>
          <w:sz w:val="24"/>
          <w:szCs w:val="24"/>
        </w:rPr>
      </w:pPr>
    </w:p>
    <w:p w14:paraId="53C4E8E4">
      <w:pPr>
        <w:rPr>
          <w:rFonts w:hint="eastAsia" w:ascii="宋体" w:hAnsi="宋体" w:eastAsia="宋体" w:cs="宋体"/>
          <w:color w:val="auto"/>
          <w:sz w:val="24"/>
          <w:szCs w:val="24"/>
        </w:rPr>
      </w:pPr>
    </w:p>
    <w:p w14:paraId="227BBBE5">
      <w:pPr>
        <w:rPr>
          <w:rFonts w:hint="eastAsia" w:ascii="宋体" w:hAnsi="宋体" w:eastAsia="宋体" w:cs="宋体"/>
          <w:color w:val="auto"/>
          <w:sz w:val="24"/>
          <w:szCs w:val="24"/>
        </w:rPr>
      </w:pPr>
    </w:p>
    <w:p w14:paraId="42581C12">
      <w:pPr>
        <w:rPr>
          <w:rFonts w:hint="eastAsia" w:ascii="宋体" w:hAnsi="宋体" w:eastAsia="宋体" w:cs="宋体"/>
          <w:color w:val="auto"/>
          <w:sz w:val="24"/>
          <w:szCs w:val="24"/>
        </w:rPr>
      </w:pPr>
    </w:p>
    <w:p w14:paraId="205D7CFF">
      <w:pPr>
        <w:rPr>
          <w:rFonts w:hint="eastAsia" w:ascii="宋体" w:hAnsi="宋体" w:eastAsia="宋体" w:cs="宋体"/>
          <w:color w:val="auto"/>
          <w:sz w:val="24"/>
          <w:szCs w:val="24"/>
        </w:rPr>
      </w:pPr>
    </w:p>
    <w:p w14:paraId="2CEE26D1">
      <w:pPr>
        <w:rPr>
          <w:rFonts w:hint="eastAsia" w:ascii="宋体" w:hAnsi="宋体" w:eastAsia="宋体" w:cs="宋体"/>
          <w:color w:val="auto"/>
          <w:sz w:val="24"/>
          <w:szCs w:val="24"/>
        </w:rPr>
      </w:pPr>
    </w:p>
    <w:p w14:paraId="1EE0723D">
      <w:pPr>
        <w:rPr>
          <w:rFonts w:hint="eastAsia" w:ascii="宋体" w:hAnsi="宋体" w:eastAsia="宋体" w:cs="宋体"/>
          <w:color w:val="auto"/>
          <w:sz w:val="24"/>
          <w:szCs w:val="24"/>
        </w:rPr>
      </w:pPr>
    </w:p>
    <w:p w14:paraId="32C474CE">
      <w:pPr>
        <w:rPr>
          <w:rFonts w:hint="eastAsia" w:ascii="宋体" w:hAnsi="宋体" w:eastAsia="宋体" w:cs="宋体"/>
          <w:color w:val="auto"/>
          <w:sz w:val="24"/>
          <w:szCs w:val="24"/>
        </w:rPr>
      </w:pPr>
    </w:p>
    <w:p w14:paraId="4E6C8220">
      <w:pPr>
        <w:rPr>
          <w:rFonts w:hint="eastAsia" w:ascii="宋体" w:hAnsi="宋体" w:eastAsia="宋体" w:cs="宋体"/>
          <w:color w:val="auto"/>
          <w:sz w:val="24"/>
          <w:szCs w:val="24"/>
        </w:rPr>
      </w:pPr>
    </w:p>
    <w:p w14:paraId="46CBAF59">
      <w:pPr>
        <w:rPr>
          <w:rFonts w:hint="eastAsia" w:ascii="宋体" w:hAnsi="宋体" w:eastAsia="宋体" w:cs="宋体"/>
          <w:color w:val="auto"/>
          <w:sz w:val="24"/>
          <w:szCs w:val="24"/>
        </w:rPr>
      </w:pPr>
    </w:p>
    <w:p w14:paraId="3C41D052">
      <w:pPr>
        <w:rPr>
          <w:rFonts w:hint="eastAsia" w:ascii="宋体" w:hAnsi="宋体" w:eastAsia="宋体" w:cs="宋体"/>
          <w:color w:val="auto"/>
          <w:sz w:val="24"/>
          <w:szCs w:val="24"/>
        </w:rPr>
      </w:pPr>
    </w:p>
    <w:p w14:paraId="6048A056">
      <w:pPr>
        <w:rPr>
          <w:rFonts w:hint="eastAsia" w:ascii="宋体" w:hAnsi="宋体" w:eastAsia="宋体" w:cs="宋体"/>
          <w:color w:val="auto"/>
          <w:sz w:val="24"/>
          <w:szCs w:val="24"/>
        </w:rPr>
      </w:pPr>
    </w:p>
    <w:p w14:paraId="2080B7AF">
      <w:pPr>
        <w:rPr>
          <w:rFonts w:hint="eastAsia" w:ascii="宋体" w:hAnsi="宋体" w:eastAsia="宋体" w:cs="宋体"/>
          <w:color w:val="auto"/>
          <w:sz w:val="24"/>
          <w:szCs w:val="24"/>
        </w:rPr>
      </w:pPr>
    </w:p>
    <w:p w14:paraId="19895A3F">
      <w:pPr>
        <w:rPr>
          <w:rFonts w:hint="eastAsia" w:ascii="宋体" w:hAnsi="宋体" w:eastAsia="宋体" w:cs="宋体"/>
          <w:color w:val="auto"/>
          <w:sz w:val="24"/>
          <w:szCs w:val="24"/>
        </w:rPr>
      </w:pPr>
    </w:p>
    <w:p w14:paraId="7FE26B5D">
      <w:pPr>
        <w:rPr>
          <w:rFonts w:hint="eastAsia" w:ascii="宋体" w:hAnsi="宋体" w:eastAsia="宋体" w:cs="宋体"/>
          <w:color w:val="auto"/>
        </w:rPr>
      </w:pPr>
    </w:p>
    <w:p w14:paraId="6CE67C0A">
      <w:pPr>
        <w:tabs>
          <w:tab w:val="left" w:pos="6300"/>
        </w:tabs>
        <w:snapToGrid w:val="0"/>
        <w:spacing w:line="500" w:lineRule="exact"/>
        <w:ind w:firstLine="480" w:firstLineChars="200"/>
        <w:rPr>
          <w:rFonts w:hint="eastAsia" w:ascii="宋体" w:hAnsi="宋体" w:eastAsia="宋体" w:cs="宋体"/>
          <w:color w:val="auto"/>
          <w:sz w:val="24"/>
          <w:szCs w:val="24"/>
        </w:rPr>
      </w:pPr>
    </w:p>
    <w:p w14:paraId="369C9B64">
      <w:pPr>
        <w:tabs>
          <w:tab w:val="left" w:pos="6300"/>
        </w:tabs>
        <w:snapToGrid w:val="0"/>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（三）法定代表人授权委托书（格式）</w:t>
      </w:r>
    </w:p>
    <w:p w14:paraId="59FB7F58">
      <w:pPr>
        <w:tabs>
          <w:tab w:val="left" w:pos="6300"/>
        </w:tabs>
        <w:snapToGrid w:val="0"/>
        <w:spacing w:line="500" w:lineRule="exact"/>
        <w:ind w:firstLine="57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2671B87B">
      <w:pPr>
        <w:tabs>
          <w:tab w:val="left" w:pos="6300"/>
        </w:tabs>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比选项目名称：</w:t>
      </w:r>
    </w:p>
    <w:p w14:paraId="5EC1125C">
      <w:pPr>
        <w:tabs>
          <w:tab w:val="left" w:pos="6300"/>
        </w:tabs>
        <w:snapToGrid w:val="0"/>
        <w:spacing w:line="500" w:lineRule="exact"/>
        <w:ind w:firstLine="480" w:firstLineChars="200"/>
        <w:rPr>
          <w:rFonts w:hint="eastAsia" w:ascii="宋体" w:hAnsi="宋体" w:eastAsia="宋体" w:cs="宋体"/>
          <w:color w:val="auto"/>
          <w:sz w:val="24"/>
          <w:szCs w:val="24"/>
        </w:rPr>
      </w:pPr>
    </w:p>
    <w:p w14:paraId="3FB63889">
      <w:pPr>
        <w:tabs>
          <w:tab w:val="left" w:pos="6300"/>
        </w:tabs>
        <w:snapToGrid w:val="0"/>
        <w:spacing w:line="500" w:lineRule="exact"/>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致：</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lang w:val="en-US" w:eastAsia="zh-CN"/>
        </w:rPr>
        <w:t>（招标人名称）</w:t>
      </w:r>
    </w:p>
    <w:p w14:paraId="64C4CBEB">
      <w:pPr>
        <w:tabs>
          <w:tab w:val="left" w:pos="6300"/>
        </w:tabs>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（投标人法定代表人名称）是</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（投标人名称）的法定代表人，特授权</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（被授权人姓名及身份证代码）代表我单位全权办理上述项目的比选、签约等具体工作，并签署全部有关文件、协议及合同。</w:t>
      </w:r>
    </w:p>
    <w:p w14:paraId="789DCBC6">
      <w:pPr>
        <w:tabs>
          <w:tab w:val="left" w:pos="6300"/>
        </w:tabs>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我单位对被授权人的签字负全部责任。</w:t>
      </w:r>
    </w:p>
    <w:p w14:paraId="75D41ED8">
      <w:pPr>
        <w:tabs>
          <w:tab w:val="left" w:pos="6300"/>
        </w:tabs>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在撤消授权的书面通知以前，本授权书一直有效。被授权人在授权书有效期内签署的所有文件不因授权的撤消而失效。</w:t>
      </w:r>
    </w:p>
    <w:p w14:paraId="1F5F0233">
      <w:pPr>
        <w:tabs>
          <w:tab w:val="left" w:pos="6300"/>
        </w:tabs>
        <w:snapToGrid w:val="0"/>
        <w:spacing w:line="500" w:lineRule="exact"/>
        <w:ind w:firstLine="480" w:firstLineChars="200"/>
        <w:rPr>
          <w:rFonts w:hint="eastAsia" w:ascii="宋体" w:hAnsi="宋体" w:eastAsia="宋体" w:cs="宋体"/>
          <w:color w:val="auto"/>
          <w:sz w:val="24"/>
          <w:szCs w:val="24"/>
        </w:rPr>
      </w:pPr>
    </w:p>
    <w:p w14:paraId="3C766549">
      <w:pPr>
        <w:tabs>
          <w:tab w:val="left" w:pos="6300"/>
        </w:tabs>
        <w:snapToGrid w:val="0"/>
        <w:spacing w:line="500" w:lineRule="exact"/>
        <w:ind w:firstLine="480" w:firstLineChars="200"/>
        <w:rPr>
          <w:rFonts w:hint="eastAsia" w:ascii="宋体" w:hAnsi="宋体" w:eastAsia="宋体" w:cs="宋体"/>
          <w:color w:val="auto"/>
          <w:sz w:val="24"/>
          <w:szCs w:val="24"/>
        </w:rPr>
      </w:pPr>
    </w:p>
    <w:p w14:paraId="44F53E0B">
      <w:pPr>
        <w:tabs>
          <w:tab w:val="left" w:pos="6300"/>
        </w:tabs>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被授权人：                                 投标人法定代表人：</w:t>
      </w:r>
    </w:p>
    <w:p w14:paraId="33C10D1E">
      <w:pPr>
        <w:tabs>
          <w:tab w:val="left" w:pos="6300"/>
        </w:tabs>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（签字或盖章）                                （签字或盖章）</w:t>
      </w:r>
    </w:p>
    <w:p w14:paraId="562E950E">
      <w:pPr>
        <w:tabs>
          <w:tab w:val="left" w:pos="6300"/>
        </w:tabs>
        <w:snapToGrid w:val="0"/>
        <w:spacing w:line="500" w:lineRule="exact"/>
        <w:ind w:firstLine="480" w:firstLineChars="200"/>
        <w:rPr>
          <w:rFonts w:hint="eastAsia" w:ascii="宋体" w:hAnsi="宋体" w:eastAsia="宋体" w:cs="宋体"/>
          <w:color w:val="auto"/>
          <w:sz w:val="24"/>
          <w:szCs w:val="24"/>
        </w:rPr>
      </w:pPr>
    </w:p>
    <w:p w14:paraId="114EFADE">
      <w:pPr>
        <w:tabs>
          <w:tab w:val="left" w:pos="6300"/>
        </w:tabs>
        <w:snapToGrid w:val="0"/>
        <w:spacing w:line="500" w:lineRule="exact"/>
        <w:ind w:firstLine="480" w:firstLineChars="200"/>
        <w:rPr>
          <w:rFonts w:hint="eastAsia" w:ascii="宋体" w:hAnsi="宋体" w:eastAsia="宋体" w:cs="宋体"/>
          <w:color w:val="auto"/>
          <w:sz w:val="24"/>
          <w:szCs w:val="24"/>
        </w:rPr>
      </w:pPr>
    </w:p>
    <w:p w14:paraId="2B1EE86A">
      <w:pPr>
        <w:tabs>
          <w:tab w:val="left" w:pos="6300"/>
        </w:tabs>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（附：被授权人身份证正反面复印件）</w:t>
      </w:r>
    </w:p>
    <w:p w14:paraId="2005A847">
      <w:pPr>
        <w:tabs>
          <w:tab w:val="left" w:pos="6300"/>
        </w:tabs>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26716CE0">
      <w:pPr>
        <w:tabs>
          <w:tab w:val="left" w:pos="6300"/>
        </w:tabs>
        <w:snapToGrid w:val="0"/>
        <w:spacing w:line="500" w:lineRule="exact"/>
        <w:ind w:firstLine="480" w:firstLineChars="200"/>
        <w:rPr>
          <w:rFonts w:hint="eastAsia" w:ascii="宋体" w:hAnsi="宋体" w:eastAsia="宋体" w:cs="宋体"/>
          <w:color w:val="auto"/>
          <w:sz w:val="24"/>
          <w:szCs w:val="24"/>
        </w:rPr>
      </w:pPr>
    </w:p>
    <w:p w14:paraId="267C3C93">
      <w:pPr>
        <w:tabs>
          <w:tab w:val="left" w:pos="6300"/>
        </w:tabs>
        <w:snapToGrid w:val="0"/>
        <w:spacing w:line="500" w:lineRule="exact"/>
        <w:ind w:firstLine="480" w:firstLineChars="200"/>
        <w:rPr>
          <w:rFonts w:hint="eastAsia" w:ascii="宋体" w:hAnsi="宋体" w:eastAsia="宋体" w:cs="宋体"/>
          <w:color w:val="auto"/>
          <w:sz w:val="24"/>
          <w:szCs w:val="24"/>
        </w:rPr>
      </w:pPr>
    </w:p>
    <w:p w14:paraId="48B8F970">
      <w:pPr>
        <w:tabs>
          <w:tab w:val="left" w:pos="6300"/>
        </w:tabs>
        <w:snapToGrid w:val="0"/>
        <w:spacing w:line="500" w:lineRule="exact"/>
        <w:ind w:firstLine="6480" w:firstLineChars="2700"/>
        <w:rPr>
          <w:rFonts w:hint="eastAsia" w:ascii="宋体" w:hAnsi="宋体" w:eastAsia="宋体" w:cs="宋体"/>
          <w:color w:val="auto"/>
          <w:sz w:val="24"/>
          <w:szCs w:val="24"/>
        </w:rPr>
      </w:pPr>
      <w:r>
        <w:rPr>
          <w:rFonts w:hint="eastAsia" w:ascii="宋体" w:hAnsi="宋体" w:eastAsia="宋体" w:cs="宋体"/>
          <w:color w:val="auto"/>
          <w:sz w:val="24"/>
          <w:szCs w:val="24"/>
        </w:rPr>
        <w:t>（投标人公章）</w:t>
      </w:r>
    </w:p>
    <w:p w14:paraId="1CA039F5">
      <w:pPr>
        <w:tabs>
          <w:tab w:val="left" w:pos="6300"/>
        </w:tabs>
        <w:snapToGrid w:val="0"/>
        <w:spacing w:line="500" w:lineRule="exact"/>
        <w:ind w:firstLine="6720" w:firstLineChars="2800"/>
        <w:rPr>
          <w:rFonts w:hint="eastAsia" w:ascii="宋体" w:hAnsi="宋体" w:eastAsia="宋体" w:cs="宋体"/>
          <w:color w:val="auto"/>
          <w:sz w:val="24"/>
          <w:szCs w:val="24"/>
        </w:rPr>
      </w:pPr>
      <w:r>
        <w:rPr>
          <w:rFonts w:hint="eastAsia" w:ascii="宋体" w:hAnsi="宋体" w:eastAsia="宋体" w:cs="宋体"/>
          <w:color w:val="auto"/>
          <w:sz w:val="24"/>
          <w:szCs w:val="24"/>
        </w:rPr>
        <w:t>年   月   日</w:t>
      </w:r>
    </w:p>
    <w:p w14:paraId="5F13883F">
      <w:pPr>
        <w:tabs>
          <w:tab w:val="left" w:pos="6300"/>
        </w:tabs>
        <w:snapToGrid w:val="0"/>
        <w:spacing w:line="500" w:lineRule="exact"/>
        <w:ind w:firstLine="6720" w:firstLineChars="2800"/>
        <w:rPr>
          <w:rFonts w:hint="eastAsia" w:ascii="宋体" w:hAnsi="宋体" w:eastAsia="宋体" w:cs="宋体"/>
          <w:color w:val="auto"/>
          <w:sz w:val="24"/>
          <w:szCs w:val="24"/>
        </w:rPr>
      </w:pPr>
    </w:p>
    <w:p w14:paraId="0840DBE8">
      <w:pPr>
        <w:tabs>
          <w:tab w:val="left" w:pos="6300"/>
        </w:tabs>
        <w:snapToGrid w:val="0"/>
        <w:spacing w:line="500" w:lineRule="exact"/>
        <w:ind w:firstLine="420" w:firstLineChars="200"/>
        <w:jc w:val="left"/>
        <w:rPr>
          <w:rFonts w:hint="eastAsia" w:ascii="宋体" w:hAnsi="宋体" w:eastAsia="宋体" w:cs="宋体"/>
          <w:bCs/>
          <w:color w:val="auto"/>
          <w:szCs w:val="21"/>
        </w:rPr>
      </w:pPr>
    </w:p>
    <w:p w14:paraId="622AAD76">
      <w:pPr>
        <w:tabs>
          <w:tab w:val="left" w:pos="6300"/>
        </w:tabs>
        <w:snapToGrid w:val="0"/>
        <w:spacing w:line="500" w:lineRule="exact"/>
        <w:ind w:firstLine="420" w:firstLineChars="200"/>
        <w:jc w:val="left"/>
        <w:rPr>
          <w:rFonts w:hint="eastAsia" w:ascii="宋体" w:hAnsi="宋体" w:eastAsia="宋体" w:cs="宋体"/>
          <w:bCs/>
          <w:color w:val="auto"/>
          <w:szCs w:val="21"/>
        </w:rPr>
      </w:pPr>
    </w:p>
    <w:p w14:paraId="0B7573FA">
      <w:pPr>
        <w:tabs>
          <w:tab w:val="left" w:pos="6300"/>
        </w:tabs>
        <w:snapToGrid w:val="0"/>
        <w:spacing w:line="500" w:lineRule="exact"/>
        <w:ind w:firstLine="420" w:firstLineChars="200"/>
        <w:jc w:val="left"/>
        <w:rPr>
          <w:rFonts w:hint="eastAsia" w:ascii="宋体" w:hAnsi="宋体" w:eastAsia="宋体" w:cs="宋体"/>
          <w:bCs/>
          <w:color w:val="auto"/>
          <w:szCs w:val="21"/>
        </w:rPr>
      </w:pPr>
    </w:p>
    <w:p w14:paraId="6D62E987">
      <w:pPr>
        <w:tabs>
          <w:tab w:val="left" w:pos="6300"/>
        </w:tabs>
        <w:snapToGrid w:val="0"/>
        <w:spacing w:line="500" w:lineRule="exact"/>
        <w:ind w:firstLine="420" w:firstLineChars="200"/>
        <w:jc w:val="left"/>
        <w:rPr>
          <w:rFonts w:hint="eastAsia" w:ascii="宋体" w:hAnsi="宋体" w:eastAsia="宋体" w:cs="宋体"/>
          <w:bCs/>
          <w:color w:val="auto"/>
          <w:szCs w:val="21"/>
        </w:rPr>
      </w:pPr>
    </w:p>
    <w:p w14:paraId="0DBD6F32">
      <w:pPr>
        <w:spacing w:line="360" w:lineRule="auto"/>
        <w:rPr>
          <w:rFonts w:hint="eastAsia" w:ascii="宋体" w:hAnsi="宋体" w:eastAsia="宋体" w:cs="宋体"/>
          <w:bCs/>
          <w:color w:val="auto"/>
          <w:szCs w:val="21"/>
        </w:rPr>
      </w:pPr>
    </w:p>
    <w:p w14:paraId="16972D48">
      <w:pPr>
        <w:spacing w:line="360" w:lineRule="auto"/>
        <w:rPr>
          <w:rFonts w:hint="eastAsia" w:ascii="宋体" w:hAnsi="宋体" w:eastAsia="宋体" w:cs="宋体"/>
          <w:color w:val="auto"/>
          <w:sz w:val="24"/>
          <w:szCs w:val="24"/>
        </w:rPr>
      </w:pPr>
      <w:r>
        <w:rPr>
          <w:rFonts w:hint="eastAsia" w:ascii="宋体" w:hAnsi="宋体" w:eastAsia="宋体" w:cs="宋体"/>
          <w:bCs/>
          <w:color w:val="auto"/>
          <w:szCs w:val="21"/>
        </w:rPr>
        <w:t>（</w:t>
      </w:r>
      <w:r>
        <w:rPr>
          <w:rFonts w:hint="eastAsia" w:ascii="宋体" w:hAnsi="宋体" w:eastAsia="宋体" w:cs="宋体"/>
          <w:color w:val="auto"/>
          <w:sz w:val="24"/>
          <w:szCs w:val="24"/>
        </w:rPr>
        <w:t>四）特定资格条件证明。</w:t>
      </w:r>
    </w:p>
    <w:p w14:paraId="3828EB2C">
      <w:pPr>
        <w:rPr>
          <w:rFonts w:hint="eastAsia" w:ascii="宋体" w:hAnsi="宋体" w:eastAsia="宋体" w:cs="宋体"/>
          <w:color w:val="auto"/>
          <w:sz w:val="24"/>
          <w:szCs w:val="24"/>
        </w:rPr>
      </w:pPr>
    </w:p>
    <w:p w14:paraId="4856E141">
      <w:pPr>
        <w:rPr>
          <w:rFonts w:hint="eastAsia" w:ascii="宋体" w:hAnsi="宋体" w:eastAsia="宋体" w:cs="宋体"/>
          <w:color w:val="auto"/>
          <w:sz w:val="24"/>
          <w:szCs w:val="24"/>
        </w:rPr>
      </w:pPr>
    </w:p>
    <w:p w14:paraId="78518E0D">
      <w:pPr>
        <w:rPr>
          <w:rFonts w:hint="eastAsia" w:ascii="宋体" w:hAnsi="宋体" w:eastAsia="宋体" w:cs="宋体"/>
          <w:color w:val="auto"/>
          <w:sz w:val="24"/>
          <w:szCs w:val="24"/>
        </w:rPr>
      </w:pPr>
    </w:p>
    <w:p w14:paraId="4E557C23">
      <w:pPr>
        <w:rPr>
          <w:rFonts w:hint="eastAsia" w:ascii="宋体" w:hAnsi="宋体" w:eastAsia="宋体" w:cs="宋体"/>
          <w:color w:val="auto"/>
          <w:sz w:val="24"/>
          <w:szCs w:val="24"/>
        </w:rPr>
      </w:pPr>
    </w:p>
    <w:p w14:paraId="086BAAF9">
      <w:pPr>
        <w:rPr>
          <w:rFonts w:hint="eastAsia" w:ascii="宋体" w:hAnsi="宋体" w:eastAsia="宋体" w:cs="宋体"/>
          <w:color w:val="auto"/>
          <w:sz w:val="24"/>
          <w:szCs w:val="24"/>
        </w:rPr>
      </w:pPr>
    </w:p>
    <w:p w14:paraId="481F451A">
      <w:pPr>
        <w:rPr>
          <w:rFonts w:hint="eastAsia" w:ascii="宋体" w:hAnsi="宋体" w:eastAsia="宋体" w:cs="宋体"/>
          <w:color w:val="auto"/>
          <w:sz w:val="24"/>
          <w:szCs w:val="24"/>
        </w:rPr>
      </w:pPr>
    </w:p>
    <w:p w14:paraId="72D7B5FA">
      <w:pPr>
        <w:rPr>
          <w:rFonts w:hint="eastAsia" w:ascii="宋体" w:hAnsi="宋体" w:eastAsia="宋体" w:cs="宋体"/>
          <w:color w:val="auto"/>
          <w:sz w:val="24"/>
          <w:szCs w:val="24"/>
        </w:rPr>
      </w:pPr>
    </w:p>
    <w:p w14:paraId="69032F75">
      <w:pPr>
        <w:rPr>
          <w:rFonts w:hint="eastAsia" w:ascii="宋体" w:hAnsi="宋体" w:eastAsia="宋体" w:cs="宋体"/>
          <w:color w:val="auto"/>
          <w:sz w:val="24"/>
          <w:szCs w:val="24"/>
        </w:rPr>
      </w:pPr>
    </w:p>
    <w:p w14:paraId="0454C436">
      <w:pPr>
        <w:rPr>
          <w:rFonts w:hint="eastAsia" w:ascii="宋体" w:hAnsi="宋体" w:eastAsia="宋体" w:cs="宋体"/>
          <w:color w:val="auto"/>
          <w:sz w:val="24"/>
          <w:szCs w:val="24"/>
        </w:rPr>
      </w:pPr>
    </w:p>
    <w:p w14:paraId="06F84DFE">
      <w:pPr>
        <w:rPr>
          <w:rFonts w:hint="eastAsia" w:ascii="宋体" w:hAnsi="宋体" w:eastAsia="宋体" w:cs="宋体"/>
          <w:color w:val="auto"/>
          <w:sz w:val="24"/>
          <w:szCs w:val="24"/>
        </w:rPr>
      </w:pPr>
    </w:p>
    <w:p w14:paraId="2652841C">
      <w:pPr>
        <w:rPr>
          <w:rFonts w:hint="eastAsia" w:ascii="宋体" w:hAnsi="宋体" w:eastAsia="宋体" w:cs="宋体"/>
          <w:color w:val="auto"/>
          <w:sz w:val="24"/>
          <w:szCs w:val="24"/>
        </w:rPr>
      </w:pPr>
    </w:p>
    <w:p w14:paraId="65A25F0F">
      <w:pPr>
        <w:rPr>
          <w:rFonts w:hint="eastAsia" w:ascii="宋体" w:hAnsi="宋体" w:eastAsia="宋体" w:cs="宋体"/>
          <w:color w:val="auto"/>
          <w:sz w:val="24"/>
          <w:szCs w:val="24"/>
        </w:rPr>
      </w:pPr>
    </w:p>
    <w:p w14:paraId="2C3E3A5A">
      <w:pPr>
        <w:rPr>
          <w:rFonts w:hint="eastAsia" w:ascii="宋体" w:hAnsi="宋体" w:eastAsia="宋体" w:cs="宋体"/>
          <w:color w:val="auto"/>
          <w:sz w:val="24"/>
          <w:szCs w:val="24"/>
        </w:rPr>
      </w:pPr>
    </w:p>
    <w:p w14:paraId="1DDA4C85">
      <w:pPr>
        <w:rPr>
          <w:rFonts w:hint="eastAsia" w:ascii="宋体" w:hAnsi="宋体" w:eastAsia="宋体" w:cs="宋体"/>
          <w:color w:val="auto"/>
          <w:sz w:val="24"/>
          <w:szCs w:val="24"/>
        </w:rPr>
      </w:pPr>
    </w:p>
    <w:p w14:paraId="17B7FD33">
      <w:pPr>
        <w:rPr>
          <w:rFonts w:hint="eastAsia" w:ascii="宋体" w:hAnsi="宋体" w:eastAsia="宋体" w:cs="宋体"/>
          <w:color w:val="auto"/>
          <w:sz w:val="24"/>
          <w:szCs w:val="24"/>
        </w:rPr>
      </w:pPr>
    </w:p>
    <w:p w14:paraId="5F031898">
      <w:pPr>
        <w:rPr>
          <w:rFonts w:hint="eastAsia" w:ascii="宋体" w:hAnsi="宋体" w:eastAsia="宋体" w:cs="宋体"/>
          <w:color w:val="auto"/>
          <w:sz w:val="24"/>
          <w:szCs w:val="24"/>
        </w:rPr>
      </w:pPr>
    </w:p>
    <w:p w14:paraId="32C1A963">
      <w:pPr>
        <w:rPr>
          <w:rFonts w:hint="eastAsia" w:ascii="宋体" w:hAnsi="宋体" w:eastAsia="宋体" w:cs="宋体"/>
          <w:color w:val="auto"/>
          <w:sz w:val="24"/>
          <w:szCs w:val="24"/>
        </w:rPr>
      </w:pPr>
    </w:p>
    <w:p w14:paraId="7032AF37">
      <w:pPr>
        <w:rPr>
          <w:rFonts w:hint="eastAsia" w:ascii="宋体" w:hAnsi="宋体" w:eastAsia="宋体" w:cs="宋体"/>
          <w:color w:val="auto"/>
          <w:sz w:val="24"/>
          <w:szCs w:val="24"/>
        </w:rPr>
      </w:pPr>
    </w:p>
    <w:p w14:paraId="0984CBE0">
      <w:pPr>
        <w:rPr>
          <w:rFonts w:hint="eastAsia" w:ascii="宋体" w:hAnsi="宋体" w:eastAsia="宋体" w:cs="宋体"/>
          <w:color w:val="auto"/>
          <w:sz w:val="24"/>
          <w:szCs w:val="24"/>
        </w:rPr>
      </w:pPr>
    </w:p>
    <w:p w14:paraId="2EAAF1B8">
      <w:pPr>
        <w:rPr>
          <w:rFonts w:hint="eastAsia" w:ascii="宋体" w:hAnsi="宋体" w:eastAsia="宋体" w:cs="宋体"/>
          <w:color w:val="auto"/>
          <w:sz w:val="24"/>
          <w:szCs w:val="24"/>
        </w:rPr>
      </w:pPr>
    </w:p>
    <w:p w14:paraId="54536371">
      <w:pPr>
        <w:rPr>
          <w:rFonts w:hint="eastAsia" w:ascii="宋体" w:hAnsi="宋体" w:eastAsia="宋体" w:cs="宋体"/>
          <w:color w:val="auto"/>
          <w:sz w:val="24"/>
          <w:szCs w:val="24"/>
        </w:rPr>
      </w:pPr>
    </w:p>
    <w:p w14:paraId="3D490FE1">
      <w:pPr>
        <w:rPr>
          <w:rFonts w:hint="eastAsia" w:ascii="宋体" w:hAnsi="宋体" w:eastAsia="宋体" w:cs="宋体"/>
          <w:color w:val="auto"/>
          <w:sz w:val="24"/>
          <w:szCs w:val="24"/>
        </w:rPr>
      </w:pPr>
    </w:p>
    <w:p w14:paraId="26155B9A">
      <w:pPr>
        <w:rPr>
          <w:rFonts w:hint="eastAsia" w:ascii="宋体" w:hAnsi="宋体" w:eastAsia="宋体" w:cs="宋体"/>
          <w:color w:val="auto"/>
          <w:sz w:val="24"/>
          <w:szCs w:val="24"/>
        </w:rPr>
      </w:pPr>
    </w:p>
    <w:p w14:paraId="22916556">
      <w:pPr>
        <w:rPr>
          <w:rFonts w:hint="eastAsia" w:ascii="宋体" w:hAnsi="宋体" w:eastAsia="宋体" w:cs="宋体"/>
          <w:color w:val="auto"/>
          <w:sz w:val="24"/>
          <w:szCs w:val="24"/>
        </w:rPr>
      </w:pPr>
    </w:p>
    <w:p w14:paraId="42898FC0">
      <w:pPr>
        <w:rPr>
          <w:rFonts w:hint="eastAsia" w:ascii="宋体" w:hAnsi="宋体" w:eastAsia="宋体" w:cs="宋体"/>
          <w:color w:val="auto"/>
          <w:sz w:val="24"/>
          <w:szCs w:val="24"/>
        </w:rPr>
      </w:pPr>
    </w:p>
    <w:p w14:paraId="304F44D0">
      <w:pPr>
        <w:rPr>
          <w:rFonts w:hint="eastAsia" w:ascii="宋体" w:hAnsi="宋体" w:eastAsia="宋体" w:cs="宋体"/>
          <w:color w:val="auto"/>
          <w:sz w:val="24"/>
          <w:szCs w:val="24"/>
        </w:rPr>
      </w:pPr>
    </w:p>
    <w:p w14:paraId="35DF39D9">
      <w:pPr>
        <w:rPr>
          <w:rFonts w:hint="eastAsia" w:ascii="宋体" w:hAnsi="宋体" w:eastAsia="宋体" w:cs="宋体"/>
          <w:color w:val="auto"/>
          <w:sz w:val="24"/>
          <w:szCs w:val="24"/>
        </w:rPr>
      </w:pPr>
    </w:p>
    <w:p w14:paraId="0ED66338">
      <w:pPr>
        <w:rPr>
          <w:rFonts w:hint="eastAsia" w:ascii="宋体" w:hAnsi="宋体" w:eastAsia="宋体" w:cs="宋体"/>
          <w:color w:val="auto"/>
          <w:sz w:val="24"/>
          <w:szCs w:val="24"/>
        </w:rPr>
      </w:pPr>
    </w:p>
    <w:p w14:paraId="432CC8BD">
      <w:pPr>
        <w:rPr>
          <w:rFonts w:hint="eastAsia" w:ascii="宋体" w:hAnsi="宋体" w:eastAsia="宋体" w:cs="宋体"/>
          <w:color w:val="auto"/>
          <w:sz w:val="24"/>
          <w:szCs w:val="24"/>
        </w:rPr>
      </w:pPr>
    </w:p>
    <w:p w14:paraId="177B1C1D">
      <w:pPr>
        <w:rPr>
          <w:rFonts w:hint="eastAsia" w:ascii="宋体" w:hAnsi="宋体" w:eastAsia="宋体" w:cs="宋体"/>
          <w:color w:val="auto"/>
          <w:sz w:val="24"/>
          <w:szCs w:val="24"/>
        </w:rPr>
      </w:pPr>
    </w:p>
    <w:p w14:paraId="7A0FD05F">
      <w:pPr>
        <w:rPr>
          <w:rFonts w:hint="eastAsia" w:ascii="宋体" w:hAnsi="宋体" w:eastAsia="宋体" w:cs="宋体"/>
          <w:color w:val="auto"/>
          <w:sz w:val="24"/>
          <w:szCs w:val="24"/>
        </w:rPr>
      </w:pPr>
    </w:p>
    <w:p w14:paraId="5022754D">
      <w:pPr>
        <w:rPr>
          <w:rFonts w:hint="eastAsia" w:ascii="宋体" w:hAnsi="宋体" w:eastAsia="宋体" w:cs="宋体"/>
          <w:color w:val="auto"/>
          <w:sz w:val="24"/>
          <w:szCs w:val="24"/>
        </w:rPr>
      </w:pPr>
    </w:p>
    <w:p w14:paraId="796CB4C2">
      <w:pPr>
        <w:rPr>
          <w:rFonts w:hint="eastAsia" w:ascii="宋体" w:hAnsi="宋体" w:eastAsia="宋体" w:cs="宋体"/>
          <w:color w:val="auto"/>
          <w:sz w:val="24"/>
          <w:szCs w:val="24"/>
        </w:rPr>
      </w:pPr>
    </w:p>
    <w:p w14:paraId="05BDB88E">
      <w:pPr>
        <w:rPr>
          <w:rFonts w:hint="eastAsia" w:ascii="宋体" w:hAnsi="宋体" w:eastAsia="宋体" w:cs="宋体"/>
          <w:color w:val="auto"/>
          <w:sz w:val="24"/>
          <w:szCs w:val="24"/>
        </w:rPr>
      </w:pPr>
    </w:p>
    <w:p w14:paraId="67E676CB">
      <w:pPr>
        <w:rPr>
          <w:rFonts w:hint="eastAsia" w:ascii="宋体" w:hAnsi="宋体" w:eastAsia="宋体" w:cs="宋体"/>
          <w:color w:val="auto"/>
          <w:sz w:val="24"/>
          <w:szCs w:val="24"/>
        </w:rPr>
      </w:pPr>
    </w:p>
    <w:p w14:paraId="78EBAE54">
      <w:pPr>
        <w:rPr>
          <w:rFonts w:hint="eastAsia" w:ascii="宋体" w:hAnsi="宋体" w:eastAsia="宋体" w:cs="宋体"/>
          <w:color w:val="auto"/>
          <w:sz w:val="24"/>
          <w:szCs w:val="24"/>
        </w:rPr>
      </w:pPr>
    </w:p>
    <w:p w14:paraId="095340D0">
      <w:pPr>
        <w:rPr>
          <w:rFonts w:hint="eastAsia" w:ascii="宋体" w:hAnsi="宋体" w:eastAsia="宋体" w:cs="宋体"/>
          <w:color w:val="auto"/>
        </w:rPr>
      </w:pPr>
    </w:p>
    <w:p w14:paraId="33023B05">
      <w:pPr>
        <w:pStyle w:val="2"/>
        <w:rPr>
          <w:rFonts w:hint="eastAsia" w:ascii="宋体" w:hAnsi="宋体" w:eastAsia="宋体" w:cs="宋体"/>
          <w:color w:val="auto"/>
          <w:sz w:val="24"/>
          <w:szCs w:val="24"/>
        </w:rPr>
      </w:pPr>
    </w:p>
    <w:p w14:paraId="7E2B8D6D">
      <w:pPr>
        <w:rPr>
          <w:rFonts w:hint="eastAsia" w:ascii="宋体" w:hAnsi="宋体" w:eastAsia="宋体" w:cs="宋体"/>
          <w:color w:val="auto"/>
        </w:rPr>
      </w:pPr>
    </w:p>
    <w:p w14:paraId="7A51C640">
      <w:pPr>
        <w:pStyle w:val="2"/>
        <w:rPr>
          <w:rFonts w:hint="eastAsia" w:ascii="宋体" w:hAnsi="宋体" w:eastAsia="宋体" w:cs="宋体"/>
          <w:color w:val="auto"/>
        </w:rPr>
      </w:pPr>
    </w:p>
    <w:p w14:paraId="7087F8FE">
      <w:pPr>
        <w:rPr>
          <w:rFonts w:hint="eastAsia" w:ascii="宋体" w:hAnsi="宋体" w:eastAsia="宋体" w:cs="宋体"/>
          <w:color w:val="auto"/>
        </w:rPr>
      </w:pPr>
    </w:p>
    <w:p w14:paraId="3C30985B">
      <w:pPr>
        <w:tabs>
          <w:tab w:val="left" w:pos="6300"/>
        </w:tabs>
        <w:snapToGrid w:val="0"/>
        <w:spacing w:line="500" w:lineRule="exact"/>
        <w:ind w:firstLine="570"/>
        <w:rPr>
          <w:rFonts w:hint="eastAsia" w:ascii="宋体" w:hAnsi="宋体" w:eastAsia="宋体" w:cs="宋体"/>
          <w:color w:val="auto"/>
          <w:sz w:val="24"/>
          <w:szCs w:val="24"/>
        </w:rPr>
      </w:pPr>
    </w:p>
    <w:p w14:paraId="722949C9">
      <w:pPr>
        <w:spacing w:line="400" w:lineRule="exact"/>
        <w:rPr>
          <w:rFonts w:hint="eastAsia" w:ascii="宋体" w:hAnsi="宋体" w:eastAsia="宋体" w:cs="宋体"/>
          <w:bCs/>
          <w:color w:val="auto"/>
          <w:szCs w:val="24"/>
        </w:rPr>
      </w:pPr>
      <w:bookmarkStart w:id="690" w:name="_Toc1771"/>
      <w:bookmarkStart w:id="691" w:name="_Toc14422"/>
      <w:bookmarkStart w:id="692" w:name="_Toc86934244"/>
      <w:bookmarkStart w:id="693" w:name="_Toc81834350"/>
    </w:p>
    <w:p w14:paraId="71509C3F">
      <w:pPr>
        <w:pStyle w:val="40"/>
        <w:jc w:val="both"/>
        <w:rPr>
          <w:rFonts w:hint="eastAsia" w:ascii="宋体" w:hAnsi="宋体" w:eastAsia="宋体" w:cs="宋体"/>
          <w:bCs/>
          <w:color w:val="auto"/>
          <w:lang w:eastAsia="zh-CN"/>
        </w:rPr>
      </w:pPr>
    </w:p>
    <w:p w14:paraId="3CC3BCD4">
      <w:pPr>
        <w:rPr>
          <w:rFonts w:hint="eastAsia" w:ascii="宋体" w:hAnsi="宋体" w:eastAsia="宋体" w:cs="宋体"/>
          <w:bCs/>
          <w:color w:val="auto"/>
          <w:szCs w:val="24"/>
        </w:rPr>
      </w:pPr>
    </w:p>
    <w:p w14:paraId="6A7168A7">
      <w:pPr>
        <w:pStyle w:val="6"/>
        <w:spacing w:line="400" w:lineRule="exact"/>
        <w:jc w:val="both"/>
        <w:rPr>
          <w:rFonts w:hint="eastAsia" w:ascii="宋体" w:hAnsi="宋体" w:eastAsia="宋体" w:cs="宋体"/>
          <w:b/>
          <w:color w:val="auto"/>
          <w:sz w:val="24"/>
          <w:szCs w:val="32"/>
        </w:rPr>
      </w:pPr>
      <w:r>
        <w:rPr>
          <w:rFonts w:hint="eastAsia" w:ascii="宋体" w:hAnsi="宋体" w:eastAsia="宋体" w:cs="宋体"/>
          <w:b/>
          <w:color w:val="auto"/>
          <w:sz w:val="24"/>
          <w:szCs w:val="32"/>
        </w:rPr>
        <w:t>五、其他资料</w:t>
      </w:r>
      <w:bookmarkEnd w:id="690"/>
      <w:bookmarkEnd w:id="691"/>
      <w:r>
        <w:rPr>
          <w:rFonts w:hint="eastAsia" w:ascii="宋体" w:hAnsi="宋体" w:eastAsia="宋体" w:cs="宋体"/>
          <w:b/>
          <w:color w:val="auto"/>
          <w:sz w:val="24"/>
          <w:szCs w:val="32"/>
        </w:rPr>
        <w:t>（自行提供）</w:t>
      </w:r>
      <w:bookmarkEnd w:id="692"/>
      <w:bookmarkEnd w:id="693"/>
    </w:p>
    <w:p w14:paraId="56173F96">
      <w:pPr>
        <w:tabs>
          <w:tab w:val="left" w:pos="6300"/>
        </w:tabs>
        <w:snapToGrid w:val="0"/>
        <w:spacing w:line="500" w:lineRule="exact"/>
        <w:ind w:firstLine="570"/>
        <w:rPr>
          <w:rFonts w:hint="eastAsia" w:ascii="宋体" w:hAnsi="宋体" w:eastAsia="宋体" w:cs="宋体"/>
          <w:color w:val="auto"/>
          <w:sz w:val="24"/>
          <w:szCs w:val="24"/>
        </w:rPr>
      </w:pPr>
      <w:r>
        <w:rPr>
          <w:rFonts w:hint="eastAsia" w:ascii="宋体" w:hAnsi="宋体" w:eastAsia="宋体" w:cs="宋体"/>
          <w:color w:val="auto"/>
          <w:sz w:val="24"/>
          <w:szCs w:val="24"/>
        </w:rPr>
        <w:t>（一）其他与项目有关的资料</w:t>
      </w:r>
    </w:p>
    <w:p w14:paraId="7AF5EC95">
      <w:pPr>
        <w:rPr>
          <w:rFonts w:hint="eastAsia" w:ascii="宋体" w:hAnsi="宋体" w:eastAsia="宋体" w:cs="宋体"/>
          <w:color w:val="auto"/>
          <w:sz w:val="24"/>
          <w:szCs w:val="24"/>
        </w:rPr>
      </w:pPr>
    </w:p>
    <w:p w14:paraId="0296ABD7">
      <w:pPr>
        <w:pStyle w:val="5"/>
        <w:rPr>
          <w:rFonts w:hint="eastAsia" w:ascii="宋体" w:hAnsi="宋体" w:eastAsia="宋体" w:cs="宋体"/>
          <w:color w:val="auto"/>
          <w:szCs w:val="24"/>
        </w:rPr>
      </w:pPr>
    </w:p>
    <w:p w14:paraId="38FF75DA">
      <w:pPr>
        <w:rPr>
          <w:rFonts w:hint="eastAsia" w:ascii="宋体" w:hAnsi="宋体" w:eastAsia="宋体" w:cs="宋体"/>
          <w:color w:val="auto"/>
          <w:sz w:val="24"/>
          <w:szCs w:val="24"/>
        </w:rPr>
      </w:pPr>
    </w:p>
    <w:p w14:paraId="07F10C6B">
      <w:pPr>
        <w:pStyle w:val="5"/>
        <w:rPr>
          <w:rFonts w:hint="eastAsia" w:ascii="宋体" w:hAnsi="宋体" w:eastAsia="宋体" w:cs="宋体"/>
          <w:color w:val="auto"/>
          <w:szCs w:val="24"/>
        </w:rPr>
      </w:pPr>
    </w:p>
    <w:p w14:paraId="6F2FA464">
      <w:pPr>
        <w:rPr>
          <w:rFonts w:hint="eastAsia" w:ascii="宋体" w:hAnsi="宋体" w:eastAsia="宋体" w:cs="宋体"/>
          <w:color w:val="auto"/>
          <w:sz w:val="24"/>
          <w:szCs w:val="24"/>
        </w:rPr>
      </w:pPr>
    </w:p>
    <w:p w14:paraId="05DDBF63">
      <w:pPr>
        <w:pStyle w:val="5"/>
        <w:rPr>
          <w:rFonts w:hint="eastAsia" w:ascii="宋体" w:hAnsi="宋体" w:eastAsia="宋体" w:cs="宋体"/>
          <w:color w:val="auto"/>
          <w:szCs w:val="24"/>
        </w:rPr>
      </w:pPr>
    </w:p>
    <w:p w14:paraId="257FBB4B">
      <w:pPr>
        <w:rPr>
          <w:rFonts w:hint="eastAsia" w:ascii="宋体" w:hAnsi="宋体" w:eastAsia="宋体" w:cs="宋体"/>
          <w:color w:val="auto"/>
          <w:sz w:val="24"/>
          <w:szCs w:val="24"/>
        </w:rPr>
      </w:pPr>
    </w:p>
    <w:p w14:paraId="5CB9CCB4">
      <w:pPr>
        <w:pStyle w:val="5"/>
        <w:rPr>
          <w:rFonts w:hint="eastAsia" w:ascii="宋体" w:hAnsi="宋体" w:eastAsia="宋体" w:cs="宋体"/>
          <w:color w:val="auto"/>
          <w:szCs w:val="24"/>
        </w:rPr>
      </w:pPr>
    </w:p>
    <w:p w14:paraId="13D1E043">
      <w:pPr>
        <w:rPr>
          <w:rFonts w:hint="eastAsia" w:ascii="宋体" w:hAnsi="宋体" w:eastAsia="宋体" w:cs="宋体"/>
          <w:color w:val="auto"/>
          <w:sz w:val="24"/>
          <w:szCs w:val="24"/>
        </w:rPr>
      </w:pPr>
    </w:p>
    <w:p w14:paraId="0AE0D54C">
      <w:pPr>
        <w:pStyle w:val="5"/>
        <w:rPr>
          <w:rFonts w:hint="eastAsia" w:ascii="宋体" w:hAnsi="宋体" w:eastAsia="宋体" w:cs="宋体"/>
          <w:color w:val="auto"/>
          <w:szCs w:val="24"/>
        </w:rPr>
      </w:pPr>
    </w:p>
    <w:p w14:paraId="6F67F560">
      <w:pPr>
        <w:rPr>
          <w:rFonts w:hint="eastAsia" w:ascii="宋体" w:hAnsi="宋体" w:eastAsia="宋体" w:cs="宋体"/>
          <w:color w:val="auto"/>
          <w:sz w:val="24"/>
          <w:szCs w:val="24"/>
        </w:rPr>
      </w:pPr>
    </w:p>
    <w:p w14:paraId="27701869">
      <w:pPr>
        <w:pStyle w:val="5"/>
        <w:rPr>
          <w:rFonts w:hint="eastAsia" w:ascii="宋体" w:hAnsi="宋体" w:eastAsia="宋体" w:cs="宋体"/>
          <w:color w:val="auto"/>
          <w:szCs w:val="24"/>
        </w:rPr>
      </w:pPr>
    </w:p>
    <w:p w14:paraId="6B604C9B">
      <w:pPr>
        <w:rPr>
          <w:rFonts w:hint="eastAsia" w:ascii="宋体" w:hAnsi="宋体" w:eastAsia="宋体" w:cs="宋体"/>
          <w:color w:val="auto"/>
          <w:sz w:val="24"/>
          <w:szCs w:val="24"/>
        </w:rPr>
      </w:pPr>
    </w:p>
    <w:p w14:paraId="02B03595">
      <w:pPr>
        <w:pStyle w:val="5"/>
        <w:rPr>
          <w:rFonts w:hint="eastAsia" w:ascii="宋体" w:hAnsi="宋体" w:eastAsia="宋体" w:cs="宋体"/>
          <w:color w:val="auto"/>
          <w:szCs w:val="24"/>
        </w:rPr>
      </w:pPr>
    </w:p>
    <w:p w14:paraId="6DD53A8C">
      <w:pPr>
        <w:rPr>
          <w:rFonts w:hint="eastAsia" w:ascii="宋体" w:hAnsi="宋体" w:eastAsia="宋体" w:cs="宋体"/>
          <w:color w:val="auto"/>
          <w:sz w:val="24"/>
          <w:szCs w:val="24"/>
        </w:rPr>
      </w:pPr>
    </w:p>
    <w:p w14:paraId="060CFCAD">
      <w:pPr>
        <w:pStyle w:val="5"/>
        <w:rPr>
          <w:rFonts w:hint="eastAsia" w:ascii="宋体" w:hAnsi="宋体" w:eastAsia="宋体" w:cs="宋体"/>
          <w:color w:val="auto"/>
          <w:szCs w:val="24"/>
        </w:rPr>
      </w:pPr>
    </w:p>
    <w:p w14:paraId="07A67CC4">
      <w:pPr>
        <w:rPr>
          <w:rFonts w:hint="eastAsia" w:ascii="宋体" w:hAnsi="宋体" w:eastAsia="宋体" w:cs="宋体"/>
          <w:color w:val="auto"/>
          <w:sz w:val="24"/>
          <w:szCs w:val="24"/>
        </w:rPr>
      </w:pPr>
    </w:p>
    <w:p w14:paraId="356C74DE">
      <w:pPr>
        <w:pStyle w:val="5"/>
        <w:rPr>
          <w:rFonts w:hint="eastAsia" w:ascii="宋体" w:hAnsi="宋体" w:eastAsia="宋体" w:cs="宋体"/>
          <w:color w:val="auto"/>
          <w:szCs w:val="24"/>
        </w:rPr>
      </w:pPr>
    </w:p>
    <w:p w14:paraId="143483C1">
      <w:pPr>
        <w:rPr>
          <w:rFonts w:hint="eastAsia" w:ascii="宋体" w:hAnsi="宋体" w:eastAsia="宋体" w:cs="宋体"/>
          <w:color w:val="auto"/>
          <w:sz w:val="24"/>
          <w:szCs w:val="24"/>
        </w:rPr>
      </w:pPr>
    </w:p>
    <w:p w14:paraId="0629A263">
      <w:pPr>
        <w:pStyle w:val="5"/>
        <w:rPr>
          <w:rFonts w:hint="eastAsia" w:ascii="宋体" w:hAnsi="宋体" w:eastAsia="宋体" w:cs="宋体"/>
          <w:color w:val="auto"/>
          <w:szCs w:val="24"/>
        </w:rPr>
      </w:pPr>
    </w:p>
    <w:p w14:paraId="4DBE1961">
      <w:pPr>
        <w:rPr>
          <w:rFonts w:hint="eastAsia" w:ascii="宋体" w:hAnsi="宋体" w:eastAsia="宋体" w:cs="宋体"/>
          <w:color w:val="auto"/>
          <w:sz w:val="24"/>
          <w:szCs w:val="24"/>
        </w:rPr>
      </w:pPr>
    </w:p>
    <w:p w14:paraId="16A94232">
      <w:pPr>
        <w:pStyle w:val="5"/>
        <w:rPr>
          <w:rFonts w:hint="eastAsia" w:ascii="宋体" w:hAnsi="宋体" w:eastAsia="宋体" w:cs="宋体"/>
          <w:color w:val="auto"/>
          <w:szCs w:val="24"/>
        </w:rPr>
      </w:pPr>
    </w:p>
    <w:p w14:paraId="631B0D88">
      <w:pPr>
        <w:rPr>
          <w:rFonts w:hint="eastAsia" w:ascii="宋体" w:hAnsi="宋体" w:eastAsia="宋体" w:cs="宋体"/>
          <w:color w:val="auto"/>
          <w:sz w:val="24"/>
          <w:szCs w:val="24"/>
        </w:rPr>
      </w:pPr>
    </w:p>
    <w:p w14:paraId="79263013">
      <w:pPr>
        <w:pStyle w:val="5"/>
        <w:rPr>
          <w:rFonts w:hint="eastAsia" w:ascii="宋体" w:hAnsi="宋体" w:eastAsia="宋体" w:cs="宋体"/>
          <w:color w:val="auto"/>
          <w:szCs w:val="24"/>
        </w:rPr>
      </w:pPr>
    </w:p>
    <w:p w14:paraId="2A4B56E4">
      <w:pPr>
        <w:rPr>
          <w:rFonts w:hint="eastAsia" w:ascii="宋体" w:hAnsi="宋体" w:eastAsia="宋体" w:cs="宋体"/>
          <w:color w:val="auto"/>
          <w:sz w:val="24"/>
          <w:szCs w:val="24"/>
        </w:rPr>
      </w:pPr>
    </w:p>
    <w:p w14:paraId="482E6421">
      <w:pPr>
        <w:pStyle w:val="5"/>
        <w:rPr>
          <w:rFonts w:hint="eastAsia" w:ascii="宋体" w:hAnsi="宋体" w:eastAsia="宋体" w:cs="宋体"/>
          <w:color w:val="auto"/>
          <w:szCs w:val="24"/>
        </w:rPr>
      </w:pPr>
    </w:p>
    <w:p w14:paraId="19F0DCAE">
      <w:pPr>
        <w:rPr>
          <w:rFonts w:hint="eastAsia" w:ascii="宋体" w:hAnsi="宋体" w:eastAsia="宋体" w:cs="宋体"/>
          <w:color w:val="auto"/>
          <w:sz w:val="24"/>
          <w:szCs w:val="24"/>
        </w:rPr>
      </w:pPr>
    </w:p>
    <w:p w14:paraId="2B7326E5">
      <w:pPr>
        <w:pStyle w:val="5"/>
        <w:rPr>
          <w:rFonts w:hint="eastAsia" w:ascii="宋体" w:hAnsi="宋体" w:eastAsia="宋体" w:cs="宋体"/>
          <w:color w:val="auto"/>
          <w:szCs w:val="24"/>
        </w:rPr>
      </w:pPr>
    </w:p>
    <w:p w14:paraId="40D4E6D0">
      <w:pPr>
        <w:rPr>
          <w:rFonts w:hint="eastAsia" w:ascii="宋体" w:hAnsi="宋体" w:eastAsia="宋体" w:cs="宋体"/>
          <w:color w:val="auto"/>
          <w:sz w:val="24"/>
          <w:szCs w:val="24"/>
        </w:rPr>
      </w:pPr>
    </w:p>
    <w:p w14:paraId="19A07794">
      <w:pPr>
        <w:pStyle w:val="5"/>
        <w:rPr>
          <w:rFonts w:hint="eastAsia" w:ascii="宋体" w:hAnsi="宋体" w:eastAsia="宋体" w:cs="宋体"/>
          <w:color w:val="auto"/>
          <w:szCs w:val="24"/>
        </w:rPr>
      </w:pPr>
    </w:p>
    <w:p w14:paraId="3A899A33">
      <w:pPr>
        <w:rPr>
          <w:rFonts w:hint="eastAsia" w:ascii="宋体" w:hAnsi="宋体" w:eastAsia="宋体" w:cs="宋体"/>
          <w:color w:val="auto"/>
          <w:sz w:val="24"/>
          <w:szCs w:val="24"/>
        </w:rPr>
      </w:pPr>
    </w:p>
    <w:p w14:paraId="3D086466">
      <w:pPr>
        <w:pStyle w:val="5"/>
        <w:rPr>
          <w:rFonts w:hint="eastAsia" w:ascii="宋体" w:hAnsi="宋体" w:eastAsia="宋体" w:cs="宋体"/>
          <w:color w:val="auto"/>
          <w:szCs w:val="24"/>
        </w:rPr>
      </w:pPr>
    </w:p>
    <w:p w14:paraId="73440F71">
      <w:pPr>
        <w:rPr>
          <w:rFonts w:hint="eastAsia" w:ascii="宋体" w:hAnsi="宋体" w:eastAsia="宋体" w:cs="宋体"/>
          <w:color w:val="auto"/>
          <w:sz w:val="24"/>
          <w:szCs w:val="24"/>
        </w:rPr>
      </w:pPr>
    </w:p>
    <w:p w14:paraId="02D68ABF">
      <w:pPr>
        <w:pStyle w:val="5"/>
        <w:rPr>
          <w:rFonts w:hint="eastAsia" w:ascii="宋体" w:hAnsi="宋体" w:eastAsia="宋体" w:cs="宋体"/>
          <w:color w:val="auto"/>
          <w:szCs w:val="24"/>
        </w:rPr>
      </w:pPr>
    </w:p>
    <w:p w14:paraId="4D1AE1E5">
      <w:pPr>
        <w:rPr>
          <w:rFonts w:hint="eastAsia" w:ascii="宋体" w:hAnsi="宋体" w:eastAsia="宋体" w:cs="宋体"/>
          <w:color w:val="auto"/>
          <w:sz w:val="24"/>
          <w:szCs w:val="24"/>
        </w:rPr>
      </w:pPr>
    </w:p>
    <w:p w14:paraId="0AC6E84B">
      <w:pPr>
        <w:pStyle w:val="3"/>
        <w:rPr>
          <w:rFonts w:hint="eastAsia" w:ascii="宋体" w:hAnsi="宋体" w:eastAsia="宋体" w:cs="宋体"/>
          <w:color w:val="auto"/>
          <w:sz w:val="24"/>
          <w:szCs w:val="24"/>
        </w:rPr>
      </w:pPr>
    </w:p>
    <w:p w14:paraId="78E8DDB2">
      <w:pPr>
        <w:rPr>
          <w:rFonts w:hint="eastAsia" w:ascii="宋体" w:hAnsi="宋体" w:eastAsia="宋体" w:cs="宋体"/>
          <w:color w:val="auto"/>
          <w:sz w:val="24"/>
          <w:szCs w:val="24"/>
        </w:rPr>
      </w:pPr>
    </w:p>
    <w:p w14:paraId="4E2311F1">
      <w:pPr>
        <w:pStyle w:val="3"/>
        <w:rPr>
          <w:rFonts w:hint="eastAsia" w:ascii="宋体" w:hAnsi="宋体" w:eastAsia="宋体" w:cs="宋体"/>
          <w:color w:val="auto"/>
          <w:sz w:val="24"/>
          <w:szCs w:val="24"/>
        </w:rPr>
      </w:pPr>
    </w:p>
    <w:p w14:paraId="5C87D16C">
      <w:pPr>
        <w:rPr>
          <w:rFonts w:hint="eastAsia" w:ascii="宋体" w:hAnsi="宋体" w:eastAsia="宋体" w:cs="宋体"/>
          <w:color w:val="auto"/>
          <w:sz w:val="24"/>
          <w:szCs w:val="24"/>
        </w:rPr>
      </w:pPr>
    </w:p>
    <w:p w14:paraId="1C8B0558">
      <w:pPr>
        <w:pStyle w:val="3"/>
        <w:rPr>
          <w:rFonts w:hint="eastAsia" w:ascii="宋体" w:hAnsi="宋体" w:eastAsia="宋体" w:cs="宋体"/>
          <w:color w:val="auto"/>
          <w:sz w:val="24"/>
          <w:szCs w:val="24"/>
        </w:rPr>
      </w:pPr>
    </w:p>
    <w:p w14:paraId="3B802E44">
      <w:pPr>
        <w:rPr>
          <w:rFonts w:hint="eastAsia" w:ascii="宋体" w:hAnsi="宋体" w:eastAsia="宋体" w:cs="宋体"/>
          <w:color w:val="auto"/>
          <w:sz w:val="24"/>
          <w:szCs w:val="24"/>
        </w:rPr>
      </w:pPr>
    </w:p>
    <w:p w14:paraId="200B8283">
      <w:pPr>
        <w:tabs>
          <w:tab w:val="left" w:pos="6300"/>
        </w:tabs>
        <w:snapToGrid w:val="0"/>
        <w:spacing w:line="500" w:lineRule="exact"/>
        <w:jc w:val="center"/>
        <w:rPr>
          <w:rFonts w:hint="eastAsia" w:ascii="宋体" w:hAnsi="宋体" w:eastAsia="宋体" w:cs="宋体"/>
          <w:color w:val="auto"/>
          <w:sz w:val="32"/>
          <w:szCs w:val="32"/>
        </w:rPr>
      </w:pPr>
      <w:r>
        <w:rPr>
          <w:rFonts w:hint="eastAsia" w:ascii="宋体" w:hAnsi="宋体" w:eastAsia="宋体" w:cs="宋体"/>
          <w:color w:val="auto"/>
          <w:sz w:val="36"/>
          <w:szCs w:val="36"/>
        </w:rPr>
        <w:t>附件：</w:t>
      </w:r>
      <w:r>
        <w:rPr>
          <w:rFonts w:hint="eastAsia" w:ascii="宋体" w:hAnsi="宋体" w:cs="宋体"/>
          <w:color w:val="auto"/>
          <w:sz w:val="36"/>
          <w:szCs w:val="36"/>
          <w:lang w:eastAsia="zh-CN"/>
        </w:rPr>
        <w:t>比选文件</w:t>
      </w:r>
      <w:r>
        <w:rPr>
          <w:rFonts w:hint="eastAsia" w:ascii="宋体" w:hAnsi="宋体" w:eastAsia="宋体" w:cs="宋体"/>
          <w:color w:val="auto"/>
          <w:sz w:val="32"/>
          <w:szCs w:val="32"/>
        </w:rPr>
        <w:t>发售登记表</w:t>
      </w:r>
    </w:p>
    <w:tbl>
      <w:tblPr>
        <w:tblStyle w:val="43"/>
        <w:tblpPr w:leftFromText="180" w:rightFromText="180" w:vertAnchor="text" w:horzAnchor="page" w:tblpX="1495" w:tblpY="490"/>
        <w:tblOverlap w:val="never"/>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2391"/>
        <w:gridCol w:w="1051"/>
        <w:gridCol w:w="3965"/>
      </w:tblGrid>
      <w:tr w14:paraId="192E80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832" w:type="dxa"/>
            <w:vAlign w:val="center"/>
          </w:tcPr>
          <w:p w14:paraId="3B7D5004">
            <w:pPr>
              <w:tabs>
                <w:tab w:val="left" w:pos="6300"/>
              </w:tabs>
              <w:snapToGrid w:val="0"/>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7407" w:type="dxa"/>
            <w:gridSpan w:val="3"/>
            <w:vAlign w:val="center"/>
          </w:tcPr>
          <w:p w14:paraId="77D9CCD3">
            <w:pPr>
              <w:tabs>
                <w:tab w:val="left" w:pos="6300"/>
              </w:tabs>
              <w:snapToGrid w:val="0"/>
              <w:spacing w:line="500" w:lineRule="exact"/>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大足区高坪镇2025年“四好农村路”新兴村瓦梨路通畅工程</w:t>
            </w:r>
          </w:p>
        </w:tc>
      </w:tr>
      <w:tr w14:paraId="5F2F49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832" w:type="dxa"/>
            <w:vAlign w:val="center"/>
          </w:tcPr>
          <w:p w14:paraId="6305B591">
            <w:pPr>
              <w:tabs>
                <w:tab w:val="left" w:pos="6300"/>
              </w:tabs>
              <w:snapToGrid w:val="0"/>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p>
        </w:tc>
        <w:tc>
          <w:tcPr>
            <w:tcW w:w="7407" w:type="dxa"/>
            <w:gridSpan w:val="3"/>
            <w:vAlign w:val="center"/>
          </w:tcPr>
          <w:p w14:paraId="25683AC0">
            <w:pPr>
              <w:tabs>
                <w:tab w:val="left" w:pos="6300"/>
              </w:tabs>
              <w:snapToGrid w:val="0"/>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（供应商公章）</w:t>
            </w:r>
          </w:p>
        </w:tc>
      </w:tr>
      <w:tr w14:paraId="6B7AC9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832" w:type="dxa"/>
            <w:vAlign w:val="center"/>
          </w:tcPr>
          <w:p w14:paraId="2D5433C0">
            <w:pPr>
              <w:tabs>
                <w:tab w:val="left" w:pos="6300"/>
              </w:tabs>
              <w:snapToGrid w:val="0"/>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391" w:type="dxa"/>
            <w:vAlign w:val="center"/>
          </w:tcPr>
          <w:p w14:paraId="0DFBA029">
            <w:pPr>
              <w:tabs>
                <w:tab w:val="left" w:pos="6300"/>
              </w:tabs>
              <w:snapToGrid w:val="0"/>
              <w:spacing w:line="500" w:lineRule="exact"/>
              <w:ind w:firstLine="570"/>
              <w:rPr>
                <w:rFonts w:hint="eastAsia" w:ascii="宋体" w:hAnsi="宋体" w:eastAsia="宋体" w:cs="宋体"/>
                <w:color w:val="auto"/>
                <w:sz w:val="24"/>
                <w:szCs w:val="24"/>
              </w:rPr>
            </w:pPr>
          </w:p>
        </w:tc>
        <w:tc>
          <w:tcPr>
            <w:tcW w:w="1051" w:type="dxa"/>
            <w:vAlign w:val="center"/>
          </w:tcPr>
          <w:p w14:paraId="6FB9C6C3">
            <w:pPr>
              <w:tabs>
                <w:tab w:val="left" w:pos="6300"/>
              </w:tabs>
              <w:snapToGrid w:val="0"/>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手机</w:t>
            </w:r>
          </w:p>
        </w:tc>
        <w:tc>
          <w:tcPr>
            <w:tcW w:w="3965" w:type="dxa"/>
            <w:vAlign w:val="center"/>
          </w:tcPr>
          <w:p w14:paraId="087EB0D5">
            <w:pPr>
              <w:tabs>
                <w:tab w:val="left" w:pos="6300"/>
              </w:tabs>
              <w:snapToGrid w:val="0"/>
              <w:spacing w:line="500" w:lineRule="exact"/>
              <w:ind w:firstLine="570"/>
              <w:rPr>
                <w:rFonts w:hint="eastAsia" w:ascii="宋体" w:hAnsi="宋体" w:eastAsia="宋体" w:cs="宋体"/>
                <w:color w:val="auto"/>
                <w:sz w:val="24"/>
                <w:szCs w:val="24"/>
              </w:rPr>
            </w:pPr>
          </w:p>
        </w:tc>
      </w:tr>
      <w:tr w14:paraId="7D7CDC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832" w:type="dxa"/>
            <w:vAlign w:val="center"/>
          </w:tcPr>
          <w:p w14:paraId="5CCE8FEF">
            <w:pPr>
              <w:tabs>
                <w:tab w:val="left" w:pos="6300"/>
              </w:tabs>
              <w:snapToGrid w:val="0"/>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办公电话</w:t>
            </w:r>
          </w:p>
        </w:tc>
        <w:tc>
          <w:tcPr>
            <w:tcW w:w="2391" w:type="dxa"/>
            <w:vAlign w:val="center"/>
          </w:tcPr>
          <w:p w14:paraId="2DAE23AA">
            <w:pPr>
              <w:tabs>
                <w:tab w:val="left" w:pos="6300"/>
              </w:tabs>
              <w:snapToGrid w:val="0"/>
              <w:spacing w:line="500" w:lineRule="exact"/>
              <w:ind w:firstLine="570"/>
              <w:rPr>
                <w:rFonts w:hint="eastAsia" w:ascii="宋体" w:hAnsi="宋体" w:eastAsia="宋体" w:cs="宋体"/>
                <w:color w:val="auto"/>
                <w:sz w:val="24"/>
                <w:szCs w:val="24"/>
              </w:rPr>
            </w:pPr>
          </w:p>
        </w:tc>
        <w:tc>
          <w:tcPr>
            <w:tcW w:w="1051" w:type="dxa"/>
            <w:vAlign w:val="center"/>
          </w:tcPr>
          <w:p w14:paraId="02E0324D">
            <w:pPr>
              <w:tabs>
                <w:tab w:val="left" w:pos="6300"/>
              </w:tabs>
              <w:snapToGrid w:val="0"/>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3965" w:type="dxa"/>
            <w:vAlign w:val="center"/>
          </w:tcPr>
          <w:p w14:paraId="3D2BECE3">
            <w:pPr>
              <w:tabs>
                <w:tab w:val="left" w:pos="6300"/>
              </w:tabs>
              <w:snapToGrid w:val="0"/>
              <w:spacing w:line="500" w:lineRule="exact"/>
              <w:ind w:firstLine="570"/>
              <w:rPr>
                <w:rFonts w:hint="eastAsia" w:ascii="宋体" w:hAnsi="宋体" w:eastAsia="宋体" w:cs="宋体"/>
                <w:color w:val="auto"/>
                <w:sz w:val="24"/>
                <w:szCs w:val="24"/>
              </w:rPr>
            </w:pPr>
          </w:p>
        </w:tc>
      </w:tr>
      <w:tr w14:paraId="2DACFF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832" w:type="dxa"/>
            <w:vAlign w:val="center"/>
          </w:tcPr>
          <w:p w14:paraId="4D270347">
            <w:pPr>
              <w:tabs>
                <w:tab w:val="left" w:pos="6300"/>
              </w:tabs>
              <w:snapToGrid w:val="0"/>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E-mail</w:t>
            </w:r>
          </w:p>
        </w:tc>
        <w:tc>
          <w:tcPr>
            <w:tcW w:w="7407" w:type="dxa"/>
            <w:gridSpan w:val="3"/>
            <w:vAlign w:val="center"/>
          </w:tcPr>
          <w:p w14:paraId="5EB5CD1E">
            <w:pPr>
              <w:tabs>
                <w:tab w:val="left" w:pos="6300"/>
              </w:tabs>
              <w:snapToGrid w:val="0"/>
              <w:spacing w:line="500" w:lineRule="exact"/>
              <w:ind w:firstLine="570"/>
              <w:rPr>
                <w:rFonts w:hint="eastAsia" w:ascii="宋体" w:hAnsi="宋体" w:eastAsia="宋体" w:cs="宋体"/>
                <w:color w:val="auto"/>
                <w:sz w:val="24"/>
                <w:szCs w:val="24"/>
              </w:rPr>
            </w:pPr>
          </w:p>
        </w:tc>
      </w:tr>
      <w:tr w14:paraId="104E23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832" w:type="dxa"/>
            <w:vAlign w:val="center"/>
          </w:tcPr>
          <w:p w14:paraId="7B0DE225">
            <w:pPr>
              <w:tabs>
                <w:tab w:val="left" w:pos="6300"/>
              </w:tabs>
              <w:snapToGrid w:val="0"/>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单位地址</w:t>
            </w:r>
          </w:p>
        </w:tc>
        <w:tc>
          <w:tcPr>
            <w:tcW w:w="7407" w:type="dxa"/>
            <w:gridSpan w:val="3"/>
            <w:vAlign w:val="center"/>
          </w:tcPr>
          <w:p w14:paraId="1942D1E1">
            <w:pPr>
              <w:tabs>
                <w:tab w:val="left" w:pos="6300"/>
              </w:tabs>
              <w:snapToGrid w:val="0"/>
              <w:spacing w:line="500" w:lineRule="exact"/>
              <w:ind w:firstLine="570"/>
              <w:rPr>
                <w:rFonts w:hint="eastAsia" w:ascii="宋体" w:hAnsi="宋体" w:eastAsia="宋体" w:cs="宋体"/>
                <w:color w:val="auto"/>
                <w:sz w:val="24"/>
                <w:szCs w:val="24"/>
              </w:rPr>
            </w:pPr>
          </w:p>
        </w:tc>
      </w:tr>
    </w:tbl>
    <w:p w14:paraId="0A90EF9D">
      <w:pPr>
        <w:tabs>
          <w:tab w:val="left" w:pos="6300"/>
        </w:tabs>
        <w:snapToGrid w:val="0"/>
        <w:spacing w:line="500" w:lineRule="exact"/>
        <w:ind w:firstLine="240" w:firstLineChars="100"/>
        <w:rPr>
          <w:rFonts w:hint="eastAsia" w:ascii="宋体" w:hAnsi="宋体" w:eastAsia="宋体" w:cs="宋体"/>
          <w:color w:val="auto"/>
          <w:sz w:val="24"/>
          <w:szCs w:val="24"/>
        </w:rPr>
      </w:pPr>
      <w:r>
        <w:rPr>
          <w:rFonts w:hint="eastAsia" w:ascii="宋体" w:hAnsi="宋体" w:cs="宋体"/>
          <w:color w:val="auto"/>
          <w:sz w:val="24"/>
          <w:szCs w:val="24"/>
          <w:lang w:eastAsia="zh-CN"/>
        </w:rPr>
        <w:t>比选文件</w:t>
      </w:r>
      <w:r>
        <w:rPr>
          <w:rFonts w:hint="eastAsia" w:ascii="宋体" w:hAnsi="宋体" w:eastAsia="宋体" w:cs="宋体"/>
          <w:color w:val="auto"/>
          <w:sz w:val="24"/>
          <w:szCs w:val="24"/>
        </w:rPr>
        <w:t>售价：</w:t>
      </w:r>
      <w:r>
        <w:rPr>
          <w:rFonts w:hint="eastAsia" w:ascii="宋体" w:hAnsi="宋体" w:cs="宋体"/>
          <w:color w:val="auto"/>
          <w:sz w:val="24"/>
          <w:szCs w:val="24"/>
          <w:lang w:eastAsia="zh-CN"/>
        </w:rPr>
        <w:t>500元/份</w:t>
      </w:r>
      <w:r>
        <w:rPr>
          <w:rFonts w:hint="eastAsia" w:ascii="宋体" w:hAnsi="宋体" w:eastAsia="宋体" w:cs="宋体"/>
          <w:color w:val="auto"/>
          <w:sz w:val="24"/>
          <w:szCs w:val="24"/>
        </w:rPr>
        <w:t xml:space="preserve">         发售人：</w:t>
      </w:r>
      <w:r>
        <w:rPr>
          <w:rFonts w:hint="eastAsia" w:ascii="宋体" w:hAnsi="宋体" w:cs="宋体"/>
          <w:color w:val="auto"/>
          <w:sz w:val="24"/>
          <w:szCs w:val="24"/>
          <w:lang w:eastAsia="zh-CN"/>
        </w:rPr>
        <w:t>重庆中诚招标代理有限公司</w:t>
      </w:r>
      <w:r>
        <w:rPr>
          <w:rFonts w:hint="eastAsia" w:ascii="宋体" w:hAnsi="宋体" w:eastAsia="宋体" w:cs="宋体"/>
          <w:color w:val="auto"/>
          <w:sz w:val="24"/>
          <w:szCs w:val="24"/>
        </w:rPr>
        <w:t xml:space="preserve">    </w:t>
      </w:r>
    </w:p>
    <w:p w14:paraId="4521F18B">
      <w:pPr>
        <w:tabs>
          <w:tab w:val="left" w:pos="6300"/>
        </w:tabs>
        <w:snapToGrid w:val="0"/>
        <w:spacing w:line="500" w:lineRule="exact"/>
        <w:ind w:firstLine="570"/>
        <w:rPr>
          <w:rFonts w:hint="eastAsia" w:ascii="宋体" w:hAnsi="宋体" w:eastAsia="宋体" w:cs="宋体"/>
          <w:color w:val="auto"/>
          <w:sz w:val="24"/>
          <w:szCs w:val="24"/>
        </w:rPr>
      </w:pPr>
    </w:p>
    <w:p w14:paraId="3D75F526">
      <w:pPr>
        <w:tabs>
          <w:tab w:val="left" w:pos="6300"/>
        </w:tabs>
        <w:snapToGrid w:val="0"/>
        <w:spacing w:line="500" w:lineRule="exact"/>
        <w:ind w:firstLine="570"/>
        <w:rPr>
          <w:rFonts w:hint="eastAsia" w:ascii="宋体" w:hAnsi="宋体" w:eastAsia="宋体" w:cs="宋体"/>
          <w:color w:val="auto"/>
          <w:sz w:val="24"/>
          <w:szCs w:val="24"/>
        </w:rPr>
      </w:pPr>
      <w:r>
        <w:rPr>
          <w:rFonts w:hint="eastAsia" w:ascii="宋体" w:hAnsi="宋体" w:eastAsia="宋体" w:cs="宋体"/>
          <w:color w:val="auto"/>
          <w:sz w:val="24"/>
          <w:szCs w:val="24"/>
          <w:highlight w:val="none"/>
        </w:rPr>
        <w:drawing>
          <wp:anchor distT="0" distB="0" distL="114300" distR="114300" simplePos="0" relativeHeight="251659264" behindDoc="1" locked="0" layoutInCell="1" allowOverlap="1">
            <wp:simplePos x="0" y="0"/>
            <wp:positionH relativeFrom="column">
              <wp:posOffset>5048250</wp:posOffset>
            </wp:positionH>
            <wp:positionV relativeFrom="paragraph">
              <wp:posOffset>62230</wp:posOffset>
            </wp:positionV>
            <wp:extent cx="1094105" cy="1491615"/>
            <wp:effectExtent l="0" t="0" r="29845" b="51435"/>
            <wp:wrapTight wrapText="bothSides">
              <wp:wrapPolygon>
                <wp:start x="0" y="0"/>
                <wp:lineTo x="0" y="21241"/>
                <wp:lineTo x="21061" y="21241"/>
                <wp:lineTo x="21061" y="0"/>
                <wp:lineTo x="0" y="0"/>
              </wp:wrapPolygon>
            </wp:wrapTight>
            <wp:docPr id="3" name="图片 3" descr="0f6bad3e47f26b3c814cb6d39a1009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f6bad3e47f26b3c814cb6d39a10095b"/>
                    <pic:cNvPicPr>
                      <a:picLocks noChangeAspect="1"/>
                    </pic:cNvPicPr>
                  </pic:nvPicPr>
                  <pic:blipFill>
                    <a:blip r:embed="rId7"/>
                    <a:stretch>
                      <a:fillRect/>
                    </a:stretch>
                  </pic:blipFill>
                  <pic:spPr>
                    <a:xfrm>
                      <a:off x="0" y="0"/>
                      <a:ext cx="1094105" cy="1491615"/>
                    </a:xfrm>
                    <a:prstGeom prst="rect">
                      <a:avLst/>
                    </a:prstGeom>
                  </pic:spPr>
                </pic:pic>
              </a:graphicData>
            </a:graphic>
          </wp:anchor>
        </w:drawing>
      </w:r>
      <w:r>
        <w:rPr>
          <w:rFonts w:hint="eastAsia" w:ascii="宋体" w:hAnsi="宋体" w:eastAsia="宋体" w:cs="宋体"/>
          <w:color w:val="auto"/>
          <w:sz w:val="24"/>
          <w:szCs w:val="24"/>
        </w:rPr>
        <w:t>相关说明：</w:t>
      </w:r>
    </w:p>
    <w:p w14:paraId="35ECF67C">
      <w:pPr>
        <w:keepNext w:val="0"/>
        <w:keepLines w:val="0"/>
        <w:pageBreakBefore w:val="0"/>
        <w:widowControl w:val="0"/>
        <w:kinsoku/>
        <w:wordWrap/>
        <w:overflowPunct/>
        <w:topLinePunct w:val="0"/>
        <w:autoSpaceDE/>
        <w:autoSpaceDN/>
        <w:bidi w:val="0"/>
        <w:spacing w:line="37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在规</w:t>
      </w:r>
      <w:r>
        <w:rPr>
          <w:rFonts w:hint="eastAsia" w:ascii="宋体" w:hAnsi="宋体" w:eastAsia="宋体" w:cs="宋体"/>
          <w:color w:val="auto"/>
          <w:sz w:val="24"/>
          <w:szCs w:val="24"/>
          <w:lang w:val="en-US" w:eastAsia="zh-CN"/>
        </w:rPr>
        <w:t>定的报名和比选文件发售期内（工作日：每天上午9：00-12:00时，下午14：00-17：00时），将文件购买费转入右侧二维码中，转账时需注明“供应商简称”，并将《比选文件发售登记表》（格式详见附件）填写完整加盖供应商公章扫描后同文件购买费转账截图一起发送至指定邮</w:t>
      </w:r>
      <w:r>
        <w:rPr>
          <w:rFonts w:hint="eastAsia" w:ascii="宋体" w:hAnsi="宋体" w:eastAsia="宋体" w:cs="宋体"/>
          <w:color w:val="auto"/>
          <w:sz w:val="24"/>
          <w:szCs w:val="24"/>
          <w:highlight w:val="none"/>
          <w:lang w:val="en-US" w:eastAsia="zh-CN"/>
        </w:rPr>
        <w:t>箱</w:t>
      </w:r>
      <w:r>
        <w:rPr>
          <w:rFonts w:hint="eastAsia" w:ascii="宋体" w:hAnsi="宋体" w:cs="宋体"/>
          <w:color w:val="auto"/>
          <w:sz w:val="24"/>
          <w:szCs w:val="24"/>
          <w:highlight w:val="none"/>
          <w:lang w:val="en-US" w:eastAsia="zh-CN"/>
        </w:rPr>
        <w:t>511351769@qq.com</w:t>
      </w:r>
      <w:r>
        <w:rPr>
          <w:rFonts w:hint="eastAsia" w:ascii="宋体" w:hAnsi="宋体" w:eastAsia="宋体" w:cs="宋体"/>
          <w:color w:val="auto"/>
          <w:sz w:val="24"/>
          <w:szCs w:val="24"/>
          <w:highlight w:val="none"/>
          <w:lang w:val="en-US" w:eastAsia="zh-CN"/>
        </w:rPr>
        <w:t>，按</w:t>
      </w:r>
      <w:r>
        <w:rPr>
          <w:rFonts w:hint="eastAsia" w:ascii="宋体" w:hAnsi="宋体" w:eastAsia="宋体" w:cs="宋体"/>
          <w:color w:val="auto"/>
          <w:sz w:val="24"/>
          <w:szCs w:val="24"/>
          <w:lang w:val="en-US" w:eastAsia="zh-CN"/>
        </w:rPr>
        <w:t>要求发送邮箱后方才报名成功（邮件需注明“供应商简称”）</w:t>
      </w:r>
    </w:p>
    <w:p w14:paraId="37AB3A05">
      <w:pPr>
        <w:tabs>
          <w:tab w:val="left" w:pos="6300"/>
        </w:tabs>
        <w:snapToGrid w:val="0"/>
        <w:spacing w:line="500" w:lineRule="exact"/>
        <w:ind w:firstLine="570"/>
        <w:rPr>
          <w:rFonts w:ascii="宋体" w:hAnsi="宋体" w:cs="宋体"/>
          <w:color w:val="auto"/>
          <w:sz w:val="24"/>
          <w:szCs w:val="24"/>
        </w:rPr>
      </w:pPr>
    </w:p>
    <w:p w14:paraId="2F8406B6">
      <w:pPr>
        <w:tabs>
          <w:tab w:val="left" w:pos="6300"/>
        </w:tabs>
        <w:snapToGrid w:val="0"/>
        <w:spacing w:line="500" w:lineRule="exact"/>
        <w:ind w:firstLine="570"/>
        <w:rPr>
          <w:rFonts w:ascii="宋体" w:hAnsi="宋体" w:cs="宋体"/>
          <w:color w:val="auto"/>
          <w:sz w:val="24"/>
          <w:szCs w:val="24"/>
        </w:rPr>
      </w:pPr>
    </w:p>
    <w:p w14:paraId="1281233A">
      <w:pPr>
        <w:tabs>
          <w:tab w:val="left" w:pos="6300"/>
        </w:tabs>
        <w:snapToGrid w:val="0"/>
        <w:spacing w:line="500" w:lineRule="exact"/>
        <w:ind w:firstLine="570"/>
        <w:rPr>
          <w:rFonts w:ascii="宋体" w:hAnsi="宋体" w:cs="宋体"/>
          <w:color w:val="auto"/>
          <w:sz w:val="24"/>
          <w:szCs w:val="24"/>
        </w:rPr>
      </w:pPr>
    </w:p>
    <w:p w14:paraId="70F33CC2">
      <w:pPr>
        <w:tabs>
          <w:tab w:val="left" w:pos="6300"/>
        </w:tabs>
        <w:snapToGrid w:val="0"/>
        <w:spacing w:line="500" w:lineRule="exact"/>
        <w:ind w:firstLine="570"/>
        <w:rPr>
          <w:rFonts w:ascii="宋体" w:hAnsi="宋体" w:cs="宋体"/>
          <w:color w:val="auto"/>
          <w:sz w:val="24"/>
          <w:szCs w:val="24"/>
        </w:rPr>
      </w:pPr>
    </w:p>
    <w:p w14:paraId="65269CB3">
      <w:pPr>
        <w:pStyle w:val="5"/>
        <w:rPr>
          <w:color w:val="auto"/>
        </w:rPr>
      </w:pPr>
    </w:p>
    <w:sectPr>
      <w:pgSz w:w="11907" w:h="16840"/>
      <w:pgMar w:top="1134" w:right="1191" w:bottom="1134" w:left="1304" w:header="851" w:footer="992" w:gutter="0"/>
      <w:pgNumType w:fmt="decimal"/>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书宋简体">
    <w:altName w:val="宋体"/>
    <w:panose1 w:val="00000000000000000000"/>
    <w:charset w:val="86"/>
    <w:family w:val="script"/>
    <w:pitch w:val="default"/>
    <w:sig w:usb0="00000000" w:usb1="00000000" w:usb2="0000001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script"/>
    <w:pitch w:val="default"/>
    <w:sig w:usb0="00000001" w:usb1="08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Verdana">
    <w:panose1 w:val="020B0604030504040204"/>
    <w:charset w:val="00"/>
    <w:family w:val="auto"/>
    <w:pitch w:val="default"/>
    <w:sig w:usb0="A00006FF" w:usb1="4000205B" w:usb2="00000010" w:usb3="00000000" w:csb0="2000019F" w:csb1="00000000"/>
  </w:font>
  <w:font w:name="方正仿宋简体">
    <w:panose1 w:val="02000000000000000000"/>
    <w:charset w:val="86"/>
    <w:family w:val="script"/>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60FAA">
    <w:pPr>
      <w:pStyle w:val="2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B2E9BF">
                          <w:pPr>
                            <w:pStyle w:val="28"/>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7B2E9BF">
                    <w:pPr>
                      <w:pStyle w:val="28"/>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61D91">
    <w:pPr>
      <w:pStyle w:val="28"/>
      <w:jc w:val="center"/>
      <w:rPr>
        <w:rFonts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9211B3">
                          <w:pPr>
                            <w:pStyle w:val="28"/>
                          </w:pPr>
                          <w:r>
                            <w:fldChar w:fldCharType="begin"/>
                          </w:r>
                          <w:r>
                            <w:instrText xml:space="preserve"> PAGE  \* MERGEFORMAT </w:instrText>
                          </w:r>
                          <w:r>
                            <w:fldChar w:fldCharType="separate"/>
                          </w:r>
                          <w:r>
                            <w:t>- 109 -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E9211B3">
                    <w:pPr>
                      <w:pStyle w:val="28"/>
                    </w:pPr>
                    <w:r>
                      <w:fldChar w:fldCharType="begin"/>
                    </w:r>
                    <w:r>
                      <w:instrText xml:space="preserve"> PAGE  \* MERGEFORMAT </w:instrText>
                    </w:r>
                    <w:r>
                      <w:fldChar w:fldCharType="separate"/>
                    </w:r>
                    <w:r>
                      <w:t>- 109 -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CB4D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0A5307"/>
    <w:multiLevelType w:val="singleLevel"/>
    <w:tmpl w:val="290A5307"/>
    <w:lvl w:ilvl="0" w:tentative="0">
      <w:start w:val="4"/>
      <w:numFmt w:val="decimal"/>
      <w:suff w:val="nothing"/>
      <w:lvlText w:val="%1、"/>
      <w:lvlJc w:val="left"/>
    </w:lvl>
  </w:abstractNum>
  <w:abstractNum w:abstractNumId="1">
    <w:nsid w:val="30C5E423"/>
    <w:multiLevelType w:val="singleLevel"/>
    <w:tmpl w:val="30C5E423"/>
    <w:lvl w:ilvl="0" w:tentative="0">
      <w:start w:val="4"/>
      <w:numFmt w:val="chineseCounting"/>
      <w:suff w:val="space"/>
      <w:lvlText w:val="第%1章"/>
      <w:lvlJc w:val="left"/>
      <w:rPr>
        <w:rFonts w:hint="eastAsia"/>
      </w:rPr>
    </w:lvl>
  </w:abstractNum>
  <w:abstractNum w:abstractNumId="2">
    <w:nsid w:val="48A60E0E"/>
    <w:multiLevelType w:val="singleLevel"/>
    <w:tmpl w:val="48A60E0E"/>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c2N2ZmY2FiMjg1OWI5ZjgzNzYwOWQ4ODJhN2Q3NTAifQ=="/>
  </w:docVars>
  <w:rsids>
    <w:rsidRoot w:val="00172A27"/>
    <w:rsid w:val="00001CFE"/>
    <w:rsid w:val="000025AE"/>
    <w:rsid w:val="00002963"/>
    <w:rsid w:val="00002FAA"/>
    <w:rsid w:val="0000637A"/>
    <w:rsid w:val="00007461"/>
    <w:rsid w:val="00012D01"/>
    <w:rsid w:val="00012E1F"/>
    <w:rsid w:val="00013517"/>
    <w:rsid w:val="00015EA2"/>
    <w:rsid w:val="00016F4D"/>
    <w:rsid w:val="00020022"/>
    <w:rsid w:val="00020C72"/>
    <w:rsid w:val="00027940"/>
    <w:rsid w:val="000301B5"/>
    <w:rsid w:val="00033F2D"/>
    <w:rsid w:val="00034EA2"/>
    <w:rsid w:val="00035C75"/>
    <w:rsid w:val="00035C9D"/>
    <w:rsid w:val="0003662C"/>
    <w:rsid w:val="0003668F"/>
    <w:rsid w:val="000410C9"/>
    <w:rsid w:val="00042D1D"/>
    <w:rsid w:val="00042DE3"/>
    <w:rsid w:val="00044BF8"/>
    <w:rsid w:val="00045FB6"/>
    <w:rsid w:val="000517F7"/>
    <w:rsid w:val="00051AF7"/>
    <w:rsid w:val="00053628"/>
    <w:rsid w:val="00053D7E"/>
    <w:rsid w:val="00057F46"/>
    <w:rsid w:val="000619D4"/>
    <w:rsid w:val="000659D5"/>
    <w:rsid w:val="00066E34"/>
    <w:rsid w:val="00067AAC"/>
    <w:rsid w:val="00067E04"/>
    <w:rsid w:val="000815B0"/>
    <w:rsid w:val="0008210B"/>
    <w:rsid w:val="00085488"/>
    <w:rsid w:val="000859FD"/>
    <w:rsid w:val="00085FAF"/>
    <w:rsid w:val="000876C3"/>
    <w:rsid w:val="00091049"/>
    <w:rsid w:val="00091722"/>
    <w:rsid w:val="000925C0"/>
    <w:rsid w:val="000A0733"/>
    <w:rsid w:val="000A0E6D"/>
    <w:rsid w:val="000B0951"/>
    <w:rsid w:val="000B1F01"/>
    <w:rsid w:val="000B46A7"/>
    <w:rsid w:val="000B6787"/>
    <w:rsid w:val="000C0116"/>
    <w:rsid w:val="000C03E1"/>
    <w:rsid w:val="000C262F"/>
    <w:rsid w:val="000C3844"/>
    <w:rsid w:val="000C7692"/>
    <w:rsid w:val="000D1610"/>
    <w:rsid w:val="000D18EA"/>
    <w:rsid w:val="000D1D0A"/>
    <w:rsid w:val="000D4CDB"/>
    <w:rsid w:val="000F2968"/>
    <w:rsid w:val="000F2BF2"/>
    <w:rsid w:val="000F301E"/>
    <w:rsid w:val="000F4794"/>
    <w:rsid w:val="000F4C1E"/>
    <w:rsid w:val="000F59D4"/>
    <w:rsid w:val="000F5C5E"/>
    <w:rsid w:val="000F62DA"/>
    <w:rsid w:val="000F7B6D"/>
    <w:rsid w:val="000F7D84"/>
    <w:rsid w:val="0010022C"/>
    <w:rsid w:val="00101B0E"/>
    <w:rsid w:val="00101D27"/>
    <w:rsid w:val="00104EFA"/>
    <w:rsid w:val="00105174"/>
    <w:rsid w:val="001073C5"/>
    <w:rsid w:val="00110507"/>
    <w:rsid w:val="001109E1"/>
    <w:rsid w:val="00111164"/>
    <w:rsid w:val="0011755B"/>
    <w:rsid w:val="0011760F"/>
    <w:rsid w:val="00120D0F"/>
    <w:rsid w:val="0012159D"/>
    <w:rsid w:val="001227EC"/>
    <w:rsid w:val="00122F79"/>
    <w:rsid w:val="00124E3B"/>
    <w:rsid w:val="0012704F"/>
    <w:rsid w:val="00127B49"/>
    <w:rsid w:val="001309B8"/>
    <w:rsid w:val="00133AF2"/>
    <w:rsid w:val="00133E94"/>
    <w:rsid w:val="00134BBF"/>
    <w:rsid w:val="00135067"/>
    <w:rsid w:val="001356A0"/>
    <w:rsid w:val="001358BB"/>
    <w:rsid w:val="0014274F"/>
    <w:rsid w:val="001428D7"/>
    <w:rsid w:val="00143655"/>
    <w:rsid w:val="001449B2"/>
    <w:rsid w:val="00144B33"/>
    <w:rsid w:val="001461AD"/>
    <w:rsid w:val="00146DEA"/>
    <w:rsid w:val="001479E9"/>
    <w:rsid w:val="00151CF6"/>
    <w:rsid w:val="00152D41"/>
    <w:rsid w:val="0015659E"/>
    <w:rsid w:val="00156E41"/>
    <w:rsid w:val="00161D08"/>
    <w:rsid w:val="00163AD7"/>
    <w:rsid w:val="00163C07"/>
    <w:rsid w:val="00164453"/>
    <w:rsid w:val="00166799"/>
    <w:rsid w:val="00171C63"/>
    <w:rsid w:val="00172A27"/>
    <w:rsid w:val="00181DB6"/>
    <w:rsid w:val="001833AC"/>
    <w:rsid w:val="00185118"/>
    <w:rsid w:val="00186487"/>
    <w:rsid w:val="00191BA9"/>
    <w:rsid w:val="00191DDB"/>
    <w:rsid w:val="00194F6E"/>
    <w:rsid w:val="001973FE"/>
    <w:rsid w:val="00197BFA"/>
    <w:rsid w:val="001A1F6D"/>
    <w:rsid w:val="001B0371"/>
    <w:rsid w:val="001B3971"/>
    <w:rsid w:val="001B60AE"/>
    <w:rsid w:val="001B6616"/>
    <w:rsid w:val="001B6B8D"/>
    <w:rsid w:val="001C070C"/>
    <w:rsid w:val="001C0AB9"/>
    <w:rsid w:val="001C0D36"/>
    <w:rsid w:val="001C16FC"/>
    <w:rsid w:val="001C1A44"/>
    <w:rsid w:val="001C1AB2"/>
    <w:rsid w:val="001C4F81"/>
    <w:rsid w:val="001C5258"/>
    <w:rsid w:val="001D0214"/>
    <w:rsid w:val="001D11E0"/>
    <w:rsid w:val="001D1C4A"/>
    <w:rsid w:val="001D20FC"/>
    <w:rsid w:val="001D2356"/>
    <w:rsid w:val="001D3EC9"/>
    <w:rsid w:val="001D57D5"/>
    <w:rsid w:val="001D611B"/>
    <w:rsid w:val="001D61CD"/>
    <w:rsid w:val="001D6459"/>
    <w:rsid w:val="001E0BEB"/>
    <w:rsid w:val="001E62B1"/>
    <w:rsid w:val="001F0254"/>
    <w:rsid w:val="001F2657"/>
    <w:rsid w:val="001F285E"/>
    <w:rsid w:val="001F2E06"/>
    <w:rsid w:val="001F3956"/>
    <w:rsid w:val="001F65BD"/>
    <w:rsid w:val="001F6637"/>
    <w:rsid w:val="00201DB1"/>
    <w:rsid w:val="0020274D"/>
    <w:rsid w:val="0020298C"/>
    <w:rsid w:val="002078C1"/>
    <w:rsid w:val="00210DA7"/>
    <w:rsid w:val="002116A5"/>
    <w:rsid w:val="00215C9B"/>
    <w:rsid w:val="00217201"/>
    <w:rsid w:val="00217CED"/>
    <w:rsid w:val="0022023D"/>
    <w:rsid w:val="00221203"/>
    <w:rsid w:val="002218D4"/>
    <w:rsid w:val="00222F9B"/>
    <w:rsid w:val="002230E9"/>
    <w:rsid w:val="00223DDA"/>
    <w:rsid w:val="00224435"/>
    <w:rsid w:val="00224E19"/>
    <w:rsid w:val="002256AE"/>
    <w:rsid w:val="0022612E"/>
    <w:rsid w:val="0022683F"/>
    <w:rsid w:val="00226C87"/>
    <w:rsid w:val="00227033"/>
    <w:rsid w:val="00230905"/>
    <w:rsid w:val="00233066"/>
    <w:rsid w:val="00234E7D"/>
    <w:rsid w:val="00235722"/>
    <w:rsid w:val="00235AF8"/>
    <w:rsid w:val="00243400"/>
    <w:rsid w:val="00243439"/>
    <w:rsid w:val="00244994"/>
    <w:rsid w:val="00246960"/>
    <w:rsid w:val="00246CBD"/>
    <w:rsid w:val="00251E0A"/>
    <w:rsid w:val="00254807"/>
    <w:rsid w:val="00255448"/>
    <w:rsid w:val="0026149A"/>
    <w:rsid w:val="00264B2D"/>
    <w:rsid w:val="00266E77"/>
    <w:rsid w:val="00267D47"/>
    <w:rsid w:val="00271796"/>
    <w:rsid w:val="002767B4"/>
    <w:rsid w:val="002769BC"/>
    <w:rsid w:val="00282001"/>
    <w:rsid w:val="00284591"/>
    <w:rsid w:val="00284AD8"/>
    <w:rsid w:val="00285752"/>
    <w:rsid w:val="002857C1"/>
    <w:rsid w:val="00285B2A"/>
    <w:rsid w:val="00285D87"/>
    <w:rsid w:val="00285E1E"/>
    <w:rsid w:val="00285E24"/>
    <w:rsid w:val="002873B1"/>
    <w:rsid w:val="0029008A"/>
    <w:rsid w:val="0029277F"/>
    <w:rsid w:val="0029353D"/>
    <w:rsid w:val="00294105"/>
    <w:rsid w:val="0029513D"/>
    <w:rsid w:val="0029638A"/>
    <w:rsid w:val="002977F1"/>
    <w:rsid w:val="002A0A92"/>
    <w:rsid w:val="002A3B36"/>
    <w:rsid w:val="002A4E22"/>
    <w:rsid w:val="002A6802"/>
    <w:rsid w:val="002A68F6"/>
    <w:rsid w:val="002A7484"/>
    <w:rsid w:val="002A7C13"/>
    <w:rsid w:val="002B21E5"/>
    <w:rsid w:val="002B2345"/>
    <w:rsid w:val="002B52FE"/>
    <w:rsid w:val="002B6119"/>
    <w:rsid w:val="002B7CF7"/>
    <w:rsid w:val="002C0411"/>
    <w:rsid w:val="002C0812"/>
    <w:rsid w:val="002D14C6"/>
    <w:rsid w:val="002D1B45"/>
    <w:rsid w:val="002D29F7"/>
    <w:rsid w:val="002D2E1B"/>
    <w:rsid w:val="002D4382"/>
    <w:rsid w:val="002D6053"/>
    <w:rsid w:val="002E1B30"/>
    <w:rsid w:val="002E32B5"/>
    <w:rsid w:val="002E3611"/>
    <w:rsid w:val="002E519D"/>
    <w:rsid w:val="002E6088"/>
    <w:rsid w:val="002E69CD"/>
    <w:rsid w:val="002E7732"/>
    <w:rsid w:val="002F06DE"/>
    <w:rsid w:val="002F3489"/>
    <w:rsid w:val="002F48BD"/>
    <w:rsid w:val="002F5781"/>
    <w:rsid w:val="002F5DA5"/>
    <w:rsid w:val="003000D9"/>
    <w:rsid w:val="0030066E"/>
    <w:rsid w:val="00302CA4"/>
    <w:rsid w:val="00306C4D"/>
    <w:rsid w:val="003073CE"/>
    <w:rsid w:val="00307DDB"/>
    <w:rsid w:val="00310680"/>
    <w:rsid w:val="00312621"/>
    <w:rsid w:val="0031405F"/>
    <w:rsid w:val="003163FF"/>
    <w:rsid w:val="00317AE2"/>
    <w:rsid w:val="003206D3"/>
    <w:rsid w:val="00320C29"/>
    <w:rsid w:val="003223C7"/>
    <w:rsid w:val="00322D3A"/>
    <w:rsid w:val="00322E12"/>
    <w:rsid w:val="00327F2E"/>
    <w:rsid w:val="00332A65"/>
    <w:rsid w:val="003332CE"/>
    <w:rsid w:val="0033392F"/>
    <w:rsid w:val="00340CF4"/>
    <w:rsid w:val="00342E17"/>
    <w:rsid w:val="00345596"/>
    <w:rsid w:val="003478DB"/>
    <w:rsid w:val="00347DA9"/>
    <w:rsid w:val="003502A8"/>
    <w:rsid w:val="003514B5"/>
    <w:rsid w:val="00354E08"/>
    <w:rsid w:val="003553C2"/>
    <w:rsid w:val="00362CF8"/>
    <w:rsid w:val="00363B99"/>
    <w:rsid w:val="0036535C"/>
    <w:rsid w:val="00372D89"/>
    <w:rsid w:val="0037589C"/>
    <w:rsid w:val="00376979"/>
    <w:rsid w:val="003773E2"/>
    <w:rsid w:val="00377402"/>
    <w:rsid w:val="003776D4"/>
    <w:rsid w:val="00381E43"/>
    <w:rsid w:val="00384705"/>
    <w:rsid w:val="00386636"/>
    <w:rsid w:val="00386B61"/>
    <w:rsid w:val="00391F3C"/>
    <w:rsid w:val="00394304"/>
    <w:rsid w:val="003A2CE7"/>
    <w:rsid w:val="003A49F3"/>
    <w:rsid w:val="003A6423"/>
    <w:rsid w:val="003A7CB4"/>
    <w:rsid w:val="003B1541"/>
    <w:rsid w:val="003B23A5"/>
    <w:rsid w:val="003B3939"/>
    <w:rsid w:val="003C246A"/>
    <w:rsid w:val="003C35DD"/>
    <w:rsid w:val="003C6DE2"/>
    <w:rsid w:val="003C72DF"/>
    <w:rsid w:val="003C79F5"/>
    <w:rsid w:val="003C7F42"/>
    <w:rsid w:val="003D0BD5"/>
    <w:rsid w:val="003D101F"/>
    <w:rsid w:val="003D13ED"/>
    <w:rsid w:val="003D3873"/>
    <w:rsid w:val="003D4358"/>
    <w:rsid w:val="003D47E5"/>
    <w:rsid w:val="003D4CC3"/>
    <w:rsid w:val="003D6DDF"/>
    <w:rsid w:val="003E2A9D"/>
    <w:rsid w:val="003E3629"/>
    <w:rsid w:val="003E44D9"/>
    <w:rsid w:val="003E540E"/>
    <w:rsid w:val="003F0C56"/>
    <w:rsid w:val="003F0EC9"/>
    <w:rsid w:val="003F4F5C"/>
    <w:rsid w:val="003F654B"/>
    <w:rsid w:val="003F6C3B"/>
    <w:rsid w:val="00404EAF"/>
    <w:rsid w:val="00410582"/>
    <w:rsid w:val="00410AFF"/>
    <w:rsid w:val="00412002"/>
    <w:rsid w:val="0041214C"/>
    <w:rsid w:val="00416D0C"/>
    <w:rsid w:val="004211FA"/>
    <w:rsid w:val="00421755"/>
    <w:rsid w:val="00421D37"/>
    <w:rsid w:val="00421F5E"/>
    <w:rsid w:val="00423CC8"/>
    <w:rsid w:val="00426FBC"/>
    <w:rsid w:val="00433937"/>
    <w:rsid w:val="00435AFE"/>
    <w:rsid w:val="00436AF0"/>
    <w:rsid w:val="0043725B"/>
    <w:rsid w:val="00437C7A"/>
    <w:rsid w:val="004423EF"/>
    <w:rsid w:val="00443546"/>
    <w:rsid w:val="00447510"/>
    <w:rsid w:val="004502AC"/>
    <w:rsid w:val="004504EB"/>
    <w:rsid w:val="0045115B"/>
    <w:rsid w:val="00451F67"/>
    <w:rsid w:val="0045394B"/>
    <w:rsid w:val="00454818"/>
    <w:rsid w:val="00456018"/>
    <w:rsid w:val="00457EC3"/>
    <w:rsid w:val="00461A95"/>
    <w:rsid w:val="0046792F"/>
    <w:rsid w:val="00472549"/>
    <w:rsid w:val="00474CEE"/>
    <w:rsid w:val="004753A2"/>
    <w:rsid w:val="00481829"/>
    <w:rsid w:val="00482ADA"/>
    <w:rsid w:val="00487C80"/>
    <w:rsid w:val="0049045B"/>
    <w:rsid w:val="00491345"/>
    <w:rsid w:val="00492996"/>
    <w:rsid w:val="00493AFD"/>
    <w:rsid w:val="004958B3"/>
    <w:rsid w:val="0049612B"/>
    <w:rsid w:val="0049617D"/>
    <w:rsid w:val="004964A6"/>
    <w:rsid w:val="004A2011"/>
    <w:rsid w:val="004A3116"/>
    <w:rsid w:val="004A48E6"/>
    <w:rsid w:val="004A7065"/>
    <w:rsid w:val="004A7943"/>
    <w:rsid w:val="004B2485"/>
    <w:rsid w:val="004B344C"/>
    <w:rsid w:val="004B356A"/>
    <w:rsid w:val="004B4C4E"/>
    <w:rsid w:val="004B4ECF"/>
    <w:rsid w:val="004C0D3E"/>
    <w:rsid w:val="004C3173"/>
    <w:rsid w:val="004C4F45"/>
    <w:rsid w:val="004C5537"/>
    <w:rsid w:val="004C6EAB"/>
    <w:rsid w:val="004D1AAA"/>
    <w:rsid w:val="004D223F"/>
    <w:rsid w:val="004D22F9"/>
    <w:rsid w:val="004D2EA7"/>
    <w:rsid w:val="004D56EE"/>
    <w:rsid w:val="004D7A1D"/>
    <w:rsid w:val="004E1CBA"/>
    <w:rsid w:val="004E3BF9"/>
    <w:rsid w:val="004E600C"/>
    <w:rsid w:val="004E6BB4"/>
    <w:rsid w:val="004F04C3"/>
    <w:rsid w:val="004F0F13"/>
    <w:rsid w:val="004F294A"/>
    <w:rsid w:val="004F36C9"/>
    <w:rsid w:val="004F45BE"/>
    <w:rsid w:val="004F46FA"/>
    <w:rsid w:val="004F514F"/>
    <w:rsid w:val="004F58DF"/>
    <w:rsid w:val="004F76D7"/>
    <w:rsid w:val="005011B8"/>
    <w:rsid w:val="0050142B"/>
    <w:rsid w:val="00503CBB"/>
    <w:rsid w:val="00504BA5"/>
    <w:rsid w:val="005164BC"/>
    <w:rsid w:val="00516780"/>
    <w:rsid w:val="00520149"/>
    <w:rsid w:val="00525F09"/>
    <w:rsid w:val="00527513"/>
    <w:rsid w:val="00530853"/>
    <w:rsid w:val="0053576F"/>
    <w:rsid w:val="00535A5A"/>
    <w:rsid w:val="00535C6A"/>
    <w:rsid w:val="005444F8"/>
    <w:rsid w:val="00545951"/>
    <w:rsid w:val="00550B16"/>
    <w:rsid w:val="00551A14"/>
    <w:rsid w:val="00554A74"/>
    <w:rsid w:val="00565645"/>
    <w:rsid w:val="00565AB9"/>
    <w:rsid w:val="00565BD0"/>
    <w:rsid w:val="0056625F"/>
    <w:rsid w:val="00567291"/>
    <w:rsid w:val="00580769"/>
    <w:rsid w:val="005838C8"/>
    <w:rsid w:val="00583DA6"/>
    <w:rsid w:val="00584320"/>
    <w:rsid w:val="00585D05"/>
    <w:rsid w:val="00585F07"/>
    <w:rsid w:val="005927A8"/>
    <w:rsid w:val="00592CDD"/>
    <w:rsid w:val="00595245"/>
    <w:rsid w:val="005965FA"/>
    <w:rsid w:val="005967B4"/>
    <w:rsid w:val="005A19C9"/>
    <w:rsid w:val="005A2166"/>
    <w:rsid w:val="005A3934"/>
    <w:rsid w:val="005A5097"/>
    <w:rsid w:val="005B0B39"/>
    <w:rsid w:val="005B0CFB"/>
    <w:rsid w:val="005B4F7C"/>
    <w:rsid w:val="005C1316"/>
    <w:rsid w:val="005C2D42"/>
    <w:rsid w:val="005C46A0"/>
    <w:rsid w:val="005C4CED"/>
    <w:rsid w:val="005C793A"/>
    <w:rsid w:val="005D0A77"/>
    <w:rsid w:val="005D0D9B"/>
    <w:rsid w:val="005D2322"/>
    <w:rsid w:val="005D3EEF"/>
    <w:rsid w:val="005D4B8C"/>
    <w:rsid w:val="005D5BF6"/>
    <w:rsid w:val="005E1492"/>
    <w:rsid w:val="005E7331"/>
    <w:rsid w:val="005E7D8C"/>
    <w:rsid w:val="005E7DED"/>
    <w:rsid w:val="005F2655"/>
    <w:rsid w:val="005F3494"/>
    <w:rsid w:val="005F416F"/>
    <w:rsid w:val="005F5822"/>
    <w:rsid w:val="005F58D8"/>
    <w:rsid w:val="005F6B47"/>
    <w:rsid w:val="005F7992"/>
    <w:rsid w:val="00600979"/>
    <w:rsid w:val="006049F4"/>
    <w:rsid w:val="00605A2C"/>
    <w:rsid w:val="00610518"/>
    <w:rsid w:val="006142CA"/>
    <w:rsid w:val="006144A2"/>
    <w:rsid w:val="00621509"/>
    <w:rsid w:val="00634FF5"/>
    <w:rsid w:val="00636FDC"/>
    <w:rsid w:val="0064073C"/>
    <w:rsid w:val="006423AD"/>
    <w:rsid w:val="00644AF0"/>
    <w:rsid w:val="006464F7"/>
    <w:rsid w:val="006505E2"/>
    <w:rsid w:val="0065193C"/>
    <w:rsid w:val="00651986"/>
    <w:rsid w:val="00651E84"/>
    <w:rsid w:val="00653A03"/>
    <w:rsid w:val="00656510"/>
    <w:rsid w:val="00660484"/>
    <w:rsid w:val="00660834"/>
    <w:rsid w:val="00663A13"/>
    <w:rsid w:val="0066545A"/>
    <w:rsid w:val="00665DB3"/>
    <w:rsid w:val="00671BAC"/>
    <w:rsid w:val="00672C06"/>
    <w:rsid w:val="006739EA"/>
    <w:rsid w:val="00673A6E"/>
    <w:rsid w:val="0067428D"/>
    <w:rsid w:val="0067593D"/>
    <w:rsid w:val="00680B9A"/>
    <w:rsid w:val="00681E06"/>
    <w:rsid w:val="006821E3"/>
    <w:rsid w:val="00682AB0"/>
    <w:rsid w:val="006857C6"/>
    <w:rsid w:val="00686669"/>
    <w:rsid w:val="00690927"/>
    <w:rsid w:val="00691E05"/>
    <w:rsid w:val="006926F9"/>
    <w:rsid w:val="0069372F"/>
    <w:rsid w:val="0069472F"/>
    <w:rsid w:val="00695D3C"/>
    <w:rsid w:val="00697B8F"/>
    <w:rsid w:val="006A1020"/>
    <w:rsid w:val="006A2071"/>
    <w:rsid w:val="006A2B68"/>
    <w:rsid w:val="006A343E"/>
    <w:rsid w:val="006A55BB"/>
    <w:rsid w:val="006A7112"/>
    <w:rsid w:val="006B066C"/>
    <w:rsid w:val="006B35E3"/>
    <w:rsid w:val="006B3C6D"/>
    <w:rsid w:val="006B3E0A"/>
    <w:rsid w:val="006B5D34"/>
    <w:rsid w:val="006C0E62"/>
    <w:rsid w:val="006C19B5"/>
    <w:rsid w:val="006C2626"/>
    <w:rsid w:val="006C35DE"/>
    <w:rsid w:val="006C40ED"/>
    <w:rsid w:val="006C5659"/>
    <w:rsid w:val="006C666D"/>
    <w:rsid w:val="006D136A"/>
    <w:rsid w:val="006D180B"/>
    <w:rsid w:val="006D1E8A"/>
    <w:rsid w:val="006D1F21"/>
    <w:rsid w:val="006D2552"/>
    <w:rsid w:val="006D398D"/>
    <w:rsid w:val="006D3A78"/>
    <w:rsid w:val="006D46DF"/>
    <w:rsid w:val="006E027F"/>
    <w:rsid w:val="006E0C80"/>
    <w:rsid w:val="006E16FC"/>
    <w:rsid w:val="006E31C4"/>
    <w:rsid w:val="006E35C5"/>
    <w:rsid w:val="006E3F92"/>
    <w:rsid w:val="006F36AF"/>
    <w:rsid w:val="006F3735"/>
    <w:rsid w:val="006F4EE5"/>
    <w:rsid w:val="00702079"/>
    <w:rsid w:val="00704D20"/>
    <w:rsid w:val="00705AFB"/>
    <w:rsid w:val="00706D43"/>
    <w:rsid w:val="00710236"/>
    <w:rsid w:val="007104D5"/>
    <w:rsid w:val="00712BB7"/>
    <w:rsid w:val="00713944"/>
    <w:rsid w:val="007147D1"/>
    <w:rsid w:val="0071499C"/>
    <w:rsid w:val="00715A59"/>
    <w:rsid w:val="00721916"/>
    <w:rsid w:val="00724E0C"/>
    <w:rsid w:val="00725223"/>
    <w:rsid w:val="00730435"/>
    <w:rsid w:val="0073081A"/>
    <w:rsid w:val="007322C7"/>
    <w:rsid w:val="00732C3E"/>
    <w:rsid w:val="007337C9"/>
    <w:rsid w:val="00735241"/>
    <w:rsid w:val="0073792B"/>
    <w:rsid w:val="00740BB5"/>
    <w:rsid w:val="00740C8E"/>
    <w:rsid w:val="00741AC3"/>
    <w:rsid w:val="00742C3D"/>
    <w:rsid w:val="00743072"/>
    <w:rsid w:val="00743678"/>
    <w:rsid w:val="00744618"/>
    <w:rsid w:val="00745E1A"/>
    <w:rsid w:val="00746290"/>
    <w:rsid w:val="00750768"/>
    <w:rsid w:val="007523DD"/>
    <w:rsid w:val="00757BE8"/>
    <w:rsid w:val="00761BF1"/>
    <w:rsid w:val="007625E3"/>
    <w:rsid w:val="00763D08"/>
    <w:rsid w:val="0076707F"/>
    <w:rsid w:val="00771829"/>
    <w:rsid w:val="00772B6F"/>
    <w:rsid w:val="007754FF"/>
    <w:rsid w:val="007758CF"/>
    <w:rsid w:val="0077714A"/>
    <w:rsid w:val="007800E7"/>
    <w:rsid w:val="007901BA"/>
    <w:rsid w:val="00790A25"/>
    <w:rsid w:val="00791718"/>
    <w:rsid w:val="00793FAF"/>
    <w:rsid w:val="00794427"/>
    <w:rsid w:val="007965C4"/>
    <w:rsid w:val="007971CE"/>
    <w:rsid w:val="007A085D"/>
    <w:rsid w:val="007A2EBC"/>
    <w:rsid w:val="007A5F28"/>
    <w:rsid w:val="007A6E38"/>
    <w:rsid w:val="007A7236"/>
    <w:rsid w:val="007B1511"/>
    <w:rsid w:val="007B2AE7"/>
    <w:rsid w:val="007B2AEE"/>
    <w:rsid w:val="007B5A0D"/>
    <w:rsid w:val="007B755D"/>
    <w:rsid w:val="007C0B1F"/>
    <w:rsid w:val="007C3E00"/>
    <w:rsid w:val="007C5C7E"/>
    <w:rsid w:val="007C61E3"/>
    <w:rsid w:val="007C66C8"/>
    <w:rsid w:val="007C7ACE"/>
    <w:rsid w:val="007D0199"/>
    <w:rsid w:val="007D0C6F"/>
    <w:rsid w:val="007D1678"/>
    <w:rsid w:val="007D253F"/>
    <w:rsid w:val="007D4278"/>
    <w:rsid w:val="007D4932"/>
    <w:rsid w:val="007D5FC4"/>
    <w:rsid w:val="007D6B8D"/>
    <w:rsid w:val="007D6DE3"/>
    <w:rsid w:val="007E1E17"/>
    <w:rsid w:val="007E20BE"/>
    <w:rsid w:val="007E62A0"/>
    <w:rsid w:val="007E6D55"/>
    <w:rsid w:val="007E7A0D"/>
    <w:rsid w:val="007F21C3"/>
    <w:rsid w:val="007F4E65"/>
    <w:rsid w:val="007F54C1"/>
    <w:rsid w:val="007F69D9"/>
    <w:rsid w:val="00800F73"/>
    <w:rsid w:val="00801BD2"/>
    <w:rsid w:val="0080286E"/>
    <w:rsid w:val="008035C9"/>
    <w:rsid w:val="00807137"/>
    <w:rsid w:val="00811079"/>
    <w:rsid w:val="008112CB"/>
    <w:rsid w:val="00812B70"/>
    <w:rsid w:val="0081783F"/>
    <w:rsid w:val="00825540"/>
    <w:rsid w:val="00825B6A"/>
    <w:rsid w:val="00826DBF"/>
    <w:rsid w:val="008275E3"/>
    <w:rsid w:val="00831915"/>
    <w:rsid w:val="00831B36"/>
    <w:rsid w:val="0083208D"/>
    <w:rsid w:val="008443BC"/>
    <w:rsid w:val="00845106"/>
    <w:rsid w:val="00847C56"/>
    <w:rsid w:val="00850DEF"/>
    <w:rsid w:val="00852E34"/>
    <w:rsid w:val="00853F83"/>
    <w:rsid w:val="008548C6"/>
    <w:rsid w:val="00857638"/>
    <w:rsid w:val="00857A24"/>
    <w:rsid w:val="00861045"/>
    <w:rsid w:val="008618A2"/>
    <w:rsid w:val="00862905"/>
    <w:rsid w:val="008663D9"/>
    <w:rsid w:val="008710D6"/>
    <w:rsid w:val="00871491"/>
    <w:rsid w:val="00873930"/>
    <w:rsid w:val="00876FEF"/>
    <w:rsid w:val="00877848"/>
    <w:rsid w:val="008834E7"/>
    <w:rsid w:val="0088619A"/>
    <w:rsid w:val="00887FA4"/>
    <w:rsid w:val="00893F04"/>
    <w:rsid w:val="008948B6"/>
    <w:rsid w:val="00895EEF"/>
    <w:rsid w:val="0089633E"/>
    <w:rsid w:val="0089768B"/>
    <w:rsid w:val="008A1516"/>
    <w:rsid w:val="008A471B"/>
    <w:rsid w:val="008A5071"/>
    <w:rsid w:val="008A6A14"/>
    <w:rsid w:val="008A6B9F"/>
    <w:rsid w:val="008A7426"/>
    <w:rsid w:val="008B05F9"/>
    <w:rsid w:val="008B3B5E"/>
    <w:rsid w:val="008B45C6"/>
    <w:rsid w:val="008B4B1A"/>
    <w:rsid w:val="008B4CFE"/>
    <w:rsid w:val="008C0851"/>
    <w:rsid w:val="008C096B"/>
    <w:rsid w:val="008C0BAD"/>
    <w:rsid w:val="008C6163"/>
    <w:rsid w:val="008C6E1D"/>
    <w:rsid w:val="008D2F58"/>
    <w:rsid w:val="008D7645"/>
    <w:rsid w:val="008D78B1"/>
    <w:rsid w:val="008E0A77"/>
    <w:rsid w:val="008E4FBA"/>
    <w:rsid w:val="008F370A"/>
    <w:rsid w:val="008F6CB6"/>
    <w:rsid w:val="008F7514"/>
    <w:rsid w:val="0090095B"/>
    <w:rsid w:val="00901059"/>
    <w:rsid w:val="0090192F"/>
    <w:rsid w:val="00901FA8"/>
    <w:rsid w:val="00903D46"/>
    <w:rsid w:val="009058AF"/>
    <w:rsid w:val="00910650"/>
    <w:rsid w:val="00911208"/>
    <w:rsid w:val="00912113"/>
    <w:rsid w:val="00912B7E"/>
    <w:rsid w:val="00912E8B"/>
    <w:rsid w:val="0091601F"/>
    <w:rsid w:val="00916999"/>
    <w:rsid w:val="009173DA"/>
    <w:rsid w:val="00917C78"/>
    <w:rsid w:val="009201E9"/>
    <w:rsid w:val="00922727"/>
    <w:rsid w:val="0092450B"/>
    <w:rsid w:val="00924BB7"/>
    <w:rsid w:val="00924C89"/>
    <w:rsid w:val="00927049"/>
    <w:rsid w:val="00927E45"/>
    <w:rsid w:val="00930B50"/>
    <w:rsid w:val="00930BFF"/>
    <w:rsid w:val="00933C88"/>
    <w:rsid w:val="00937041"/>
    <w:rsid w:val="009518B5"/>
    <w:rsid w:val="0095244D"/>
    <w:rsid w:val="00953478"/>
    <w:rsid w:val="00955214"/>
    <w:rsid w:val="00955AA5"/>
    <w:rsid w:val="00961130"/>
    <w:rsid w:val="00962579"/>
    <w:rsid w:val="0096380C"/>
    <w:rsid w:val="0096389C"/>
    <w:rsid w:val="00964F86"/>
    <w:rsid w:val="00965524"/>
    <w:rsid w:val="00966BBE"/>
    <w:rsid w:val="00971796"/>
    <w:rsid w:val="00972578"/>
    <w:rsid w:val="00974244"/>
    <w:rsid w:val="009742AE"/>
    <w:rsid w:val="009756F5"/>
    <w:rsid w:val="00976128"/>
    <w:rsid w:val="00976AB7"/>
    <w:rsid w:val="0097749F"/>
    <w:rsid w:val="00982CEB"/>
    <w:rsid w:val="00983D06"/>
    <w:rsid w:val="00984BB2"/>
    <w:rsid w:val="00985A72"/>
    <w:rsid w:val="00985EE0"/>
    <w:rsid w:val="00986CF5"/>
    <w:rsid w:val="0098733F"/>
    <w:rsid w:val="00990FC8"/>
    <w:rsid w:val="00993460"/>
    <w:rsid w:val="00994AA1"/>
    <w:rsid w:val="00995B5C"/>
    <w:rsid w:val="009A09F0"/>
    <w:rsid w:val="009A25ED"/>
    <w:rsid w:val="009A4821"/>
    <w:rsid w:val="009A4981"/>
    <w:rsid w:val="009A4BBF"/>
    <w:rsid w:val="009A6FFD"/>
    <w:rsid w:val="009B202C"/>
    <w:rsid w:val="009B2A81"/>
    <w:rsid w:val="009B4AC8"/>
    <w:rsid w:val="009C310B"/>
    <w:rsid w:val="009C6B1B"/>
    <w:rsid w:val="009C7B14"/>
    <w:rsid w:val="009D4E2B"/>
    <w:rsid w:val="009D5233"/>
    <w:rsid w:val="009D5F5B"/>
    <w:rsid w:val="009D6CCB"/>
    <w:rsid w:val="009E33B2"/>
    <w:rsid w:val="009E3BEC"/>
    <w:rsid w:val="009E40F4"/>
    <w:rsid w:val="009E45E1"/>
    <w:rsid w:val="009E496F"/>
    <w:rsid w:val="009E49FE"/>
    <w:rsid w:val="009E5EF9"/>
    <w:rsid w:val="009E7811"/>
    <w:rsid w:val="009E7954"/>
    <w:rsid w:val="009F292E"/>
    <w:rsid w:val="00A01F25"/>
    <w:rsid w:val="00A02E6B"/>
    <w:rsid w:val="00A04569"/>
    <w:rsid w:val="00A05161"/>
    <w:rsid w:val="00A0526F"/>
    <w:rsid w:val="00A061A6"/>
    <w:rsid w:val="00A06B7C"/>
    <w:rsid w:val="00A1224C"/>
    <w:rsid w:val="00A143C8"/>
    <w:rsid w:val="00A16375"/>
    <w:rsid w:val="00A17067"/>
    <w:rsid w:val="00A1790C"/>
    <w:rsid w:val="00A211A3"/>
    <w:rsid w:val="00A21FC4"/>
    <w:rsid w:val="00A23416"/>
    <w:rsid w:val="00A236C6"/>
    <w:rsid w:val="00A25C8E"/>
    <w:rsid w:val="00A3022C"/>
    <w:rsid w:val="00A37A76"/>
    <w:rsid w:val="00A37C9B"/>
    <w:rsid w:val="00A410B6"/>
    <w:rsid w:val="00A45499"/>
    <w:rsid w:val="00A457F2"/>
    <w:rsid w:val="00A4603A"/>
    <w:rsid w:val="00A50A45"/>
    <w:rsid w:val="00A5173A"/>
    <w:rsid w:val="00A51BF1"/>
    <w:rsid w:val="00A528C7"/>
    <w:rsid w:val="00A53BC2"/>
    <w:rsid w:val="00A54CB2"/>
    <w:rsid w:val="00A558E8"/>
    <w:rsid w:val="00A55CA2"/>
    <w:rsid w:val="00A66830"/>
    <w:rsid w:val="00A668A4"/>
    <w:rsid w:val="00A70671"/>
    <w:rsid w:val="00A73114"/>
    <w:rsid w:val="00A80426"/>
    <w:rsid w:val="00A84589"/>
    <w:rsid w:val="00A87DA6"/>
    <w:rsid w:val="00A910F8"/>
    <w:rsid w:val="00A91FB2"/>
    <w:rsid w:val="00A957BF"/>
    <w:rsid w:val="00A9589C"/>
    <w:rsid w:val="00AA4F38"/>
    <w:rsid w:val="00AA5874"/>
    <w:rsid w:val="00AB0550"/>
    <w:rsid w:val="00AB17DD"/>
    <w:rsid w:val="00AB1EC9"/>
    <w:rsid w:val="00AB2D8C"/>
    <w:rsid w:val="00AB6F0E"/>
    <w:rsid w:val="00AB732F"/>
    <w:rsid w:val="00AC1606"/>
    <w:rsid w:val="00AC3F86"/>
    <w:rsid w:val="00AC59C8"/>
    <w:rsid w:val="00AC5FCA"/>
    <w:rsid w:val="00AC6F82"/>
    <w:rsid w:val="00AC7B46"/>
    <w:rsid w:val="00AC7DDF"/>
    <w:rsid w:val="00AD0DE0"/>
    <w:rsid w:val="00AD1DB3"/>
    <w:rsid w:val="00AD2333"/>
    <w:rsid w:val="00AD3039"/>
    <w:rsid w:val="00AD5055"/>
    <w:rsid w:val="00AD57BA"/>
    <w:rsid w:val="00AD6D2D"/>
    <w:rsid w:val="00AD7893"/>
    <w:rsid w:val="00AD7C68"/>
    <w:rsid w:val="00AD7F7D"/>
    <w:rsid w:val="00AE018B"/>
    <w:rsid w:val="00AE334C"/>
    <w:rsid w:val="00AE339E"/>
    <w:rsid w:val="00AE3A87"/>
    <w:rsid w:val="00AE3F8B"/>
    <w:rsid w:val="00AE617A"/>
    <w:rsid w:val="00AE6BC0"/>
    <w:rsid w:val="00AF3901"/>
    <w:rsid w:val="00AF4B62"/>
    <w:rsid w:val="00AF64B9"/>
    <w:rsid w:val="00B02EB1"/>
    <w:rsid w:val="00B13556"/>
    <w:rsid w:val="00B15A66"/>
    <w:rsid w:val="00B16B89"/>
    <w:rsid w:val="00B20F02"/>
    <w:rsid w:val="00B232DE"/>
    <w:rsid w:val="00B24A82"/>
    <w:rsid w:val="00B31F21"/>
    <w:rsid w:val="00B32676"/>
    <w:rsid w:val="00B32996"/>
    <w:rsid w:val="00B33D98"/>
    <w:rsid w:val="00B359F3"/>
    <w:rsid w:val="00B36287"/>
    <w:rsid w:val="00B413BC"/>
    <w:rsid w:val="00B42595"/>
    <w:rsid w:val="00B479D5"/>
    <w:rsid w:val="00B5481B"/>
    <w:rsid w:val="00B56391"/>
    <w:rsid w:val="00B57651"/>
    <w:rsid w:val="00B65B67"/>
    <w:rsid w:val="00B65E2A"/>
    <w:rsid w:val="00B700EB"/>
    <w:rsid w:val="00B70518"/>
    <w:rsid w:val="00B73CCB"/>
    <w:rsid w:val="00B76830"/>
    <w:rsid w:val="00B76C2E"/>
    <w:rsid w:val="00B76E5F"/>
    <w:rsid w:val="00B77DE0"/>
    <w:rsid w:val="00B82590"/>
    <w:rsid w:val="00B82C72"/>
    <w:rsid w:val="00B82E0A"/>
    <w:rsid w:val="00B84930"/>
    <w:rsid w:val="00B860C9"/>
    <w:rsid w:val="00B861EF"/>
    <w:rsid w:val="00B872BA"/>
    <w:rsid w:val="00B908F8"/>
    <w:rsid w:val="00B9211E"/>
    <w:rsid w:val="00B95CAE"/>
    <w:rsid w:val="00BA00C2"/>
    <w:rsid w:val="00BA16DE"/>
    <w:rsid w:val="00BA23AD"/>
    <w:rsid w:val="00BA2A35"/>
    <w:rsid w:val="00BA4F7F"/>
    <w:rsid w:val="00BA56D8"/>
    <w:rsid w:val="00BA72D6"/>
    <w:rsid w:val="00BB0400"/>
    <w:rsid w:val="00BB0B30"/>
    <w:rsid w:val="00BB29A1"/>
    <w:rsid w:val="00BB3030"/>
    <w:rsid w:val="00BB62F3"/>
    <w:rsid w:val="00BB783A"/>
    <w:rsid w:val="00BB78C4"/>
    <w:rsid w:val="00BB7B8C"/>
    <w:rsid w:val="00BB7FBF"/>
    <w:rsid w:val="00BC191C"/>
    <w:rsid w:val="00BC2019"/>
    <w:rsid w:val="00BC4400"/>
    <w:rsid w:val="00BC697E"/>
    <w:rsid w:val="00BC7E99"/>
    <w:rsid w:val="00BD1143"/>
    <w:rsid w:val="00BD2C87"/>
    <w:rsid w:val="00BD7BC8"/>
    <w:rsid w:val="00BE5C32"/>
    <w:rsid w:val="00BF1680"/>
    <w:rsid w:val="00BF1759"/>
    <w:rsid w:val="00BF1921"/>
    <w:rsid w:val="00BF2DF2"/>
    <w:rsid w:val="00BF58BC"/>
    <w:rsid w:val="00C01417"/>
    <w:rsid w:val="00C01EE8"/>
    <w:rsid w:val="00C02DD1"/>
    <w:rsid w:val="00C11241"/>
    <w:rsid w:val="00C1132A"/>
    <w:rsid w:val="00C12854"/>
    <w:rsid w:val="00C16F8D"/>
    <w:rsid w:val="00C2651B"/>
    <w:rsid w:val="00C278D8"/>
    <w:rsid w:val="00C3181C"/>
    <w:rsid w:val="00C331B9"/>
    <w:rsid w:val="00C34800"/>
    <w:rsid w:val="00C40896"/>
    <w:rsid w:val="00C425D9"/>
    <w:rsid w:val="00C448E8"/>
    <w:rsid w:val="00C45B18"/>
    <w:rsid w:val="00C47244"/>
    <w:rsid w:val="00C50FE1"/>
    <w:rsid w:val="00C525F2"/>
    <w:rsid w:val="00C6232A"/>
    <w:rsid w:val="00C71877"/>
    <w:rsid w:val="00C71F5F"/>
    <w:rsid w:val="00C813A2"/>
    <w:rsid w:val="00C82EA3"/>
    <w:rsid w:val="00C84001"/>
    <w:rsid w:val="00C87169"/>
    <w:rsid w:val="00C87D6C"/>
    <w:rsid w:val="00C93DF0"/>
    <w:rsid w:val="00C95393"/>
    <w:rsid w:val="00C9683E"/>
    <w:rsid w:val="00C96CF4"/>
    <w:rsid w:val="00CA0060"/>
    <w:rsid w:val="00CA1E0B"/>
    <w:rsid w:val="00CA215C"/>
    <w:rsid w:val="00CA2CFD"/>
    <w:rsid w:val="00CA4287"/>
    <w:rsid w:val="00CA65EA"/>
    <w:rsid w:val="00CA6EE9"/>
    <w:rsid w:val="00CA7B58"/>
    <w:rsid w:val="00CB0025"/>
    <w:rsid w:val="00CB1D31"/>
    <w:rsid w:val="00CB1E32"/>
    <w:rsid w:val="00CB2D8B"/>
    <w:rsid w:val="00CB6681"/>
    <w:rsid w:val="00CB781F"/>
    <w:rsid w:val="00CB79C0"/>
    <w:rsid w:val="00CC1AD1"/>
    <w:rsid w:val="00CC3EA4"/>
    <w:rsid w:val="00CC59EA"/>
    <w:rsid w:val="00CD5077"/>
    <w:rsid w:val="00CD55F2"/>
    <w:rsid w:val="00CD69A7"/>
    <w:rsid w:val="00CE01D4"/>
    <w:rsid w:val="00CE0B0C"/>
    <w:rsid w:val="00CE415E"/>
    <w:rsid w:val="00CE59A2"/>
    <w:rsid w:val="00CE7354"/>
    <w:rsid w:val="00CE761D"/>
    <w:rsid w:val="00CE7C55"/>
    <w:rsid w:val="00CF0253"/>
    <w:rsid w:val="00CF5E4C"/>
    <w:rsid w:val="00CF6686"/>
    <w:rsid w:val="00D0658E"/>
    <w:rsid w:val="00D06FDD"/>
    <w:rsid w:val="00D116B6"/>
    <w:rsid w:val="00D11A32"/>
    <w:rsid w:val="00D11A59"/>
    <w:rsid w:val="00D14AFB"/>
    <w:rsid w:val="00D20FB5"/>
    <w:rsid w:val="00D21748"/>
    <w:rsid w:val="00D23A6A"/>
    <w:rsid w:val="00D26C5E"/>
    <w:rsid w:val="00D27E0E"/>
    <w:rsid w:val="00D31823"/>
    <w:rsid w:val="00D33250"/>
    <w:rsid w:val="00D35B43"/>
    <w:rsid w:val="00D35C21"/>
    <w:rsid w:val="00D36186"/>
    <w:rsid w:val="00D361F7"/>
    <w:rsid w:val="00D400D1"/>
    <w:rsid w:val="00D41A25"/>
    <w:rsid w:val="00D42F07"/>
    <w:rsid w:val="00D467F8"/>
    <w:rsid w:val="00D5096D"/>
    <w:rsid w:val="00D51979"/>
    <w:rsid w:val="00D522BB"/>
    <w:rsid w:val="00D529D0"/>
    <w:rsid w:val="00D53CD3"/>
    <w:rsid w:val="00D543A9"/>
    <w:rsid w:val="00D55C71"/>
    <w:rsid w:val="00D56A84"/>
    <w:rsid w:val="00D60A38"/>
    <w:rsid w:val="00D6168A"/>
    <w:rsid w:val="00D64FA7"/>
    <w:rsid w:val="00D6602E"/>
    <w:rsid w:val="00D729CB"/>
    <w:rsid w:val="00D779F6"/>
    <w:rsid w:val="00D84248"/>
    <w:rsid w:val="00D8443E"/>
    <w:rsid w:val="00D84D4E"/>
    <w:rsid w:val="00D85DE6"/>
    <w:rsid w:val="00D86387"/>
    <w:rsid w:val="00D917F1"/>
    <w:rsid w:val="00D951C3"/>
    <w:rsid w:val="00D96142"/>
    <w:rsid w:val="00D9708D"/>
    <w:rsid w:val="00DA0C7F"/>
    <w:rsid w:val="00DA222B"/>
    <w:rsid w:val="00DA6BF4"/>
    <w:rsid w:val="00DB248B"/>
    <w:rsid w:val="00DB424E"/>
    <w:rsid w:val="00DB45A1"/>
    <w:rsid w:val="00DB77E7"/>
    <w:rsid w:val="00DC02F8"/>
    <w:rsid w:val="00DC0D61"/>
    <w:rsid w:val="00DC0DDF"/>
    <w:rsid w:val="00DC1131"/>
    <w:rsid w:val="00DC1866"/>
    <w:rsid w:val="00DC1930"/>
    <w:rsid w:val="00DC2546"/>
    <w:rsid w:val="00DC580D"/>
    <w:rsid w:val="00DC7DE7"/>
    <w:rsid w:val="00DD27E0"/>
    <w:rsid w:val="00DD5349"/>
    <w:rsid w:val="00DD5661"/>
    <w:rsid w:val="00DE1CB3"/>
    <w:rsid w:val="00DE22C9"/>
    <w:rsid w:val="00DE2BF6"/>
    <w:rsid w:val="00DE3B3C"/>
    <w:rsid w:val="00DE43EE"/>
    <w:rsid w:val="00DE5960"/>
    <w:rsid w:val="00DE59C3"/>
    <w:rsid w:val="00DE662A"/>
    <w:rsid w:val="00DE7666"/>
    <w:rsid w:val="00DF02BC"/>
    <w:rsid w:val="00DF0EE4"/>
    <w:rsid w:val="00DF2DB7"/>
    <w:rsid w:val="00DF3368"/>
    <w:rsid w:val="00DF3C26"/>
    <w:rsid w:val="00DF5F41"/>
    <w:rsid w:val="00E00B74"/>
    <w:rsid w:val="00E01DA3"/>
    <w:rsid w:val="00E030E5"/>
    <w:rsid w:val="00E06851"/>
    <w:rsid w:val="00E076E3"/>
    <w:rsid w:val="00E14271"/>
    <w:rsid w:val="00E15C19"/>
    <w:rsid w:val="00E17BAB"/>
    <w:rsid w:val="00E17EC7"/>
    <w:rsid w:val="00E21052"/>
    <w:rsid w:val="00E2111D"/>
    <w:rsid w:val="00E225B0"/>
    <w:rsid w:val="00E22D01"/>
    <w:rsid w:val="00E255EA"/>
    <w:rsid w:val="00E31281"/>
    <w:rsid w:val="00E32402"/>
    <w:rsid w:val="00E32E1B"/>
    <w:rsid w:val="00E3311D"/>
    <w:rsid w:val="00E35CC9"/>
    <w:rsid w:val="00E365F0"/>
    <w:rsid w:val="00E40163"/>
    <w:rsid w:val="00E417D6"/>
    <w:rsid w:val="00E41F87"/>
    <w:rsid w:val="00E44D11"/>
    <w:rsid w:val="00E474A0"/>
    <w:rsid w:val="00E50D72"/>
    <w:rsid w:val="00E53C06"/>
    <w:rsid w:val="00E54463"/>
    <w:rsid w:val="00E5480B"/>
    <w:rsid w:val="00E60CD9"/>
    <w:rsid w:val="00E60CF3"/>
    <w:rsid w:val="00E6123B"/>
    <w:rsid w:val="00E6178B"/>
    <w:rsid w:val="00E61E51"/>
    <w:rsid w:val="00E62E46"/>
    <w:rsid w:val="00E63641"/>
    <w:rsid w:val="00E64A35"/>
    <w:rsid w:val="00E64A68"/>
    <w:rsid w:val="00E66E88"/>
    <w:rsid w:val="00E675CF"/>
    <w:rsid w:val="00E67671"/>
    <w:rsid w:val="00E676A2"/>
    <w:rsid w:val="00E728C4"/>
    <w:rsid w:val="00E74C3A"/>
    <w:rsid w:val="00E77B86"/>
    <w:rsid w:val="00E80E9D"/>
    <w:rsid w:val="00E8287C"/>
    <w:rsid w:val="00E8377A"/>
    <w:rsid w:val="00E86121"/>
    <w:rsid w:val="00E90855"/>
    <w:rsid w:val="00E909E2"/>
    <w:rsid w:val="00E9123A"/>
    <w:rsid w:val="00E932BB"/>
    <w:rsid w:val="00EA05A0"/>
    <w:rsid w:val="00EA47E3"/>
    <w:rsid w:val="00EA4D0F"/>
    <w:rsid w:val="00EA74CC"/>
    <w:rsid w:val="00EA7821"/>
    <w:rsid w:val="00EB01FF"/>
    <w:rsid w:val="00EB083A"/>
    <w:rsid w:val="00EB1270"/>
    <w:rsid w:val="00EB2E8C"/>
    <w:rsid w:val="00EB476C"/>
    <w:rsid w:val="00EB4D96"/>
    <w:rsid w:val="00EB7A12"/>
    <w:rsid w:val="00EB7B5D"/>
    <w:rsid w:val="00EC353E"/>
    <w:rsid w:val="00EC596F"/>
    <w:rsid w:val="00EC61D7"/>
    <w:rsid w:val="00EC71D0"/>
    <w:rsid w:val="00ED17E2"/>
    <w:rsid w:val="00ED29CE"/>
    <w:rsid w:val="00ED51A1"/>
    <w:rsid w:val="00EE1E40"/>
    <w:rsid w:val="00EE2C60"/>
    <w:rsid w:val="00EE4432"/>
    <w:rsid w:val="00EE7B59"/>
    <w:rsid w:val="00EF0C09"/>
    <w:rsid w:val="00EF427F"/>
    <w:rsid w:val="00EF49E6"/>
    <w:rsid w:val="00EF4C4A"/>
    <w:rsid w:val="00EF76AC"/>
    <w:rsid w:val="00F003B0"/>
    <w:rsid w:val="00F04E0F"/>
    <w:rsid w:val="00F06EB5"/>
    <w:rsid w:val="00F07D14"/>
    <w:rsid w:val="00F10009"/>
    <w:rsid w:val="00F10C9F"/>
    <w:rsid w:val="00F1173E"/>
    <w:rsid w:val="00F12625"/>
    <w:rsid w:val="00F153D6"/>
    <w:rsid w:val="00F16703"/>
    <w:rsid w:val="00F1744D"/>
    <w:rsid w:val="00F22055"/>
    <w:rsid w:val="00F32789"/>
    <w:rsid w:val="00F335CF"/>
    <w:rsid w:val="00F4169F"/>
    <w:rsid w:val="00F4202B"/>
    <w:rsid w:val="00F43643"/>
    <w:rsid w:val="00F45FC5"/>
    <w:rsid w:val="00F50158"/>
    <w:rsid w:val="00F508B4"/>
    <w:rsid w:val="00F52E93"/>
    <w:rsid w:val="00F52E9A"/>
    <w:rsid w:val="00F57A6A"/>
    <w:rsid w:val="00F607FD"/>
    <w:rsid w:val="00F61288"/>
    <w:rsid w:val="00F62675"/>
    <w:rsid w:val="00F6534E"/>
    <w:rsid w:val="00F6573C"/>
    <w:rsid w:val="00F666B8"/>
    <w:rsid w:val="00F66BB6"/>
    <w:rsid w:val="00F70F49"/>
    <w:rsid w:val="00F74662"/>
    <w:rsid w:val="00F75D26"/>
    <w:rsid w:val="00F75DB4"/>
    <w:rsid w:val="00F80896"/>
    <w:rsid w:val="00F813A1"/>
    <w:rsid w:val="00F85E0B"/>
    <w:rsid w:val="00F871ED"/>
    <w:rsid w:val="00F92745"/>
    <w:rsid w:val="00F92A8A"/>
    <w:rsid w:val="00F92E54"/>
    <w:rsid w:val="00F9401A"/>
    <w:rsid w:val="00F94486"/>
    <w:rsid w:val="00F94CC3"/>
    <w:rsid w:val="00F96ACE"/>
    <w:rsid w:val="00F97909"/>
    <w:rsid w:val="00FA0D6C"/>
    <w:rsid w:val="00FA0F4C"/>
    <w:rsid w:val="00FA0FE9"/>
    <w:rsid w:val="00FA1EA3"/>
    <w:rsid w:val="00FA258F"/>
    <w:rsid w:val="00FA3142"/>
    <w:rsid w:val="00FA7989"/>
    <w:rsid w:val="00FA7EC1"/>
    <w:rsid w:val="00FB053F"/>
    <w:rsid w:val="00FB2A28"/>
    <w:rsid w:val="00FB6EF1"/>
    <w:rsid w:val="00FB7E03"/>
    <w:rsid w:val="00FC16AA"/>
    <w:rsid w:val="00FC17B8"/>
    <w:rsid w:val="00FC2DCF"/>
    <w:rsid w:val="00FC3836"/>
    <w:rsid w:val="00FC425C"/>
    <w:rsid w:val="00FC4B1B"/>
    <w:rsid w:val="00FC5AA0"/>
    <w:rsid w:val="00FC6BBF"/>
    <w:rsid w:val="00FD04BF"/>
    <w:rsid w:val="00FD251B"/>
    <w:rsid w:val="00FD257C"/>
    <w:rsid w:val="00FD46E2"/>
    <w:rsid w:val="00FD4EB7"/>
    <w:rsid w:val="00FD6528"/>
    <w:rsid w:val="00FE11FB"/>
    <w:rsid w:val="00FF324B"/>
    <w:rsid w:val="00FF46F7"/>
    <w:rsid w:val="015958AE"/>
    <w:rsid w:val="0161141B"/>
    <w:rsid w:val="01E81DCF"/>
    <w:rsid w:val="01EB5E3F"/>
    <w:rsid w:val="02074E1D"/>
    <w:rsid w:val="024476BD"/>
    <w:rsid w:val="024E2C63"/>
    <w:rsid w:val="024E6CF6"/>
    <w:rsid w:val="02A91D81"/>
    <w:rsid w:val="02D45050"/>
    <w:rsid w:val="02DF57A3"/>
    <w:rsid w:val="02FF1838"/>
    <w:rsid w:val="03864661"/>
    <w:rsid w:val="03A03184"/>
    <w:rsid w:val="03A477F5"/>
    <w:rsid w:val="03B4120E"/>
    <w:rsid w:val="04B26863"/>
    <w:rsid w:val="056B7F11"/>
    <w:rsid w:val="05B55C8B"/>
    <w:rsid w:val="06190FAA"/>
    <w:rsid w:val="062B260A"/>
    <w:rsid w:val="071C7509"/>
    <w:rsid w:val="075174DC"/>
    <w:rsid w:val="078F1693"/>
    <w:rsid w:val="079F3753"/>
    <w:rsid w:val="07E40AAE"/>
    <w:rsid w:val="07F214CB"/>
    <w:rsid w:val="07F461D9"/>
    <w:rsid w:val="081506C5"/>
    <w:rsid w:val="08157B45"/>
    <w:rsid w:val="085C4AB2"/>
    <w:rsid w:val="08922370"/>
    <w:rsid w:val="08B24AB1"/>
    <w:rsid w:val="08C831E3"/>
    <w:rsid w:val="08CC56EA"/>
    <w:rsid w:val="08E871A5"/>
    <w:rsid w:val="09413855"/>
    <w:rsid w:val="09765F89"/>
    <w:rsid w:val="09EE6BC0"/>
    <w:rsid w:val="09F76A6A"/>
    <w:rsid w:val="09F9539C"/>
    <w:rsid w:val="0A5358E4"/>
    <w:rsid w:val="0AD03FB6"/>
    <w:rsid w:val="0ADA1836"/>
    <w:rsid w:val="0B2245B1"/>
    <w:rsid w:val="0C6F0B98"/>
    <w:rsid w:val="0CEC079D"/>
    <w:rsid w:val="0D780CCE"/>
    <w:rsid w:val="0E01322D"/>
    <w:rsid w:val="0E216E1A"/>
    <w:rsid w:val="0E4F35CB"/>
    <w:rsid w:val="0EB24EA1"/>
    <w:rsid w:val="0F393F04"/>
    <w:rsid w:val="0F755F61"/>
    <w:rsid w:val="0FBC68EF"/>
    <w:rsid w:val="0FCA4000"/>
    <w:rsid w:val="0FF32449"/>
    <w:rsid w:val="10D16412"/>
    <w:rsid w:val="10DF3EE6"/>
    <w:rsid w:val="118E6D12"/>
    <w:rsid w:val="11E62A8B"/>
    <w:rsid w:val="12077D97"/>
    <w:rsid w:val="124558B4"/>
    <w:rsid w:val="12643FDA"/>
    <w:rsid w:val="12D31F6B"/>
    <w:rsid w:val="130E7AA7"/>
    <w:rsid w:val="131302C7"/>
    <w:rsid w:val="131C4C5F"/>
    <w:rsid w:val="1349756F"/>
    <w:rsid w:val="13EC1BF4"/>
    <w:rsid w:val="148B2A8F"/>
    <w:rsid w:val="14A42828"/>
    <w:rsid w:val="14E571E9"/>
    <w:rsid w:val="150F3344"/>
    <w:rsid w:val="155E4D4F"/>
    <w:rsid w:val="15905233"/>
    <w:rsid w:val="15A26B49"/>
    <w:rsid w:val="15DA16E1"/>
    <w:rsid w:val="15E62AF2"/>
    <w:rsid w:val="162A70B6"/>
    <w:rsid w:val="171B1218"/>
    <w:rsid w:val="17267516"/>
    <w:rsid w:val="17281AC7"/>
    <w:rsid w:val="184517C6"/>
    <w:rsid w:val="18E446EF"/>
    <w:rsid w:val="18E467E2"/>
    <w:rsid w:val="19014ABD"/>
    <w:rsid w:val="190E12E0"/>
    <w:rsid w:val="195A1818"/>
    <w:rsid w:val="195A18DD"/>
    <w:rsid w:val="198A3C99"/>
    <w:rsid w:val="19A910F1"/>
    <w:rsid w:val="1A047121"/>
    <w:rsid w:val="1A3654BC"/>
    <w:rsid w:val="1A7E1CBB"/>
    <w:rsid w:val="1A8962C8"/>
    <w:rsid w:val="1A8A15DA"/>
    <w:rsid w:val="1AA36843"/>
    <w:rsid w:val="1AE06C33"/>
    <w:rsid w:val="1B245FF1"/>
    <w:rsid w:val="1B61679D"/>
    <w:rsid w:val="1BA86290"/>
    <w:rsid w:val="1BAD6444"/>
    <w:rsid w:val="1BCF7D8F"/>
    <w:rsid w:val="1BD4552B"/>
    <w:rsid w:val="1BFA408B"/>
    <w:rsid w:val="1C035B2F"/>
    <w:rsid w:val="1C3506BF"/>
    <w:rsid w:val="1CE56C0B"/>
    <w:rsid w:val="1D057375"/>
    <w:rsid w:val="1D28626C"/>
    <w:rsid w:val="1D8954A8"/>
    <w:rsid w:val="1DDB3A6E"/>
    <w:rsid w:val="1DFE3B5C"/>
    <w:rsid w:val="1E2933FE"/>
    <w:rsid w:val="1E6512A8"/>
    <w:rsid w:val="1E761944"/>
    <w:rsid w:val="1E8E4B8F"/>
    <w:rsid w:val="1EAB6349"/>
    <w:rsid w:val="1F98202A"/>
    <w:rsid w:val="1FC55429"/>
    <w:rsid w:val="203C3C34"/>
    <w:rsid w:val="20EB5180"/>
    <w:rsid w:val="20F37D53"/>
    <w:rsid w:val="2122100D"/>
    <w:rsid w:val="21A659B2"/>
    <w:rsid w:val="21A9265D"/>
    <w:rsid w:val="21B743BB"/>
    <w:rsid w:val="21D62B77"/>
    <w:rsid w:val="221B672B"/>
    <w:rsid w:val="221E0CDF"/>
    <w:rsid w:val="22347461"/>
    <w:rsid w:val="22627470"/>
    <w:rsid w:val="22833F1D"/>
    <w:rsid w:val="22B06AAA"/>
    <w:rsid w:val="22F95FB5"/>
    <w:rsid w:val="2396322B"/>
    <w:rsid w:val="2412683E"/>
    <w:rsid w:val="24534F23"/>
    <w:rsid w:val="247C1043"/>
    <w:rsid w:val="24A815C3"/>
    <w:rsid w:val="24B43C40"/>
    <w:rsid w:val="24E87667"/>
    <w:rsid w:val="254E25E8"/>
    <w:rsid w:val="25557041"/>
    <w:rsid w:val="255A6356"/>
    <w:rsid w:val="25752D52"/>
    <w:rsid w:val="25864EE9"/>
    <w:rsid w:val="25BD1FE8"/>
    <w:rsid w:val="25D30703"/>
    <w:rsid w:val="25F0783F"/>
    <w:rsid w:val="26793695"/>
    <w:rsid w:val="26970E33"/>
    <w:rsid w:val="26AF0056"/>
    <w:rsid w:val="26B93E34"/>
    <w:rsid w:val="26BB1C58"/>
    <w:rsid w:val="26C07BA2"/>
    <w:rsid w:val="26C95706"/>
    <w:rsid w:val="26EB6AFA"/>
    <w:rsid w:val="2741567D"/>
    <w:rsid w:val="274E146A"/>
    <w:rsid w:val="2757497F"/>
    <w:rsid w:val="27594334"/>
    <w:rsid w:val="275F0904"/>
    <w:rsid w:val="27DA6DD5"/>
    <w:rsid w:val="285D626A"/>
    <w:rsid w:val="28600F08"/>
    <w:rsid w:val="286F60B7"/>
    <w:rsid w:val="29535E2F"/>
    <w:rsid w:val="2961657C"/>
    <w:rsid w:val="29F27DC2"/>
    <w:rsid w:val="2A035D3B"/>
    <w:rsid w:val="2A7C0666"/>
    <w:rsid w:val="2A7D76FB"/>
    <w:rsid w:val="2AAC181C"/>
    <w:rsid w:val="2ABB68F4"/>
    <w:rsid w:val="2ABF1A3D"/>
    <w:rsid w:val="2AD7D0D8"/>
    <w:rsid w:val="2AEA5FBF"/>
    <w:rsid w:val="2AFF5390"/>
    <w:rsid w:val="2BB474F7"/>
    <w:rsid w:val="2C203CAD"/>
    <w:rsid w:val="2C6F0FD9"/>
    <w:rsid w:val="2CD258AD"/>
    <w:rsid w:val="2CE86D96"/>
    <w:rsid w:val="2CF70233"/>
    <w:rsid w:val="2CFB4F2A"/>
    <w:rsid w:val="2D4804FC"/>
    <w:rsid w:val="2DC81ADF"/>
    <w:rsid w:val="2DC83D38"/>
    <w:rsid w:val="2DCA30B7"/>
    <w:rsid w:val="2DE241E2"/>
    <w:rsid w:val="2E1C2D9F"/>
    <w:rsid w:val="2E50523A"/>
    <w:rsid w:val="2E877ED0"/>
    <w:rsid w:val="2EAE0685"/>
    <w:rsid w:val="2EBA2A9C"/>
    <w:rsid w:val="2EEF62C6"/>
    <w:rsid w:val="2F1B7F28"/>
    <w:rsid w:val="2F2E6FE6"/>
    <w:rsid w:val="2F3951BE"/>
    <w:rsid w:val="2F4735AB"/>
    <w:rsid w:val="307F7AFA"/>
    <w:rsid w:val="30F1527B"/>
    <w:rsid w:val="3116287B"/>
    <w:rsid w:val="318E6BE2"/>
    <w:rsid w:val="31C06758"/>
    <w:rsid w:val="31C11182"/>
    <w:rsid w:val="31C97A9A"/>
    <w:rsid w:val="31D4640C"/>
    <w:rsid w:val="32354DA9"/>
    <w:rsid w:val="336F4EAA"/>
    <w:rsid w:val="33A55272"/>
    <w:rsid w:val="33AF11B8"/>
    <w:rsid w:val="33EB0FE6"/>
    <w:rsid w:val="348C7E4E"/>
    <w:rsid w:val="349D0F45"/>
    <w:rsid w:val="34CF4D59"/>
    <w:rsid w:val="34F36D08"/>
    <w:rsid w:val="34F534C2"/>
    <w:rsid w:val="350A6847"/>
    <w:rsid w:val="35464C8F"/>
    <w:rsid w:val="355E17C4"/>
    <w:rsid w:val="35836550"/>
    <w:rsid w:val="35A214E6"/>
    <w:rsid w:val="35C8414E"/>
    <w:rsid w:val="35CF001C"/>
    <w:rsid w:val="365E0D08"/>
    <w:rsid w:val="36CA4526"/>
    <w:rsid w:val="36D6081C"/>
    <w:rsid w:val="376F6EDF"/>
    <w:rsid w:val="37825684"/>
    <w:rsid w:val="37C42EB9"/>
    <w:rsid w:val="37CD35E5"/>
    <w:rsid w:val="37F94DD0"/>
    <w:rsid w:val="3810781A"/>
    <w:rsid w:val="38133BE5"/>
    <w:rsid w:val="381E23B5"/>
    <w:rsid w:val="387046E4"/>
    <w:rsid w:val="38704E88"/>
    <w:rsid w:val="38AF4A96"/>
    <w:rsid w:val="38DE5E5B"/>
    <w:rsid w:val="38E06754"/>
    <w:rsid w:val="38E80C97"/>
    <w:rsid w:val="38FC1C5C"/>
    <w:rsid w:val="390E0642"/>
    <w:rsid w:val="399336F0"/>
    <w:rsid w:val="399723DC"/>
    <w:rsid w:val="39A42D7C"/>
    <w:rsid w:val="3A254922"/>
    <w:rsid w:val="3A464351"/>
    <w:rsid w:val="3A4F216D"/>
    <w:rsid w:val="3A4F541D"/>
    <w:rsid w:val="3A6C113A"/>
    <w:rsid w:val="3AA3630D"/>
    <w:rsid w:val="3B171B1F"/>
    <w:rsid w:val="3B2C602B"/>
    <w:rsid w:val="3C127304"/>
    <w:rsid w:val="3C792E06"/>
    <w:rsid w:val="3C8418E0"/>
    <w:rsid w:val="3D3B5E6C"/>
    <w:rsid w:val="3D6C4BAC"/>
    <w:rsid w:val="3DF33566"/>
    <w:rsid w:val="3DF70969"/>
    <w:rsid w:val="3E415DD6"/>
    <w:rsid w:val="3ECA6D2C"/>
    <w:rsid w:val="3ED74B60"/>
    <w:rsid w:val="3EE00D99"/>
    <w:rsid w:val="3F612331"/>
    <w:rsid w:val="4019531A"/>
    <w:rsid w:val="402634B3"/>
    <w:rsid w:val="40374DC6"/>
    <w:rsid w:val="4039734F"/>
    <w:rsid w:val="4069624E"/>
    <w:rsid w:val="40776A3F"/>
    <w:rsid w:val="40C003E6"/>
    <w:rsid w:val="410478D3"/>
    <w:rsid w:val="41665C32"/>
    <w:rsid w:val="41675D02"/>
    <w:rsid w:val="416D1BF0"/>
    <w:rsid w:val="41E63304"/>
    <w:rsid w:val="42233CCE"/>
    <w:rsid w:val="42356394"/>
    <w:rsid w:val="42550CA6"/>
    <w:rsid w:val="427F607F"/>
    <w:rsid w:val="42DE72BE"/>
    <w:rsid w:val="42F157D4"/>
    <w:rsid w:val="42F92E94"/>
    <w:rsid w:val="42FD1BA6"/>
    <w:rsid w:val="430925B1"/>
    <w:rsid w:val="43201CFE"/>
    <w:rsid w:val="4356703A"/>
    <w:rsid w:val="436F3A42"/>
    <w:rsid w:val="4370648D"/>
    <w:rsid w:val="438A3091"/>
    <w:rsid w:val="43EF506E"/>
    <w:rsid w:val="43F64483"/>
    <w:rsid w:val="44401F36"/>
    <w:rsid w:val="44480FD9"/>
    <w:rsid w:val="44EC14F2"/>
    <w:rsid w:val="45754201"/>
    <w:rsid w:val="45B3046D"/>
    <w:rsid w:val="45C7130C"/>
    <w:rsid w:val="45D33B0C"/>
    <w:rsid w:val="45DB0244"/>
    <w:rsid w:val="45DB40BE"/>
    <w:rsid w:val="46001928"/>
    <w:rsid w:val="46222D8A"/>
    <w:rsid w:val="46C56D2F"/>
    <w:rsid w:val="46DF70EC"/>
    <w:rsid w:val="46EE7767"/>
    <w:rsid w:val="46EF55C0"/>
    <w:rsid w:val="473378E7"/>
    <w:rsid w:val="473939FB"/>
    <w:rsid w:val="47491CA5"/>
    <w:rsid w:val="475C75A4"/>
    <w:rsid w:val="47670C3E"/>
    <w:rsid w:val="47B93189"/>
    <w:rsid w:val="483428A6"/>
    <w:rsid w:val="48390A7E"/>
    <w:rsid w:val="48553D7A"/>
    <w:rsid w:val="48754A40"/>
    <w:rsid w:val="487F263E"/>
    <w:rsid w:val="488319CD"/>
    <w:rsid w:val="488A1692"/>
    <w:rsid w:val="488C19A5"/>
    <w:rsid w:val="48AB7EFE"/>
    <w:rsid w:val="48F209DF"/>
    <w:rsid w:val="49374F7A"/>
    <w:rsid w:val="494B3F16"/>
    <w:rsid w:val="494E45D1"/>
    <w:rsid w:val="4993104C"/>
    <w:rsid w:val="49957537"/>
    <w:rsid w:val="49C2512D"/>
    <w:rsid w:val="4ACA54CE"/>
    <w:rsid w:val="4AEC4733"/>
    <w:rsid w:val="4B107B65"/>
    <w:rsid w:val="4B4E4A85"/>
    <w:rsid w:val="4C066EC9"/>
    <w:rsid w:val="4C186987"/>
    <w:rsid w:val="4C577725"/>
    <w:rsid w:val="4C5A1A0D"/>
    <w:rsid w:val="4C8D1140"/>
    <w:rsid w:val="4D5123C6"/>
    <w:rsid w:val="4DA454C3"/>
    <w:rsid w:val="4DB40D59"/>
    <w:rsid w:val="4DD1680B"/>
    <w:rsid w:val="4DDC71AC"/>
    <w:rsid w:val="4E233D62"/>
    <w:rsid w:val="4E6F03C8"/>
    <w:rsid w:val="4EA053B3"/>
    <w:rsid w:val="4EA70D1D"/>
    <w:rsid w:val="4EC74E7C"/>
    <w:rsid w:val="4EEC6EB1"/>
    <w:rsid w:val="4F0072C7"/>
    <w:rsid w:val="4F3B120B"/>
    <w:rsid w:val="4F510B97"/>
    <w:rsid w:val="4F5B67A5"/>
    <w:rsid w:val="4F7F321A"/>
    <w:rsid w:val="4FE40E04"/>
    <w:rsid w:val="4FEB05F9"/>
    <w:rsid w:val="500246AF"/>
    <w:rsid w:val="50A81DF5"/>
    <w:rsid w:val="50D43A3A"/>
    <w:rsid w:val="50D862AC"/>
    <w:rsid w:val="5108658C"/>
    <w:rsid w:val="516139B9"/>
    <w:rsid w:val="51AB6620"/>
    <w:rsid w:val="51CD3E99"/>
    <w:rsid w:val="51E147FF"/>
    <w:rsid w:val="51F81C52"/>
    <w:rsid w:val="52685BFF"/>
    <w:rsid w:val="52833022"/>
    <w:rsid w:val="52C735C9"/>
    <w:rsid w:val="52DF2675"/>
    <w:rsid w:val="5319685C"/>
    <w:rsid w:val="534B79D7"/>
    <w:rsid w:val="534D6F3A"/>
    <w:rsid w:val="54524841"/>
    <w:rsid w:val="54586224"/>
    <w:rsid w:val="545D3551"/>
    <w:rsid w:val="549813C6"/>
    <w:rsid w:val="54A95AAD"/>
    <w:rsid w:val="54D30566"/>
    <w:rsid w:val="54DC110F"/>
    <w:rsid w:val="5548347C"/>
    <w:rsid w:val="554944E3"/>
    <w:rsid w:val="555715A1"/>
    <w:rsid w:val="555745E0"/>
    <w:rsid w:val="5589040A"/>
    <w:rsid w:val="55BE25C3"/>
    <w:rsid w:val="561C526B"/>
    <w:rsid w:val="56274336"/>
    <w:rsid w:val="572E6470"/>
    <w:rsid w:val="57F03798"/>
    <w:rsid w:val="57FB6FA7"/>
    <w:rsid w:val="581A1183"/>
    <w:rsid w:val="581D0EE3"/>
    <w:rsid w:val="582043C8"/>
    <w:rsid w:val="583D1EC5"/>
    <w:rsid w:val="587E08A4"/>
    <w:rsid w:val="58BD7043"/>
    <w:rsid w:val="58E41E97"/>
    <w:rsid w:val="58E431DE"/>
    <w:rsid w:val="59A7315D"/>
    <w:rsid w:val="59B750D3"/>
    <w:rsid w:val="59E37812"/>
    <w:rsid w:val="5B1C4013"/>
    <w:rsid w:val="5B2D4472"/>
    <w:rsid w:val="5B494593"/>
    <w:rsid w:val="5BF85E02"/>
    <w:rsid w:val="5C515ABE"/>
    <w:rsid w:val="5C6A2A6A"/>
    <w:rsid w:val="5C8872E6"/>
    <w:rsid w:val="5CBE02FB"/>
    <w:rsid w:val="5CE906B8"/>
    <w:rsid w:val="5D0E5E2D"/>
    <w:rsid w:val="5D881A87"/>
    <w:rsid w:val="5D9D2217"/>
    <w:rsid w:val="5DC536C0"/>
    <w:rsid w:val="5E0A1F48"/>
    <w:rsid w:val="5E8B35F2"/>
    <w:rsid w:val="5E9251CC"/>
    <w:rsid w:val="5EC358BB"/>
    <w:rsid w:val="5F9345E5"/>
    <w:rsid w:val="5FBF3EF9"/>
    <w:rsid w:val="5FF0177B"/>
    <w:rsid w:val="5FFD7887"/>
    <w:rsid w:val="60144A26"/>
    <w:rsid w:val="605D36BD"/>
    <w:rsid w:val="60B4525C"/>
    <w:rsid w:val="612B3FBC"/>
    <w:rsid w:val="614B2254"/>
    <w:rsid w:val="61526762"/>
    <w:rsid w:val="61916A9D"/>
    <w:rsid w:val="61FC05F9"/>
    <w:rsid w:val="62126335"/>
    <w:rsid w:val="622A7C5A"/>
    <w:rsid w:val="623141BC"/>
    <w:rsid w:val="629C433B"/>
    <w:rsid w:val="63453A22"/>
    <w:rsid w:val="63B10F8E"/>
    <w:rsid w:val="64057C11"/>
    <w:rsid w:val="641343AF"/>
    <w:rsid w:val="643D3E30"/>
    <w:rsid w:val="644C7B14"/>
    <w:rsid w:val="644F7208"/>
    <w:rsid w:val="645C1DDC"/>
    <w:rsid w:val="64935100"/>
    <w:rsid w:val="6535464F"/>
    <w:rsid w:val="653C56F2"/>
    <w:rsid w:val="65900447"/>
    <w:rsid w:val="65FF4C5D"/>
    <w:rsid w:val="660B715E"/>
    <w:rsid w:val="664B508F"/>
    <w:rsid w:val="66903B07"/>
    <w:rsid w:val="66BC4698"/>
    <w:rsid w:val="6702167E"/>
    <w:rsid w:val="67164328"/>
    <w:rsid w:val="67351BD0"/>
    <w:rsid w:val="67B21E75"/>
    <w:rsid w:val="67C4070B"/>
    <w:rsid w:val="68314071"/>
    <w:rsid w:val="685B3E4C"/>
    <w:rsid w:val="686F4D35"/>
    <w:rsid w:val="68893F04"/>
    <w:rsid w:val="690B2B63"/>
    <w:rsid w:val="696C1CD7"/>
    <w:rsid w:val="69AA183C"/>
    <w:rsid w:val="69DD7DAF"/>
    <w:rsid w:val="69F037DD"/>
    <w:rsid w:val="6A0E3F9D"/>
    <w:rsid w:val="6AD02D5F"/>
    <w:rsid w:val="6AF3277A"/>
    <w:rsid w:val="6B170CC3"/>
    <w:rsid w:val="6B6415A6"/>
    <w:rsid w:val="6B6E37FE"/>
    <w:rsid w:val="6BA65A0D"/>
    <w:rsid w:val="6BBA3B00"/>
    <w:rsid w:val="6BFB03A0"/>
    <w:rsid w:val="6C195B91"/>
    <w:rsid w:val="6CE87F98"/>
    <w:rsid w:val="6D7D5A3F"/>
    <w:rsid w:val="6D8654FF"/>
    <w:rsid w:val="6DA10BA2"/>
    <w:rsid w:val="6DE22E9A"/>
    <w:rsid w:val="6E3409A6"/>
    <w:rsid w:val="6E70301A"/>
    <w:rsid w:val="6E7E3592"/>
    <w:rsid w:val="6E8D2754"/>
    <w:rsid w:val="6EBD38D4"/>
    <w:rsid w:val="6EC1741E"/>
    <w:rsid w:val="6ED1487D"/>
    <w:rsid w:val="6EE3165D"/>
    <w:rsid w:val="6F0F6AD0"/>
    <w:rsid w:val="6FB2109D"/>
    <w:rsid w:val="6FF6442E"/>
    <w:rsid w:val="70180D6C"/>
    <w:rsid w:val="70A37B0D"/>
    <w:rsid w:val="70F6426E"/>
    <w:rsid w:val="711337CF"/>
    <w:rsid w:val="71752843"/>
    <w:rsid w:val="71D53044"/>
    <w:rsid w:val="730A62E3"/>
    <w:rsid w:val="730A6625"/>
    <w:rsid w:val="733132F7"/>
    <w:rsid w:val="737B70AE"/>
    <w:rsid w:val="73D26A12"/>
    <w:rsid w:val="73D561DB"/>
    <w:rsid w:val="744233FF"/>
    <w:rsid w:val="74741B80"/>
    <w:rsid w:val="747E4CD7"/>
    <w:rsid w:val="749318D0"/>
    <w:rsid w:val="74A67693"/>
    <w:rsid w:val="74B31662"/>
    <w:rsid w:val="74FA71E2"/>
    <w:rsid w:val="75186268"/>
    <w:rsid w:val="75534144"/>
    <w:rsid w:val="755C0A1E"/>
    <w:rsid w:val="75640639"/>
    <w:rsid w:val="756B435B"/>
    <w:rsid w:val="75774810"/>
    <w:rsid w:val="760019EC"/>
    <w:rsid w:val="762067B4"/>
    <w:rsid w:val="763267CE"/>
    <w:rsid w:val="763A0126"/>
    <w:rsid w:val="768B50C1"/>
    <w:rsid w:val="770A0CC3"/>
    <w:rsid w:val="771D0648"/>
    <w:rsid w:val="775C3CBE"/>
    <w:rsid w:val="77690619"/>
    <w:rsid w:val="77745376"/>
    <w:rsid w:val="778B139E"/>
    <w:rsid w:val="77926222"/>
    <w:rsid w:val="77A45665"/>
    <w:rsid w:val="78022C45"/>
    <w:rsid w:val="783E00F7"/>
    <w:rsid w:val="785250C1"/>
    <w:rsid w:val="78800341"/>
    <w:rsid w:val="789E6F19"/>
    <w:rsid w:val="78AF0D10"/>
    <w:rsid w:val="78F92CAF"/>
    <w:rsid w:val="790B2F7B"/>
    <w:rsid w:val="79382A2A"/>
    <w:rsid w:val="79580BD4"/>
    <w:rsid w:val="798E037A"/>
    <w:rsid w:val="79D52956"/>
    <w:rsid w:val="79FF6408"/>
    <w:rsid w:val="7A3E01F1"/>
    <w:rsid w:val="7A8F4528"/>
    <w:rsid w:val="7AE442D8"/>
    <w:rsid w:val="7B1D7C08"/>
    <w:rsid w:val="7B2819A1"/>
    <w:rsid w:val="7BA56699"/>
    <w:rsid w:val="7BA8552F"/>
    <w:rsid w:val="7BA9056E"/>
    <w:rsid w:val="7C2E468E"/>
    <w:rsid w:val="7C864AD1"/>
    <w:rsid w:val="7CAF5B4A"/>
    <w:rsid w:val="7CBB67ED"/>
    <w:rsid w:val="7CE04990"/>
    <w:rsid w:val="7D1776C0"/>
    <w:rsid w:val="7D5156B8"/>
    <w:rsid w:val="7D536A50"/>
    <w:rsid w:val="7D6B1DE0"/>
    <w:rsid w:val="7D7854F4"/>
    <w:rsid w:val="7D8E7103"/>
    <w:rsid w:val="7D953805"/>
    <w:rsid w:val="7D9A6628"/>
    <w:rsid w:val="7DC10D75"/>
    <w:rsid w:val="7DEA4B23"/>
    <w:rsid w:val="7EDA7B13"/>
    <w:rsid w:val="7EDC1F2C"/>
    <w:rsid w:val="7EFB3638"/>
    <w:rsid w:val="7F5B4861"/>
    <w:rsid w:val="7F676689"/>
    <w:rsid w:val="7F71645B"/>
    <w:rsid w:val="7FAB531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iPriority="39" w:name="toc 6"/>
    <w:lsdException w:qFormat="1" w:uiPriority="39" w:name="toc 7"/>
    <w:lsdException w:qFormat="1" w:uiPriority="39" w:name="toc 8"/>
    <w:lsdException w:qFormat="1"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59"/>
    <w:autoRedefine/>
    <w:qFormat/>
    <w:uiPriority w:val="0"/>
    <w:pPr>
      <w:autoSpaceDE w:val="0"/>
      <w:autoSpaceDN w:val="0"/>
      <w:adjustRightInd w:val="0"/>
      <w:snapToGrid w:val="0"/>
      <w:spacing w:line="360" w:lineRule="auto"/>
      <w:ind w:left="3945" w:hanging="1320"/>
      <w:jc w:val="center"/>
      <w:outlineLvl w:val="0"/>
    </w:pPr>
    <w:rPr>
      <w:rFonts w:eastAsia="黑体"/>
      <w:sz w:val="44"/>
    </w:rPr>
  </w:style>
  <w:style w:type="paragraph" w:styleId="4">
    <w:name w:val="heading 2"/>
    <w:basedOn w:val="1"/>
    <w:next w:val="1"/>
    <w:link w:val="60"/>
    <w:qFormat/>
    <w:uiPriority w:val="0"/>
    <w:pPr>
      <w:autoSpaceDE w:val="0"/>
      <w:autoSpaceDN w:val="0"/>
      <w:adjustRightInd w:val="0"/>
      <w:snapToGrid w:val="0"/>
      <w:spacing w:line="360" w:lineRule="auto"/>
      <w:jc w:val="left"/>
      <w:outlineLvl w:val="1"/>
    </w:pPr>
    <w:rPr>
      <w:rFonts w:ascii="仿宋_GB2312" w:eastAsia="仿宋_GB2312"/>
      <w:b/>
      <w:spacing w:val="1"/>
      <w:w w:val="99"/>
      <w:kern w:val="0"/>
      <w:sz w:val="28"/>
    </w:rPr>
  </w:style>
  <w:style w:type="paragraph" w:styleId="5">
    <w:name w:val="heading 3"/>
    <w:basedOn w:val="1"/>
    <w:next w:val="1"/>
    <w:link w:val="61"/>
    <w:autoRedefine/>
    <w:qFormat/>
    <w:uiPriority w:val="0"/>
    <w:pPr>
      <w:autoSpaceDE w:val="0"/>
      <w:autoSpaceDN w:val="0"/>
      <w:adjustRightInd w:val="0"/>
      <w:spacing w:before="16"/>
      <w:jc w:val="left"/>
      <w:outlineLvl w:val="2"/>
    </w:pPr>
    <w:rPr>
      <w:rFonts w:ascii="仿宋_GB2312" w:eastAsia="仿宋_GB2312"/>
      <w:b/>
      <w:kern w:val="0"/>
      <w:sz w:val="24"/>
    </w:rPr>
  </w:style>
  <w:style w:type="paragraph" w:styleId="6">
    <w:name w:val="heading 4"/>
    <w:basedOn w:val="1"/>
    <w:next w:val="1"/>
    <w:link w:val="62"/>
    <w:autoRedefine/>
    <w:qFormat/>
    <w:uiPriority w:val="0"/>
    <w:pPr>
      <w:jc w:val="center"/>
      <w:outlineLvl w:val="3"/>
    </w:pPr>
  </w:style>
  <w:style w:type="paragraph" w:styleId="7">
    <w:name w:val="heading 5"/>
    <w:basedOn w:val="1"/>
    <w:next w:val="1"/>
    <w:link w:val="63"/>
    <w:autoRedefine/>
    <w:qFormat/>
    <w:uiPriority w:val="0"/>
    <w:pPr>
      <w:keepNext/>
      <w:keepLines/>
      <w:spacing w:before="280" w:after="290" w:line="374" w:lineRule="auto"/>
      <w:outlineLvl w:val="4"/>
    </w:pPr>
    <w:rPr>
      <w:b/>
      <w:sz w:val="28"/>
    </w:rPr>
  </w:style>
  <w:style w:type="paragraph" w:styleId="8">
    <w:name w:val="heading 6"/>
    <w:basedOn w:val="1"/>
    <w:next w:val="1"/>
    <w:link w:val="64"/>
    <w:autoRedefine/>
    <w:qFormat/>
    <w:uiPriority w:val="0"/>
    <w:pPr>
      <w:keepNext/>
      <w:keepLines/>
      <w:spacing w:before="240" w:after="64" w:line="319" w:lineRule="auto"/>
      <w:outlineLvl w:val="5"/>
    </w:pPr>
    <w:rPr>
      <w:rFonts w:ascii="Arial" w:hAnsi="Arial" w:eastAsia="黑体"/>
      <w:b/>
      <w:sz w:val="24"/>
    </w:rPr>
  </w:style>
  <w:style w:type="paragraph" w:styleId="9">
    <w:name w:val="heading 7"/>
    <w:basedOn w:val="1"/>
    <w:next w:val="1"/>
    <w:link w:val="65"/>
    <w:autoRedefine/>
    <w:qFormat/>
    <w:uiPriority w:val="0"/>
    <w:pPr>
      <w:keepNext/>
      <w:keepLines/>
      <w:spacing w:before="240" w:after="64" w:line="319" w:lineRule="auto"/>
      <w:outlineLvl w:val="6"/>
    </w:pPr>
    <w:rPr>
      <w:b/>
      <w:sz w:val="24"/>
    </w:rPr>
  </w:style>
  <w:style w:type="paragraph" w:styleId="10">
    <w:name w:val="heading 8"/>
    <w:basedOn w:val="1"/>
    <w:next w:val="1"/>
    <w:link w:val="66"/>
    <w:autoRedefine/>
    <w:qFormat/>
    <w:uiPriority w:val="0"/>
    <w:pPr>
      <w:keepNext/>
      <w:keepLines/>
      <w:spacing w:before="240" w:after="64" w:line="319" w:lineRule="auto"/>
      <w:outlineLvl w:val="7"/>
    </w:pPr>
    <w:rPr>
      <w:rFonts w:ascii="Arial" w:hAnsi="Arial" w:eastAsia="黑体"/>
      <w:sz w:val="24"/>
    </w:rPr>
  </w:style>
  <w:style w:type="paragraph" w:styleId="11">
    <w:name w:val="heading 9"/>
    <w:basedOn w:val="1"/>
    <w:next w:val="1"/>
    <w:link w:val="67"/>
    <w:autoRedefine/>
    <w:qFormat/>
    <w:uiPriority w:val="0"/>
    <w:pPr>
      <w:keepNext/>
      <w:keepLines/>
      <w:spacing w:before="240" w:after="64" w:line="319" w:lineRule="auto"/>
      <w:outlineLvl w:val="8"/>
    </w:pPr>
    <w:rPr>
      <w:rFonts w:ascii="Arial" w:hAnsi="Arial" w:eastAsia="黑体"/>
    </w:rPr>
  </w:style>
  <w:style w:type="character" w:default="1" w:styleId="45">
    <w:name w:val="Default Paragraph Font"/>
    <w:autoRedefine/>
    <w:semiHidden/>
    <w:unhideWhenUsed/>
    <w:qFormat/>
    <w:uiPriority w:val="1"/>
  </w:style>
  <w:style w:type="table" w:default="1" w:styleId="4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58"/>
    <w:autoRedefine/>
    <w:qFormat/>
    <w:uiPriority w:val="0"/>
    <w:rPr>
      <w:sz w:val="26"/>
    </w:rPr>
  </w:style>
  <w:style w:type="paragraph" w:styleId="12">
    <w:name w:val="Normal Indent"/>
    <w:basedOn w:val="1"/>
    <w:autoRedefine/>
    <w:qFormat/>
    <w:uiPriority w:val="0"/>
    <w:pPr>
      <w:adjustRightInd w:val="0"/>
      <w:spacing w:line="480" w:lineRule="atLeast"/>
      <w:ind w:firstLine="600"/>
      <w:textAlignment w:val="baseline"/>
    </w:pPr>
    <w:rPr>
      <w:rFonts w:eastAsia="仿宋_GB2312"/>
      <w:kern w:val="0"/>
      <w:sz w:val="30"/>
    </w:rPr>
  </w:style>
  <w:style w:type="paragraph" w:styleId="13">
    <w:name w:val="caption"/>
    <w:basedOn w:val="1"/>
    <w:next w:val="1"/>
    <w:autoRedefine/>
    <w:qFormat/>
    <w:uiPriority w:val="0"/>
    <w:rPr>
      <w:rFonts w:ascii="Cambria" w:hAnsi="Cambria" w:eastAsia="黑体"/>
      <w:sz w:val="20"/>
    </w:rPr>
  </w:style>
  <w:style w:type="paragraph" w:styleId="14">
    <w:name w:val="Document Map"/>
    <w:basedOn w:val="1"/>
    <w:link w:val="69"/>
    <w:autoRedefine/>
    <w:qFormat/>
    <w:uiPriority w:val="0"/>
    <w:pPr>
      <w:shd w:val="clear" w:color="auto" w:fill="000080"/>
    </w:pPr>
  </w:style>
  <w:style w:type="paragraph" w:styleId="15">
    <w:name w:val="annotation text"/>
    <w:basedOn w:val="1"/>
    <w:link w:val="70"/>
    <w:autoRedefine/>
    <w:qFormat/>
    <w:uiPriority w:val="99"/>
    <w:pPr>
      <w:adjustRightInd w:val="0"/>
      <w:spacing w:line="360" w:lineRule="atLeast"/>
      <w:jc w:val="left"/>
      <w:textAlignment w:val="baseline"/>
    </w:pPr>
    <w:rPr>
      <w:kern w:val="0"/>
      <w:sz w:val="24"/>
    </w:rPr>
  </w:style>
  <w:style w:type="paragraph" w:styleId="16">
    <w:name w:val="Body Text 3"/>
    <w:basedOn w:val="1"/>
    <w:link w:val="71"/>
    <w:autoRedefine/>
    <w:qFormat/>
    <w:uiPriority w:val="0"/>
    <w:pPr>
      <w:spacing w:after="120"/>
    </w:pPr>
    <w:rPr>
      <w:sz w:val="16"/>
    </w:rPr>
  </w:style>
  <w:style w:type="paragraph" w:styleId="17">
    <w:name w:val="Body Text Indent"/>
    <w:basedOn w:val="1"/>
    <w:link w:val="72"/>
    <w:autoRedefine/>
    <w:qFormat/>
    <w:uiPriority w:val="0"/>
    <w:pPr>
      <w:spacing w:line="360" w:lineRule="auto"/>
      <w:ind w:firstLine="560" w:firstLineChars="200"/>
    </w:pPr>
    <w:rPr>
      <w:rFonts w:ascii="黑体" w:hAnsi="宋体" w:eastAsia="黑体"/>
      <w:color w:val="000000"/>
      <w:sz w:val="28"/>
    </w:rPr>
  </w:style>
  <w:style w:type="paragraph" w:styleId="18">
    <w:name w:val="Block Text"/>
    <w:basedOn w:val="1"/>
    <w:autoRedefine/>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19">
    <w:name w:val="index 4"/>
    <w:basedOn w:val="1"/>
    <w:next w:val="1"/>
    <w:autoRedefine/>
    <w:qFormat/>
    <w:uiPriority w:val="0"/>
    <w:pPr>
      <w:ind w:left="600" w:leftChars="600"/>
    </w:pPr>
    <w:rPr>
      <w:szCs w:val="24"/>
    </w:rPr>
  </w:style>
  <w:style w:type="paragraph" w:styleId="20">
    <w:name w:val="toc 5"/>
    <w:basedOn w:val="1"/>
    <w:next w:val="1"/>
    <w:autoRedefine/>
    <w:qFormat/>
    <w:uiPriority w:val="0"/>
    <w:pPr>
      <w:tabs>
        <w:tab w:val="right" w:leader="dot" w:pos="8296"/>
      </w:tabs>
      <w:ind w:left="1050" w:leftChars="500"/>
    </w:pPr>
  </w:style>
  <w:style w:type="paragraph" w:styleId="21">
    <w:name w:val="toc 3"/>
    <w:basedOn w:val="1"/>
    <w:next w:val="1"/>
    <w:autoRedefine/>
    <w:unhideWhenUsed/>
    <w:qFormat/>
    <w:uiPriority w:val="39"/>
    <w:pPr>
      <w:ind w:left="840" w:leftChars="400"/>
    </w:pPr>
  </w:style>
  <w:style w:type="paragraph" w:styleId="22">
    <w:name w:val="Plain Text"/>
    <w:basedOn w:val="1"/>
    <w:next w:val="23"/>
    <w:link w:val="75"/>
    <w:autoRedefine/>
    <w:qFormat/>
    <w:uiPriority w:val="0"/>
    <w:rPr>
      <w:rFonts w:ascii="宋体" w:hAnsi="Courier New"/>
      <w:sz w:val="28"/>
    </w:rPr>
  </w:style>
  <w:style w:type="paragraph" w:styleId="23">
    <w:name w:val="Body Text Indent 2"/>
    <w:basedOn w:val="1"/>
    <w:next w:val="24"/>
    <w:link w:val="78"/>
    <w:autoRedefine/>
    <w:qFormat/>
    <w:uiPriority w:val="0"/>
    <w:pPr>
      <w:ind w:left="1005" w:hanging="1005"/>
    </w:pPr>
    <w:rPr>
      <w:rFonts w:eastAsia="仿宋_GB2312"/>
      <w:sz w:val="32"/>
    </w:rPr>
  </w:style>
  <w:style w:type="paragraph" w:customStyle="1" w:styleId="24">
    <w:name w:val="z正文"/>
    <w:basedOn w:val="22"/>
    <w:autoRedefine/>
    <w:qFormat/>
    <w:uiPriority w:val="0"/>
    <w:pPr>
      <w:tabs>
        <w:tab w:val="left" w:pos="525"/>
      </w:tabs>
      <w:snapToGrid w:val="0"/>
      <w:spacing w:line="360" w:lineRule="auto"/>
    </w:pPr>
    <w:rPr>
      <w:rFonts w:ascii="Times New Roman" w:hAnsi="宋体"/>
      <w:sz w:val="24"/>
      <w:szCs w:val="24"/>
    </w:rPr>
  </w:style>
  <w:style w:type="paragraph" w:styleId="25">
    <w:name w:val="Date"/>
    <w:basedOn w:val="1"/>
    <w:next w:val="1"/>
    <w:link w:val="77"/>
    <w:autoRedefine/>
    <w:qFormat/>
    <w:uiPriority w:val="0"/>
    <w:pPr>
      <w:ind w:left="100" w:leftChars="2500"/>
    </w:pPr>
  </w:style>
  <w:style w:type="paragraph" w:styleId="26">
    <w:name w:val="endnote text"/>
    <w:basedOn w:val="1"/>
    <w:link w:val="79"/>
    <w:autoRedefine/>
    <w:qFormat/>
    <w:uiPriority w:val="0"/>
    <w:pPr>
      <w:widowControl/>
      <w:snapToGrid w:val="0"/>
      <w:jc w:val="left"/>
    </w:pPr>
    <w:rPr>
      <w:rFonts w:ascii="Arial" w:hAnsi="Arial"/>
      <w:kern w:val="0"/>
      <w:sz w:val="20"/>
      <w:szCs w:val="24"/>
      <w:lang w:eastAsia="en-US"/>
    </w:rPr>
  </w:style>
  <w:style w:type="paragraph" w:styleId="27">
    <w:name w:val="Balloon Text"/>
    <w:basedOn w:val="1"/>
    <w:link w:val="80"/>
    <w:autoRedefine/>
    <w:qFormat/>
    <w:uiPriority w:val="0"/>
    <w:rPr>
      <w:sz w:val="18"/>
    </w:rPr>
  </w:style>
  <w:style w:type="paragraph" w:styleId="28">
    <w:name w:val="footer"/>
    <w:basedOn w:val="1"/>
    <w:next w:val="1"/>
    <w:link w:val="81"/>
    <w:autoRedefine/>
    <w:qFormat/>
    <w:uiPriority w:val="0"/>
    <w:pPr>
      <w:tabs>
        <w:tab w:val="center" w:pos="4153"/>
        <w:tab w:val="right" w:pos="8306"/>
      </w:tabs>
      <w:snapToGrid w:val="0"/>
      <w:jc w:val="left"/>
    </w:pPr>
    <w:rPr>
      <w:sz w:val="18"/>
    </w:rPr>
  </w:style>
  <w:style w:type="paragraph" w:styleId="29">
    <w:name w:val="header"/>
    <w:basedOn w:val="1"/>
    <w:link w:val="82"/>
    <w:autoRedefine/>
    <w:qFormat/>
    <w:uiPriority w:val="0"/>
    <w:pPr>
      <w:pBdr>
        <w:bottom w:val="single" w:color="auto" w:sz="6" w:space="1"/>
      </w:pBdr>
      <w:tabs>
        <w:tab w:val="center" w:pos="4153"/>
        <w:tab w:val="right" w:pos="8306"/>
      </w:tabs>
      <w:snapToGrid w:val="0"/>
      <w:jc w:val="center"/>
    </w:pPr>
    <w:rPr>
      <w:sz w:val="18"/>
    </w:rPr>
  </w:style>
  <w:style w:type="paragraph" w:styleId="30">
    <w:name w:val="toc 1"/>
    <w:basedOn w:val="1"/>
    <w:next w:val="1"/>
    <w:autoRedefine/>
    <w:qFormat/>
    <w:uiPriority w:val="39"/>
  </w:style>
  <w:style w:type="paragraph" w:styleId="31">
    <w:name w:val="toc 4"/>
    <w:basedOn w:val="1"/>
    <w:next w:val="1"/>
    <w:autoRedefine/>
    <w:qFormat/>
    <w:uiPriority w:val="0"/>
    <w:pPr>
      <w:tabs>
        <w:tab w:val="left" w:pos="1890"/>
        <w:tab w:val="right" w:leader="dot" w:pos="8296"/>
      </w:tabs>
      <w:ind w:left="630" w:leftChars="300"/>
    </w:pPr>
  </w:style>
  <w:style w:type="paragraph" w:styleId="32">
    <w:name w:val="Subtitle"/>
    <w:basedOn w:val="1"/>
    <w:link w:val="85"/>
    <w:autoRedefine/>
    <w:qFormat/>
    <w:uiPriority w:val="0"/>
    <w:pPr>
      <w:widowControl/>
      <w:jc w:val="center"/>
    </w:pPr>
    <w:rPr>
      <w:sz w:val="24"/>
      <w:u w:val="single"/>
      <w:lang w:eastAsia="en-US"/>
    </w:rPr>
  </w:style>
  <w:style w:type="paragraph" w:styleId="33">
    <w:name w:val="footnote text"/>
    <w:basedOn w:val="1"/>
    <w:link w:val="86"/>
    <w:autoRedefine/>
    <w:qFormat/>
    <w:uiPriority w:val="0"/>
    <w:pPr>
      <w:snapToGrid w:val="0"/>
      <w:jc w:val="left"/>
    </w:pPr>
    <w:rPr>
      <w:sz w:val="18"/>
    </w:rPr>
  </w:style>
  <w:style w:type="paragraph" w:styleId="34">
    <w:name w:val="Body Text Indent 3"/>
    <w:basedOn w:val="1"/>
    <w:link w:val="88"/>
    <w:autoRedefine/>
    <w:qFormat/>
    <w:uiPriority w:val="0"/>
    <w:pPr>
      <w:spacing w:after="120"/>
      <w:ind w:left="420" w:leftChars="200"/>
    </w:pPr>
    <w:rPr>
      <w:sz w:val="16"/>
    </w:rPr>
  </w:style>
  <w:style w:type="paragraph" w:styleId="35">
    <w:name w:val="toc 2"/>
    <w:basedOn w:val="1"/>
    <w:next w:val="1"/>
    <w:autoRedefine/>
    <w:unhideWhenUsed/>
    <w:qFormat/>
    <w:uiPriority w:val="39"/>
    <w:pPr>
      <w:ind w:left="420" w:leftChars="200"/>
    </w:pPr>
  </w:style>
  <w:style w:type="paragraph" w:styleId="36">
    <w:name w:val="Body Text 2"/>
    <w:basedOn w:val="1"/>
    <w:link w:val="91"/>
    <w:autoRedefine/>
    <w:qFormat/>
    <w:uiPriority w:val="0"/>
    <w:rPr>
      <w:i/>
      <w:sz w:val="26"/>
    </w:rPr>
  </w:style>
  <w:style w:type="paragraph" w:styleId="37">
    <w:name w:val="HTML Preformatted"/>
    <w:basedOn w:val="1"/>
    <w:link w:val="92"/>
    <w:autoRedefine/>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 w:val="24"/>
      <w:szCs w:val="24"/>
    </w:rPr>
  </w:style>
  <w:style w:type="paragraph" w:styleId="38">
    <w:name w:val="Normal (Web)"/>
    <w:basedOn w:val="1"/>
    <w:autoRedefine/>
    <w:qFormat/>
    <w:uiPriority w:val="0"/>
    <w:pPr>
      <w:widowControl/>
      <w:spacing w:before="100" w:beforeAutospacing="1" w:after="100" w:afterAutospacing="1"/>
      <w:jc w:val="left"/>
    </w:pPr>
    <w:rPr>
      <w:kern w:val="0"/>
      <w:sz w:val="24"/>
    </w:rPr>
  </w:style>
  <w:style w:type="paragraph" w:styleId="39">
    <w:name w:val="index 1"/>
    <w:basedOn w:val="1"/>
    <w:next w:val="1"/>
    <w:autoRedefine/>
    <w:qFormat/>
    <w:uiPriority w:val="0"/>
  </w:style>
  <w:style w:type="paragraph" w:styleId="40">
    <w:name w:val="Title"/>
    <w:basedOn w:val="1"/>
    <w:next w:val="1"/>
    <w:link w:val="93"/>
    <w:autoRedefine/>
    <w:qFormat/>
    <w:uiPriority w:val="0"/>
    <w:pPr>
      <w:widowControl/>
      <w:jc w:val="center"/>
    </w:pPr>
    <w:rPr>
      <w:kern w:val="0"/>
      <w:sz w:val="20"/>
      <w:szCs w:val="24"/>
      <w:u w:val="single"/>
      <w:lang w:eastAsia="en-US"/>
    </w:rPr>
  </w:style>
  <w:style w:type="paragraph" w:styleId="41">
    <w:name w:val="annotation subject"/>
    <w:basedOn w:val="15"/>
    <w:next w:val="15"/>
    <w:link w:val="94"/>
    <w:autoRedefine/>
    <w:qFormat/>
    <w:uiPriority w:val="0"/>
    <w:pPr>
      <w:adjustRightInd/>
      <w:spacing w:line="240" w:lineRule="auto"/>
      <w:textAlignment w:val="auto"/>
    </w:pPr>
  </w:style>
  <w:style w:type="paragraph" w:styleId="42">
    <w:name w:val="Body Text First Indent"/>
    <w:basedOn w:val="2"/>
    <w:next w:val="23"/>
    <w:autoRedefine/>
    <w:qFormat/>
    <w:uiPriority w:val="0"/>
    <w:pPr>
      <w:spacing w:line="360" w:lineRule="auto"/>
      <w:ind w:firstLine="420"/>
    </w:pPr>
    <w:rPr>
      <w:rFonts w:ascii="宋体" w:hAnsi="宋体"/>
      <w:sz w:val="24"/>
    </w:rPr>
  </w:style>
  <w:style w:type="table" w:styleId="44">
    <w:name w:val="Table Grid"/>
    <w:basedOn w:val="43"/>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6">
    <w:name w:val="Strong"/>
    <w:autoRedefine/>
    <w:qFormat/>
    <w:uiPriority w:val="0"/>
    <w:rPr>
      <w:b/>
    </w:rPr>
  </w:style>
  <w:style w:type="character" w:styleId="47">
    <w:name w:val="endnote reference"/>
    <w:autoRedefine/>
    <w:qFormat/>
    <w:uiPriority w:val="0"/>
    <w:rPr>
      <w:vertAlign w:val="superscript"/>
    </w:rPr>
  </w:style>
  <w:style w:type="character" w:styleId="48">
    <w:name w:val="page number"/>
    <w:basedOn w:val="45"/>
    <w:autoRedefine/>
    <w:qFormat/>
    <w:uiPriority w:val="0"/>
  </w:style>
  <w:style w:type="character" w:styleId="49">
    <w:name w:val="Emphasis"/>
    <w:autoRedefine/>
    <w:qFormat/>
    <w:uiPriority w:val="0"/>
    <w:rPr>
      <w:i/>
      <w:iCs/>
    </w:rPr>
  </w:style>
  <w:style w:type="character" w:styleId="50">
    <w:name w:val="Hyperlink"/>
    <w:autoRedefine/>
    <w:qFormat/>
    <w:uiPriority w:val="99"/>
    <w:rPr>
      <w:color w:val="0000FF"/>
      <w:u w:val="single"/>
    </w:rPr>
  </w:style>
  <w:style w:type="character" w:styleId="51">
    <w:name w:val="annotation reference"/>
    <w:autoRedefine/>
    <w:qFormat/>
    <w:uiPriority w:val="0"/>
    <w:rPr>
      <w:sz w:val="21"/>
    </w:rPr>
  </w:style>
  <w:style w:type="character" w:styleId="52">
    <w:name w:val="footnote reference"/>
    <w:autoRedefine/>
    <w:qFormat/>
    <w:uiPriority w:val="0"/>
    <w:rPr>
      <w:vertAlign w:val="superscript"/>
    </w:rPr>
  </w:style>
  <w:style w:type="paragraph" w:customStyle="1" w:styleId="53">
    <w:name w:val="Char Char1 Char Char Char Char Char Char Char"/>
    <w:basedOn w:val="1"/>
    <w:next w:val="54"/>
    <w:autoRedefine/>
    <w:qFormat/>
    <w:uiPriority w:val="0"/>
    <w:pPr>
      <w:pageBreakBefore/>
    </w:pPr>
    <w:rPr>
      <w:rFonts w:ascii="宋体" w:eastAsia="仿宋_GB2312"/>
      <w:sz w:val="28"/>
    </w:rPr>
  </w:style>
  <w:style w:type="paragraph" w:customStyle="1" w:styleId="54">
    <w:name w:val="默认段落字体 Para Char Char Char Char Char Char Char Char Char Char Char Char Char"/>
    <w:basedOn w:val="1"/>
    <w:next w:val="55"/>
    <w:qFormat/>
    <w:uiPriority w:val="0"/>
  </w:style>
  <w:style w:type="paragraph" w:customStyle="1" w:styleId="55">
    <w:name w:val="zw"/>
    <w:basedOn w:val="1"/>
    <w:next w:val="1"/>
    <w:autoRedefine/>
    <w:qFormat/>
    <w:uiPriority w:val="0"/>
    <w:pPr>
      <w:widowControl/>
      <w:spacing w:before="30"/>
      <w:ind w:left="100" w:right="100"/>
    </w:pPr>
    <w:rPr>
      <w:rFonts w:ascii="方正书宋简体" w:hAnsi="宋体" w:eastAsia="方正书宋简体"/>
      <w:color w:val="000000"/>
      <w:kern w:val="0"/>
      <w:szCs w:val="21"/>
    </w:rPr>
  </w:style>
  <w:style w:type="paragraph" w:customStyle="1" w:styleId="56">
    <w:name w:val="无间隔2"/>
    <w:basedOn w:val="1"/>
    <w:autoRedefine/>
    <w:qFormat/>
    <w:uiPriority w:val="0"/>
    <w:pPr>
      <w:spacing w:line="400" w:lineRule="exact"/>
    </w:pPr>
    <w:rPr>
      <w:sz w:val="24"/>
    </w:rPr>
  </w:style>
  <w:style w:type="paragraph" w:customStyle="1" w:styleId="57">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58">
    <w:name w:val="正文文本 字符"/>
    <w:link w:val="2"/>
    <w:autoRedefine/>
    <w:qFormat/>
    <w:uiPriority w:val="0"/>
    <w:rPr>
      <w:kern w:val="2"/>
      <w:sz w:val="26"/>
    </w:rPr>
  </w:style>
  <w:style w:type="character" w:customStyle="1" w:styleId="59">
    <w:name w:val="标题 1 字符"/>
    <w:link w:val="3"/>
    <w:autoRedefine/>
    <w:qFormat/>
    <w:uiPriority w:val="0"/>
    <w:rPr>
      <w:rFonts w:eastAsia="黑体"/>
      <w:kern w:val="2"/>
      <w:sz w:val="44"/>
    </w:rPr>
  </w:style>
  <w:style w:type="character" w:customStyle="1" w:styleId="60">
    <w:name w:val="标题 2 字符"/>
    <w:link w:val="4"/>
    <w:autoRedefine/>
    <w:qFormat/>
    <w:uiPriority w:val="0"/>
    <w:rPr>
      <w:rFonts w:ascii="仿宋_GB2312" w:eastAsia="仿宋_GB2312"/>
      <w:b/>
      <w:spacing w:val="1"/>
      <w:w w:val="99"/>
      <w:sz w:val="28"/>
    </w:rPr>
  </w:style>
  <w:style w:type="character" w:customStyle="1" w:styleId="61">
    <w:name w:val="标题 3 字符"/>
    <w:link w:val="5"/>
    <w:autoRedefine/>
    <w:qFormat/>
    <w:uiPriority w:val="0"/>
    <w:rPr>
      <w:rFonts w:ascii="仿宋_GB2312" w:eastAsia="仿宋_GB2312"/>
      <w:b/>
      <w:sz w:val="24"/>
    </w:rPr>
  </w:style>
  <w:style w:type="character" w:customStyle="1" w:styleId="62">
    <w:name w:val="标题 4 字符"/>
    <w:link w:val="6"/>
    <w:autoRedefine/>
    <w:qFormat/>
    <w:uiPriority w:val="0"/>
    <w:rPr>
      <w:rFonts w:ascii="仿宋_GB2312" w:eastAsia="仿宋_GB2312"/>
      <w:b/>
      <w:sz w:val="24"/>
    </w:rPr>
  </w:style>
  <w:style w:type="character" w:customStyle="1" w:styleId="63">
    <w:name w:val="标题 5 字符"/>
    <w:link w:val="7"/>
    <w:autoRedefine/>
    <w:qFormat/>
    <w:uiPriority w:val="0"/>
    <w:rPr>
      <w:b/>
      <w:kern w:val="2"/>
      <w:sz w:val="28"/>
    </w:rPr>
  </w:style>
  <w:style w:type="character" w:customStyle="1" w:styleId="64">
    <w:name w:val="标题 6 字符"/>
    <w:link w:val="8"/>
    <w:autoRedefine/>
    <w:qFormat/>
    <w:uiPriority w:val="0"/>
    <w:rPr>
      <w:rFonts w:ascii="Arial" w:hAnsi="Arial" w:eastAsia="黑体"/>
      <w:b/>
      <w:kern w:val="2"/>
      <w:sz w:val="24"/>
    </w:rPr>
  </w:style>
  <w:style w:type="character" w:customStyle="1" w:styleId="65">
    <w:name w:val="标题 7 字符"/>
    <w:link w:val="9"/>
    <w:autoRedefine/>
    <w:qFormat/>
    <w:uiPriority w:val="0"/>
    <w:rPr>
      <w:b/>
      <w:kern w:val="2"/>
      <w:sz w:val="24"/>
    </w:rPr>
  </w:style>
  <w:style w:type="character" w:customStyle="1" w:styleId="66">
    <w:name w:val="标题 8 字符"/>
    <w:link w:val="10"/>
    <w:autoRedefine/>
    <w:qFormat/>
    <w:uiPriority w:val="0"/>
    <w:rPr>
      <w:rFonts w:ascii="Arial" w:hAnsi="Arial" w:eastAsia="黑体"/>
      <w:kern w:val="2"/>
      <w:sz w:val="24"/>
    </w:rPr>
  </w:style>
  <w:style w:type="character" w:customStyle="1" w:styleId="67">
    <w:name w:val="标题 9 字符"/>
    <w:link w:val="11"/>
    <w:autoRedefine/>
    <w:qFormat/>
    <w:uiPriority w:val="0"/>
    <w:rPr>
      <w:rFonts w:ascii="Arial" w:hAnsi="Arial" w:eastAsia="黑体"/>
      <w:kern w:val="2"/>
      <w:sz w:val="21"/>
    </w:rPr>
  </w:style>
  <w:style w:type="paragraph" w:customStyle="1" w:styleId="68">
    <w:name w:val="TOC 71"/>
    <w:basedOn w:val="1"/>
    <w:next w:val="1"/>
    <w:autoRedefine/>
    <w:qFormat/>
    <w:uiPriority w:val="39"/>
    <w:pPr>
      <w:ind w:left="1260"/>
      <w:jc w:val="left"/>
    </w:pPr>
    <w:rPr>
      <w:rFonts w:ascii="Calibri" w:hAnsi="Calibri"/>
      <w:sz w:val="18"/>
    </w:rPr>
  </w:style>
  <w:style w:type="character" w:customStyle="1" w:styleId="69">
    <w:name w:val="文档结构图 字符"/>
    <w:link w:val="14"/>
    <w:autoRedefine/>
    <w:qFormat/>
    <w:uiPriority w:val="0"/>
    <w:rPr>
      <w:kern w:val="2"/>
      <w:sz w:val="21"/>
      <w:shd w:val="clear" w:color="auto" w:fill="000080"/>
    </w:rPr>
  </w:style>
  <w:style w:type="character" w:customStyle="1" w:styleId="70">
    <w:name w:val="批注文字 字符"/>
    <w:link w:val="15"/>
    <w:autoRedefine/>
    <w:qFormat/>
    <w:uiPriority w:val="99"/>
    <w:rPr>
      <w:sz w:val="24"/>
    </w:rPr>
  </w:style>
  <w:style w:type="character" w:customStyle="1" w:styleId="71">
    <w:name w:val="正文文本 3 字符"/>
    <w:link w:val="16"/>
    <w:autoRedefine/>
    <w:qFormat/>
    <w:uiPriority w:val="0"/>
    <w:rPr>
      <w:kern w:val="2"/>
      <w:sz w:val="16"/>
    </w:rPr>
  </w:style>
  <w:style w:type="character" w:customStyle="1" w:styleId="72">
    <w:name w:val="正文文本缩进 字符"/>
    <w:link w:val="17"/>
    <w:autoRedefine/>
    <w:qFormat/>
    <w:uiPriority w:val="0"/>
    <w:rPr>
      <w:rFonts w:ascii="黑体" w:hAnsi="宋体" w:eastAsia="黑体"/>
      <w:color w:val="000000"/>
      <w:kern w:val="2"/>
      <w:sz w:val="28"/>
    </w:rPr>
  </w:style>
  <w:style w:type="paragraph" w:customStyle="1" w:styleId="73">
    <w:name w:val="TOC 51"/>
    <w:basedOn w:val="1"/>
    <w:next w:val="1"/>
    <w:autoRedefine/>
    <w:qFormat/>
    <w:uiPriority w:val="39"/>
    <w:pPr>
      <w:ind w:left="840"/>
      <w:jc w:val="left"/>
    </w:pPr>
    <w:rPr>
      <w:rFonts w:ascii="Calibri" w:hAnsi="Calibri"/>
      <w:sz w:val="18"/>
    </w:rPr>
  </w:style>
  <w:style w:type="paragraph" w:customStyle="1" w:styleId="74">
    <w:name w:val="TOC 31"/>
    <w:basedOn w:val="1"/>
    <w:next w:val="1"/>
    <w:autoRedefine/>
    <w:qFormat/>
    <w:uiPriority w:val="39"/>
    <w:pPr>
      <w:ind w:left="420"/>
      <w:jc w:val="left"/>
    </w:pPr>
    <w:rPr>
      <w:rFonts w:ascii="Calibri" w:hAnsi="Calibri"/>
    </w:rPr>
  </w:style>
  <w:style w:type="character" w:customStyle="1" w:styleId="75">
    <w:name w:val="纯文本 字符"/>
    <w:link w:val="22"/>
    <w:autoRedefine/>
    <w:qFormat/>
    <w:uiPriority w:val="0"/>
    <w:rPr>
      <w:rFonts w:ascii="宋体" w:hAnsi="Courier New"/>
      <w:kern w:val="2"/>
      <w:sz w:val="28"/>
    </w:rPr>
  </w:style>
  <w:style w:type="paragraph" w:customStyle="1" w:styleId="76">
    <w:name w:val="TOC 81"/>
    <w:basedOn w:val="1"/>
    <w:next w:val="1"/>
    <w:autoRedefine/>
    <w:qFormat/>
    <w:uiPriority w:val="39"/>
    <w:pPr>
      <w:ind w:left="1470"/>
      <w:jc w:val="left"/>
    </w:pPr>
    <w:rPr>
      <w:rFonts w:ascii="Calibri" w:hAnsi="Calibri"/>
      <w:sz w:val="18"/>
    </w:rPr>
  </w:style>
  <w:style w:type="character" w:customStyle="1" w:styleId="77">
    <w:name w:val="日期 字符"/>
    <w:link w:val="25"/>
    <w:autoRedefine/>
    <w:qFormat/>
    <w:uiPriority w:val="0"/>
    <w:rPr>
      <w:kern w:val="2"/>
      <w:sz w:val="21"/>
    </w:rPr>
  </w:style>
  <w:style w:type="character" w:customStyle="1" w:styleId="78">
    <w:name w:val="正文文本缩进 2 字符"/>
    <w:link w:val="23"/>
    <w:autoRedefine/>
    <w:qFormat/>
    <w:uiPriority w:val="0"/>
    <w:rPr>
      <w:rFonts w:eastAsia="仿宋_GB2312"/>
      <w:kern w:val="2"/>
      <w:sz w:val="32"/>
      <w:lang w:val="en-US" w:eastAsia="zh-CN" w:bidi="ar-SA"/>
    </w:rPr>
  </w:style>
  <w:style w:type="character" w:customStyle="1" w:styleId="79">
    <w:name w:val="尾注文本 字符"/>
    <w:link w:val="26"/>
    <w:autoRedefine/>
    <w:qFormat/>
    <w:uiPriority w:val="0"/>
    <w:rPr>
      <w:rFonts w:ascii="Arial" w:hAnsi="Arial" w:cs="Arial"/>
      <w:szCs w:val="24"/>
      <w:lang w:eastAsia="en-US"/>
    </w:rPr>
  </w:style>
  <w:style w:type="character" w:customStyle="1" w:styleId="80">
    <w:name w:val="批注框文本 字符"/>
    <w:link w:val="27"/>
    <w:autoRedefine/>
    <w:qFormat/>
    <w:uiPriority w:val="0"/>
    <w:rPr>
      <w:kern w:val="2"/>
      <w:sz w:val="18"/>
    </w:rPr>
  </w:style>
  <w:style w:type="character" w:customStyle="1" w:styleId="81">
    <w:name w:val="页脚 字符"/>
    <w:link w:val="28"/>
    <w:autoRedefine/>
    <w:qFormat/>
    <w:uiPriority w:val="0"/>
    <w:rPr>
      <w:kern w:val="2"/>
      <w:sz w:val="18"/>
    </w:rPr>
  </w:style>
  <w:style w:type="character" w:customStyle="1" w:styleId="82">
    <w:name w:val="页眉 字符"/>
    <w:link w:val="29"/>
    <w:autoRedefine/>
    <w:qFormat/>
    <w:uiPriority w:val="0"/>
    <w:rPr>
      <w:kern w:val="2"/>
      <w:sz w:val="18"/>
    </w:rPr>
  </w:style>
  <w:style w:type="paragraph" w:customStyle="1" w:styleId="83">
    <w:name w:val="TOC 11"/>
    <w:basedOn w:val="1"/>
    <w:next w:val="1"/>
    <w:autoRedefine/>
    <w:qFormat/>
    <w:uiPriority w:val="39"/>
    <w:pPr>
      <w:tabs>
        <w:tab w:val="left" w:pos="1260"/>
        <w:tab w:val="right" w:leader="dot" w:pos="8637"/>
      </w:tabs>
      <w:spacing w:before="120" w:after="120"/>
      <w:ind w:firstLine="588" w:firstLineChars="245"/>
      <w:jc w:val="left"/>
    </w:pPr>
    <w:rPr>
      <w:rFonts w:ascii="宋体" w:hAnsi="宋体"/>
      <w:caps/>
      <w:snapToGrid w:val="0"/>
      <w:kern w:val="0"/>
      <w:sz w:val="24"/>
    </w:rPr>
  </w:style>
  <w:style w:type="paragraph" w:customStyle="1" w:styleId="84">
    <w:name w:val="TOC 41"/>
    <w:basedOn w:val="1"/>
    <w:next w:val="1"/>
    <w:autoRedefine/>
    <w:qFormat/>
    <w:uiPriority w:val="39"/>
    <w:pPr>
      <w:ind w:left="630"/>
      <w:jc w:val="left"/>
    </w:pPr>
    <w:rPr>
      <w:rFonts w:ascii="Calibri" w:hAnsi="Calibri"/>
      <w:sz w:val="18"/>
    </w:rPr>
  </w:style>
  <w:style w:type="character" w:customStyle="1" w:styleId="85">
    <w:name w:val="副标题 字符"/>
    <w:link w:val="32"/>
    <w:autoRedefine/>
    <w:qFormat/>
    <w:locked/>
    <w:uiPriority w:val="0"/>
    <w:rPr>
      <w:kern w:val="2"/>
      <w:sz w:val="24"/>
      <w:u w:val="single"/>
      <w:lang w:eastAsia="en-US"/>
    </w:rPr>
  </w:style>
  <w:style w:type="character" w:customStyle="1" w:styleId="86">
    <w:name w:val="脚注文本 字符"/>
    <w:link w:val="33"/>
    <w:autoRedefine/>
    <w:qFormat/>
    <w:uiPriority w:val="0"/>
    <w:rPr>
      <w:kern w:val="2"/>
      <w:sz w:val="18"/>
    </w:rPr>
  </w:style>
  <w:style w:type="paragraph" w:customStyle="1" w:styleId="87">
    <w:name w:val="TOC 61"/>
    <w:basedOn w:val="1"/>
    <w:next w:val="1"/>
    <w:autoRedefine/>
    <w:qFormat/>
    <w:uiPriority w:val="39"/>
    <w:pPr>
      <w:ind w:left="1050"/>
      <w:jc w:val="left"/>
    </w:pPr>
    <w:rPr>
      <w:rFonts w:ascii="Calibri" w:hAnsi="Calibri"/>
      <w:sz w:val="18"/>
    </w:rPr>
  </w:style>
  <w:style w:type="character" w:customStyle="1" w:styleId="88">
    <w:name w:val="正文文本缩进 3 字符"/>
    <w:link w:val="34"/>
    <w:autoRedefine/>
    <w:qFormat/>
    <w:uiPriority w:val="0"/>
    <w:rPr>
      <w:kern w:val="2"/>
      <w:sz w:val="16"/>
    </w:rPr>
  </w:style>
  <w:style w:type="paragraph" w:customStyle="1" w:styleId="89">
    <w:name w:val="TOC 21"/>
    <w:basedOn w:val="1"/>
    <w:next w:val="1"/>
    <w:autoRedefine/>
    <w:qFormat/>
    <w:uiPriority w:val="39"/>
    <w:pPr>
      <w:tabs>
        <w:tab w:val="right" w:leader="dot" w:pos="8609"/>
      </w:tabs>
      <w:ind w:left="210"/>
      <w:jc w:val="distribute"/>
    </w:pPr>
    <w:rPr>
      <w:rFonts w:ascii="Calibri" w:hAnsi="Calibri"/>
      <w:smallCaps/>
    </w:rPr>
  </w:style>
  <w:style w:type="paragraph" w:customStyle="1" w:styleId="90">
    <w:name w:val="TOC 91"/>
    <w:basedOn w:val="1"/>
    <w:next w:val="1"/>
    <w:autoRedefine/>
    <w:qFormat/>
    <w:uiPriority w:val="39"/>
    <w:pPr>
      <w:ind w:left="1680"/>
      <w:jc w:val="left"/>
    </w:pPr>
    <w:rPr>
      <w:rFonts w:ascii="Calibri" w:hAnsi="Calibri"/>
      <w:sz w:val="18"/>
    </w:rPr>
  </w:style>
  <w:style w:type="character" w:customStyle="1" w:styleId="91">
    <w:name w:val="正文文本 2 字符"/>
    <w:link w:val="36"/>
    <w:autoRedefine/>
    <w:qFormat/>
    <w:uiPriority w:val="0"/>
    <w:rPr>
      <w:i/>
      <w:kern w:val="2"/>
      <w:sz w:val="26"/>
    </w:rPr>
  </w:style>
  <w:style w:type="character" w:customStyle="1" w:styleId="92">
    <w:name w:val="HTML 预设格式 字符"/>
    <w:link w:val="37"/>
    <w:autoRedefine/>
    <w:qFormat/>
    <w:uiPriority w:val="0"/>
    <w:rPr>
      <w:rFonts w:ascii="宋体" w:hAnsi="宋体" w:cs="宋体"/>
      <w:color w:val="000000"/>
      <w:sz w:val="24"/>
      <w:szCs w:val="24"/>
    </w:rPr>
  </w:style>
  <w:style w:type="character" w:customStyle="1" w:styleId="93">
    <w:name w:val="标题 字符"/>
    <w:link w:val="40"/>
    <w:autoRedefine/>
    <w:qFormat/>
    <w:uiPriority w:val="0"/>
    <w:rPr>
      <w:szCs w:val="24"/>
      <w:u w:val="single"/>
      <w:lang w:eastAsia="en-US"/>
    </w:rPr>
  </w:style>
  <w:style w:type="character" w:customStyle="1" w:styleId="94">
    <w:name w:val="批注主题 字符"/>
    <w:link w:val="41"/>
    <w:autoRedefine/>
    <w:qFormat/>
    <w:uiPriority w:val="0"/>
  </w:style>
  <w:style w:type="paragraph" w:customStyle="1" w:styleId="95">
    <w:name w:val="正文文本首行缩进 21"/>
    <w:basedOn w:val="17"/>
    <w:autoRedefine/>
    <w:qFormat/>
    <w:uiPriority w:val="0"/>
    <w:pPr>
      <w:spacing w:after="120" w:line="240" w:lineRule="auto"/>
      <w:ind w:left="420" w:leftChars="200" w:firstLine="420"/>
    </w:pPr>
    <w:rPr>
      <w:rFonts w:ascii="Times New Roman" w:hAnsi="Times New Roman" w:eastAsia="宋体"/>
      <w:color w:val="auto"/>
      <w:sz w:val="21"/>
    </w:rPr>
  </w:style>
  <w:style w:type="character" w:customStyle="1" w:styleId="96">
    <w:name w:val="访问过的超链接1"/>
    <w:autoRedefine/>
    <w:qFormat/>
    <w:uiPriority w:val="0"/>
    <w:rPr>
      <w:color w:val="800080"/>
      <w:u w:val="single"/>
    </w:rPr>
  </w:style>
  <w:style w:type="character" w:customStyle="1" w:styleId="97">
    <w:name w:val="Char Char6"/>
    <w:autoRedefine/>
    <w:qFormat/>
    <w:uiPriority w:val="0"/>
    <w:rPr>
      <w:sz w:val="24"/>
    </w:rPr>
  </w:style>
  <w:style w:type="character" w:customStyle="1" w:styleId="98">
    <w:name w:val="Char Char7"/>
    <w:autoRedefine/>
    <w:qFormat/>
    <w:uiPriority w:val="0"/>
    <w:rPr>
      <w:kern w:val="2"/>
      <w:sz w:val="18"/>
    </w:rPr>
  </w:style>
  <w:style w:type="character" w:customStyle="1" w:styleId="99">
    <w:name w:val="Char Char8"/>
    <w:autoRedefine/>
    <w:qFormat/>
    <w:uiPriority w:val="0"/>
    <w:rPr>
      <w:rFonts w:ascii="仿宋_GB2312" w:eastAsia="仿宋_GB2312"/>
      <w:b/>
      <w:sz w:val="24"/>
    </w:rPr>
  </w:style>
  <w:style w:type="character" w:customStyle="1" w:styleId="100">
    <w:name w:val="标题 9 Char1"/>
    <w:autoRedefine/>
    <w:qFormat/>
    <w:uiPriority w:val="0"/>
    <w:rPr>
      <w:rFonts w:ascii="Times New Roman" w:hAnsi="Times New Roman" w:eastAsia="仿宋_GB2312" w:cs="Times New Roman"/>
      <w:sz w:val="30"/>
      <w:szCs w:val="20"/>
    </w:rPr>
  </w:style>
  <w:style w:type="character" w:customStyle="1" w:styleId="101">
    <w:name w:val="尾注文本 Char2"/>
    <w:autoRedefine/>
    <w:semiHidden/>
    <w:qFormat/>
    <w:uiPriority w:val="99"/>
    <w:rPr>
      <w:rFonts w:ascii="Calibri" w:hAnsi="Calibri" w:eastAsia="宋体" w:cs="Times New Roman"/>
      <w:szCs w:val="24"/>
    </w:rPr>
  </w:style>
  <w:style w:type="character" w:customStyle="1" w:styleId="102">
    <w:name w:val="脚注文本 Char2"/>
    <w:autoRedefine/>
    <w:semiHidden/>
    <w:qFormat/>
    <w:uiPriority w:val="99"/>
    <w:rPr>
      <w:rFonts w:ascii="Calibri" w:hAnsi="Calibri" w:eastAsia="宋体" w:cs="Times New Roman"/>
      <w:sz w:val="18"/>
      <w:szCs w:val="18"/>
    </w:rPr>
  </w:style>
  <w:style w:type="character" w:customStyle="1" w:styleId="103">
    <w:name w:val="批注文字 Char"/>
    <w:autoRedefine/>
    <w:qFormat/>
    <w:uiPriority w:val="0"/>
    <w:rPr>
      <w:rFonts w:ascii="Times New Roman" w:hAnsi="Times New Roman" w:eastAsia="宋体" w:cs="Times New Roman"/>
      <w:kern w:val="2"/>
      <w:sz w:val="21"/>
      <w:szCs w:val="24"/>
    </w:rPr>
  </w:style>
  <w:style w:type="character" w:customStyle="1" w:styleId="104">
    <w:name w:val="明显引用 Char"/>
    <w:autoRedefine/>
    <w:qFormat/>
    <w:uiPriority w:val="0"/>
    <w:rPr>
      <w:rFonts w:ascii="Times New Roman" w:hAnsi="Times New Roman" w:eastAsia="宋体" w:cs="Times New Roman"/>
      <w:b/>
      <w:bCs/>
      <w:i/>
      <w:iCs/>
      <w:color w:val="4F81BD"/>
      <w:kern w:val="2"/>
      <w:sz w:val="21"/>
      <w:szCs w:val="24"/>
    </w:rPr>
  </w:style>
  <w:style w:type="character" w:customStyle="1" w:styleId="105">
    <w:name w:val="不明显参考1"/>
    <w:autoRedefine/>
    <w:qFormat/>
    <w:uiPriority w:val="0"/>
    <w:rPr>
      <w:smallCaps/>
      <w:color w:val="C0504D"/>
      <w:u w:val="single"/>
    </w:rPr>
  </w:style>
  <w:style w:type="character" w:customStyle="1" w:styleId="106">
    <w:name w:val="5号正文 Char"/>
    <w:link w:val="107"/>
    <w:autoRedefine/>
    <w:qFormat/>
    <w:uiPriority w:val="0"/>
    <w:rPr>
      <w:rFonts w:ascii="宋体" w:hAnsi="宋体" w:eastAsia="Times New Roman"/>
      <w:snapToGrid w:val="0"/>
      <w:sz w:val="21"/>
      <w:szCs w:val="21"/>
      <w:lang w:val="en-US" w:eastAsia="zh-CN" w:bidi="ar-SA"/>
    </w:rPr>
  </w:style>
  <w:style w:type="paragraph" w:customStyle="1" w:styleId="107">
    <w:name w:val="5号正文"/>
    <w:link w:val="106"/>
    <w:autoRedefine/>
    <w:qFormat/>
    <w:uiPriority w:val="0"/>
    <w:pPr>
      <w:widowControl w:val="0"/>
      <w:spacing w:line="360" w:lineRule="exact"/>
      <w:ind w:firstLine="420" w:firstLineChars="200"/>
      <w:jc w:val="both"/>
    </w:pPr>
    <w:rPr>
      <w:rFonts w:ascii="宋体" w:hAnsi="宋体" w:eastAsia="Times New Roman" w:cs="Times New Roman"/>
      <w:snapToGrid w:val="0"/>
      <w:sz w:val="21"/>
      <w:szCs w:val="21"/>
      <w:lang w:val="en-US" w:eastAsia="zh-CN" w:bidi="ar-SA"/>
    </w:rPr>
  </w:style>
  <w:style w:type="character" w:customStyle="1" w:styleId="108">
    <w:name w:val="明显引用 Char5"/>
    <w:autoRedefine/>
    <w:qFormat/>
    <w:uiPriority w:val="30"/>
    <w:rPr>
      <w:b/>
      <w:bCs/>
      <w:i/>
      <w:iCs/>
      <w:color w:val="4F81BD"/>
      <w:kern w:val="2"/>
      <w:sz w:val="21"/>
    </w:rPr>
  </w:style>
  <w:style w:type="character" w:customStyle="1" w:styleId="109">
    <w:name w:val="ITTHEADER2 Char"/>
    <w:autoRedefine/>
    <w:qFormat/>
    <w:uiPriority w:val="0"/>
    <w:rPr>
      <w:rFonts w:ascii="仿宋_GB2312" w:eastAsia="仿宋_GB2312" w:cs="MingLiU"/>
      <w:b/>
      <w:spacing w:val="1"/>
      <w:w w:val="99"/>
      <w:sz w:val="28"/>
      <w:szCs w:val="32"/>
      <w:lang w:val="en-US" w:eastAsia="zh-CN" w:bidi="ar-SA"/>
    </w:rPr>
  </w:style>
  <w:style w:type="character" w:customStyle="1" w:styleId="110">
    <w:name w:val="Char Char23"/>
    <w:autoRedefine/>
    <w:qFormat/>
    <w:uiPriority w:val="0"/>
    <w:rPr>
      <w:rFonts w:ascii="Cambria" w:hAnsi="Cambria" w:eastAsia="宋体" w:cs="Times New Roman"/>
      <w:b/>
      <w:bCs/>
      <w:kern w:val="2"/>
      <w:sz w:val="32"/>
      <w:szCs w:val="32"/>
    </w:rPr>
  </w:style>
  <w:style w:type="character" w:customStyle="1" w:styleId="111">
    <w:name w:val="引用 Char"/>
    <w:link w:val="112"/>
    <w:autoRedefine/>
    <w:qFormat/>
    <w:uiPriority w:val="0"/>
    <w:rPr>
      <w:i/>
      <w:iCs/>
      <w:color w:val="000000"/>
      <w:kern w:val="2"/>
      <w:sz w:val="21"/>
      <w:szCs w:val="24"/>
    </w:rPr>
  </w:style>
  <w:style w:type="paragraph" w:customStyle="1" w:styleId="112">
    <w:name w:val="引用2"/>
    <w:basedOn w:val="1"/>
    <w:next w:val="1"/>
    <w:link w:val="111"/>
    <w:autoRedefine/>
    <w:qFormat/>
    <w:uiPriority w:val="0"/>
    <w:rPr>
      <w:i/>
      <w:iCs/>
      <w:color w:val="000000"/>
      <w:szCs w:val="24"/>
    </w:rPr>
  </w:style>
  <w:style w:type="character" w:customStyle="1" w:styleId="113">
    <w:name w:val="Char Char35"/>
    <w:autoRedefine/>
    <w:qFormat/>
    <w:uiPriority w:val="0"/>
    <w:rPr>
      <w:rFonts w:ascii="仿宋_GB2312" w:eastAsia="仿宋_GB2312" w:cs="MingLiU"/>
      <w:b/>
      <w:sz w:val="24"/>
      <w:szCs w:val="28"/>
    </w:rPr>
  </w:style>
  <w:style w:type="character" w:customStyle="1" w:styleId="114">
    <w:name w:val="招标正文 Char"/>
    <w:link w:val="115"/>
    <w:autoRedefine/>
    <w:qFormat/>
    <w:uiPriority w:val="0"/>
    <w:rPr>
      <w:rFonts w:eastAsia="宋体"/>
      <w:kern w:val="2"/>
      <w:sz w:val="21"/>
      <w:szCs w:val="18"/>
      <w:lang w:val="en-US" w:eastAsia="zh-CN" w:bidi="ar-SA"/>
    </w:rPr>
  </w:style>
  <w:style w:type="paragraph" w:customStyle="1" w:styleId="115">
    <w:name w:val="招标正文"/>
    <w:basedOn w:val="1"/>
    <w:link w:val="114"/>
    <w:autoRedefine/>
    <w:qFormat/>
    <w:uiPriority w:val="0"/>
    <w:pPr>
      <w:spacing w:line="300" w:lineRule="auto"/>
      <w:ind w:firstLine="420" w:firstLineChars="200"/>
    </w:pPr>
    <w:rPr>
      <w:szCs w:val="18"/>
    </w:rPr>
  </w:style>
  <w:style w:type="character" w:customStyle="1" w:styleId="116">
    <w:name w:val="引用 Char5"/>
    <w:autoRedefine/>
    <w:qFormat/>
    <w:uiPriority w:val="29"/>
    <w:rPr>
      <w:i/>
      <w:iCs/>
      <w:color w:val="000000"/>
      <w:kern w:val="2"/>
      <w:sz w:val="21"/>
    </w:rPr>
  </w:style>
  <w:style w:type="character" w:customStyle="1" w:styleId="117">
    <w:name w:val="引用 字符"/>
    <w:link w:val="118"/>
    <w:autoRedefine/>
    <w:qFormat/>
    <w:uiPriority w:val="0"/>
    <w:rPr>
      <w:i/>
      <w:iCs/>
      <w:color w:val="000000"/>
      <w:kern w:val="2"/>
      <w:sz w:val="21"/>
      <w:szCs w:val="22"/>
    </w:rPr>
  </w:style>
  <w:style w:type="paragraph" w:styleId="118">
    <w:name w:val="Quote"/>
    <w:basedOn w:val="1"/>
    <w:next w:val="1"/>
    <w:link w:val="117"/>
    <w:autoRedefine/>
    <w:qFormat/>
    <w:uiPriority w:val="0"/>
    <w:rPr>
      <w:i/>
      <w:iCs/>
      <w:color w:val="000000"/>
      <w:szCs w:val="22"/>
    </w:rPr>
  </w:style>
  <w:style w:type="character" w:customStyle="1" w:styleId="119">
    <w:name w:val="Char Char2"/>
    <w:autoRedefine/>
    <w:qFormat/>
    <w:uiPriority w:val="0"/>
    <w:rPr>
      <w:kern w:val="2"/>
      <w:sz w:val="26"/>
    </w:rPr>
  </w:style>
  <w:style w:type="character" w:customStyle="1" w:styleId="120">
    <w:name w:val="副标题 Char3"/>
    <w:autoRedefine/>
    <w:qFormat/>
    <w:uiPriority w:val="0"/>
    <w:rPr>
      <w:rFonts w:eastAsia="宋体"/>
      <w:szCs w:val="24"/>
      <w:u w:val="single"/>
      <w:lang w:val="en-US" w:eastAsia="en-US" w:bidi="ar-SA"/>
    </w:rPr>
  </w:style>
  <w:style w:type="character" w:customStyle="1" w:styleId="121">
    <w:name w:val="style31"/>
    <w:autoRedefine/>
    <w:qFormat/>
    <w:uiPriority w:val="0"/>
    <w:rPr>
      <w:sz w:val="10"/>
      <w:szCs w:val="10"/>
    </w:rPr>
  </w:style>
  <w:style w:type="character" w:customStyle="1" w:styleId="122">
    <w:name w:val="尾注文本 Char1"/>
    <w:autoRedefine/>
    <w:qFormat/>
    <w:uiPriority w:val="0"/>
    <w:rPr>
      <w:rFonts w:ascii="Arial" w:hAnsi="Arial" w:cs="Arial"/>
      <w:szCs w:val="24"/>
      <w:lang w:eastAsia="en-US"/>
    </w:rPr>
  </w:style>
  <w:style w:type="character" w:customStyle="1" w:styleId="123">
    <w:name w:val="HTML 预设格式 Char4"/>
    <w:autoRedefine/>
    <w:qFormat/>
    <w:uiPriority w:val="0"/>
    <w:rPr>
      <w:rFonts w:ascii="Courier New" w:hAnsi="Courier New" w:cs="Courier New"/>
      <w:kern w:val="2"/>
    </w:rPr>
  </w:style>
  <w:style w:type="character" w:customStyle="1" w:styleId="124">
    <w:name w:val="标题 3 Char1"/>
    <w:autoRedefine/>
    <w:qFormat/>
    <w:uiPriority w:val="0"/>
    <w:rPr>
      <w:rFonts w:ascii="Times New Roman" w:hAnsi="Times New Roman" w:eastAsia="宋体" w:cs="Times New Roman"/>
      <w:b/>
      <w:bCs/>
      <w:kern w:val="2"/>
      <w:sz w:val="32"/>
      <w:szCs w:val="32"/>
    </w:rPr>
  </w:style>
  <w:style w:type="character" w:customStyle="1" w:styleId="125">
    <w:name w:val="标题 6 Char"/>
    <w:autoRedefine/>
    <w:qFormat/>
    <w:uiPriority w:val="0"/>
    <w:rPr>
      <w:rFonts w:ascii="Arial" w:hAnsi="Arial" w:eastAsia="黑体" w:cs="Times New Roman"/>
      <w:b/>
      <w:bCs/>
      <w:sz w:val="24"/>
      <w:szCs w:val="24"/>
    </w:rPr>
  </w:style>
  <w:style w:type="character" w:customStyle="1" w:styleId="126">
    <w:name w:val="正文文本缩进 Char"/>
    <w:autoRedefine/>
    <w:qFormat/>
    <w:uiPriority w:val="0"/>
    <w:rPr>
      <w:rFonts w:ascii="黑体" w:hAnsi="宋体" w:eastAsia="黑体"/>
      <w:color w:val="000000"/>
      <w:sz w:val="28"/>
      <w:szCs w:val="32"/>
    </w:rPr>
  </w:style>
  <w:style w:type="character" w:customStyle="1" w:styleId="127">
    <w:name w:val="日期 Char3"/>
    <w:autoRedefine/>
    <w:semiHidden/>
    <w:qFormat/>
    <w:uiPriority w:val="99"/>
    <w:rPr>
      <w:rFonts w:ascii="Calibri" w:hAnsi="Calibri" w:eastAsia="宋体" w:cs="Times New Roman"/>
      <w:szCs w:val="24"/>
    </w:rPr>
  </w:style>
  <w:style w:type="character" w:customStyle="1" w:styleId="128">
    <w:name w:val="Char Char21"/>
    <w:autoRedefine/>
    <w:qFormat/>
    <w:uiPriority w:val="0"/>
    <w:rPr>
      <w:rFonts w:ascii="宋体" w:hAnsi="宋体" w:cs="宋体"/>
      <w:b/>
      <w:bCs/>
      <w:sz w:val="24"/>
      <w:szCs w:val="24"/>
    </w:rPr>
  </w:style>
  <w:style w:type="character" w:customStyle="1" w:styleId="129">
    <w:name w:val="尾注文本 Char4"/>
    <w:autoRedefine/>
    <w:qFormat/>
    <w:uiPriority w:val="0"/>
    <w:rPr>
      <w:kern w:val="2"/>
      <w:sz w:val="21"/>
    </w:rPr>
  </w:style>
  <w:style w:type="character" w:customStyle="1" w:styleId="130">
    <w:name w:val="正文文本 3 Char2"/>
    <w:autoRedefine/>
    <w:semiHidden/>
    <w:qFormat/>
    <w:uiPriority w:val="99"/>
    <w:rPr>
      <w:rFonts w:ascii="Calibri" w:hAnsi="Calibri" w:eastAsia="宋体" w:cs="Times New Roman"/>
      <w:sz w:val="16"/>
      <w:szCs w:val="16"/>
    </w:rPr>
  </w:style>
  <w:style w:type="character" w:customStyle="1" w:styleId="131">
    <w:name w:val="批注文字 Char2"/>
    <w:autoRedefine/>
    <w:qFormat/>
    <w:uiPriority w:val="0"/>
    <w:rPr>
      <w:rFonts w:ascii="Calibri" w:hAnsi="Calibri" w:eastAsia="宋体" w:cs="Times New Roman"/>
      <w:szCs w:val="24"/>
    </w:rPr>
  </w:style>
  <w:style w:type="character" w:customStyle="1" w:styleId="132">
    <w:name w:val="style121"/>
    <w:autoRedefine/>
    <w:qFormat/>
    <w:uiPriority w:val="0"/>
    <w:rPr>
      <w:rFonts w:hint="eastAsia" w:ascii="宋体" w:hAnsi="宋体" w:eastAsia="宋体"/>
      <w:sz w:val="18"/>
      <w:szCs w:val="18"/>
    </w:rPr>
  </w:style>
  <w:style w:type="character" w:customStyle="1" w:styleId="133">
    <w:name w:val="！正文 Alt+0 Char"/>
    <w:link w:val="134"/>
    <w:autoRedefine/>
    <w:qFormat/>
    <w:uiPriority w:val="0"/>
    <w:rPr>
      <w:rFonts w:eastAsia="仿宋"/>
      <w:sz w:val="28"/>
      <w:szCs w:val="28"/>
    </w:rPr>
  </w:style>
  <w:style w:type="paragraph" w:customStyle="1" w:styleId="134">
    <w:name w:val="！正文 Alt+0"/>
    <w:basedOn w:val="1"/>
    <w:link w:val="133"/>
    <w:autoRedefine/>
    <w:qFormat/>
    <w:uiPriority w:val="0"/>
    <w:pPr>
      <w:spacing w:line="360" w:lineRule="auto"/>
      <w:ind w:firstLine="560" w:firstLineChars="200"/>
    </w:pPr>
    <w:rPr>
      <w:rFonts w:eastAsia="仿宋"/>
      <w:kern w:val="0"/>
      <w:sz w:val="28"/>
      <w:szCs w:val="28"/>
    </w:rPr>
  </w:style>
  <w:style w:type="character" w:customStyle="1" w:styleId="135">
    <w:name w:val="页眉 Char"/>
    <w:autoRedefine/>
    <w:qFormat/>
    <w:uiPriority w:val="0"/>
    <w:rPr>
      <w:sz w:val="18"/>
      <w:szCs w:val="18"/>
    </w:rPr>
  </w:style>
  <w:style w:type="character" w:customStyle="1" w:styleId="136">
    <w:name w:val="标题 Char"/>
    <w:autoRedefine/>
    <w:qFormat/>
    <w:uiPriority w:val="0"/>
    <w:rPr>
      <w:rFonts w:ascii="Cambria" w:hAnsi="Cambria" w:eastAsia="宋体" w:cs="Times New Roman"/>
      <w:b/>
      <w:bCs/>
      <w:kern w:val="2"/>
      <w:sz w:val="32"/>
      <w:szCs w:val="32"/>
    </w:rPr>
  </w:style>
  <w:style w:type="character" w:customStyle="1" w:styleId="137">
    <w:name w:val="批注框文本 Char"/>
    <w:autoRedefine/>
    <w:qFormat/>
    <w:uiPriority w:val="0"/>
    <w:rPr>
      <w:sz w:val="18"/>
      <w:szCs w:val="18"/>
    </w:rPr>
  </w:style>
  <w:style w:type="character" w:customStyle="1" w:styleId="138">
    <w:name w:val="批注主题 Char4"/>
    <w:autoRedefine/>
    <w:qFormat/>
    <w:uiPriority w:val="0"/>
    <w:rPr>
      <w:rFonts w:eastAsia="宋体"/>
      <w:b/>
      <w:bCs/>
      <w:kern w:val="2"/>
      <w:sz w:val="21"/>
      <w:szCs w:val="24"/>
      <w:lang w:val="en-US" w:eastAsia="zh-CN" w:bidi="ar-SA"/>
    </w:rPr>
  </w:style>
  <w:style w:type="character" w:customStyle="1" w:styleId="139">
    <w:name w:val="明显参考1"/>
    <w:autoRedefine/>
    <w:qFormat/>
    <w:uiPriority w:val="0"/>
    <w:rPr>
      <w:b/>
      <w:bCs/>
      <w:smallCaps/>
      <w:color w:val="C0504D"/>
      <w:spacing w:val="5"/>
      <w:u w:val="single"/>
    </w:rPr>
  </w:style>
  <w:style w:type="character" w:customStyle="1" w:styleId="140">
    <w:name w:val="明显引用 Char1"/>
    <w:link w:val="141"/>
    <w:autoRedefine/>
    <w:qFormat/>
    <w:uiPriority w:val="30"/>
    <w:rPr>
      <w:b/>
      <w:bCs/>
      <w:i/>
      <w:iCs/>
      <w:color w:val="4F81BD"/>
      <w:kern w:val="2"/>
      <w:sz w:val="21"/>
    </w:rPr>
  </w:style>
  <w:style w:type="paragraph" w:customStyle="1" w:styleId="141">
    <w:name w:val="明显引用1"/>
    <w:basedOn w:val="1"/>
    <w:next w:val="1"/>
    <w:link w:val="140"/>
    <w:autoRedefine/>
    <w:qFormat/>
    <w:uiPriority w:val="30"/>
    <w:pPr>
      <w:pBdr>
        <w:bottom w:val="single" w:color="4F81BD" w:sz="4" w:space="4"/>
      </w:pBdr>
      <w:spacing w:before="200" w:after="280"/>
      <w:ind w:left="936" w:right="936"/>
    </w:pPr>
    <w:rPr>
      <w:b/>
      <w:bCs/>
      <w:i/>
      <w:iCs/>
      <w:color w:val="4F81BD"/>
    </w:rPr>
  </w:style>
  <w:style w:type="character" w:customStyle="1" w:styleId="142">
    <w:name w:val="Char Char12"/>
    <w:autoRedefine/>
    <w:qFormat/>
    <w:uiPriority w:val="0"/>
    <w:rPr>
      <w:rFonts w:eastAsia="黑体"/>
      <w:kern w:val="2"/>
      <w:sz w:val="44"/>
      <w:szCs w:val="44"/>
      <w:lang w:val="en-US" w:eastAsia="zh-CN" w:bidi="ar-SA"/>
    </w:rPr>
  </w:style>
  <w:style w:type="character" w:customStyle="1" w:styleId="143">
    <w:name w:val="副标题 Char2"/>
    <w:autoRedefine/>
    <w:qFormat/>
    <w:uiPriority w:val="11"/>
    <w:rPr>
      <w:rFonts w:ascii="Cambria" w:hAnsi="Cambria" w:eastAsia="宋体" w:cs="Times New Roman"/>
      <w:b/>
      <w:bCs/>
      <w:kern w:val="28"/>
      <w:sz w:val="32"/>
      <w:szCs w:val="32"/>
    </w:rPr>
  </w:style>
  <w:style w:type="character" w:customStyle="1" w:styleId="144">
    <w:name w:val="标题 5 Char"/>
    <w:autoRedefine/>
    <w:qFormat/>
    <w:uiPriority w:val="0"/>
    <w:rPr>
      <w:rFonts w:ascii="Calibri" w:hAnsi="Calibri" w:eastAsia="宋体" w:cs="Times New Roman"/>
      <w:b/>
      <w:bCs/>
      <w:sz w:val="28"/>
      <w:szCs w:val="28"/>
    </w:rPr>
  </w:style>
  <w:style w:type="character" w:customStyle="1" w:styleId="145">
    <w:name w:val="批注文字 Char1"/>
    <w:autoRedefine/>
    <w:qFormat/>
    <w:uiPriority w:val="99"/>
    <w:rPr>
      <w:rFonts w:ascii="Times New Roman" w:hAnsi="Times New Roman" w:eastAsia="宋体" w:cs="Times New Roman"/>
      <w:szCs w:val="24"/>
    </w:rPr>
  </w:style>
  <w:style w:type="character" w:customStyle="1" w:styleId="146">
    <w:name w:val="批注框文本 Char1"/>
    <w:autoRedefine/>
    <w:qFormat/>
    <w:uiPriority w:val="0"/>
    <w:rPr>
      <w:kern w:val="2"/>
      <w:sz w:val="18"/>
      <w:szCs w:val="18"/>
    </w:rPr>
  </w:style>
  <w:style w:type="character" w:customStyle="1" w:styleId="147">
    <w:name w:val="l1"/>
    <w:autoRedefine/>
    <w:qFormat/>
    <w:uiPriority w:val="0"/>
  </w:style>
  <w:style w:type="character" w:customStyle="1" w:styleId="148">
    <w:name w:val="招标节 Char"/>
    <w:link w:val="149"/>
    <w:autoRedefine/>
    <w:qFormat/>
    <w:uiPriority w:val="0"/>
    <w:rPr>
      <w:rFonts w:eastAsia="黑体"/>
      <w:b/>
      <w:kern w:val="2"/>
      <w:sz w:val="21"/>
      <w:szCs w:val="18"/>
      <w:lang w:val="en-US" w:eastAsia="zh-CN" w:bidi="ar-SA"/>
    </w:rPr>
  </w:style>
  <w:style w:type="paragraph" w:customStyle="1" w:styleId="149">
    <w:name w:val="招标节"/>
    <w:basedOn w:val="1"/>
    <w:next w:val="150"/>
    <w:link w:val="148"/>
    <w:autoRedefine/>
    <w:qFormat/>
    <w:uiPriority w:val="0"/>
    <w:pPr>
      <w:spacing w:beforeLines="50" w:afterLines="50"/>
      <w:outlineLvl w:val="1"/>
    </w:pPr>
    <w:rPr>
      <w:rFonts w:eastAsia="黑体"/>
      <w:b/>
      <w:szCs w:val="18"/>
    </w:rPr>
  </w:style>
  <w:style w:type="paragraph" w:customStyle="1" w:styleId="150">
    <w:name w:val="小标题"/>
    <w:basedOn w:val="115"/>
    <w:next w:val="115"/>
    <w:link w:val="151"/>
    <w:autoRedefine/>
    <w:qFormat/>
    <w:uiPriority w:val="0"/>
    <w:pPr>
      <w:ind w:firstLine="0" w:firstLineChars="0"/>
      <w:outlineLvl w:val="2"/>
    </w:pPr>
    <w:rPr>
      <w:rFonts w:eastAsia="黑体"/>
    </w:rPr>
  </w:style>
  <w:style w:type="character" w:customStyle="1" w:styleId="151">
    <w:name w:val="小标题 Char"/>
    <w:link w:val="150"/>
    <w:autoRedefine/>
    <w:qFormat/>
    <w:uiPriority w:val="0"/>
    <w:rPr>
      <w:rFonts w:eastAsia="黑体"/>
      <w:kern w:val="2"/>
      <w:sz w:val="21"/>
      <w:szCs w:val="18"/>
      <w:lang w:val="en-US" w:eastAsia="zh-CN" w:bidi="ar-SA"/>
    </w:rPr>
  </w:style>
  <w:style w:type="character" w:customStyle="1" w:styleId="152">
    <w:name w:val="引用 Char3"/>
    <w:autoRedefine/>
    <w:qFormat/>
    <w:uiPriority w:val="29"/>
    <w:rPr>
      <w:rFonts w:ascii="Calibri" w:hAnsi="Calibri" w:eastAsia="宋体" w:cs="Times New Roman"/>
      <w:i/>
      <w:iCs/>
      <w:color w:val="000000"/>
      <w:szCs w:val="24"/>
    </w:rPr>
  </w:style>
  <w:style w:type="character" w:customStyle="1" w:styleId="153">
    <w:name w:val="文档结构图 Char1"/>
    <w:autoRedefine/>
    <w:qFormat/>
    <w:uiPriority w:val="0"/>
    <w:rPr>
      <w:rFonts w:ascii="宋体"/>
      <w:kern w:val="2"/>
      <w:sz w:val="18"/>
      <w:szCs w:val="18"/>
    </w:rPr>
  </w:style>
  <w:style w:type="character" w:customStyle="1" w:styleId="154">
    <w:name w:val="标题 2 Char"/>
    <w:autoRedefine/>
    <w:qFormat/>
    <w:uiPriority w:val="0"/>
    <w:rPr>
      <w:rFonts w:ascii="仿宋_GB2312" w:hAnsi="Calibri" w:eastAsia="仿宋_GB2312" w:cs="Times New Roman"/>
      <w:b/>
      <w:spacing w:val="1"/>
      <w:w w:val="99"/>
      <w:kern w:val="0"/>
      <w:sz w:val="28"/>
      <w:szCs w:val="32"/>
    </w:rPr>
  </w:style>
  <w:style w:type="character" w:customStyle="1" w:styleId="155">
    <w:name w:val="docpro"/>
    <w:autoRedefine/>
    <w:qFormat/>
    <w:uiPriority w:val="0"/>
  </w:style>
  <w:style w:type="character" w:customStyle="1" w:styleId="156">
    <w:name w:val="明显参考2"/>
    <w:autoRedefine/>
    <w:qFormat/>
    <w:uiPriority w:val="0"/>
    <w:rPr>
      <w:b/>
      <w:bCs/>
      <w:smallCaps/>
      <w:color w:val="C0504D"/>
      <w:spacing w:val="5"/>
      <w:u w:val="single"/>
    </w:rPr>
  </w:style>
  <w:style w:type="character" w:customStyle="1" w:styleId="157">
    <w:name w:val="normaltext1"/>
    <w:autoRedefine/>
    <w:qFormat/>
    <w:uiPriority w:val="0"/>
    <w:rPr>
      <w:rFonts w:hint="default" w:ascii="ˎ̥" w:hAnsi="ˎ̥"/>
      <w:sz w:val="9"/>
      <w:szCs w:val="9"/>
    </w:rPr>
  </w:style>
  <w:style w:type="character" w:customStyle="1" w:styleId="158">
    <w:name w:val="页眉 Char1"/>
    <w:autoRedefine/>
    <w:semiHidden/>
    <w:qFormat/>
    <w:uiPriority w:val="99"/>
    <w:rPr>
      <w:kern w:val="2"/>
      <w:sz w:val="18"/>
      <w:szCs w:val="18"/>
    </w:rPr>
  </w:style>
  <w:style w:type="character" w:customStyle="1" w:styleId="159">
    <w:name w:val="Char Char14"/>
    <w:autoRedefine/>
    <w:qFormat/>
    <w:uiPriority w:val="0"/>
    <w:rPr>
      <w:kern w:val="2"/>
      <w:sz w:val="18"/>
      <w:szCs w:val="18"/>
    </w:rPr>
  </w:style>
  <w:style w:type="character" w:customStyle="1" w:styleId="160">
    <w:name w:val="ca-141"/>
    <w:autoRedefine/>
    <w:qFormat/>
    <w:uiPriority w:val="0"/>
    <w:rPr>
      <w:rFonts w:hint="eastAsia" w:ascii="仿宋_GB2312" w:eastAsia="仿宋_GB2312"/>
      <w:sz w:val="21"/>
      <w:szCs w:val="21"/>
    </w:rPr>
  </w:style>
  <w:style w:type="character" w:customStyle="1" w:styleId="161">
    <w:name w:val="普通文字 Char Char2"/>
    <w:autoRedefine/>
    <w:qFormat/>
    <w:uiPriority w:val="0"/>
    <w:rPr>
      <w:rFonts w:ascii="宋体" w:hAnsi="Courier New"/>
      <w:kern w:val="2"/>
      <w:sz w:val="28"/>
      <w:szCs w:val="28"/>
    </w:rPr>
  </w:style>
  <w:style w:type="character" w:customStyle="1" w:styleId="162">
    <w:name w:val="引用 Char2"/>
    <w:autoRedefine/>
    <w:qFormat/>
    <w:uiPriority w:val="99"/>
    <w:rPr>
      <w:i/>
      <w:iCs/>
      <w:color w:val="000000"/>
      <w:kern w:val="2"/>
      <w:sz w:val="21"/>
      <w:szCs w:val="24"/>
    </w:rPr>
  </w:style>
  <w:style w:type="character" w:customStyle="1" w:styleId="163">
    <w:name w:val="页脚 Char1"/>
    <w:autoRedefine/>
    <w:semiHidden/>
    <w:qFormat/>
    <w:uiPriority w:val="99"/>
    <w:rPr>
      <w:kern w:val="2"/>
      <w:sz w:val="18"/>
      <w:szCs w:val="18"/>
    </w:rPr>
  </w:style>
  <w:style w:type="character" w:customStyle="1" w:styleId="164">
    <w:name w:val="intel3"/>
    <w:autoRedefine/>
    <w:qFormat/>
    <w:uiPriority w:val="0"/>
  </w:style>
  <w:style w:type="character" w:customStyle="1" w:styleId="165">
    <w:name w:val="日期 Char2"/>
    <w:autoRedefine/>
    <w:qFormat/>
    <w:uiPriority w:val="99"/>
    <w:rPr>
      <w:kern w:val="2"/>
      <w:sz w:val="21"/>
      <w:szCs w:val="24"/>
    </w:rPr>
  </w:style>
  <w:style w:type="character" w:customStyle="1" w:styleId="166">
    <w:name w:val="Char Char121"/>
    <w:autoRedefine/>
    <w:qFormat/>
    <w:uiPriority w:val="0"/>
    <w:rPr>
      <w:rFonts w:ascii="宋体" w:hAnsi="Courier New" w:eastAsia="宋体"/>
      <w:kern w:val="2"/>
      <w:sz w:val="28"/>
      <w:lang w:val="en-US" w:eastAsia="zh-CN" w:bidi="ar-SA"/>
    </w:rPr>
  </w:style>
  <w:style w:type="character" w:customStyle="1" w:styleId="167">
    <w:name w:val="Char Char32"/>
    <w:autoRedefine/>
    <w:qFormat/>
    <w:uiPriority w:val="0"/>
    <w:rPr>
      <w:rFonts w:ascii="仿宋_GB2312" w:eastAsia="仿宋_GB2312" w:cs="MingLiU"/>
      <w:b/>
      <w:spacing w:val="1"/>
      <w:w w:val="99"/>
      <w:sz w:val="28"/>
      <w:szCs w:val="32"/>
    </w:rPr>
  </w:style>
  <w:style w:type="character" w:customStyle="1" w:styleId="168">
    <w:name w:val="书籍标题1"/>
    <w:autoRedefine/>
    <w:qFormat/>
    <w:uiPriority w:val="0"/>
    <w:rPr>
      <w:b/>
      <w:bCs/>
      <w:smallCaps/>
      <w:spacing w:val="5"/>
    </w:rPr>
  </w:style>
  <w:style w:type="character" w:customStyle="1" w:styleId="169">
    <w:name w:val="Char Char24"/>
    <w:autoRedefine/>
    <w:qFormat/>
    <w:uiPriority w:val="0"/>
    <w:rPr>
      <w:b/>
      <w:bCs/>
      <w:kern w:val="44"/>
      <w:sz w:val="44"/>
      <w:szCs w:val="44"/>
    </w:rPr>
  </w:style>
  <w:style w:type="character" w:customStyle="1" w:styleId="170">
    <w:name w:val="Char Char9"/>
    <w:autoRedefine/>
    <w:qFormat/>
    <w:uiPriority w:val="0"/>
    <w:rPr>
      <w:rFonts w:ascii="仿宋_GB2312" w:eastAsia="仿宋_GB2312"/>
      <w:b/>
      <w:sz w:val="24"/>
    </w:rPr>
  </w:style>
  <w:style w:type="character" w:customStyle="1" w:styleId="171">
    <w:name w:val="标题5 Char Char"/>
    <w:link w:val="172"/>
    <w:autoRedefine/>
    <w:qFormat/>
    <w:uiPriority w:val="0"/>
    <w:rPr>
      <w:rFonts w:ascii="Arial" w:hAnsi="Arial"/>
      <w:b/>
      <w:bCs/>
      <w:sz w:val="24"/>
      <w:szCs w:val="32"/>
    </w:rPr>
  </w:style>
  <w:style w:type="paragraph" w:customStyle="1" w:styleId="172">
    <w:name w:val="标题5"/>
    <w:basedOn w:val="5"/>
    <w:link w:val="171"/>
    <w:autoRedefine/>
    <w:qFormat/>
    <w:uiPriority w:val="0"/>
    <w:pPr>
      <w:keepNext/>
      <w:keepLines/>
      <w:autoSpaceDE/>
      <w:autoSpaceDN/>
      <w:adjustRightInd/>
      <w:spacing w:before="260" w:after="260" w:line="413" w:lineRule="auto"/>
      <w:jc w:val="both"/>
    </w:pPr>
    <w:rPr>
      <w:rFonts w:ascii="Arial" w:hAnsi="Arial" w:eastAsia="宋体"/>
      <w:bCs/>
      <w:szCs w:val="32"/>
    </w:rPr>
  </w:style>
  <w:style w:type="character" w:customStyle="1" w:styleId="173">
    <w:name w:val="明显强调1"/>
    <w:autoRedefine/>
    <w:qFormat/>
    <w:uiPriority w:val="0"/>
    <w:rPr>
      <w:b/>
      <w:bCs/>
      <w:i/>
      <w:iCs/>
      <w:color w:val="4F81BD"/>
    </w:rPr>
  </w:style>
  <w:style w:type="character" w:customStyle="1" w:styleId="174">
    <w:name w:val="标题 1 Char"/>
    <w:autoRedefine/>
    <w:qFormat/>
    <w:uiPriority w:val="0"/>
    <w:rPr>
      <w:rFonts w:ascii="Times New Roman" w:hAnsi="Times New Roman" w:eastAsia="宋体" w:cs="Times New Roman"/>
      <w:b/>
      <w:bCs/>
      <w:kern w:val="44"/>
      <w:sz w:val="44"/>
      <w:szCs w:val="44"/>
    </w:rPr>
  </w:style>
  <w:style w:type="character" w:customStyle="1" w:styleId="175">
    <w:name w:val="Char Char91"/>
    <w:autoRedefine/>
    <w:qFormat/>
    <w:locked/>
    <w:uiPriority w:val="0"/>
    <w:rPr>
      <w:rFonts w:ascii="仿宋_GB2312" w:eastAsia="仿宋_GB2312" w:cs="MingLiU"/>
      <w:b/>
      <w:sz w:val="24"/>
      <w:szCs w:val="28"/>
      <w:lang w:val="en-US" w:eastAsia="zh-CN" w:bidi="ar-SA"/>
    </w:rPr>
  </w:style>
  <w:style w:type="character" w:customStyle="1" w:styleId="176">
    <w:name w:val="Char Char Char Char Char"/>
    <w:link w:val="177"/>
    <w:autoRedefine/>
    <w:qFormat/>
    <w:uiPriority w:val="0"/>
    <w:rPr>
      <w:kern w:val="2"/>
      <w:sz w:val="18"/>
    </w:rPr>
  </w:style>
  <w:style w:type="paragraph" w:customStyle="1" w:styleId="177">
    <w:name w:val="Char"/>
    <w:basedOn w:val="1"/>
    <w:link w:val="176"/>
    <w:autoRedefine/>
    <w:qFormat/>
    <w:uiPriority w:val="0"/>
    <w:rPr>
      <w:sz w:val="18"/>
    </w:rPr>
  </w:style>
  <w:style w:type="character" w:customStyle="1" w:styleId="178">
    <w:name w:val="标题 8 Char1"/>
    <w:autoRedefine/>
    <w:qFormat/>
    <w:uiPriority w:val="0"/>
    <w:rPr>
      <w:rFonts w:ascii="Times New Roman" w:hAnsi="Arial" w:eastAsia="仿宋_GB2312" w:cs="Times New Roman"/>
      <w:sz w:val="30"/>
      <w:szCs w:val="20"/>
    </w:rPr>
  </w:style>
  <w:style w:type="character" w:customStyle="1" w:styleId="179">
    <w:name w:val="color_red1"/>
    <w:autoRedefine/>
    <w:qFormat/>
    <w:uiPriority w:val="0"/>
    <w:rPr>
      <w:color w:val="FA0004"/>
    </w:rPr>
  </w:style>
  <w:style w:type="character" w:customStyle="1" w:styleId="180">
    <w:name w:val="正文文本缩进 3 Char"/>
    <w:autoRedefine/>
    <w:qFormat/>
    <w:uiPriority w:val="0"/>
    <w:rPr>
      <w:kern w:val="2"/>
      <w:sz w:val="16"/>
      <w:szCs w:val="16"/>
    </w:rPr>
  </w:style>
  <w:style w:type="character" w:customStyle="1" w:styleId="181">
    <w:name w:val="Char Char10"/>
    <w:autoRedefine/>
    <w:qFormat/>
    <w:uiPriority w:val="0"/>
    <w:rPr>
      <w:rFonts w:ascii="仿宋_GB2312" w:eastAsia="仿宋_GB2312"/>
      <w:b/>
      <w:spacing w:val="1"/>
      <w:w w:val="99"/>
      <w:sz w:val="28"/>
    </w:rPr>
  </w:style>
  <w:style w:type="character" w:customStyle="1" w:styleId="182">
    <w:name w:val="书籍标题11"/>
    <w:autoRedefine/>
    <w:qFormat/>
    <w:uiPriority w:val="0"/>
    <w:rPr>
      <w:b/>
      <w:bCs/>
      <w:smallCaps/>
      <w:spacing w:val="5"/>
    </w:rPr>
  </w:style>
  <w:style w:type="character" w:customStyle="1" w:styleId="183">
    <w:name w:val="文档结构图 Char"/>
    <w:autoRedefine/>
    <w:qFormat/>
    <w:uiPriority w:val="0"/>
    <w:rPr>
      <w:rFonts w:ascii="宋体"/>
      <w:kern w:val="2"/>
      <w:sz w:val="18"/>
      <w:szCs w:val="18"/>
    </w:rPr>
  </w:style>
  <w:style w:type="character" w:customStyle="1" w:styleId="184">
    <w:name w:val="s3"/>
    <w:autoRedefine/>
    <w:qFormat/>
    <w:uiPriority w:val="0"/>
  </w:style>
  <w:style w:type="character" w:customStyle="1" w:styleId="185">
    <w:name w:val="Section Char"/>
    <w:autoRedefine/>
    <w:qFormat/>
    <w:uiPriority w:val="0"/>
    <w:rPr>
      <w:rFonts w:ascii="仿宋_GB2312" w:eastAsia="仿宋_GB2312" w:cs="MingLiU"/>
      <w:b/>
      <w:sz w:val="24"/>
      <w:szCs w:val="28"/>
      <w:lang w:val="en-US" w:eastAsia="zh-CN" w:bidi="ar-SA"/>
    </w:rPr>
  </w:style>
  <w:style w:type="character" w:customStyle="1" w:styleId="186">
    <w:name w:val="日期 Char1"/>
    <w:autoRedefine/>
    <w:qFormat/>
    <w:uiPriority w:val="0"/>
    <w:rPr>
      <w:kern w:val="2"/>
      <w:sz w:val="21"/>
      <w:szCs w:val="22"/>
    </w:rPr>
  </w:style>
  <w:style w:type="character" w:customStyle="1" w:styleId="187">
    <w:name w:val="font161"/>
    <w:autoRedefine/>
    <w:qFormat/>
    <w:uiPriority w:val="0"/>
    <w:rPr>
      <w:b/>
      <w:bCs/>
      <w:sz w:val="32"/>
      <w:szCs w:val="32"/>
    </w:rPr>
  </w:style>
  <w:style w:type="character" w:customStyle="1" w:styleId="188">
    <w:name w:val="招标章 Char"/>
    <w:link w:val="189"/>
    <w:autoRedefine/>
    <w:qFormat/>
    <w:uiPriority w:val="0"/>
    <w:rPr>
      <w:rFonts w:eastAsia="黑体"/>
      <w:b/>
      <w:kern w:val="2"/>
      <w:sz w:val="32"/>
      <w:szCs w:val="24"/>
      <w:lang w:val="en-US" w:eastAsia="zh-CN" w:bidi="ar-SA"/>
    </w:rPr>
  </w:style>
  <w:style w:type="paragraph" w:customStyle="1" w:styleId="189">
    <w:name w:val="招标章"/>
    <w:basedOn w:val="1"/>
    <w:link w:val="188"/>
    <w:autoRedefine/>
    <w:qFormat/>
    <w:uiPriority w:val="0"/>
    <w:pPr>
      <w:spacing w:line="360" w:lineRule="auto"/>
      <w:jc w:val="center"/>
      <w:outlineLvl w:val="0"/>
    </w:pPr>
    <w:rPr>
      <w:rFonts w:eastAsia="黑体"/>
      <w:b/>
      <w:sz w:val="32"/>
      <w:szCs w:val="24"/>
    </w:rPr>
  </w:style>
  <w:style w:type="character" w:customStyle="1" w:styleId="190">
    <w:name w:val="标题 1 Char1"/>
    <w:autoRedefine/>
    <w:qFormat/>
    <w:uiPriority w:val="0"/>
    <w:rPr>
      <w:rFonts w:ascii="Times New Roman" w:hAnsi="Times New Roman" w:eastAsia="宋体" w:cs="Times New Roman"/>
      <w:b/>
      <w:bCs/>
      <w:kern w:val="44"/>
      <w:sz w:val="44"/>
      <w:szCs w:val="44"/>
    </w:rPr>
  </w:style>
  <w:style w:type="character" w:customStyle="1" w:styleId="191">
    <w:name w:val="0d1471"/>
    <w:autoRedefine/>
    <w:qFormat/>
    <w:uiPriority w:val="0"/>
    <w:rPr>
      <w:color w:val="000000"/>
      <w:sz w:val="11"/>
      <w:szCs w:val="11"/>
      <w:u w:val="none"/>
    </w:rPr>
  </w:style>
  <w:style w:type="character" w:customStyle="1" w:styleId="192">
    <w:name w:val="标题 4 Char1"/>
    <w:autoRedefine/>
    <w:qFormat/>
    <w:uiPriority w:val="0"/>
    <w:rPr>
      <w:rFonts w:ascii="宋体" w:hAnsi="宋体" w:eastAsia="宋体" w:cs="宋体"/>
      <w:b/>
      <w:bCs/>
      <w:sz w:val="24"/>
      <w:szCs w:val="24"/>
    </w:rPr>
  </w:style>
  <w:style w:type="character" w:customStyle="1" w:styleId="193">
    <w:name w:val="Char Char4"/>
    <w:autoRedefine/>
    <w:qFormat/>
    <w:uiPriority w:val="0"/>
    <w:rPr>
      <w:rFonts w:ascii="宋体" w:hAnsi="Courier New"/>
      <w:kern w:val="2"/>
      <w:sz w:val="28"/>
    </w:rPr>
  </w:style>
  <w:style w:type="character" w:customStyle="1" w:styleId="194">
    <w:name w:val="标题 7 Char"/>
    <w:autoRedefine/>
    <w:qFormat/>
    <w:uiPriority w:val="0"/>
    <w:rPr>
      <w:rFonts w:ascii="Calibri" w:hAnsi="Calibri" w:eastAsia="宋体" w:cs="Times New Roman"/>
      <w:b/>
      <w:bCs/>
      <w:sz w:val="24"/>
      <w:szCs w:val="24"/>
    </w:rPr>
  </w:style>
  <w:style w:type="character" w:customStyle="1" w:styleId="195">
    <w:name w:val="批注主题 Char1"/>
    <w:autoRedefine/>
    <w:qFormat/>
    <w:uiPriority w:val="0"/>
    <w:rPr>
      <w:b/>
      <w:bCs/>
      <w:kern w:val="2"/>
      <w:sz w:val="21"/>
      <w:szCs w:val="22"/>
    </w:rPr>
  </w:style>
  <w:style w:type="character" w:customStyle="1" w:styleId="196">
    <w:name w:val="正文文本 Char2"/>
    <w:autoRedefine/>
    <w:qFormat/>
    <w:uiPriority w:val="99"/>
    <w:rPr>
      <w:kern w:val="2"/>
      <w:sz w:val="21"/>
      <w:szCs w:val="24"/>
    </w:rPr>
  </w:style>
  <w:style w:type="character" w:customStyle="1" w:styleId="197">
    <w:name w:val="文档结构图 Char3"/>
    <w:autoRedefine/>
    <w:semiHidden/>
    <w:qFormat/>
    <w:uiPriority w:val="99"/>
    <w:rPr>
      <w:rFonts w:ascii="宋体" w:hAnsi="Calibri" w:eastAsia="宋体" w:cs="Times New Roman"/>
      <w:sz w:val="18"/>
      <w:szCs w:val="18"/>
    </w:rPr>
  </w:style>
  <w:style w:type="character" w:customStyle="1" w:styleId="198">
    <w:name w:val="标题 6 Char1"/>
    <w:autoRedefine/>
    <w:qFormat/>
    <w:uiPriority w:val="0"/>
    <w:rPr>
      <w:rFonts w:ascii="Times New Roman" w:hAnsi="Arial" w:eastAsia="仿宋_GB2312" w:cs="Times New Roman"/>
      <w:sz w:val="30"/>
      <w:szCs w:val="20"/>
    </w:rPr>
  </w:style>
  <w:style w:type="character" w:customStyle="1" w:styleId="199">
    <w:name w:val="Char Char3"/>
    <w:autoRedefine/>
    <w:qFormat/>
    <w:uiPriority w:val="0"/>
    <w:rPr>
      <w:kern w:val="2"/>
      <w:sz w:val="18"/>
    </w:rPr>
  </w:style>
  <w:style w:type="character" w:customStyle="1" w:styleId="200">
    <w:name w:val="标题 7 Char1"/>
    <w:autoRedefine/>
    <w:qFormat/>
    <w:uiPriority w:val="0"/>
    <w:rPr>
      <w:rFonts w:ascii="Times New Roman" w:hAnsi="Times New Roman" w:eastAsia="仿宋_GB2312" w:cs="Times New Roman"/>
      <w:sz w:val="30"/>
      <w:szCs w:val="20"/>
    </w:rPr>
  </w:style>
  <w:style w:type="character" w:customStyle="1" w:styleId="201">
    <w:name w:val="标题 9 Char"/>
    <w:autoRedefine/>
    <w:qFormat/>
    <w:uiPriority w:val="0"/>
    <w:rPr>
      <w:rFonts w:ascii="Arial" w:hAnsi="Arial" w:eastAsia="黑体" w:cs="Times New Roman"/>
      <w:szCs w:val="21"/>
    </w:rPr>
  </w:style>
  <w:style w:type="character" w:customStyle="1" w:styleId="202">
    <w:name w:val="未处理的提及1"/>
    <w:autoRedefine/>
    <w:unhideWhenUsed/>
    <w:qFormat/>
    <w:uiPriority w:val="99"/>
    <w:rPr>
      <w:color w:val="808080"/>
      <w:shd w:val="clear" w:color="auto" w:fill="E6E6E6"/>
    </w:rPr>
  </w:style>
  <w:style w:type="character" w:customStyle="1" w:styleId="203">
    <w:name w:val="引用 Char1"/>
    <w:link w:val="204"/>
    <w:autoRedefine/>
    <w:qFormat/>
    <w:uiPriority w:val="29"/>
    <w:rPr>
      <w:i/>
      <w:iCs/>
      <w:color w:val="000000"/>
      <w:kern w:val="2"/>
      <w:sz w:val="21"/>
    </w:rPr>
  </w:style>
  <w:style w:type="paragraph" w:customStyle="1" w:styleId="204">
    <w:name w:val="引用1"/>
    <w:basedOn w:val="1"/>
    <w:next w:val="1"/>
    <w:link w:val="203"/>
    <w:autoRedefine/>
    <w:qFormat/>
    <w:uiPriority w:val="29"/>
    <w:rPr>
      <w:i/>
      <w:iCs/>
      <w:color w:val="000000"/>
    </w:rPr>
  </w:style>
  <w:style w:type="character" w:customStyle="1" w:styleId="205">
    <w:name w:val="HTML 预设格式 Char"/>
    <w:autoRedefine/>
    <w:qFormat/>
    <w:uiPriority w:val="0"/>
    <w:rPr>
      <w:rFonts w:ascii="宋体" w:hAnsi="宋体" w:eastAsia="宋体" w:cs="宋体"/>
      <w:color w:val="000000"/>
      <w:sz w:val="24"/>
      <w:szCs w:val="24"/>
    </w:rPr>
  </w:style>
  <w:style w:type="character" w:customStyle="1" w:styleId="206">
    <w:name w:val="ITTHEADER1 Char"/>
    <w:autoRedefine/>
    <w:qFormat/>
    <w:uiPriority w:val="0"/>
    <w:rPr>
      <w:rFonts w:eastAsia="黑体"/>
      <w:kern w:val="2"/>
      <w:sz w:val="44"/>
      <w:szCs w:val="44"/>
      <w:lang w:val="en-US" w:eastAsia="zh-CN" w:bidi="ar-SA"/>
    </w:rPr>
  </w:style>
  <w:style w:type="character" w:customStyle="1" w:styleId="207">
    <w:name w:val="style21"/>
    <w:autoRedefine/>
    <w:qFormat/>
    <w:uiPriority w:val="0"/>
    <w:rPr>
      <w:b/>
      <w:bCs/>
      <w:sz w:val="28"/>
      <w:szCs w:val="28"/>
    </w:rPr>
  </w:style>
  <w:style w:type="character" w:customStyle="1" w:styleId="208">
    <w:name w:val="ss16"/>
    <w:autoRedefine/>
    <w:qFormat/>
    <w:uiPriority w:val="0"/>
    <w:rPr>
      <w:rFonts w:hint="eastAsia" w:ascii="宋体" w:hAnsi="宋体" w:eastAsia="宋体"/>
      <w:color w:val="000000"/>
      <w:sz w:val="9"/>
      <w:szCs w:val="9"/>
    </w:rPr>
  </w:style>
  <w:style w:type="character" w:customStyle="1" w:styleId="209">
    <w:name w:val="Char Char33"/>
    <w:autoRedefine/>
    <w:qFormat/>
    <w:uiPriority w:val="0"/>
    <w:rPr>
      <w:rFonts w:ascii="仿宋_GB2312" w:eastAsia="仿宋_GB2312" w:cs="MingLiU"/>
      <w:b/>
      <w:sz w:val="24"/>
      <w:szCs w:val="28"/>
    </w:rPr>
  </w:style>
  <w:style w:type="character" w:customStyle="1" w:styleId="210">
    <w:name w:val="脚注文本 Char"/>
    <w:autoRedefine/>
    <w:qFormat/>
    <w:uiPriority w:val="0"/>
    <w:rPr>
      <w:rFonts w:ascii="Arial" w:hAnsi="Arial" w:eastAsia="宋体" w:cs="Arial"/>
      <w:sz w:val="18"/>
      <w:szCs w:val="18"/>
      <w:lang w:eastAsia="en-US"/>
    </w:rPr>
  </w:style>
  <w:style w:type="character" w:customStyle="1" w:styleId="211">
    <w:name w:val="标题 Char4"/>
    <w:autoRedefine/>
    <w:qFormat/>
    <w:uiPriority w:val="0"/>
    <w:rPr>
      <w:rFonts w:ascii="Cambria" w:hAnsi="Cambria" w:cs="Times New Roman"/>
      <w:b/>
      <w:bCs/>
      <w:kern w:val="2"/>
      <w:sz w:val="32"/>
      <w:szCs w:val="32"/>
    </w:rPr>
  </w:style>
  <w:style w:type="character" w:customStyle="1" w:styleId="212">
    <w:name w:val="普通文字 Char Char1"/>
    <w:autoRedefine/>
    <w:qFormat/>
    <w:uiPriority w:val="0"/>
    <w:rPr>
      <w:rFonts w:ascii="宋体" w:hAnsi="Courier New"/>
      <w:kern w:val="2"/>
      <w:sz w:val="28"/>
      <w:szCs w:val="28"/>
    </w:rPr>
  </w:style>
  <w:style w:type="character" w:customStyle="1" w:styleId="213">
    <w:name w:val="批注框文本 Char3"/>
    <w:autoRedefine/>
    <w:semiHidden/>
    <w:qFormat/>
    <w:uiPriority w:val="99"/>
    <w:rPr>
      <w:rFonts w:ascii="Calibri" w:hAnsi="Calibri" w:eastAsia="宋体" w:cs="Times New Roman"/>
      <w:sz w:val="18"/>
      <w:szCs w:val="18"/>
    </w:rPr>
  </w:style>
  <w:style w:type="character" w:customStyle="1" w:styleId="214">
    <w:name w:val="Char Char1"/>
    <w:autoRedefine/>
    <w:qFormat/>
    <w:uiPriority w:val="0"/>
    <w:rPr>
      <w:i/>
      <w:kern w:val="2"/>
      <w:sz w:val="26"/>
    </w:rPr>
  </w:style>
  <w:style w:type="character" w:customStyle="1" w:styleId="215">
    <w:name w:val="批注主题 Char3"/>
    <w:autoRedefine/>
    <w:semiHidden/>
    <w:qFormat/>
    <w:uiPriority w:val="99"/>
    <w:rPr>
      <w:rFonts w:ascii="Calibri" w:hAnsi="Calibri" w:eastAsia="宋体" w:cs="Times New Roman"/>
      <w:b/>
      <w:bCs/>
      <w:szCs w:val="24"/>
    </w:rPr>
  </w:style>
  <w:style w:type="character" w:customStyle="1" w:styleId="216">
    <w:name w:val="title11"/>
    <w:autoRedefine/>
    <w:qFormat/>
    <w:uiPriority w:val="0"/>
    <w:rPr>
      <w:b/>
      <w:bCs/>
      <w:color w:val="FFFFFF"/>
      <w:sz w:val="11"/>
      <w:szCs w:val="11"/>
    </w:rPr>
  </w:style>
  <w:style w:type="character" w:customStyle="1" w:styleId="217">
    <w:name w:val="正文文本缩进 Char2"/>
    <w:autoRedefine/>
    <w:semiHidden/>
    <w:qFormat/>
    <w:uiPriority w:val="99"/>
    <w:rPr>
      <w:rFonts w:ascii="Calibri" w:hAnsi="Calibri" w:eastAsia="宋体" w:cs="Times New Roman"/>
      <w:szCs w:val="24"/>
    </w:rPr>
  </w:style>
  <w:style w:type="character" w:customStyle="1" w:styleId="218">
    <w:name w:val="Char Char13"/>
    <w:autoRedefine/>
    <w:qFormat/>
    <w:uiPriority w:val="0"/>
    <w:rPr>
      <w:kern w:val="2"/>
      <w:sz w:val="18"/>
      <w:szCs w:val="18"/>
    </w:rPr>
  </w:style>
  <w:style w:type="character" w:customStyle="1" w:styleId="219">
    <w:name w:val="不明显强调1"/>
    <w:autoRedefine/>
    <w:qFormat/>
    <w:uiPriority w:val="0"/>
    <w:rPr>
      <w:i/>
      <w:iCs/>
      <w:color w:val="808080"/>
    </w:rPr>
  </w:style>
  <w:style w:type="character" w:customStyle="1" w:styleId="220">
    <w:name w:val="批注主题 Char2"/>
    <w:autoRedefine/>
    <w:qFormat/>
    <w:uiPriority w:val="99"/>
    <w:rPr>
      <w:b/>
      <w:bCs/>
      <w:kern w:val="2"/>
      <w:sz w:val="21"/>
      <w:szCs w:val="24"/>
    </w:rPr>
  </w:style>
  <w:style w:type="character" w:customStyle="1" w:styleId="221">
    <w:name w:val="批注文字 Char Char"/>
    <w:autoRedefine/>
    <w:qFormat/>
    <w:uiPriority w:val="0"/>
    <w:rPr>
      <w:rFonts w:ascii="宋体" w:hAnsi="Times New Roman" w:eastAsia="宋体" w:cs="Times New Roman"/>
      <w:sz w:val="28"/>
      <w:szCs w:val="20"/>
    </w:rPr>
  </w:style>
  <w:style w:type="character" w:customStyle="1" w:styleId="222">
    <w:name w:val="style161"/>
    <w:autoRedefine/>
    <w:qFormat/>
    <w:uiPriority w:val="0"/>
    <w:rPr>
      <w:b/>
      <w:bCs/>
      <w:color w:val="333333"/>
    </w:rPr>
  </w:style>
  <w:style w:type="character" w:customStyle="1" w:styleId="223">
    <w:name w:val="正文文本 3 Char"/>
    <w:autoRedefine/>
    <w:qFormat/>
    <w:uiPriority w:val="0"/>
    <w:rPr>
      <w:kern w:val="2"/>
      <w:sz w:val="16"/>
      <w:szCs w:val="16"/>
    </w:rPr>
  </w:style>
  <w:style w:type="character" w:customStyle="1" w:styleId="224">
    <w:name w:val="HTML 预设格式 Char2"/>
    <w:autoRedefine/>
    <w:semiHidden/>
    <w:qFormat/>
    <w:uiPriority w:val="99"/>
    <w:rPr>
      <w:rFonts w:ascii="Courier New" w:hAnsi="Courier New" w:eastAsia="宋体" w:cs="Courier New"/>
      <w:sz w:val="20"/>
      <w:szCs w:val="20"/>
    </w:rPr>
  </w:style>
  <w:style w:type="character" w:customStyle="1" w:styleId="225">
    <w:name w:val="明显引用 Char3"/>
    <w:autoRedefine/>
    <w:qFormat/>
    <w:uiPriority w:val="30"/>
    <w:rPr>
      <w:rFonts w:ascii="Calibri" w:hAnsi="Calibri" w:eastAsia="宋体" w:cs="Times New Roman"/>
      <w:b/>
      <w:bCs/>
      <w:i/>
      <w:iCs/>
      <w:color w:val="4F81BD"/>
      <w:szCs w:val="24"/>
    </w:rPr>
  </w:style>
  <w:style w:type="character" w:customStyle="1" w:styleId="226">
    <w:name w:val="14t1"/>
    <w:autoRedefine/>
    <w:qFormat/>
    <w:uiPriority w:val="0"/>
    <w:rPr>
      <w:rFonts w:hint="eastAsia" w:ascii="宋体" w:hAnsi="宋体" w:eastAsia="宋体"/>
      <w:sz w:val="11"/>
      <w:szCs w:val="11"/>
    </w:rPr>
  </w:style>
  <w:style w:type="character" w:customStyle="1" w:styleId="227">
    <w:name w:val="unnamed1"/>
    <w:autoRedefine/>
    <w:qFormat/>
    <w:uiPriority w:val="0"/>
  </w:style>
  <w:style w:type="character" w:customStyle="1" w:styleId="228">
    <w:name w:val="标题 Char2"/>
    <w:autoRedefine/>
    <w:qFormat/>
    <w:uiPriority w:val="10"/>
    <w:rPr>
      <w:rFonts w:ascii="Cambria" w:hAnsi="Cambria" w:eastAsia="宋体" w:cs="Times New Roman"/>
      <w:b/>
      <w:bCs/>
      <w:sz w:val="32"/>
      <w:szCs w:val="32"/>
    </w:rPr>
  </w:style>
  <w:style w:type="character" w:customStyle="1" w:styleId="229">
    <w:name w:val="Char Char11"/>
    <w:autoRedefine/>
    <w:qFormat/>
    <w:uiPriority w:val="0"/>
    <w:rPr>
      <w:rFonts w:eastAsia="黑体"/>
      <w:kern w:val="2"/>
      <w:sz w:val="44"/>
      <w:lang w:val="en-US" w:eastAsia="zh-CN"/>
    </w:rPr>
  </w:style>
  <w:style w:type="character" w:customStyle="1" w:styleId="230">
    <w:name w:val="不明显强调2"/>
    <w:autoRedefine/>
    <w:qFormat/>
    <w:uiPriority w:val="0"/>
    <w:rPr>
      <w:i/>
      <w:iCs/>
      <w:color w:val="808080"/>
    </w:rPr>
  </w:style>
  <w:style w:type="character" w:customStyle="1" w:styleId="231">
    <w:name w:val="标题4 Char Char"/>
    <w:link w:val="232"/>
    <w:autoRedefine/>
    <w:qFormat/>
    <w:uiPriority w:val="0"/>
    <w:rPr>
      <w:rFonts w:ascii="Arial" w:hAnsi="Arial"/>
      <w:b/>
      <w:bCs/>
      <w:sz w:val="24"/>
      <w:szCs w:val="32"/>
    </w:rPr>
  </w:style>
  <w:style w:type="paragraph" w:customStyle="1" w:styleId="232">
    <w:name w:val="标题4"/>
    <w:basedOn w:val="4"/>
    <w:next w:val="19"/>
    <w:link w:val="231"/>
    <w:autoRedefine/>
    <w:qFormat/>
    <w:uiPriority w:val="0"/>
    <w:pPr>
      <w:keepNext/>
      <w:keepLines/>
      <w:autoSpaceDE/>
      <w:autoSpaceDN/>
      <w:adjustRightInd/>
      <w:snapToGrid/>
      <w:spacing w:before="260" w:after="260" w:line="413" w:lineRule="auto"/>
      <w:jc w:val="both"/>
    </w:pPr>
    <w:rPr>
      <w:rFonts w:ascii="Arial" w:hAnsi="Arial" w:eastAsia="宋体"/>
      <w:bCs/>
      <w:spacing w:val="0"/>
      <w:w w:val="100"/>
      <w:sz w:val="24"/>
      <w:szCs w:val="32"/>
    </w:rPr>
  </w:style>
  <w:style w:type="character" w:customStyle="1" w:styleId="233">
    <w:name w:val="Char Char5"/>
    <w:autoRedefine/>
    <w:qFormat/>
    <w:uiPriority w:val="0"/>
    <w:rPr>
      <w:kern w:val="2"/>
      <w:sz w:val="18"/>
    </w:rPr>
  </w:style>
  <w:style w:type="character" w:customStyle="1" w:styleId="234">
    <w:name w:val="文档结构图 Char2"/>
    <w:autoRedefine/>
    <w:qFormat/>
    <w:uiPriority w:val="99"/>
    <w:rPr>
      <w:kern w:val="2"/>
      <w:sz w:val="21"/>
      <w:szCs w:val="24"/>
      <w:shd w:val="clear" w:color="auto" w:fill="000080"/>
    </w:rPr>
  </w:style>
  <w:style w:type="character" w:customStyle="1" w:styleId="235">
    <w:name w:val="明显引用 字符"/>
    <w:link w:val="236"/>
    <w:autoRedefine/>
    <w:qFormat/>
    <w:uiPriority w:val="0"/>
    <w:rPr>
      <w:b/>
      <w:bCs/>
      <w:i/>
      <w:iCs/>
      <w:color w:val="4F81BD"/>
      <w:kern w:val="2"/>
      <w:sz w:val="21"/>
      <w:szCs w:val="22"/>
    </w:rPr>
  </w:style>
  <w:style w:type="paragraph" w:styleId="236">
    <w:name w:val="Intense Quote"/>
    <w:basedOn w:val="1"/>
    <w:next w:val="1"/>
    <w:link w:val="235"/>
    <w:autoRedefine/>
    <w:qFormat/>
    <w:uiPriority w:val="0"/>
    <w:pPr>
      <w:pBdr>
        <w:bottom w:val="single" w:color="4F81BD" w:sz="4" w:space="4"/>
      </w:pBdr>
      <w:spacing w:before="200" w:after="280"/>
      <w:ind w:left="936" w:right="936"/>
    </w:pPr>
    <w:rPr>
      <w:b/>
      <w:bCs/>
      <w:i/>
      <w:iCs/>
      <w:color w:val="4F81BD"/>
      <w:szCs w:val="22"/>
    </w:rPr>
  </w:style>
  <w:style w:type="character" w:customStyle="1" w:styleId="237">
    <w:name w:val="正文文本缩进 2 Char1"/>
    <w:autoRedefine/>
    <w:qFormat/>
    <w:uiPriority w:val="0"/>
    <w:rPr>
      <w:sz w:val="28"/>
      <w:szCs w:val="24"/>
    </w:rPr>
  </w:style>
  <w:style w:type="character" w:customStyle="1" w:styleId="238">
    <w:name w:val="纯文本 Char1"/>
    <w:autoRedefine/>
    <w:qFormat/>
    <w:uiPriority w:val="0"/>
    <w:rPr>
      <w:rFonts w:ascii="宋体" w:hAnsi="Courier New" w:cs="Courier New"/>
      <w:kern w:val="2"/>
      <w:sz w:val="21"/>
      <w:szCs w:val="21"/>
    </w:rPr>
  </w:style>
  <w:style w:type="character" w:customStyle="1" w:styleId="239">
    <w:name w:val="main_tdbg_7601"/>
    <w:autoRedefine/>
    <w:qFormat/>
    <w:uiPriority w:val="0"/>
    <w:rPr>
      <w:sz w:val="14"/>
      <w:szCs w:val="14"/>
    </w:rPr>
  </w:style>
  <w:style w:type="character" w:customStyle="1" w:styleId="240">
    <w:name w:val="明显引用 Char2"/>
    <w:autoRedefine/>
    <w:qFormat/>
    <w:uiPriority w:val="99"/>
    <w:rPr>
      <w:b/>
      <w:bCs/>
      <w:i/>
      <w:iCs/>
      <w:color w:val="4F81BD"/>
      <w:kern w:val="2"/>
      <w:sz w:val="21"/>
      <w:szCs w:val="24"/>
    </w:rPr>
  </w:style>
  <w:style w:type="character" w:customStyle="1" w:styleId="241">
    <w:name w:val="正文文本缩进 3 Char1"/>
    <w:autoRedefine/>
    <w:qFormat/>
    <w:uiPriority w:val="0"/>
    <w:rPr>
      <w:rFonts w:ascii="宋体" w:hAnsi="宋体"/>
      <w:kern w:val="2"/>
      <w:sz w:val="28"/>
      <w:szCs w:val="28"/>
    </w:rPr>
  </w:style>
  <w:style w:type="character" w:customStyle="1" w:styleId="242">
    <w:name w:val="标题 4 Char"/>
    <w:autoRedefine/>
    <w:qFormat/>
    <w:uiPriority w:val="0"/>
    <w:rPr>
      <w:rFonts w:ascii="仿宋_GB2312" w:hAnsi="Calibri" w:eastAsia="仿宋_GB2312" w:cs="Times New Roman"/>
      <w:b/>
      <w:kern w:val="0"/>
      <w:sz w:val="24"/>
      <w:szCs w:val="28"/>
    </w:rPr>
  </w:style>
  <w:style w:type="character" w:customStyle="1" w:styleId="243">
    <w:name w:val="尾注文本 Char"/>
    <w:autoRedefine/>
    <w:qFormat/>
    <w:uiPriority w:val="0"/>
    <w:rPr>
      <w:kern w:val="2"/>
      <w:sz w:val="21"/>
      <w:szCs w:val="24"/>
    </w:rPr>
  </w:style>
  <w:style w:type="character" w:customStyle="1" w:styleId="244">
    <w:name w:val="标题 3 Char"/>
    <w:autoRedefine/>
    <w:qFormat/>
    <w:uiPriority w:val="0"/>
    <w:rPr>
      <w:rFonts w:ascii="仿宋_GB2312" w:hAnsi="Calibri" w:eastAsia="仿宋_GB2312" w:cs="Times New Roman"/>
      <w:b/>
      <w:kern w:val="0"/>
      <w:sz w:val="24"/>
      <w:szCs w:val="28"/>
    </w:rPr>
  </w:style>
  <w:style w:type="character" w:customStyle="1" w:styleId="245">
    <w:name w:val="Char Char36"/>
    <w:autoRedefine/>
    <w:qFormat/>
    <w:uiPriority w:val="0"/>
    <w:rPr>
      <w:rFonts w:ascii="仿宋_GB2312" w:eastAsia="仿宋_GB2312" w:cs="MingLiU"/>
      <w:b/>
      <w:sz w:val="24"/>
      <w:szCs w:val="28"/>
    </w:rPr>
  </w:style>
  <w:style w:type="character" w:customStyle="1" w:styleId="246">
    <w:name w:val="纯文本 Char"/>
    <w:autoRedefine/>
    <w:qFormat/>
    <w:uiPriority w:val="0"/>
    <w:rPr>
      <w:rFonts w:ascii="宋体" w:hAnsi="Courier New"/>
      <w:sz w:val="28"/>
      <w:szCs w:val="28"/>
    </w:rPr>
  </w:style>
  <w:style w:type="character" w:customStyle="1" w:styleId="247">
    <w:name w:val="不明显参考2"/>
    <w:autoRedefine/>
    <w:qFormat/>
    <w:uiPriority w:val="0"/>
    <w:rPr>
      <w:smallCaps/>
      <w:color w:val="C0504D"/>
      <w:u w:val="single"/>
    </w:rPr>
  </w:style>
  <w:style w:type="character" w:customStyle="1" w:styleId="248">
    <w:name w:val="正文文本 3 Char1"/>
    <w:autoRedefine/>
    <w:qFormat/>
    <w:uiPriority w:val="0"/>
    <w:rPr>
      <w:kern w:val="2"/>
      <w:sz w:val="16"/>
      <w:szCs w:val="16"/>
    </w:rPr>
  </w:style>
  <w:style w:type="character" w:customStyle="1" w:styleId="249">
    <w:name w:val="批注框文本 Char2"/>
    <w:autoRedefine/>
    <w:qFormat/>
    <w:uiPriority w:val="99"/>
    <w:rPr>
      <w:kern w:val="2"/>
      <w:sz w:val="18"/>
      <w:szCs w:val="18"/>
    </w:rPr>
  </w:style>
  <w:style w:type="character" w:customStyle="1" w:styleId="250">
    <w:name w:val="textcontents"/>
    <w:autoRedefine/>
    <w:qFormat/>
    <w:uiPriority w:val="0"/>
    <w:rPr>
      <w:rFonts w:cs="Times New Roman"/>
    </w:rPr>
  </w:style>
  <w:style w:type="character" w:customStyle="1" w:styleId="251">
    <w:name w:val="正文文本 Char3"/>
    <w:autoRedefine/>
    <w:semiHidden/>
    <w:qFormat/>
    <w:uiPriority w:val="99"/>
    <w:rPr>
      <w:rFonts w:ascii="Calibri" w:hAnsi="Calibri" w:eastAsia="宋体" w:cs="Times New Roman"/>
      <w:szCs w:val="24"/>
    </w:rPr>
  </w:style>
  <w:style w:type="character" w:customStyle="1" w:styleId="252">
    <w:name w:val="正文文本 Char"/>
    <w:autoRedefine/>
    <w:qFormat/>
    <w:uiPriority w:val="0"/>
    <w:rPr>
      <w:sz w:val="26"/>
      <w:szCs w:val="24"/>
    </w:rPr>
  </w:style>
  <w:style w:type="character" w:customStyle="1" w:styleId="253">
    <w:name w:val="日期 Char"/>
    <w:autoRedefine/>
    <w:qFormat/>
    <w:uiPriority w:val="0"/>
    <w:rPr>
      <w:rFonts w:eastAsia="宋体"/>
      <w:szCs w:val="24"/>
    </w:rPr>
  </w:style>
  <w:style w:type="character" w:customStyle="1" w:styleId="254">
    <w:name w:val="Char Char111"/>
    <w:autoRedefine/>
    <w:qFormat/>
    <w:uiPriority w:val="0"/>
    <w:rPr>
      <w:rFonts w:eastAsia="黑体"/>
      <w:kern w:val="2"/>
      <w:sz w:val="44"/>
      <w:lang w:val="en-US" w:eastAsia="zh-CN"/>
    </w:rPr>
  </w:style>
  <w:style w:type="character" w:customStyle="1" w:styleId="255">
    <w:name w:val="手改 Char Char"/>
    <w:autoRedefine/>
    <w:qFormat/>
    <w:uiPriority w:val="0"/>
    <w:rPr>
      <w:kern w:val="2"/>
      <w:sz w:val="21"/>
      <w:szCs w:val="24"/>
    </w:rPr>
  </w:style>
  <w:style w:type="character" w:customStyle="1" w:styleId="256">
    <w:name w:val="页脚 Char"/>
    <w:autoRedefine/>
    <w:qFormat/>
    <w:uiPriority w:val="0"/>
    <w:rPr>
      <w:sz w:val="18"/>
      <w:szCs w:val="18"/>
    </w:rPr>
  </w:style>
  <w:style w:type="character" w:customStyle="1" w:styleId="257">
    <w:name w:val="HTML 预设格式 Char1"/>
    <w:autoRedefine/>
    <w:qFormat/>
    <w:uiPriority w:val="0"/>
    <w:rPr>
      <w:rFonts w:ascii="宋体" w:hAnsi="宋体" w:cs="宋体"/>
      <w:color w:val="000000"/>
      <w:sz w:val="24"/>
      <w:szCs w:val="24"/>
    </w:rPr>
  </w:style>
  <w:style w:type="character" w:customStyle="1" w:styleId="258">
    <w:name w:val="标题 8 Char"/>
    <w:autoRedefine/>
    <w:qFormat/>
    <w:uiPriority w:val="0"/>
    <w:rPr>
      <w:rFonts w:ascii="Arial" w:hAnsi="Arial" w:eastAsia="黑体" w:cs="Times New Roman"/>
      <w:sz w:val="24"/>
      <w:szCs w:val="24"/>
    </w:rPr>
  </w:style>
  <w:style w:type="character" w:customStyle="1" w:styleId="259">
    <w:name w:val="正文文本缩进 2 Char2"/>
    <w:autoRedefine/>
    <w:semiHidden/>
    <w:qFormat/>
    <w:uiPriority w:val="99"/>
    <w:rPr>
      <w:rFonts w:ascii="Calibri" w:hAnsi="Calibri" w:eastAsia="宋体" w:cs="Times New Roman"/>
      <w:szCs w:val="24"/>
    </w:rPr>
  </w:style>
  <w:style w:type="character" w:customStyle="1" w:styleId="260">
    <w:name w:val="正文文本 2 Char1"/>
    <w:autoRedefine/>
    <w:semiHidden/>
    <w:qFormat/>
    <w:uiPriority w:val="99"/>
    <w:rPr>
      <w:rFonts w:ascii="Calibri" w:hAnsi="Calibri" w:eastAsia="宋体" w:cs="Times New Roman"/>
      <w:szCs w:val="24"/>
    </w:rPr>
  </w:style>
  <w:style w:type="character" w:customStyle="1" w:styleId="261">
    <w:name w:val="副标题 Char1"/>
    <w:autoRedefine/>
    <w:qFormat/>
    <w:uiPriority w:val="0"/>
    <w:rPr>
      <w:rFonts w:ascii="Cambria" w:hAnsi="Cambria" w:cs="Times New Roman"/>
      <w:b/>
      <w:bCs/>
      <w:kern w:val="28"/>
      <w:sz w:val="32"/>
      <w:szCs w:val="32"/>
    </w:rPr>
  </w:style>
  <w:style w:type="character" w:customStyle="1" w:styleId="262">
    <w:name w:val="Char Char34"/>
    <w:autoRedefine/>
    <w:qFormat/>
    <w:uiPriority w:val="0"/>
    <w:rPr>
      <w:rFonts w:ascii="仿宋_GB2312" w:eastAsia="仿宋_GB2312" w:cs="MingLiU"/>
      <w:b/>
      <w:spacing w:val="1"/>
      <w:w w:val="99"/>
      <w:sz w:val="28"/>
      <w:szCs w:val="32"/>
    </w:rPr>
  </w:style>
  <w:style w:type="character" w:customStyle="1" w:styleId="263">
    <w:name w:val="Char Char22"/>
    <w:autoRedefine/>
    <w:qFormat/>
    <w:uiPriority w:val="0"/>
    <w:rPr>
      <w:b/>
      <w:bCs/>
      <w:kern w:val="2"/>
      <w:sz w:val="32"/>
      <w:szCs w:val="32"/>
    </w:rPr>
  </w:style>
  <w:style w:type="character" w:customStyle="1" w:styleId="264">
    <w:name w:val="正文文本缩进 2 Char3"/>
    <w:autoRedefine/>
    <w:qFormat/>
    <w:uiPriority w:val="0"/>
    <w:rPr>
      <w:rFonts w:eastAsia="宋体"/>
      <w:sz w:val="28"/>
      <w:szCs w:val="24"/>
      <w:lang w:val="en-US" w:eastAsia="zh-CN" w:bidi="ar-SA"/>
    </w:rPr>
  </w:style>
  <w:style w:type="character" w:customStyle="1" w:styleId="265">
    <w:name w:val="标题 5 Char1"/>
    <w:autoRedefine/>
    <w:qFormat/>
    <w:uiPriority w:val="0"/>
    <w:rPr>
      <w:rFonts w:ascii="宋体" w:hAnsi="宋体" w:eastAsia="宋体" w:cs="宋体"/>
      <w:b/>
      <w:bCs/>
      <w:sz w:val="20"/>
      <w:szCs w:val="20"/>
    </w:rPr>
  </w:style>
  <w:style w:type="character" w:customStyle="1" w:styleId="266">
    <w:name w:val="明显强调2"/>
    <w:autoRedefine/>
    <w:qFormat/>
    <w:uiPriority w:val="0"/>
    <w:rPr>
      <w:b/>
      <w:bCs/>
      <w:i/>
      <w:iCs/>
      <w:color w:val="4F81BD"/>
    </w:rPr>
  </w:style>
  <w:style w:type="character" w:customStyle="1" w:styleId="267">
    <w:name w:val="ht1"/>
    <w:autoRedefine/>
    <w:qFormat/>
    <w:uiPriority w:val="0"/>
    <w:rPr>
      <w:rFonts w:ascii="黑体" w:eastAsia="黑体"/>
      <w:b/>
      <w:bCs/>
    </w:rPr>
  </w:style>
  <w:style w:type="character" w:customStyle="1" w:styleId="268">
    <w:name w:val="正文文本缩进 Char1"/>
    <w:autoRedefine/>
    <w:qFormat/>
    <w:uiPriority w:val="0"/>
    <w:rPr>
      <w:kern w:val="2"/>
      <w:sz w:val="21"/>
      <w:szCs w:val="24"/>
    </w:rPr>
  </w:style>
  <w:style w:type="character" w:customStyle="1" w:styleId="269">
    <w:name w:val="脚注文本 Char1"/>
    <w:autoRedefine/>
    <w:qFormat/>
    <w:uiPriority w:val="0"/>
    <w:rPr>
      <w:rFonts w:ascii="Arial" w:hAnsi="Arial" w:cs="Arial"/>
      <w:sz w:val="18"/>
      <w:szCs w:val="18"/>
      <w:lang w:eastAsia="en-US"/>
    </w:rPr>
  </w:style>
  <w:style w:type="character" w:customStyle="1" w:styleId="270">
    <w:name w:val="subhead1"/>
    <w:autoRedefine/>
    <w:qFormat/>
    <w:uiPriority w:val="0"/>
    <w:rPr>
      <w:rFonts w:hint="default" w:ascii="Tahoma" w:hAnsi="Tahoma" w:cs="Tahoma"/>
      <w:color w:val="000000"/>
      <w:sz w:val="18"/>
      <w:szCs w:val="18"/>
      <w:u w:val="none"/>
      <w:shd w:val="clear" w:color="auto" w:fill="FFFFFF"/>
    </w:rPr>
  </w:style>
  <w:style w:type="character" w:customStyle="1" w:styleId="271">
    <w:name w:val="正文文本 Char1"/>
    <w:autoRedefine/>
    <w:qFormat/>
    <w:uiPriority w:val="0"/>
    <w:rPr>
      <w:kern w:val="2"/>
      <w:sz w:val="21"/>
      <w:szCs w:val="22"/>
    </w:rPr>
  </w:style>
  <w:style w:type="character" w:customStyle="1" w:styleId="272">
    <w:name w:val="正文文本缩进 3 Char2"/>
    <w:autoRedefine/>
    <w:semiHidden/>
    <w:qFormat/>
    <w:uiPriority w:val="99"/>
    <w:rPr>
      <w:rFonts w:ascii="Calibri" w:hAnsi="Calibri" w:eastAsia="宋体" w:cs="Times New Roman"/>
      <w:sz w:val="16"/>
      <w:szCs w:val="16"/>
    </w:rPr>
  </w:style>
  <w:style w:type="character" w:customStyle="1" w:styleId="273">
    <w:name w:val="标题 Char1"/>
    <w:autoRedefine/>
    <w:qFormat/>
    <w:uiPriority w:val="10"/>
    <w:rPr>
      <w:szCs w:val="24"/>
      <w:u w:val="single"/>
      <w:lang w:eastAsia="en-US"/>
    </w:rPr>
  </w:style>
  <w:style w:type="character" w:customStyle="1" w:styleId="274">
    <w:name w:val="纯文本 Char2"/>
    <w:autoRedefine/>
    <w:semiHidden/>
    <w:qFormat/>
    <w:uiPriority w:val="99"/>
    <w:rPr>
      <w:rFonts w:ascii="宋体" w:hAnsi="Courier New" w:eastAsia="宋体" w:cs="Courier New"/>
      <w:szCs w:val="21"/>
    </w:rPr>
  </w:style>
  <w:style w:type="character" w:customStyle="1" w:styleId="275">
    <w:name w:val="标题 2 Char1"/>
    <w:autoRedefine/>
    <w:qFormat/>
    <w:uiPriority w:val="0"/>
    <w:rPr>
      <w:rFonts w:ascii="Cambria" w:hAnsi="Cambria" w:eastAsia="宋体" w:cs="Times New Roman"/>
      <w:b/>
      <w:bCs/>
      <w:kern w:val="2"/>
      <w:sz w:val="32"/>
      <w:szCs w:val="32"/>
    </w:rPr>
  </w:style>
  <w:style w:type="character" w:customStyle="1" w:styleId="276">
    <w:name w:val="Char Char17"/>
    <w:autoRedefine/>
    <w:qFormat/>
    <w:uiPriority w:val="0"/>
    <w:rPr>
      <w:kern w:val="2"/>
      <w:sz w:val="26"/>
      <w:szCs w:val="24"/>
    </w:rPr>
  </w:style>
  <w:style w:type="paragraph" w:customStyle="1" w:styleId="277">
    <w:name w:val="Char Char Char"/>
    <w:basedOn w:val="1"/>
    <w:autoRedefine/>
    <w:qFormat/>
    <w:uiPriority w:val="0"/>
    <w:rPr>
      <w:szCs w:val="24"/>
    </w:rPr>
  </w:style>
  <w:style w:type="paragraph" w:customStyle="1" w:styleId="278">
    <w:name w:val="样式1"/>
    <w:basedOn w:val="3"/>
    <w:autoRedefine/>
    <w:qFormat/>
    <w:uiPriority w:val="0"/>
    <w:pPr>
      <w:keepNext/>
      <w:keepLines/>
      <w:snapToGrid/>
      <w:spacing w:before="340" w:after="330" w:line="340" w:lineRule="exact"/>
      <w:ind w:left="0" w:right="-20" w:firstLine="0"/>
    </w:pPr>
    <w:rPr>
      <w:rFonts w:ascii="宋体" w:hAnsi="宋体" w:eastAsia="仿宋_GB2312"/>
      <w:b/>
      <w:kern w:val="0"/>
      <w:sz w:val="32"/>
    </w:rPr>
  </w:style>
  <w:style w:type="paragraph" w:customStyle="1" w:styleId="279">
    <w:name w:val="TOC 标题2"/>
    <w:basedOn w:val="3"/>
    <w:next w:val="1"/>
    <w:autoRedefine/>
    <w:unhideWhenUsed/>
    <w:qFormat/>
    <w:uiPriority w:val="0"/>
    <w:pPr>
      <w:keepNext/>
      <w:keepLines/>
      <w:autoSpaceDE/>
      <w:autoSpaceDN/>
      <w:adjustRightInd/>
      <w:snapToGrid/>
      <w:spacing w:before="340" w:after="330" w:line="578" w:lineRule="auto"/>
      <w:ind w:left="0" w:firstLine="0"/>
      <w:jc w:val="both"/>
      <w:outlineLvl w:val="9"/>
    </w:pPr>
    <w:rPr>
      <w:rFonts w:ascii="Calibri" w:hAnsi="Calibri" w:eastAsia="宋体"/>
      <w:b/>
      <w:bCs/>
      <w:kern w:val="44"/>
      <w:szCs w:val="44"/>
    </w:rPr>
  </w:style>
  <w:style w:type="paragraph" w:customStyle="1" w:styleId="280">
    <w:name w:val="Char Char Char Char Char Char Char"/>
    <w:basedOn w:val="1"/>
    <w:autoRedefine/>
    <w:qFormat/>
    <w:uiPriority w:val="0"/>
  </w:style>
  <w:style w:type="paragraph" w:customStyle="1" w:styleId="281">
    <w:name w:val="列表段落1"/>
    <w:basedOn w:val="1"/>
    <w:autoRedefine/>
    <w:qFormat/>
    <w:uiPriority w:val="99"/>
    <w:pPr>
      <w:ind w:firstLine="420" w:firstLineChars="200"/>
    </w:pPr>
    <w:rPr>
      <w:sz w:val="28"/>
    </w:rPr>
  </w:style>
  <w:style w:type="paragraph" w:customStyle="1" w:styleId="282">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83">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Calibri" w:hAnsi="Calibri" w:eastAsia="宋体" w:cs="Times New Roman"/>
      <w:kern w:val="2"/>
      <w:sz w:val="21"/>
      <w:lang w:val="en-US" w:eastAsia="zh-CN" w:bidi="ar-SA"/>
    </w:rPr>
  </w:style>
  <w:style w:type="paragraph" w:customStyle="1" w:styleId="284">
    <w:name w:val="表格标题"/>
    <w:basedOn w:val="285"/>
    <w:autoRedefine/>
    <w:qFormat/>
    <w:uiPriority w:val="0"/>
  </w:style>
  <w:style w:type="paragraph" w:customStyle="1" w:styleId="285">
    <w:name w:val="表格内容"/>
    <w:basedOn w:val="1"/>
    <w:autoRedefine/>
    <w:qFormat/>
    <w:uiPriority w:val="0"/>
    <w:pPr>
      <w:suppressLineNumbers/>
      <w:suppressAutoHyphens/>
    </w:pPr>
    <w:rPr>
      <w:szCs w:val="24"/>
    </w:rPr>
  </w:style>
  <w:style w:type="paragraph" w:customStyle="1" w:styleId="286">
    <w:name w:val="Char Char Char1 Char Char Char Char Char Char Char Char Char Char Char Char Char Char Char Char"/>
    <w:basedOn w:val="1"/>
    <w:autoRedefine/>
    <w:qFormat/>
    <w:uiPriority w:val="0"/>
    <w:pPr>
      <w:snapToGrid w:val="0"/>
      <w:spacing w:line="360" w:lineRule="auto"/>
      <w:ind w:firstLine="200" w:firstLineChars="200"/>
    </w:pPr>
    <w:rPr>
      <w:szCs w:val="24"/>
    </w:rPr>
  </w:style>
  <w:style w:type="paragraph" w:customStyle="1" w:styleId="287">
    <w:name w:val="WW-表格内容"/>
    <w:basedOn w:val="1"/>
    <w:autoRedefine/>
    <w:qFormat/>
    <w:uiPriority w:val="0"/>
    <w:pPr>
      <w:suppressLineNumbers/>
      <w:suppressAutoHyphens/>
    </w:pPr>
    <w:rPr>
      <w:szCs w:val="24"/>
    </w:rPr>
  </w:style>
  <w:style w:type="paragraph" w:customStyle="1" w:styleId="288">
    <w:name w:val="标准节"/>
    <w:basedOn w:val="149"/>
    <w:autoRedefine/>
    <w:qFormat/>
    <w:uiPriority w:val="0"/>
    <w:pPr>
      <w:jc w:val="center"/>
    </w:pPr>
    <w:rPr>
      <w:sz w:val="30"/>
      <w:szCs w:val="32"/>
    </w:rPr>
  </w:style>
  <w:style w:type="paragraph" w:customStyle="1" w:styleId="289">
    <w:name w:val="正文格式"/>
    <w:autoRedefine/>
    <w:qFormat/>
    <w:uiPriority w:val="0"/>
    <w:pPr>
      <w:widowControl w:val="0"/>
      <w:ind w:firstLine="420" w:firstLineChars="200"/>
      <w:jc w:val="both"/>
    </w:pPr>
    <w:rPr>
      <w:rFonts w:ascii="宋体" w:hAnsi="宋体" w:eastAsia="宋体" w:cs="Times New Roman"/>
      <w:bCs/>
      <w:snapToGrid w:val="0"/>
      <w:kern w:val="32"/>
      <w:sz w:val="21"/>
      <w:szCs w:val="21"/>
      <w:lang w:val="en-US" w:eastAsia="zh-CN" w:bidi="ar-SA"/>
    </w:rPr>
  </w:style>
  <w:style w:type="paragraph" w:customStyle="1" w:styleId="290">
    <w:name w:val="6'"/>
    <w:basedOn w:val="1"/>
    <w:autoRedefine/>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291">
    <w:name w:val="明显引用11"/>
    <w:basedOn w:val="1"/>
    <w:next w:val="1"/>
    <w:autoRedefine/>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292">
    <w:name w:val="ly"/>
    <w:basedOn w:val="1"/>
    <w:autoRedefine/>
    <w:qFormat/>
    <w:uiPriority w:val="0"/>
    <w:pPr>
      <w:widowControl/>
      <w:spacing w:before="30"/>
      <w:jc w:val="right"/>
    </w:pPr>
    <w:rPr>
      <w:rFonts w:ascii="方正书宋简体" w:hAnsi="宋体" w:eastAsia="方正书宋简体"/>
      <w:color w:val="000000"/>
      <w:kern w:val="0"/>
      <w:szCs w:val="21"/>
    </w:rPr>
  </w:style>
  <w:style w:type="paragraph" w:customStyle="1" w:styleId="293">
    <w:name w:val="2"/>
    <w:next w:val="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94">
    <w:name w:val="附件"/>
    <w:basedOn w:val="149"/>
    <w:autoRedefine/>
    <w:qFormat/>
    <w:uiPriority w:val="0"/>
    <w:pPr>
      <w:spacing w:beforeLines="0" w:afterLines="0"/>
    </w:pPr>
    <w:rPr>
      <w:szCs w:val="28"/>
    </w:rPr>
  </w:style>
  <w:style w:type="paragraph" w:customStyle="1" w:styleId="295">
    <w:name w:val="正文小标题"/>
    <w:basedOn w:val="1"/>
    <w:autoRedefine/>
    <w:qFormat/>
    <w:uiPriority w:val="0"/>
    <w:pPr>
      <w:tabs>
        <w:tab w:val="left" w:pos="1140"/>
      </w:tabs>
      <w:overflowPunct w:val="0"/>
      <w:autoSpaceDE w:val="0"/>
      <w:autoSpaceDN w:val="0"/>
      <w:adjustRightInd w:val="0"/>
      <w:spacing w:line="360" w:lineRule="auto"/>
      <w:ind w:left="1140" w:hanging="720"/>
      <w:textAlignment w:val="baseline"/>
    </w:pPr>
    <w:rPr>
      <w:rFonts w:ascii="仿宋_GB2312" w:hAnsi="Arial"/>
      <w:kern w:val="0"/>
      <w:sz w:val="24"/>
    </w:rPr>
  </w:style>
  <w:style w:type="paragraph" w:customStyle="1" w:styleId="296">
    <w:name w:val="表格"/>
    <w:basedOn w:val="1"/>
    <w:next w:val="1"/>
    <w:autoRedefine/>
    <w:qFormat/>
    <w:uiPriority w:val="0"/>
    <w:pPr>
      <w:autoSpaceDE w:val="0"/>
      <w:autoSpaceDN w:val="0"/>
      <w:snapToGrid w:val="0"/>
      <w:jc w:val="center"/>
    </w:pPr>
    <w:rPr>
      <w:rFonts w:ascii="宋体" w:hAnsi="宋体"/>
      <w:szCs w:val="21"/>
    </w:rPr>
  </w:style>
  <w:style w:type="paragraph" w:customStyle="1" w:styleId="297">
    <w:name w:val="TOC 标题1"/>
    <w:basedOn w:val="3"/>
    <w:next w:val="1"/>
    <w:autoRedefine/>
    <w:qFormat/>
    <w:uiPriority w:val="0"/>
    <w:pPr>
      <w:keepNext/>
      <w:keepLines/>
      <w:widowControl/>
      <w:autoSpaceDE/>
      <w:autoSpaceDN/>
      <w:adjustRightInd/>
      <w:snapToGrid/>
      <w:spacing w:before="480" w:line="276" w:lineRule="auto"/>
      <w:ind w:left="0" w:firstLine="0"/>
      <w:jc w:val="left"/>
      <w:outlineLvl w:val="9"/>
    </w:pPr>
    <w:rPr>
      <w:rFonts w:ascii="Cambria" w:hAnsi="Cambria" w:eastAsia="宋体"/>
      <w:b/>
      <w:bCs/>
      <w:color w:val="365F91"/>
      <w:kern w:val="0"/>
      <w:sz w:val="28"/>
      <w:szCs w:val="28"/>
    </w:rPr>
  </w:style>
  <w:style w:type="paragraph" w:customStyle="1" w:styleId="298">
    <w:name w:val="Char Char Char Char Char Char Char Char Char Char"/>
    <w:basedOn w:val="14"/>
    <w:autoRedefine/>
    <w:qFormat/>
    <w:uiPriority w:val="0"/>
    <w:pPr>
      <w:spacing w:line="360" w:lineRule="auto"/>
      <w:ind w:firstLine="200" w:firstLineChars="200"/>
    </w:pPr>
    <w:rPr>
      <w:rFonts w:ascii="Tahoma" w:hAnsi="Tahoma"/>
      <w:sz w:val="24"/>
      <w:szCs w:val="24"/>
    </w:rPr>
  </w:style>
  <w:style w:type="paragraph" w:customStyle="1" w:styleId="299">
    <w:name w:val="Char Char1 Char Char Char Char Char Char Char Char Char Char"/>
    <w:basedOn w:val="1"/>
    <w:autoRedefine/>
    <w:qFormat/>
    <w:uiPriority w:val="0"/>
    <w:pPr>
      <w:autoSpaceDE w:val="0"/>
      <w:autoSpaceDN w:val="0"/>
      <w:adjustRightInd w:val="0"/>
      <w:ind w:firstLine="482"/>
    </w:pPr>
    <w:rPr>
      <w:rFonts w:ascii="Calibri" w:hAnsi="Calibri"/>
    </w:rPr>
  </w:style>
  <w:style w:type="paragraph" w:customStyle="1" w:styleId="300">
    <w:name w:val="p17"/>
    <w:basedOn w:val="1"/>
    <w:autoRedefine/>
    <w:qFormat/>
    <w:uiPriority w:val="0"/>
    <w:pPr>
      <w:widowControl/>
      <w:spacing w:before="120" w:after="120"/>
      <w:jc w:val="left"/>
    </w:pPr>
    <w:rPr>
      <w:rFonts w:ascii="Calibri" w:hAnsi="Calibri" w:cs="宋体"/>
      <w:b/>
      <w:bCs/>
      <w:caps/>
      <w:kern w:val="0"/>
      <w:sz w:val="28"/>
      <w:szCs w:val="28"/>
    </w:rPr>
  </w:style>
  <w:style w:type="paragraph" w:customStyle="1" w:styleId="301">
    <w:name w:val="Char Char Char1"/>
    <w:basedOn w:val="1"/>
    <w:autoRedefine/>
    <w:qFormat/>
    <w:uiPriority w:val="0"/>
  </w:style>
  <w:style w:type="paragraph" w:styleId="302">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3">
    <w:name w:val="pa-27"/>
    <w:basedOn w:val="1"/>
    <w:autoRedefine/>
    <w:qFormat/>
    <w:uiPriority w:val="0"/>
    <w:pPr>
      <w:widowControl/>
      <w:spacing w:line="360" w:lineRule="atLeast"/>
      <w:ind w:firstLine="420"/>
    </w:pPr>
    <w:rPr>
      <w:rFonts w:ascii="宋体" w:hAnsi="宋体" w:cs="宋体"/>
      <w:kern w:val="0"/>
      <w:sz w:val="24"/>
      <w:szCs w:val="24"/>
    </w:rPr>
  </w:style>
  <w:style w:type="paragraph" w:customStyle="1" w:styleId="304">
    <w:name w:val="Char Char1 Char Char"/>
    <w:basedOn w:val="14"/>
    <w:autoRedefine/>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rPr>
  </w:style>
  <w:style w:type="paragraph" w:customStyle="1" w:styleId="305">
    <w:name w:val="空半行"/>
    <w:basedOn w:val="1"/>
    <w:autoRedefine/>
    <w:qFormat/>
    <w:uiPriority w:val="0"/>
    <w:pPr>
      <w:adjustRightInd w:val="0"/>
      <w:spacing w:line="120" w:lineRule="exact"/>
      <w:textAlignment w:val="baseline"/>
    </w:pPr>
    <w:rPr>
      <w:rFonts w:eastAsia="仿宋_GB2312"/>
      <w:color w:val="FFFFFF"/>
      <w:kern w:val="0"/>
      <w:sz w:val="30"/>
    </w:rPr>
  </w:style>
  <w:style w:type="paragraph" w:customStyle="1" w:styleId="306">
    <w:name w:val="zz"/>
    <w:basedOn w:val="1"/>
    <w:autoRedefine/>
    <w:qFormat/>
    <w:uiPriority w:val="0"/>
    <w:pPr>
      <w:widowControl/>
      <w:spacing w:before="30"/>
      <w:jc w:val="right"/>
    </w:pPr>
    <w:rPr>
      <w:rFonts w:ascii="方正书宋简体" w:hAnsi="宋体" w:eastAsia="方正书宋简体"/>
      <w:color w:val="000000"/>
      <w:kern w:val="0"/>
      <w:szCs w:val="21"/>
    </w:rPr>
  </w:style>
  <w:style w:type="paragraph" w:customStyle="1" w:styleId="307">
    <w:name w:val="样式 标题 3 + (中文) 黑体 小四 非加粗 段前: 7.8 磅 段后: 0 磅 行距: 固定值 20 磅"/>
    <w:basedOn w:val="5"/>
    <w:next w:val="1"/>
    <w:autoRedefine/>
    <w:qFormat/>
    <w:uiPriority w:val="0"/>
    <w:pPr>
      <w:keepNext/>
      <w:keepLines/>
      <w:autoSpaceDE/>
      <w:autoSpaceDN/>
      <w:adjustRightInd/>
      <w:spacing w:before="0" w:line="400" w:lineRule="exact"/>
      <w:jc w:val="both"/>
    </w:pPr>
    <w:rPr>
      <w:rFonts w:ascii="Times New Roman" w:eastAsia="黑体" w:cs="宋体"/>
      <w:b w:val="0"/>
      <w:kern w:val="2"/>
    </w:rPr>
  </w:style>
  <w:style w:type="paragraph" w:customStyle="1" w:styleId="308">
    <w:name w:val="_Style 3"/>
    <w:autoRedefine/>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309">
    <w:name w:val="Char3"/>
    <w:basedOn w:val="1"/>
    <w:autoRedefine/>
    <w:qFormat/>
    <w:uiPriority w:val="0"/>
  </w:style>
  <w:style w:type="paragraph" w:customStyle="1" w:styleId="310">
    <w:name w:val="样式3"/>
    <w:basedOn w:val="5"/>
    <w:autoRedefine/>
    <w:qFormat/>
    <w:uiPriority w:val="0"/>
    <w:pPr>
      <w:keepNext/>
      <w:keepLines/>
      <w:spacing w:before="0" w:line="360" w:lineRule="auto"/>
      <w:ind w:left="119" w:right="-23"/>
    </w:pPr>
    <w:rPr>
      <w:rFonts w:ascii="宋体" w:hAnsi="宋体"/>
    </w:rPr>
  </w:style>
  <w:style w:type="paragraph" w:customStyle="1" w:styleId="311">
    <w:name w:val="flNote"/>
    <w:basedOn w:val="1"/>
    <w:autoRedefine/>
    <w:qFormat/>
    <w:uiPriority w:val="0"/>
    <w:pPr>
      <w:adjustRightInd w:val="0"/>
      <w:spacing w:before="320" w:after="160" w:line="360" w:lineRule="atLeast"/>
      <w:jc w:val="center"/>
      <w:textAlignment w:val="baseline"/>
    </w:pPr>
    <w:rPr>
      <w:rFonts w:ascii="Arial" w:eastAsia="黑体"/>
      <w:kern w:val="0"/>
      <w:sz w:val="30"/>
    </w:rPr>
  </w:style>
  <w:style w:type="paragraph" w:customStyle="1" w:styleId="312">
    <w:name w:val="样式 标题 1 + 黑体 三号 非加粗 居中 段前: 6 磅 段后: 6 磅 行距: 固定值 20 磅"/>
    <w:basedOn w:val="3"/>
    <w:autoRedefine/>
    <w:qFormat/>
    <w:uiPriority w:val="0"/>
    <w:pPr>
      <w:keepNext/>
      <w:keepLines/>
      <w:autoSpaceDE/>
      <w:autoSpaceDN/>
      <w:adjustRightInd/>
      <w:snapToGrid/>
      <w:spacing w:before="120" w:after="120" w:line="400" w:lineRule="exact"/>
      <w:ind w:left="0" w:firstLine="0"/>
    </w:pPr>
    <w:rPr>
      <w:rFonts w:ascii="黑体" w:hAnsi="黑体" w:cs="宋体"/>
      <w:kern w:val="44"/>
      <w:sz w:val="32"/>
    </w:rPr>
  </w:style>
  <w:style w:type="paragraph" w:customStyle="1" w:styleId="313">
    <w:name w:val="表格文字"/>
    <w:basedOn w:val="1"/>
    <w:autoRedefine/>
    <w:qFormat/>
    <w:uiPriority w:val="0"/>
    <w:pPr>
      <w:adjustRightInd w:val="0"/>
      <w:spacing w:line="420" w:lineRule="atLeast"/>
      <w:jc w:val="left"/>
      <w:textAlignment w:val="baseline"/>
    </w:pPr>
    <w:rPr>
      <w:kern w:val="0"/>
    </w:rPr>
  </w:style>
  <w:style w:type="paragraph" w:customStyle="1" w:styleId="314">
    <w:name w:val="Char Char Char1 Char"/>
    <w:basedOn w:val="1"/>
    <w:autoRedefine/>
    <w:qFormat/>
    <w:uiPriority w:val="0"/>
  </w:style>
  <w:style w:type="paragraph" w:customStyle="1" w:styleId="315">
    <w:name w:val="Char Char Char Char"/>
    <w:basedOn w:val="14"/>
    <w:qFormat/>
    <w:uiPriority w:val="0"/>
    <w:pPr>
      <w:spacing w:line="360" w:lineRule="auto"/>
      <w:ind w:firstLine="200" w:firstLineChars="200"/>
    </w:pPr>
    <w:rPr>
      <w:rFonts w:ascii="Tahoma" w:hAnsi="Tahoma"/>
      <w:sz w:val="24"/>
      <w:szCs w:val="24"/>
    </w:rPr>
  </w:style>
  <w:style w:type="paragraph" w:customStyle="1" w:styleId="316">
    <w:name w:val="Char1"/>
    <w:basedOn w:val="1"/>
    <w:autoRedefine/>
    <w:qFormat/>
    <w:uiPriority w:val="0"/>
    <w:rPr>
      <w:szCs w:val="24"/>
    </w:rPr>
  </w:style>
  <w:style w:type="paragraph" w:customStyle="1" w:styleId="317">
    <w:name w:val="表体"/>
    <w:basedOn w:val="1"/>
    <w:next w:val="1"/>
    <w:autoRedefine/>
    <w:qFormat/>
    <w:uiPriority w:val="0"/>
    <w:pPr>
      <w:spacing w:line="0" w:lineRule="atLeast"/>
    </w:pPr>
    <w:rPr>
      <w:rFonts w:ascii="Calibri" w:hAnsi="Calibri"/>
      <w:b/>
      <w:snapToGrid w:val="0"/>
    </w:rPr>
  </w:style>
  <w:style w:type="paragraph" w:customStyle="1" w:styleId="318">
    <w:name w:val="xl65"/>
    <w:basedOn w:val="1"/>
    <w:autoRedefine/>
    <w:qFormat/>
    <w:uiPriority w:val="0"/>
    <w:pPr>
      <w:widowControl/>
      <w:spacing w:before="100" w:beforeAutospacing="1" w:after="100" w:afterAutospacing="1"/>
      <w:jc w:val="center"/>
    </w:pPr>
    <w:rPr>
      <w:rFonts w:ascii="黑体" w:hAnsi="宋体" w:eastAsia="黑体"/>
      <w:b/>
      <w:kern w:val="0"/>
      <w:sz w:val="36"/>
    </w:rPr>
  </w:style>
  <w:style w:type="paragraph" w:customStyle="1" w:styleId="319">
    <w:name w:val="g3"/>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20">
    <w:name w:val="mtitle"/>
    <w:basedOn w:val="1"/>
    <w:autoRedefine/>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321">
    <w:name w:val="标题1"/>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22">
    <w:name w:val="_Style 52"/>
    <w:basedOn w:val="1"/>
    <w:qFormat/>
    <w:uiPriority w:val="0"/>
    <w:rPr>
      <w:szCs w:val="24"/>
    </w:rPr>
  </w:style>
  <w:style w:type="paragraph" w:customStyle="1" w:styleId="323">
    <w:name w:val="intel1"/>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24">
    <w:name w:val="标准样式1"/>
    <w:basedOn w:val="1"/>
    <w:autoRedefine/>
    <w:qFormat/>
    <w:uiPriority w:val="0"/>
    <w:pPr>
      <w:spacing w:line="600" w:lineRule="exact"/>
      <w:ind w:firstLine="567"/>
    </w:pPr>
    <w:rPr>
      <w:rFonts w:ascii="Calibri" w:hAnsi="Calibri"/>
      <w:sz w:val="28"/>
      <w:szCs w:val="24"/>
    </w:rPr>
  </w:style>
  <w:style w:type="paragraph" w:customStyle="1" w:styleId="325">
    <w:name w:val="_Style 105"/>
    <w:basedOn w:val="3"/>
    <w:next w:val="1"/>
    <w:autoRedefine/>
    <w:qFormat/>
    <w:uiPriority w:val="39"/>
    <w:pPr>
      <w:keepNext/>
      <w:keepLines/>
      <w:widowControl/>
      <w:autoSpaceDE/>
      <w:autoSpaceDN/>
      <w:adjustRightInd/>
      <w:snapToGrid/>
      <w:spacing w:before="480" w:line="276" w:lineRule="auto"/>
      <w:ind w:left="0" w:firstLine="0"/>
      <w:jc w:val="left"/>
      <w:outlineLvl w:val="9"/>
    </w:pPr>
    <w:rPr>
      <w:rFonts w:ascii="Cambria" w:hAnsi="Cambria" w:eastAsia="宋体"/>
      <w:b/>
      <w:bCs/>
      <w:color w:val="365F91"/>
      <w:kern w:val="0"/>
      <w:sz w:val="28"/>
      <w:szCs w:val="28"/>
    </w:rPr>
  </w:style>
  <w:style w:type="paragraph" w:customStyle="1" w:styleId="326">
    <w:name w:val="_Style 87"/>
    <w:basedOn w:val="1"/>
    <w:autoRedefine/>
    <w:qFormat/>
    <w:uiPriority w:val="99"/>
    <w:pPr>
      <w:ind w:firstLine="420" w:firstLineChars="200"/>
    </w:pPr>
    <w:rPr>
      <w:rFonts w:ascii="Calibri" w:hAnsi="Calibri"/>
      <w:sz w:val="28"/>
      <w:szCs w:val="28"/>
    </w:rPr>
  </w:style>
  <w:style w:type="paragraph" w:customStyle="1" w:styleId="327">
    <w:name w:val="样式 标题 2 + Times New Roman 四号 非加粗 段前: 5 磅 段后: 0 磅 行距: 固定值 20..."/>
    <w:basedOn w:val="4"/>
    <w:autoRedefine/>
    <w:qFormat/>
    <w:uiPriority w:val="0"/>
    <w:pPr>
      <w:keepNext/>
      <w:keepLines/>
      <w:autoSpaceDE/>
      <w:autoSpaceDN/>
      <w:adjustRightInd/>
      <w:snapToGrid/>
      <w:spacing w:before="100" w:line="400" w:lineRule="exact"/>
      <w:jc w:val="both"/>
    </w:pPr>
    <w:rPr>
      <w:rFonts w:ascii="Times New Roman" w:eastAsia="黑体" w:cs="宋体"/>
      <w:b w:val="0"/>
      <w:spacing w:val="0"/>
      <w:w w:val="100"/>
      <w:kern w:val="2"/>
    </w:rPr>
  </w:style>
  <w:style w:type="paragraph" w:customStyle="1" w:styleId="328">
    <w:name w:val="Default"/>
    <w:autoRedefine/>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329">
    <w:name w:val="g11"/>
    <w:basedOn w:val="1"/>
    <w:autoRedefine/>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330">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331">
    <w:name w:val="Char2"/>
    <w:basedOn w:val="1"/>
    <w:autoRedefine/>
    <w:qFormat/>
    <w:uiPriority w:val="0"/>
    <w:rPr>
      <w:rFonts w:ascii="Calibri" w:hAnsi="Calibri"/>
      <w:szCs w:val="24"/>
    </w:rPr>
  </w:style>
  <w:style w:type="paragraph" w:customStyle="1" w:styleId="332">
    <w:name w:val="Char Char Char Char Char Char"/>
    <w:basedOn w:val="1"/>
    <w:qFormat/>
    <w:uiPriority w:val="0"/>
  </w:style>
  <w:style w:type="paragraph" w:customStyle="1" w:styleId="333">
    <w:name w:val="目录"/>
    <w:basedOn w:val="1"/>
    <w:qFormat/>
    <w:uiPriority w:val="0"/>
    <w:pPr>
      <w:widowControl/>
      <w:jc w:val="center"/>
    </w:pPr>
    <w:rPr>
      <w:rFonts w:ascii="宋体"/>
      <w:b/>
      <w:kern w:val="0"/>
      <w:sz w:val="36"/>
    </w:rPr>
  </w:style>
  <w:style w:type="paragraph" w:customStyle="1" w:styleId="334">
    <w:name w:val="样式15"/>
    <w:basedOn w:val="5"/>
    <w:autoRedefine/>
    <w:qFormat/>
    <w:uiPriority w:val="0"/>
    <w:pPr>
      <w:tabs>
        <w:tab w:val="left" w:pos="0"/>
        <w:tab w:val="left" w:pos="210"/>
        <w:tab w:val="left" w:pos="420"/>
        <w:tab w:val="left" w:pos="1260"/>
      </w:tabs>
      <w:autoSpaceDE/>
      <w:autoSpaceDN/>
      <w:spacing w:before="0"/>
    </w:pPr>
    <w:rPr>
      <w:rFonts w:hAnsi="Calibri"/>
      <w:kern w:val="2"/>
      <w:sz w:val="32"/>
      <w:szCs w:val="24"/>
    </w:rPr>
  </w:style>
  <w:style w:type="paragraph" w:customStyle="1" w:styleId="335">
    <w:name w:val="1"/>
    <w:basedOn w:val="1"/>
    <w:next w:val="1"/>
    <w:qFormat/>
    <w:uiPriority w:val="0"/>
    <w:rPr>
      <w:szCs w:val="24"/>
    </w:rPr>
  </w:style>
  <w:style w:type="paragraph" w:customStyle="1" w:styleId="336">
    <w:name w:val="修订1"/>
    <w:qFormat/>
    <w:uiPriority w:val="0"/>
    <w:rPr>
      <w:rFonts w:ascii="Times New Roman" w:hAnsi="Times New Roman" w:eastAsia="宋体" w:cs="Times New Roman"/>
      <w:kern w:val="2"/>
      <w:sz w:val="21"/>
      <w:lang w:val="en-US" w:eastAsia="zh-CN" w:bidi="ar-SA"/>
    </w:rPr>
  </w:style>
  <w:style w:type="paragraph" w:customStyle="1" w:styleId="337">
    <w:name w:val="样式 标题 1 + (西文) 宋体 非加粗 黑色 两端对齐 左侧:  0 厘米 首行缩进:  0.89 厘米"/>
    <w:basedOn w:val="3"/>
    <w:autoRedefine/>
    <w:qFormat/>
    <w:uiPriority w:val="0"/>
    <w:pPr>
      <w:keepNext/>
      <w:tabs>
        <w:tab w:val="left" w:pos="1140"/>
      </w:tabs>
      <w:autoSpaceDE/>
      <w:autoSpaceDN/>
      <w:ind w:left="1140" w:hanging="720"/>
      <w:textAlignment w:val="baseline"/>
    </w:pPr>
    <w:rPr>
      <w:rFonts w:ascii="宋体" w:hAnsi="宋体"/>
      <w:b/>
      <w:color w:val="000000"/>
      <w:kern w:val="0"/>
      <w:sz w:val="30"/>
    </w:rPr>
  </w:style>
  <w:style w:type="paragraph" w:customStyle="1" w:styleId="338">
    <w:name w:val="样式 招标正文 + 首行缩进:  1.5 字符"/>
    <w:basedOn w:val="115"/>
    <w:qFormat/>
    <w:uiPriority w:val="0"/>
    <w:pPr>
      <w:ind w:firstLine="0" w:firstLineChars="0"/>
      <w:jc w:val="center"/>
    </w:pPr>
    <w:rPr>
      <w:rFonts w:cs="宋体"/>
      <w:szCs w:val="20"/>
    </w:rPr>
  </w:style>
  <w:style w:type="paragraph" w:customStyle="1" w:styleId="339">
    <w:name w:val="Char Char Char Char Char Char Char Char Char Char Char Char Char Char Char Char"/>
    <w:basedOn w:val="14"/>
    <w:autoRedefine/>
    <w:qFormat/>
    <w:uiPriority w:val="0"/>
    <w:pPr>
      <w:spacing w:line="360" w:lineRule="auto"/>
      <w:ind w:firstLine="200" w:firstLineChars="200"/>
    </w:pPr>
    <w:rPr>
      <w:rFonts w:ascii="Tahoma" w:hAnsi="Tahoma"/>
      <w:sz w:val="24"/>
      <w:szCs w:val="24"/>
    </w:rPr>
  </w:style>
  <w:style w:type="paragraph" w:customStyle="1" w:styleId="340">
    <w:name w:val="样式2"/>
    <w:basedOn w:val="4"/>
    <w:autoRedefine/>
    <w:qFormat/>
    <w:uiPriority w:val="0"/>
    <w:pPr>
      <w:keepNext/>
      <w:keepLines/>
      <w:snapToGrid/>
      <w:spacing w:before="260" w:after="260" w:line="300" w:lineRule="exact"/>
      <w:ind w:left="220" w:right="-20"/>
      <w:jc w:val="center"/>
    </w:pPr>
    <w:rPr>
      <w:rFonts w:ascii="宋体" w:hAnsi="宋体"/>
      <w:spacing w:val="0"/>
    </w:rPr>
  </w:style>
  <w:style w:type="paragraph" w:customStyle="1" w:styleId="341">
    <w:name w:val="Char9 Char Char Char Char Char Char"/>
    <w:basedOn w:val="14"/>
    <w:autoRedefine/>
    <w:qFormat/>
    <w:uiPriority w:val="0"/>
    <w:pPr>
      <w:spacing w:line="360" w:lineRule="auto"/>
      <w:ind w:firstLine="200" w:firstLineChars="200"/>
    </w:pPr>
    <w:rPr>
      <w:rFonts w:ascii="Tahoma" w:hAnsi="Tahoma"/>
      <w:sz w:val="24"/>
      <w:szCs w:val="24"/>
    </w:rPr>
  </w:style>
  <w:style w:type="paragraph" w:customStyle="1" w:styleId="342">
    <w:name w:val="标题2"/>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43">
    <w:name w:val="列出段落1"/>
    <w:basedOn w:val="1"/>
    <w:qFormat/>
    <w:uiPriority w:val="0"/>
    <w:pPr>
      <w:ind w:firstLine="420" w:firstLineChars="200"/>
    </w:pPr>
    <w:rPr>
      <w:sz w:val="28"/>
      <w:szCs w:val="28"/>
    </w:rPr>
  </w:style>
  <w:style w:type="paragraph" w:customStyle="1" w:styleId="344">
    <w:name w:val="修订11"/>
    <w:autoRedefine/>
    <w:qFormat/>
    <w:uiPriority w:val="0"/>
    <w:rPr>
      <w:rFonts w:ascii="Times New Roman" w:hAnsi="Times New Roman" w:eastAsia="宋体" w:cs="Times New Roman"/>
      <w:kern w:val="2"/>
      <w:sz w:val="21"/>
      <w:szCs w:val="24"/>
      <w:lang w:val="en-US" w:eastAsia="zh-CN" w:bidi="ar-SA"/>
    </w:rPr>
  </w:style>
  <w:style w:type="paragraph" w:customStyle="1" w:styleId="345">
    <w:name w:val="rr"/>
    <w:basedOn w:val="1"/>
    <w:autoRedefine/>
    <w:qFormat/>
    <w:uiPriority w:val="0"/>
    <w:pPr>
      <w:widowControl/>
      <w:spacing w:before="100" w:beforeAutospacing="1" w:after="100" w:afterAutospacing="1"/>
      <w:jc w:val="left"/>
    </w:pPr>
    <w:rPr>
      <w:rFonts w:hint="eastAsia" w:ascii="宋体" w:hAnsi="宋体"/>
      <w:kern w:val="0"/>
      <w:szCs w:val="21"/>
    </w:rPr>
  </w:style>
  <w:style w:type="paragraph" w:customStyle="1" w:styleId="346">
    <w:name w:val="列出段落11"/>
    <w:basedOn w:val="1"/>
    <w:autoRedefine/>
    <w:qFormat/>
    <w:uiPriority w:val="0"/>
    <w:pPr>
      <w:ind w:firstLine="420" w:firstLineChars="200"/>
    </w:pPr>
    <w:rPr>
      <w:sz w:val="28"/>
      <w:szCs w:val="28"/>
    </w:rPr>
  </w:style>
  <w:style w:type="paragraph" w:customStyle="1" w:styleId="347">
    <w:name w:val="pa-34"/>
    <w:basedOn w:val="1"/>
    <w:autoRedefine/>
    <w:qFormat/>
    <w:uiPriority w:val="0"/>
    <w:pPr>
      <w:widowControl/>
      <w:spacing w:line="360" w:lineRule="atLeast"/>
      <w:ind w:firstLine="420"/>
      <w:jc w:val="left"/>
    </w:pPr>
    <w:rPr>
      <w:rFonts w:ascii="宋体" w:hAnsi="宋体" w:cs="宋体"/>
      <w:kern w:val="0"/>
      <w:sz w:val="24"/>
      <w:szCs w:val="24"/>
    </w:rPr>
  </w:style>
  <w:style w:type="paragraph" w:customStyle="1" w:styleId="348">
    <w:name w:val="TOC 标题11"/>
    <w:basedOn w:val="3"/>
    <w:next w:val="1"/>
    <w:qFormat/>
    <w:uiPriority w:val="0"/>
    <w:pPr>
      <w:keepNext/>
      <w:keepLines/>
      <w:widowControl/>
      <w:autoSpaceDE/>
      <w:autoSpaceDN/>
      <w:adjustRightInd/>
      <w:snapToGrid/>
      <w:spacing w:before="480" w:line="276" w:lineRule="auto"/>
      <w:ind w:left="0" w:firstLine="0"/>
      <w:jc w:val="left"/>
      <w:outlineLvl w:val="9"/>
    </w:pPr>
    <w:rPr>
      <w:rFonts w:ascii="Cambria" w:hAnsi="Cambria" w:eastAsia="宋体"/>
      <w:b/>
      <w:bCs/>
      <w:color w:val="365F91"/>
      <w:kern w:val="0"/>
      <w:sz w:val="28"/>
      <w:szCs w:val="28"/>
    </w:rPr>
  </w:style>
  <w:style w:type="paragraph" w:customStyle="1" w:styleId="349">
    <w:name w:val="g2"/>
    <w:basedOn w:val="1"/>
    <w:autoRedefine/>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350">
    <w:name w:val="WW-表格标题"/>
    <w:basedOn w:val="287"/>
    <w:qFormat/>
    <w:uiPriority w:val="0"/>
  </w:style>
  <w:style w:type="paragraph" w:customStyle="1" w:styleId="351">
    <w:name w:val="Char Char"/>
    <w:basedOn w:val="1"/>
    <w:autoRedefine/>
    <w:qFormat/>
    <w:uiPriority w:val="0"/>
    <w:pPr>
      <w:widowControl/>
      <w:jc w:val="left"/>
    </w:pPr>
    <w:rPr>
      <w:rFonts w:ascii="Verdana" w:hAnsi="Verdana" w:eastAsia="Times New Roman"/>
      <w:kern w:val="0"/>
      <w:sz w:val="16"/>
      <w:lang w:eastAsia="en-US"/>
    </w:rPr>
  </w:style>
  <w:style w:type="paragraph" w:customStyle="1" w:styleId="352">
    <w:name w:val="自定样式1"/>
    <w:basedOn w:val="1"/>
    <w:autoRedefine/>
    <w:qFormat/>
    <w:uiPriority w:val="0"/>
    <w:pPr>
      <w:suppressAutoHyphens/>
      <w:jc w:val="center"/>
    </w:pPr>
    <w:rPr>
      <w:rFonts w:ascii="宋体" w:hAnsi="宋体"/>
      <w:color w:val="000000"/>
      <w:sz w:val="18"/>
      <w:szCs w:val="24"/>
    </w:rPr>
  </w:style>
  <w:style w:type="paragraph" w:customStyle="1" w:styleId="353">
    <w:name w:val="TOC 标题3"/>
    <w:basedOn w:val="3"/>
    <w:next w:val="1"/>
    <w:autoRedefine/>
    <w:qFormat/>
    <w:uiPriority w:val="39"/>
    <w:pPr>
      <w:keepNext/>
      <w:keepLines/>
      <w:widowControl/>
      <w:autoSpaceDE/>
      <w:autoSpaceDN/>
      <w:adjustRightInd/>
      <w:snapToGrid/>
      <w:spacing w:before="480" w:line="276" w:lineRule="auto"/>
      <w:ind w:left="0" w:firstLine="0"/>
      <w:jc w:val="left"/>
      <w:outlineLvl w:val="9"/>
    </w:pPr>
    <w:rPr>
      <w:rFonts w:ascii="Cambria" w:hAnsi="Cambria" w:eastAsia="宋体"/>
      <w:b/>
      <w:color w:val="365F91"/>
      <w:kern w:val="0"/>
      <w:sz w:val="28"/>
    </w:rPr>
  </w:style>
  <w:style w:type="paragraph" w:customStyle="1" w:styleId="354">
    <w:name w:val="rw"/>
    <w:basedOn w:val="1"/>
    <w:autoRedefine/>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355">
    <w:name w:val="_Style 96"/>
    <w:autoRedefine/>
    <w:semiHidden/>
    <w:qFormat/>
    <w:uiPriority w:val="99"/>
    <w:rPr>
      <w:rFonts w:ascii="Calibri" w:hAnsi="Calibri" w:eastAsia="宋体" w:cs="Times New Roman"/>
      <w:kern w:val="2"/>
      <w:sz w:val="21"/>
      <w:szCs w:val="24"/>
      <w:lang w:val="en-US" w:eastAsia="zh-CN" w:bidi="ar-SA"/>
    </w:rPr>
  </w:style>
  <w:style w:type="paragraph" w:customStyle="1" w:styleId="356">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7">
    <w:name w:val="style12"/>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58">
    <w:name w:val="_Style 90"/>
    <w:next w:val="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359">
    <w:name w:val="Char Char Char Char Char Char1"/>
    <w:basedOn w:val="1"/>
    <w:autoRedefine/>
    <w:qFormat/>
    <w:uiPriority w:val="0"/>
    <w:rPr>
      <w:szCs w:val="24"/>
    </w:rPr>
  </w:style>
  <w:style w:type="paragraph" w:customStyle="1" w:styleId="360">
    <w:name w:val="p0"/>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61">
    <w:name w:val="正文 New New New New New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362">
    <w:name w:val="p15"/>
    <w:basedOn w:val="1"/>
    <w:autoRedefine/>
    <w:qFormat/>
    <w:uiPriority w:val="0"/>
    <w:pPr>
      <w:widowControl/>
      <w:spacing w:after="120"/>
    </w:pPr>
    <w:rPr>
      <w:kern w:val="0"/>
      <w:szCs w:val="21"/>
    </w:rPr>
  </w:style>
  <w:style w:type="paragraph" w:customStyle="1" w:styleId="363">
    <w:name w:val="1 Char"/>
    <w:basedOn w:val="1"/>
    <w:autoRedefine/>
    <w:qFormat/>
    <w:uiPriority w:val="0"/>
    <w:pPr>
      <w:widowControl/>
      <w:spacing w:after="160" w:line="240" w:lineRule="exact"/>
      <w:jc w:val="left"/>
    </w:pPr>
    <w:rPr>
      <w:rFonts w:ascii="Calibri" w:hAnsi="Calibri"/>
    </w:rPr>
  </w:style>
  <w:style w:type="paragraph" w:customStyle="1" w:styleId="364">
    <w:name w:val="标准正文"/>
    <w:basedOn w:val="1"/>
    <w:autoRedefine/>
    <w:qFormat/>
    <w:uiPriority w:val="0"/>
    <w:pPr>
      <w:tabs>
        <w:tab w:val="left" w:pos="900"/>
        <w:tab w:val="left" w:pos="1620"/>
      </w:tabs>
      <w:spacing w:line="300" w:lineRule="auto"/>
      <w:ind w:firstLine="538"/>
    </w:pPr>
    <w:rPr>
      <w:rFonts w:ascii="仿宋_GB2312" w:hAnsi="宋体" w:eastAsia="仿宋_GB2312"/>
      <w:kern w:val="0"/>
      <w:sz w:val="24"/>
    </w:rPr>
  </w:style>
  <w:style w:type="paragraph" w:customStyle="1" w:styleId="365">
    <w:name w:val="表头"/>
    <w:basedOn w:val="1"/>
    <w:autoRedefine/>
    <w:qFormat/>
    <w:uiPriority w:val="0"/>
    <w:pPr>
      <w:snapToGrid w:val="0"/>
      <w:spacing w:line="360" w:lineRule="exact"/>
    </w:pPr>
    <w:rPr>
      <w:rFonts w:ascii="仿宋_GB2312" w:eastAsia="仿宋_GB2312"/>
      <w:bCs/>
      <w:kern w:val="0"/>
      <w:sz w:val="24"/>
    </w:rPr>
  </w:style>
  <w:style w:type="paragraph" w:customStyle="1" w:styleId="366">
    <w:name w:val="列表段落11"/>
    <w:basedOn w:val="1"/>
    <w:autoRedefine/>
    <w:qFormat/>
    <w:uiPriority w:val="34"/>
    <w:pPr>
      <w:ind w:firstLine="420" w:firstLineChars="200"/>
    </w:pPr>
    <w:rPr>
      <w:rFonts w:ascii="Calibri" w:hAnsi="Calibri"/>
      <w:szCs w:val="24"/>
    </w:rPr>
  </w:style>
  <w:style w:type="paragraph" w:customStyle="1" w:styleId="367">
    <w:name w:val="正  文"/>
    <w:basedOn w:val="1"/>
    <w:autoRedefine/>
    <w:qFormat/>
    <w:uiPriority w:val="0"/>
    <w:pPr>
      <w:spacing w:line="360" w:lineRule="auto"/>
      <w:ind w:firstLine="200" w:firstLineChars="200"/>
    </w:pPr>
    <w:rPr>
      <w:rFonts w:ascii="宋体" w:hAnsi="Calibri"/>
      <w:sz w:val="24"/>
      <w:szCs w:val="24"/>
    </w:rPr>
  </w:style>
  <w:style w:type="paragraph" w:customStyle="1" w:styleId="368">
    <w:name w:val="标准样式（文件）"/>
    <w:autoRedefine/>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369">
    <w:name w:val="reader-word-layer"/>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70">
    <w:name w:val="链接"/>
    <w:autoRedefine/>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371">
    <w:name w:val="l-2"/>
    <w:basedOn w:val="1"/>
    <w:autoRedefine/>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372">
    <w:name w:val="p16"/>
    <w:basedOn w:val="1"/>
    <w:autoRedefine/>
    <w:qFormat/>
    <w:uiPriority w:val="0"/>
    <w:pPr>
      <w:widowControl/>
    </w:pPr>
    <w:rPr>
      <w:rFonts w:ascii="Calibri" w:hAnsi="Calibri" w:cs="宋体"/>
      <w:kern w:val="0"/>
      <w:szCs w:val="21"/>
    </w:rPr>
  </w:style>
  <w:style w:type="paragraph" w:customStyle="1" w:styleId="373">
    <w:name w:val="图例"/>
    <w:basedOn w:val="1"/>
    <w:autoRedefine/>
    <w:qFormat/>
    <w:uiPriority w:val="0"/>
    <w:pPr>
      <w:spacing w:before="120" w:after="120" w:line="360" w:lineRule="auto"/>
      <w:jc w:val="center"/>
    </w:pPr>
    <w:rPr>
      <w:rFonts w:eastAsia="仿宋_GB2312"/>
      <w:b/>
      <w:sz w:val="24"/>
    </w:rPr>
  </w:style>
  <w:style w:type="character" w:customStyle="1" w:styleId="374">
    <w:name w:val="font11"/>
    <w:basedOn w:val="45"/>
    <w:autoRedefine/>
    <w:qFormat/>
    <w:uiPriority w:val="0"/>
    <w:rPr>
      <w:rFonts w:hint="eastAsia" w:ascii="宋体" w:hAnsi="宋体" w:eastAsia="宋体" w:cs="宋体"/>
      <w:color w:val="000000"/>
      <w:sz w:val="21"/>
      <w:szCs w:val="21"/>
      <w:u w:val="none"/>
    </w:rPr>
  </w:style>
  <w:style w:type="character" w:customStyle="1" w:styleId="375">
    <w:name w:val="font81"/>
    <w:basedOn w:val="45"/>
    <w:qFormat/>
    <w:uiPriority w:val="0"/>
    <w:rPr>
      <w:rFonts w:hint="eastAsia" w:ascii="宋体" w:hAnsi="宋体" w:eastAsia="宋体" w:cs="宋体"/>
      <w:color w:val="000000"/>
      <w:sz w:val="21"/>
      <w:szCs w:val="21"/>
      <w:u w:val="none"/>
    </w:rPr>
  </w:style>
  <w:style w:type="character" w:customStyle="1" w:styleId="376">
    <w:name w:val="font41"/>
    <w:basedOn w:val="45"/>
    <w:autoRedefine/>
    <w:qFormat/>
    <w:uiPriority w:val="0"/>
    <w:rPr>
      <w:rFonts w:hint="default" w:ascii="Times New Roman" w:hAnsi="Times New Roman" w:cs="Times New Roman"/>
      <w:color w:val="000000"/>
      <w:sz w:val="21"/>
      <w:szCs w:val="21"/>
      <w:u w:val="none"/>
    </w:rPr>
  </w:style>
  <w:style w:type="paragraph" w:customStyle="1" w:styleId="377">
    <w:name w:val="_Style 6"/>
    <w:basedOn w:val="3"/>
    <w:next w:val="1"/>
    <w:autoRedefine/>
    <w:qFormat/>
    <w:uiPriority w:val="0"/>
    <w:pPr>
      <w:outlineLvl w:val="9"/>
    </w:pPr>
  </w:style>
  <w:style w:type="character" w:customStyle="1" w:styleId="378">
    <w:name w:val="font71"/>
    <w:basedOn w:val="45"/>
    <w:autoRedefine/>
    <w:qFormat/>
    <w:uiPriority w:val="0"/>
    <w:rPr>
      <w:rFonts w:hint="eastAsia" w:ascii="宋体" w:hAnsi="宋体" w:eastAsia="宋体" w:cs="宋体"/>
      <w:color w:val="000000"/>
      <w:sz w:val="21"/>
      <w:szCs w:val="21"/>
      <w:u w:val="none"/>
    </w:rPr>
  </w:style>
  <w:style w:type="paragraph" w:customStyle="1" w:styleId="379">
    <w:name w:val="标书正文1"/>
    <w:basedOn w:val="1"/>
    <w:autoRedefine/>
    <w:qFormat/>
    <w:uiPriority w:val="0"/>
    <w:pPr>
      <w:spacing w:line="520" w:lineRule="exact"/>
      <w:ind w:firstLine="640" w:firstLineChars="200"/>
    </w:pPr>
  </w:style>
  <w:style w:type="paragraph" w:customStyle="1" w:styleId="380">
    <w:name w:val="Table Paragraph"/>
    <w:basedOn w:val="1"/>
    <w:autoRedefine/>
    <w:qFormat/>
    <w:uiPriority w:val="0"/>
    <w:pPr>
      <w:autoSpaceDE w:val="0"/>
      <w:autoSpaceDN w:val="0"/>
      <w:adjustRightInd w:val="0"/>
      <w:jc w:val="left"/>
    </w:pPr>
    <w:rPr>
      <w:kern w:val="0"/>
      <w:sz w:val="24"/>
    </w:rPr>
  </w:style>
  <w:style w:type="character" w:customStyle="1" w:styleId="381">
    <w:name w:val="NormalCharacter"/>
    <w:autoRedefine/>
    <w:qFormat/>
    <w:uiPriority w:val="0"/>
    <w:rPr>
      <w:rFonts w:ascii="Times New Roman" w:hAnsi="Times New Roman" w:eastAsia="宋体" w:cs="Times New Roman"/>
      <w:kern w:val="2"/>
      <w:sz w:val="21"/>
      <w:lang w:val="en-US" w:eastAsia="zh-CN" w:bidi="ar-SA"/>
    </w:rPr>
  </w:style>
  <w:style w:type="paragraph" w:customStyle="1" w:styleId="382">
    <w:name w:val="身份证明授权委托投标函等行距"/>
    <w:autoRedefine/>
    <w:qFormat/>
    <w:uiPriority w:val="0"/>
    <w:pPr>
      <w:spacing w:line="560" w:lineRule="exact"/>
      <w:ind w:firstLine="200" w:firstLineChars="200"/>
    </w:pPr>
    <w:rPr>
      <w:rFonts w:ascii="Times New Roman" w:hAnsi="Times New Roman" w:eastAsia="仿宋_GB2312"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90</Pages>
  <Words>1951</Words>
  <Characters>2243</Characters>
  <Lines>789</Lines>
  <Paragraphs>222</Paragraphs>
  <TotalTime>23</TotalTime>
  <ScaleCrop>false</ScaleCrop>
  <LinksUpToDate>false</LinksUpToDate>
  <CharactersWithSpaces>2432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2022-09-21T09:21:00Z</dcterms:created>
  <dc:creator>张德和</dc:creator>
  <cp:lastModifiedBy>严纪超</cp:lastModifiedBy>
  <cp:lastPrinted>2024-01-03T08:33:00Z</cp:lastPrinted>
  <dcterms:modified xsi:type="dcterms:W3CDTF">2025-10-28T03:36:38Z</dcterms:modified>
  <dc:titl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5840D3C2B41C44699D3B697EC99CE6DF_13</vt:lpwstr>
  </property>
  <property fmtid="{D5CDD505-2E9C-101B-9397-08002B2CF9AE}" pid="4" name="KSOTemplateDocerSaveRecord">
    <vt:lpwstr>eyJoZGlkIjoiZjc5OTA0ZDU4ZDRlZDc0YmJkMzFiMjQ2Y2EyOTUyNTMiLCJ1c2VySWQiOiIxNTY5NDg3MjA4In0=</vt:lpwstr>
  </property>
</Properties>
</file>