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ascii="微软雅黑" w:hAnsi="微软雅黑" w:eastAsia="微软雅黑" w:cs="微软雅黑"/>
          <w:b/>
          <w:bCs/>
          <w:sz w:val="44"/>
          <w:szCs w:val="44"/>
        </w:rPr>
      </w:pPr>
      <w:bookmarkStart w:id="0" w:name="_Toc24359597"/>
      <w:bookmarkStart w:id="1" w:name="_Toc24380205"/>
      <w:bookmarkStart w:id="2" w:name="_Toc24381341"/>
      <w:bookmarkStart w:id="3" w:name="_Toc24360035"/>
    </w:p>
    <w:p>
      <w:pPr>
        <w:spacing w:after="156" w:afterLines="50" w:line="480" w:lineRule="auto"/>
        <w:jc w:val="center"/>
        <w:rPr>
          <w:rFonts w:ascii="微软雅黑" w:hAnsi="微软雅黑" w:eastAsia="微软雅黑" w:cs="微软雅黑"/>
          <w:b/>
          <w:bCs/>
          <w:sz w:val="56"/>
          <w:szCs w:val="56"/>
        </w:rPr>
      </w:pPr>
      <w:r>
        <w:rPr>
          <w:rFonts w:hint="eastAsia" w:ascii="微软雅黑" w:hAnsi="微软雅黑" w:eastAsia="微软雅黑" w:cs="微软雅黑"/>
          <w:b/>
          <w:bCs/>
          <w:sz w:val="56"/>
          <w:szCs w:val="56"/>
        </w:rPr>
        <w:t>行采家全程电子化</w:t>
      </w:r>
    </w:p>
    <w:p>
      <w:pPr>
        <w:spacing w:line="480" w:lineRule="auto"/>
        <w:jc w:val="center"/>
        <w:rPr>
          <w:rFonts w:ascii="微软雅黑" w:hAnsi="微软雅黑" w:eastAsia="微软雅黑" w:cs="微软雅黑"/>
          <w:b/>
          <w:bCs/>
          <w:sz w:val="56"/>
          <w:szCs w:val="56"/>
        </w:rPr>
      </w:pPr>
      <w:r>
        <w:rPr>
          <w:rFonts w:hint="eastAsia" w:ascii="微软雅黑" w:hAnsi="微软雅黑" w:eastAsia="微软雅黑" w:cs="微软雅黑"/>
          <w:b/>
          <w:bCs/>
          <w:sz w:val="56"/>
          <w:szCs w:val="56"/>
        </w:rPr>
        <w:t>供应商操作手册（</w:t>
      </w:r>
      <w:r>
        <w:rPr>
          <w:rFonts w:hint="eastAsia" w:ascii="微软雅黑" w:hAnsi="微软雅黑" w:eastAsia="微软雅黑" w:cs="微软雅黑"/>
          <w:b/>
          <w:bCs/>
          <w:sz w:val="56"/>
          <w:szCs w:val="56"/>
          <w:lang w:val="en-US" w:eastAsia="zh-CN"/>
        </w:rPr>
        <w:t>CA证书解密</w:t>
      </w:r>
      <w:r>
        <w:rPr>
          <w:rFonts w:hint="eastAsia" w:ascii="微软雅黑" w:hAnsi="微软雅黑" w:eastAsia="微软雅黑" w:cs="微软雅黑"/>
          <w:b/>
          <w:bCs/>
          <w:sz w:val="56"/>
          <w:szCs w:val="56"/>
        </w:rPr>
        <w:t>版）</w:t>
      </w:r>
    </w:p>
    <w:p>
      <w:pPr>
        <w:jc w:val="center"/>
        <w:rPr>
          <w:rFonts w:ascii="微软雅黑" w:hAnsi="微软雅黑" w:eastAsia="微软雅黑" w:cs="微软雅黑"/>
          <w:b/>
          <w:bCs/>
          <w:sz w:val="44"/>
          <w:szCs w:val="44"/>
        </w:rPr>
      </w:pPr>
    </w:p>
    <w:p>
      <w:pPr>
        <w:jc w:val="both"/>
        <w:rPr>
          <w:rFonts w:ascii="微软雅黑" w:hAnsi="微软雅黑" w:eastAsia="微软雅黑" w:cs="微软雅黑"/>
          <w:b/>
          <w:bCs/>
          <w:sz w:val="44"/>
          <w:szCs w:val="44"/>
        </w:rPr>
      </w:pPr>
    </w:p>
    <w:p>
      <w:pPr>
        <w:jc w:val="both"/>
        <w:rPr>
          <w:rFonts w:ascii="微软雅黑" w:hAnsi="微软雅黑" w:eastAsia="微软雅黑" w:cs="微软雅黑"/>
          <w:b/>
          <w:bCs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bCs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bCs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bCs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bCs/>
          <w:sz w:val="32"/>
          <w:szCs w:val="32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32"/>
        </w:rPr>
        <w:t>重庆港澳大家软件产业有限公司</w:t>
      </w:r>
    </w:p>
    <w:p>
      <w:pPr>
        <w:jc w:val="center"/>
        <w:rPr>
          <w:rFonts w:ascii="微软雅黑" w:hAnsi="微软雅黑" w:eastAsia="微软雅黑" w:cs="微软雅黑"/>
          <w:b/>
          <w:bCs/>
          <w:sz w:val="32"/>
          <w:szCs w:val="32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32"/>
        </w:rPr>
        <w:t>二零二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三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</w:rPr>
        <w:t>年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三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</w:rPr>
        <w:t>月</w:t>
      </w:r>
    </w:p>
    <w:p>
      <w:pPr>
        <w:jc w:val="center"/>
        <w:rPr>
          <w:rFonts w:ascii="微软雅黑" w:hAnsi="微软雅黑" w:eastAsia="微软雅黑" w:cs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 w:cs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 w:cs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 w:cs="微软雅黑"/>
          <w:sz w:val="32"/>
          <w:szCs w:val="32"/>
        </w:rPr>
      </w:pPr>
    </w:p>
    <w:p/>
    <w:p>
      <w:pPr>
        <w:pStyle w:val="14"/>
        <w:tabs>
          <w:tab w:val="right" w:leader="dot" w:pos="8296"/>
        </w:tabs>
      </w:pPr>
    </w:p>
    <w:p>
      <w:pPr>
        <w:pStyle w:val="14"/>
        <w:tabs>
          <w:tab w:val="right" w:leader="dot" w:pos="8296"/>
        </w:tabs>
      </w:pPr>
      <w:bookmarkStart w:id="36" w:name="_GoBack"/>
      <w:bookmarkEnd w:id="36"/>
    </w:p>
    <w:p>
      <w:pPr>
        <w:spacing w:before="156" w:beforeLines="50" w:after="156" w:afterLines="50" w:line="360" w:lineRule="auto"/>
        <w:jc w:val="center"/>
        <w:rPr>
          <w:rFonts w:ascii="黑体" w:hAnsi="黑体" w:eastAsia="黑体" w:cs="黑体"/>
          <w:b/>
          <w:bCs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sz w:val="28"/>
          <w:szCs w:val="28"/>
        </w:rPr>
        <w:t>目 录</w:t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</w:instrText>
      </w:r>
      <w:r>
        <w:rPr>
          <w:rFonts w:hint="eastAsia" w:ascii="黑体" w:hAnsi="黑体" w:eastAsia="黑体"/>
        </w:rPr>
        <w:instrText xml:space="preserve">TOC \o "1-3" \h \z \u</w:instrText>
      </w:r>
      <w:r>
        <w:rPr>
          <w:rFonts w:ascii="黑体" w:hAnsi="黑体" w:eastAsia="黑体"/>
        </w:rPr>
        <w:instrText xml:space="preserve">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_Toc11069 </w:instrText>
      </w:r>
      <w:r>
        <w:rPr>
          <w:rFonts w:ascii="黑体" w:hAnsi="黑体" w:eastAsia="黑体"/>
        </w:rPr>
        <w:fldChar w:fldCharType="separate"/>
      </w:r>
      <w:r>
        <w:rPr>
          <w:rFonts w:hint="eastAsia" w:ascii="黑体" w:hAnsi="黑体" w:eastAsia="黑体" w:cs="黑体"/>
          <w:bCs/>
          <w:kern w:val="2"/>
          <w:szCs w:val="22"/>
        </w:rPr>
        <w:t>1.概述</w:t>
      </w:r>
      <w:r>
        <w:tab/>
      </w:r>
      <w:r>
        <w:fldChar w:fldCharType="begin"/>
      </w:r>
      <w:r>
        <w:instrText xml:space="preserve"> PAGEREF _Toc11069 \h </w:instrText>
      </w:r>
      <w:r>
        <w:fldChar w:fldCharType="separate"/>
      </w:r>
      <w:r>
        <w:t>1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_Toc19834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="黑体"/>
          <w:bCs/>
          <w:kern w:val="2"/>
          <w:szCs w:val="22"/>
        </w:rPr>
        <w:t>2</w:t>
      </w:r>
      <w:r>
        <w:rPr>
          <w:rFonts w:hint="eastAsia" w:ascii="黑体" w:hAnsi="黑体" w:eastAsia="黑体" w:cs="黑体"/>
          <w:bCs/>
          <w:kern w:val="2"/>
          <w:szCs w:val="22"/>
        </w:rPr>
        <w:t>.供应商标前准备</w:t>
      </w:r>
      <w:r>
        <w:tab/>
      </w:r>
      <w:r>
        <w:fldChar w:fldCharType="begin"/>
      </w:r>
      <w:r>
        <w:instrText xml:space="preserve"> PAGEREF _Toc19834 \h </w:instrText>
      </w:r>
      <w:r>
        <w:fldChar w:fldCharType="separate"/>
      </w:r>
      <w:r>
        <w:t>2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_Toc15607 </w:instrText>
      </w:r>
      <w:r>
        <w:rPr>
          <w:rFonts w:ascii="黑体" w:hAnsi="黑体" w:eastAsia="黑体"/>
        </w:rPr>
        <w:fldChar w:fldCharType="separate"/>
      </w:r>
      <w:r>
        <w:rPr>
          <w:rFonts w:hint="eastAsia" w:ascii="黑体" w:hAnsi="黑体" w:eastAsia="黑体" w:cstheme="minorEastAsia"/>
          <w:bCs/>
          <w:kern w:val="0"/>
          <w:szCs w:val="24"/>
        </w:rPr>
        <w:t>2</w:t>
      </w:r>
      <w:r>
        <w:rPr>
          <w:rFonts w:ascii="黑体" w:hAnsi="黑体" w:eastAsia="黑体" w:cstheme="minorEastAsia"/>
          <w:bCs/>
          <w:kern w:val="0"/>
          <w:szCs w:val="24"/>
        </w:rPr>
        <w:t>.</w:t>
      </w:r>
      <w:r>
        <w:rPr>
          <w:rFonts w:hint="eastAsia" w:ascii="黑体" w:hAnsi="黑体" w:eastAsia="黑体" w:cstheme="minorEastAsia"/>
          <w:bCs/>
          <w:kern w:val="0"/>
          <w:szCs w:val="24"/>
        </w:rPr>
        <w:t>1供应商注册</w:t>
      </w:r>
      <w:r>
        <w:tab/>
      </w:r>
      <w:r>
        <w:fldChar w:fldCharType="begin"/>
      </w:r>
      <w:r>
        <w:instrText xml:space="preserve"> PAGEREF _Toc15607 \h </w:instrText>
      </w:r>
      <w:r>
        <w:fldChar w:fldCharType="separate"/>
      </w:r>
      <w:r>
        <w:t>2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_Toc18004 </w:instrText>
      </w:r>
      <w:r>
        <w:rPr>
          <w:rFonts w:ascii="黑体" w:hAnsi="黑体" w:eastAsia="黑体"/>
        </w:rPr>
        <w:fldChar w:fldCharType="separate"/>
      </w:r>
      <w:r>
        <w:rPr>
          <w:rFonts w:hint="eastAsia" w:ascii="黑体" w:hAnsi="黑体" w:eastAsia="黑体" w:cstheme="minorEastAsia"/>
          <w:bCs/>
          <w:kern w:val="0"/>
          <w:szCs w:val="24"/>
        </w:rPr>
        <w:t>2</w:t>
      </w:r>
      <w:r>
        <w:rPr>
          <w:rFonts w:ascii="黑体" w:hAnsi="黑体" w:eastAsia="黑体" w:cstheme="minorEastAsia"/>
          <w:bCs/>
          <w:kern w:val="0"/>
          <w:szCs w:val="24"/>
        </w:rPr>
        <w:t>.2</w:t>
      </w:r>
      <w:r>
        <w:rPr>
          <w:rFonts w:hint="eastAsia" w:ascii="黑体" w:hAnsi="黑体" w:eastAsia="黑体" w:cstheme="minorEastAsia"/>
          <w:bCs/>
          <w:kern w:val="0"/>
          <w:szCs w:val="24"/>
        </w:rPr>
        <w:t>下载安装投标文件制作系统和办理CA证书</w:t>
      </w:r>
      <w:r>
        <w:tab/>
      </w:r>
      <w:r>
        <w:fldChar w:fldCharType="begin"/>
      </w:r>
      <w:r>
        <w:instrText xml:space="preserve"> PAGEREF _Toc18004 \h </w:instrText>
      </w:r>
      <w:r>
        <w:fldChar w:fldCharType="separate"/>
      </w:r>
      <w:r>
        <w:t>3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_Toc21360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="黑体"/>
          <w:bCs/>
          <w:kern w:val="2"/>
          <w:szCs w:val="22"/>
        </w:rPr>
        <w:t>3</w:t>
      </w:r>
      <w:r>
        <w:rPr>
          <w:rFonts w:hint="eastAsia" w:ascii="黑体" w:hAnsi="黑体" w:eastAsia="黑体" w:cs="黑体"/>
          <w:bCs/>
          <w:kern w:val="2"/>
          <w:szCs w:val="22"/>
        </w:rPr>
        <w:t>.供应商系统登录</w:t>
      </w:r>
      <w:r>
        <w:tab/>
      </w:r>
      <w:r>
        <w:fldChar w:fldCharType="begin"/>
      </w:r>
      <w:r>
        <w:instrText xml:space="preserve"> PAGEREF _Toc21360 \h </w:instrText>
      </w:r>
      <w:r>
        <w:fldChar w:fldCharType="separate"/>
      </w:r>
      <w:r>
        <w:t>4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_Toc24179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="黑体"/>
          <w:bCs/>
          <w:kern w:val="2"/>
          <w:szCs w:val="22"/>
        </w:rPr>
        <w:t>4</w:t>
      </w:r>
      <w:r>
        <w:rPr>
          <w:rFonts w:hint="eastAsia" w:ascii="黑体" w:hAnsi="黑体" w:eastAsia="黑体" w:cs="黑体"/>
          <w:bCs/>
          <w:kern w:val="2"/>
          <w:szCs w:val="22"/>
        </w:rPr>
        <w:t>.供应商获取采购文件</w:t>
      </w:r>
      <w:r>
        <w:tab/>
      </w:r>
      <w:r>
        <w:fldChar w:fldCharType="begin"/>
      </w:r>
      <w:r>
        <w:instrText xml:space="preserve"> PAGEREF _Toc24179 \h </w:instrText>
      </w:r>
      <w:r>
        <w:fldChar w:fldCharType="separate"/>
      </w:r>
      <w:r>
        <w:t>5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_Toc23699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="黑体"/>
          <w:bCs/>
          <w:kern w:val="2"/>
          <w:szCs w:val="22"/>
        </w:rPr>
        <w:t>5</w:t>
      </w:r>
      <w:r>
        <w:rPr>
          <w:rFonts w:hint="eastAsia" w:ascii="黑体" w:hAnsi="黑体" w:eastAsia="黑体" w:cs="黑体"/>
          <w:bCs/>
          <w:kern w:val="2"/>
          <w:szCs w:val="22"/>
        </w:rPr>
        <w:t>.供应商制作投标文件</w:t>
      </w:r>
      <w:r>
        <w:tab/>
      </w:r>
      <w:r>
        <w:fldChar w:fldCharType="begin"/>
      </w:r>
      <w:r>
        <w:instrText xml:space="preserve"> PAGEREF _Toc23699 \h </w:instrText>
      </w:r>
      <w:r>
        <w:fldChar w:fldCharType="separate"/>
      </w:r>
      <w:r>
        <w:t>7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_Toc8747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="黑体"/>
          <w:bCs/>
          <w:kern w:val="2"/>
          <w:szCs w:val="22"/>
        </w:rPr>
        <w:t>6</w:t>
      </w:r>
      <w:r>
        <w:rPr>
          <w:rFonts w:hint="eastAsia" w:ascii="黑体" w:hAnsi="黑体" w:eastAsia="黑体" w:cs="黑体"/>
          <w:bCs/>
          <w:kern w:val="2"/>
          <w:szCs w:val="22"/>
        </w:rPr>
        <w:t>.供应商离线制作电子投标文件</w:t>
      </w:r>
      <w:r>
        <w:tab/>
      </w:r>
      <w:r>
        <w:fldChar w:fldCharType="begin"/>
      </w:r>
      <w:r>
        <w:instrText xml:space="preserve"> PAGEREF _Toc8747 \h </w:instrText>
      </w:r>
      <w:r>
        <w:fldChar w:fldCharType="separate"/>
      </w:r>
      <w:r>
        <w:t>8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_Toc31024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6.1</w:t>
      </w:r>
      <w:r>
        <w:rPr>
          <w:rFonts w:hint="eastAsia" w:ascii="黑体" w:hAnsi="黑体" w:eastAsia="黑体" w:cstheme="minorEastAsia"/>
          <w:bCs/>
          <w:kern w:val="0"/>
          <w:szCs w:val="24"/>
        </w:rPr>
        <w:t>打开项目</w:t>
      </w:r>
      <w:r>
        <w:tab/>
      </w:r>
      <w:r>
        <w:fldChar w:fldCharType="begin"/>
      </w:r>
      <w:r>
        <w:instrText xml:space="preserve"> PAGEREF _Toc31024 \h </w:instrText>
      </w:r>
      <w:r>
        <w:fldChar w:fldCharType="separate"/>
      </w:r>
      <w:r>
        <w:t>9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_Toc1449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6.2</w:t>
      </w:r>
      <w:r>
        <w:rPr>
          <w:rFonts w:hint="eastAsia" w:ascii="黑体" w:hAnsi="黑体" w:eastAsia="黑体" w:cstheme="minorEastAsia"/>
          <w:bCs/>
          <w:kern w:val="0"/>
          <w:szCs w:val="24"/>
        </w:rPr>
        <w:t>录入报价一览表</w:t>
      </w:r>
      <w:r>
        <w:tab/>
      </w:r>
      <w:r>
        <w:fldChar w:fldCharType="begin"/>
      </w:r>
      <w:r>
        <w:instrText xml:space="preserve"> PAGEREF _Toc1449 \h </w:instrText>
      </w:r>
      <w:r>
        <w:fldChar w:fldCharType="separate"/>
      </w:r>
      <w:r>
        <w:t>9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_Toc20694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6.3</w:t>
      </w:r>
      <w:r>
        <w:rPr>
          <w:rFonts w:hint="eastAsia" w:ascii="黑体" w:hAnsi="黑体" w:eastAsia="黑体" w:cstheme="minorEastAsia"/>
          <w:bCs/>
          <w:kern w:val="0"/>
          <w:szCs w:val="24"/>
        </w:rPr>
        <w:t>上传投标文件</w:t>
      </w:r>
      <w:r>
        <w:tab/>
      </w:r>
      <w:r>
        <w:fldChar w:fldCharType="begin"/>
      </w:r>
      <w:r>
        <w:instrText xml:space="preserve"> PAGEREF _Toc20694 \h </w:instrText>
      </w:r>
      <w:r>
        <w:fldChar w:fldCharType="separate"/>
      </w:r>
      <w:r>
        <w:t>10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_Toc28145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6.4</w:t>
      </w:r>
      <w:r>
        <w:rPr>
          <w:rFonts w:hint="eastAsia" w:ascii="黑体" w:hAnsi="黑体" w:eastAsia="黑体" w:cstheme="minorEastAsia"/>
          <w:bCs/>
          <w:kern w:val="0"/>
          <w:szCs w:val="24"/>
        </w:rPr>
        <w:t>设置评分页码</w:t>
      </w:r>
      <w:r>
        <w:tab/>
      </w:r>
      <w:r>
        <w:fldChar w:fldCharType="begin"/>
      </w:r>
      <w:r>
        <w:instrText xml:space="preserve"> PAGEREF _Toc28145 \h </w:instrText>
      </w:r>
      <w:r>
        <w:fldChar w:fldCharType="separate"/>
      </w:r>
      <w:r>
        <w:t>11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_Toc26981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6.5</w:t>
      </w:r>
      <w:r>
        <w:rPr>
          <w:rFonts w:hint="eastAsia" w:ascii="黑体" w:hAnsi="黑体" w:eastAsia="黑体" w:cstheme="minorEastAsia"/>
          <w:bCs/>
          <w:kern w:val="0"/>
          <w:szCs w:val="24"/>
          <w:lang w:val="en-US" w:eastAsia="zh-CN"/>
        </w:rPr>
        <w:t>对投标文件签章</w:t>
      </w:r>
      <w:r>
        <w:rPr>
          <w:rFonts w:hint="eastAsia" w:ascii="黑体" w:hAnsi="黑体" w:eastAsia="黑体" w:cstheme="minorEastAsia"/>
          <w:bCs/>
          <w:kern w:val="0"/>
          <w:szCs w:val="24"/>
        </w:rPr>
        <w:t>并下载投标文件</w:t>
      </w:r>
      <w:r>
        <w:tab/>
      </w:r>
      <w:r>
        <w:fldChar w:fldCharType="begin"/>
      </w:r>
      <w:r>
        <w:instrText xml:space="preserve"> PAGEREF _Toc26981 \h </w:instrText>
      </w:r>
      <w:r>
        <w:fldChar w:fldCharType="separate"/>
      </w:r>
      <w:r>
        <w:t>12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_Toc21167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="黑体"/>
          <w:bCs/>
          <w:kern w:val="2"/>
          <w:szCs w:val="22"/>
        </w:rPr>
        <w:t>7</w:t>
      </w:r>
      <w:r>
        <w:rPr>
          <w:rFonts w:hint="eastAsia" w:ascii="黑体" w:hAnsi="黑体" w:eastAsia="黑体" w:cs="黑体"/>
          <w:bCs/>
          <w:kern w:val="2"/>
          <w:szCs w:val="22"/>
        </w:rPr>
        <w:t>.供应商在线投标</w:t>
      </w:r>
      <w:r>
        <w:tab/>
      </w:r>
      <w:r>
        <w:fldChar w:fldCharType="begin"/>
      </w:r>
      <w:r>
        <w:instrText xml:space="preserve"> PAGEREF _Toc21167 \h </w:instrText>
      </w:r>
      <w:r>
        <w:fldChar w:fldCharType="separate"/>
      </w:r>
      <w:r>
        <w:t>14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_Toc18455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="黑体"/>
          <w:bCs/>
          <w:kern w:val="2"/>
          <w:szCs w:val="22"/>
        </w:rPr>
        <w:t>8</w:t>
      </w:r>
      <w:r>
        <w:rPr>
          <w:rFonts w:hint="eastAsia" w:ascii="黑体" w:hAnsi="黑体" w:eastAsia="黑体" w:cs="黑体"/>
          <w:bCs/>
          <w:kern w:val="2"/>
          <w:szCs w:val="22"/>
        </w:rPr>
        <w:t>.在线开标</w:t>
      </w:r>
      <w:r>
        <w:tab/>
      </w:r>
      <w:r>
        <w:fldChar w:fldCharType="begin"/>
      </w:r>
      <w:r>
        <w:instrText xml:space="preserve"> PAGEREF _Toc18455 \h </w:instrText>
      </w:r>
      <w:r>
        <w:fldChar w:fldCharType="separate"/>
      </w:r>
      <w:r>
        <w:t>15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_Toc18300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8.1</w:t>
      </w:r>
      <w:r>
        <w:rPr>
          <w:rFonts w:hint="eastAsia" w:ascii="黑体" w:hAnsi="黑体" w:eastAsia="黑体" w:cstheme="minorEastAsia"/>
          <w:bCs/>
          <w:kern w:val="0"/>
          <w:szCs w:val="24"/>
        </w:rPr>
        <w:t>进入开标室</w:t>
      </w:r>
      <w:r>
        <w:tab/>
      </w:r>
      <w:r>
        <w:fldChar w:fldCharType="begin"/>
      </w:r>
      <w:r>
        <w:instrText xml:space="preserve"> PAGEREF _Toc18300 \h </w:instrText>
      </w:r>
      <w:r>
        <w:fldChar w:fldCharType="separate"/>
      </w:r>
      <w:r>
        <w:t>15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_Toc4131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8.</w:t>
      </w:r>
      <w:r>
        <w:rPr>
          <w:rFonts w:hint="eastAsia" w:ascii="黑体" w:hAnsi="黑体" w:eastAsia="黑体" w:cstheme="minorEastAsia"/>
          <w:bCs/>
          <w:kern w:val="0"/>
          <w:szCs w:val="24"/>
          <w:lang w:val="en-US" w:eastAsia="zh-CN"/>
        </w:rPr>
        <w:t>2开标测试准备</w:t>
      </w:r>
      <w:r>
        <w:tab/>
      </w:r>
      <w:r>
        <w:fldChar w:fldCharType="begin"/>
      </w:r>
      <w:r>
        <w:instrText xml:space="preserve"> PAGEREF _Toc4131 \h </w:instrText>
      </w:r>
      <w:r>
        <w:fldChar w:fldCharType="separate"/>
      </w:r>
      <w:r>
        <w:t>15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_Toc28826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8.2</w:t>
      </w:r>
      <w:r>
        <w:rPr>
          <w:rFonts w:hint="eastAsia" w:ascii="黑体" w:hAnsi="黑体" w:eastAsia="黑体" w:cstheme="minorEastAsia"/>
          <w:bCs/>
          <w:kern w:val="0"/>
          <w:szCs w:val="24"/>
        </w:rPr>
        <w:t>在线解密</w:t>
      </w:r>
      <w:r>
        <w:tab/>
      </w:r>
      <w:r>
        <w:fldChar w:fldCharType="begin"/>
      </w:r>
      <w:r>
        <w:instrText xml:space="preserve"> PAGEREF _Toc28826 \h </w:instrText>
      </w:r>
      <w:r>
        <w:fldChar w:fldCharType="separate"/>
      </w:r>
      <w:r>
        <w:t>17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_Toc13091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8.3</w:t>
      </w:r>
      <w:r>
        <w:rPr>
          <w:rFonts w:hint="eastAsia" w:ascii="黑体" w:hAnsi="黑体" w:eastAsia="黑体" w:cstheme="minorEastAsia"/>
          <w:bCs/>
          <w:kern w:val="0"/>
          <w:szCs w:val="24"/>
        </w:rPr>
        <w:t>确认唱标结果</w:t>
      </w:r>
      <w:r>
        <w:tab/>
      </w:r>
      <w:r>
        <w:fldChar w:fldCharType="begin"/>
      </w:r>
      <w:r>
        <w:instrText xml:space="preserve"> PAGEREF _Toc13091 \h </w:instrText>
      </w:r>
      <w:r>
        <w:fldChar w:fldCharType="separate"/>
      </w:r>
      <w:r>
        <w:t>20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14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_Toc17962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="黑体"/>
          <w:bCs/>
          <w:kern w:val="2"/>
          <w:szCs w:val="22"/>
        </w:rPr>
        <w:t>9</w:t>
      </w:r>
      <w:r>
        <w:rPr>
          <w:rFonts w:hint="eastAsia" w:ascii="黑体" w:hAnsi="黑体" w:eastAsia="黑体" w:cs="黑体"/>
          <w:bCs/>
          <w:kern w:val="2"/>
          <w:szCs w:val="22"/>
        </w:rPr>
        <w:t>.开标完成</w:t>
      </w:r>
      <w:r>
        <w:tab/>
      </w:r>
      <w:r>
        <w:fldChar w:fldCharType="begin"/>
      </w:r>
      <w:r>
        <w:instrText xml:space="preserve"> PAGEREF _Toc17962 \h </w:instrText>
      </w:r>
      <w:r>
        <w:fldChar w:fldCharType="separate"/>
      </w:r>
      <w:r>
        <w:t>21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_Toc10716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9.1</w:t>
      </w:r>
      <w:r>
        <w:rPr>
          <w:rFonts w:hint="eastAsia" w:ascii="黑体" w:hAnsi="黑体" w:eastAsia="黑体" w:cstheme="minorEastAsia"/>
          <w:bCs/>
          <w:kern w:val="0"/>
          <w:szCs w:val="24"/>
        </w:rPr>
        <w:t>问题澄清</w:t>
      </w:r>
      <w:r>
        <w:tab/>
      </w:r>
      <w:r>
        <w:fldChar w:fldCharType="begin"/>
      </w:r>
      <w:r>
        <w:instrText xml:space="preserve"> PAGEREF _Toc10716 \h </w:instrText>
      </w:r>
      <w:r>
        <w:fldChar w:fldCharType="separate"/>
      </w:r>
      <w:r>
        <w:t>22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_Toc25189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9.2</w:t>
      </w:r>
      <w:r>
        <w:rPr>
          <w:rFonts w:hint="eastAsia" w:ascii="黑体" w:hAnsi="黑体" w:eastAsia="黑体" w:cstheme="minorEastAsia"/>
          <w:bCs/>
          <w:kern w:val="0"/>
          <w:szCs w:val="24"/>
        </w:rPr>
        <w:t>供应商查看抽签</w:t>
      </w:r>
      <w:r>
        <w:tab/>
      </w:r>
      <w:r>
        <w:fldChar w:fldCharType="begin"/>
      </w:r>
      <w:r>
        <w:instrText xml:space="preserve"> PAGEREF _Toc25189 \h </w:instrText>
      </w:r>
      <w:r>
        <w:fldChar w:fldCharType="separate"/>
      </w:r>
      <w:r>
        <w:t>23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pStyle w:val="8"/>
        <w:keepNext w:val="0"/>
        <w:keepLines w:val="0"/>
        <w:pageBreakBefore w:val="0"/>
        <w:widowControl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ascii="黑体" w:hAnsi="黑体" w:eastAsia="黑体"/>
        </w:rPr>
        <w:fldChar w:fldCharType="begin"/>
      </w:r>
      <w:r>
        <w:rPr>
          <w:rFonts w:ascii="黑体" w:hAnsi="黑体" w:eastAsia="黑体"/>
        </w:rPr>
        <w:instrText xml:space="preserve"> HYPERLINK \l _Toc8221 </w:instrText>
      </w:r>
      <w:r>
        <w:rPr>
          <w:rFonts w:ascii="黑体" w:hAnsi="黑体" w:eastAsia="黑体"/>
        </w:rPr>
        <w:fldChar w:fldCharType="separate"/>
      </w:r>
      <w:r>
        <w:rPr>
          <w:rFonts w:ascii="黑体" w:hAnsi="黑体" w:eastAsia="黑体" w:cstheme="minorEastAsia"/>
          <w:bCs/>
          <w:kern w:val="0"/>
          <w:szCs w:val="24"/>
        </w:rPr>
        <w:t>9.3</w:t>
      </w:r>
      <w:r>
        <w:rPr>
          <w:rFonts w:hint="eastAsia" w:ascii="黑体" w:hAnsi="黑体" w:eastAsia="黑体" w:cstheme="minorEastAsia"/>
          <w:bCs/>
          <w:kern w:val="0"/>
          <w:szCs w:val="24"/>
        </w:rPr>
        <w:t>供应商二次报价</w:t>
      </w:r>
      <w:r>
        <w:tab/>
      </w:r>
      <w:r>
        <w:fldChar w:fldCharType="begin"/>
      </w:r>
      <w:r>
        <w:instrText xml:space="preserve"> PAGEREF _Toc8221 \h </w:instrText>
      </w:r>
      <w:r>
        <w:fldChar w:fldCharType="separate"/>
      </w:r>
      <w:r>
        <w:t>24</w:t>
      </w:r>
      <w:r>
        <w:fldChar w:fldCharType="end"/>
      </w:r>
      <w:r>
        <w:rPr>
          <w:rFonts w:ascii="黑体" w:hAnsi="黑体" w:eastAsia="黑体"/>
        </w:rPr>
        <w:fldChar w:fldCharType="end"/>
      </w:r>
    </w:p>
    <w:p>
      <w:pPr>
        <w:spacing w:line="360" w:lineRule="auto"/>
        <w:rPr>
          <w:rFonts w:ascii="黑体" w:hAnsi="黑体" w:eastAsia="黑体"/>
        </w:rPr>
      </w:pPr>
      <w:r>
        <w:rPr>
          <w:rFonts w:ascii="黑体" w:hAnsi="黑体" w:eastAsia="黑体"/>
        </w:rPr>
        <w:fldChar w:fldCharType="end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  <w:sectPr>
          <w:pgSz w:w="11906" w:h="16838"/>
          <w:pgMar w:top="1440" w:right="1800" w:bottom="1440" w:left="1800" w:header="851" w:footer="992" w:gutter="0"/>
          <w:pgNumType w:start="0"/>
          <w:cols w:space="425" w:num="1"/>
          <w:titlePg/>
          <w:docGrid w:type="lines" w:linePitch="312" w:charSpace="0"/>
        </w:sectPr>
      </w:pPr>
      <w:bookmarkStart w:id="4" w:name="_Toc12233"/>
      <w:bookmarkStart w:id="5" w:name="_Toc24381338"/>
      <w:bookmarkStart w:id="6" w:name="_Toc24360032"/>
      <w:bookmarkStart w:id="7" w:name="_Toc35443386"/>
      <w:bookmarkStart w:id="8" w:name="_Toc24380202"/>
      <w:bookmarkStart w:id="9" w:name="_Toc24359594"/>
      <w:bookmarkStart w:id="10" w:name="_Toc27056910"/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11" w:name="_Toc11069"/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1.概述</w:t>
      </w:r>
      <w:bookmarkEnd w:id="11"/>
    </w:p>
    <w:p>
      <w:pPr>
        <w:pStyle w:val="25"/>
        <w:spacing w:line="360" w:lineRule="auto"/>
        <w:ind w:left="0" w:leftChars="0" w:right="0" w:rightChars="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采购全程电子化采购系统实现招标、投标、开评标、定标全流程电子化管理。供应商可通过该系统完成项目的供应商标前准备，系统登录，在线报名，获取采购文件，投标文件制作，在线投标，在线开标，等待评审等操作。相关操作如下：</w:t>
      </w:r>
      <w:bookmarkStart w:id="12" w:name="_Toc20126"/>
      <w:r>
        <w:rPr>
          <w:rFonts w:hint="eastAsia" w:asciiTheme="minorEastAsia" w:hAnsiTheme="minorEastAsia" w:cstheme="minorEastAsia"/>
          <w:sz w:val="24"/>
          <w:szCs w:val="24"/>
        </w:rPr>
        <w:t xml:space="preserve"> </w:t>
      </w:r>
    </w:p>
    <w:bookmarkEnd w:id="12"/>
    <w:p>
      <w:r>
        <w:rPr>
          <w:rFonts w:hint="eastAsia"/>
        </w:rPr>
        <w:drawing>
          <wp:inline distT="0" distB="0" distL="114300" distR="114300">
            <wp:extent cx="5269230" cy="3585845"/>
            <wp:effectExtent l="0" t="0" r="7620" b="5080"/>
            <wp:docPr id="9" name="图片 9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0" w:rightChars="0" w:firstLine="480"/>
        <w:rPr>
          <w:rFonts w:ascii="黑体" w:hAnsi="黑体" w:eastAsia="黑体" w:cs="黑体"/>
          <w:b/>
          <w:bCs/>
          <w:sz w:val="28"/>
        </w:rPr>
      </w:pPr>
      <w:r>
        <w:rPr>
          <w:rFonts w:hint="eastAsia" w:ascii="宋体" w:hAnsi="宋体" w:eastAsia="宋体" w:cs="宋体"/>
          <w:sz w:val="24"/>
          <w:szCs w:val="24"/>
        </w:rPr>
        <w:t>作为供应商，通过本系统主要操作核心功能包括：在线报名，获取采购文件，离线制作投标文件，在线投标，进入电子开标室，在线签到，标书解密，唱标环节，开标结束。以下为具体功能操作。</w:t>
      </w:r>
    </w:p>
    <w:p>
      <w:pPr>
        <w:widowControl/>
        <w:jc w:val="left"/>
        <w:rPr>
          <w:rFonts w:ascii="黑体" w:hAnsi="黑体" w:eastAsia="黑体" w:cs="黑体"/>
          <w:b/>
          <w:bCs/>
          <w:sz w:val="28"/>
        </w:rPr>
      </w:pPr>
      <w:r>
        <w:rPr>
          <w:rFonts w:ascii="黑体" w:hAnsi="黑体" w:eastAsia="黑体" w:cs="黑体"/>
          <w:b/>
          <w:bCs/>
          <w:sz w:val="28"/>
        </w:rPr>
        <w:br w:type="page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13" w:name="_Toc19834"/>
      <w:r>
        <w:rPr>
          <w:rFonts w:ascii="黑体" w:hAnsi="黑体" w:eastAsia="黑体" w:cs="黑体"/>
          <w:b/>
          <w:bCs/>
          <w:kern w:val="2"/>
          <w:sz w:val="28"/>
          <w:szCs w:val="22"/>
        </w:rPr>
        <w:t>2</w:t>
      </w:r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.</w:t>
      </w:r>
      <w:bookmarkEnd w:id="4"/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供应商标前准备</w:t>
      </w:r>
      <w:bookmarkEnd w:id="13"/>
    </w:p>
    <w:p>
      <w:pPr>
        <w:pStyle w:val="52"/>
        <w:spacing w:beforeLines="0" w:afterLines="0"/>
        <w:ind w:firstLine="480" w:firstLineChars="200"/>
        <w:jc w:val="left"/>
        <w:rPr>
          <w:rFonts w:asciiTheme="minorEastAsia" w:hAnsiTheme="minorEastAsia" w:cstheme="minorEastAsia"/>
          <w:sz w:val="24"/>
        </w:rPr>
      </w:pPr>
      <w:bookmarkStart w:id="14" w:name="_Toc7391"/>
      <w:r>
        <w:rPr>
          <w:rFonts w:hint="eastAsia" w:asciiTheme="minorEastAsia" w:hAnsiTheme="minorEastAsia" w:cstheme="minorEastAsia"/>
          <w:kern w:val="2"/>
          <w:sz w:val="24"/>
        </w:rPr>
        <w:t>温馨提示：为保障采购活动的正常开展，推荐使用360安全浏览器、360极速浏览器（最低内核版本8</w:t>
      </w:r>
      <w:r>
        <w:rPr>
          <w:rFonts w:asciiTheme="minorEastAsia" w:hAnsiTheme="minorEastAsia" w:cstheme="minorEastAsia"/>
          <w:kern w:val="2"/>
          <w:sz w:val="24"/>
        </w:rPr>
        <w:t>6</w:t>
      </w:r>
      <w:r>
        <w:rPr>
          <w:rFonts w:hint="eastAsia" w:asciiTheme="minorEastAsia" w:hAnsiTheme="minorEastAsia" w:cstheme="minorEastAsia"/>
          <w:kern w:val="2"/>
          <w:sz w:val="24"/>
        </w:rPr>
        <w:t>及以上）、谷歌浏览器（chrome，最低内核版本8</w:t>
      </w:r>
      <w:r>
        <w:rPr>
          <w:rFonts w:asciiTheme="minorEastAsia" w:hAnsiTheme="minorEastAsia" w:cstheme="minorEastAsia"/>
          <w:kern w:val="2"/>
          <w:sz w:val="24"/>
        </w:rPr>
        <w:t>6</w:t>
      </w:r>
      <w:r>
        <w:rPr>
          <w:rFonts w:hint="eastAsia" w:asciiTheme="minorEastAsia" w:hAnsiTheme="minorEastAsia" w:cstheme="minorEastAsia"/>
          <w:kern w:val="2"/>
          <w:sz w:val="24"/>
        </w:rPr>
        <w:t>及以上） 、 微软Edge。</w:t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15" w:name="_Toc15607"/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2</w:t>
      </w: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.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1供应商</w:t>
      </w:r>
      <w:bookmarkEnd w:id="14"/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注册</w:t>
      </w:r>
      <w:bookmarkEnd w:id="15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未注册供应商，通过行采家采购服务平台（www.gec123.com）注册，资料复核通过后方能参与行采家采购活动。如图</w:t>
      </w:r>
      <w:r>
        <w:rPr>
          <w:rFonts w:asciiTheme="minorEastAsia" w:hAnsiTheme="minorEastAsia" w:cstheme="minorEastAsia"/>
          <w:sz w:val="24"/>
          <w:szCs w:val="24"/>
        </w:rPr>
        <w:t>2</w:t>
      </w:r>
      <w:r>
        <w:rPr>
          <w:rFonts w:hint="eastAsia" w:asciiTheme="minorEastAsia" w:hAnsiTheme="minorEastAsia" w:cstheme="minorEastAsia"/>
          <w:sz w:val="24"/>
          <w:szCs w:val="24"/>
        </w:rPr>
        <w:t>-1、</w:t>
      </w:r>
      <w:r>
        <w:rPr>
          <w:rFonts w:asciiTheme="minorEastAsia" w:hAnsiTheme="minorEastAsia" w:cstheme="minorEastAsia"/>
          <w:sz w:val="24"/>
          <w:szCs w:val="24"/>
        </w:rPr>
        <w:t>2</w:t>
      </w:r>
      <w:r>
        <w:rPr>
          <w:rFonts w:hint="eastAsia" w:asciiTheme="minorEastAsia" w:hAnsiTheme="minorEastAsia" w:cstheme="minorEastAsia"/>
          <w:sz w:val="24"/>
          <w:szCs w:val="24"/>
        </w:rPr>
        <w:t>-2所示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4169410" cy="2499995"/>
            <wp:effectExtent l="9525" t="9525" r="12065" b="2413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69410" cy="24999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2</w:t>
      </w:r>
      <w:r>
        <w:rPr>
          <w:rFonts w:hint="eastAsia"/>
          <w:color w:val="C00000"/>
        </w:rPr>
        <w:t>-1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4286250" cy="2698115"/>
            <wp:effectExtent l="9525" t="9525" r="9525" b="1651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698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2</w:t>
      </w:r>
      <w:r>
        <w:rPr>
          <w:rFonts w:hint="eastAsia"/>
          <w:color w:val="C00000"/>
        </w:rPr>
        <w:t>-2</w:t>
      </w:r>
    </w:p>
    <w:p>
      <w:pPr>
        <w:pStyle w:val="25"/>
        <w:spacing w:line="360" w:lineRule="auto"/>
        <w:ind w:left="0" w:leftChars="0" w:right="210" w:firstLine="0" w:firstLineChars="0"/>
      </w:pPr>
    </w:p>
    <w:p>
      <w:pPr>
        <w:widowControl/>
        <w:jc w:val="left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hint="default" w:ascii="黑体" w:hAnsi="黑体" w:eastAsia="黑体" w:cstheme="minorEastAsia"/>
          <w:b/>
          <w:bCs/>
          <w:kern w:val="0"/>
          <w:sz w:val="24"/>
          <w:szCs w:val="24"/>
          <w:lang w:val="en-US" w:eastAsia="zh-CN"/>
        </w:rPr>
      </w:pPr>
      <w:bookmarkStart w:id="16" w:name="_Toc18004"/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2</w:t>
      </w: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.2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下载安装投标文件制作系统</w:t>
      </w:r>
      <w:bookmarkEnd w:id="16"/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  <w:lang w:val="en-US" w:eastAsia="zh-CN"/>
        </w:rPr>
        <w:t>和办理CA证书</w:t>
      </w:r>
    </w:p>
    <w:p>
      <w:pPr>
        <w:pStyle w:val="25"/>
        <w:spacing w:line="360" w:lineRule="auto"/>
        <w:ind w:left="0" w:leftChars="0" w:right="210" w:firstLine="48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instrText xml:space="preserve"> = 1 \* GB3 \* MERGEFORMAT </w:instrTex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①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投标工具软件包下载和安装：</w:t>
      </w:r>
      <w:r>
        <w:rPr>
          <w:rFonts w:hint="eastAsia" w:asciiTheme="minorEastAsia" w:hAnsiTheme="minorEastAsia" w:cstheme="minorEastAsia"/>
          <w:sz w:val="24"/>
          <w:szCs w:val="24"/>
        </w:rPr>
        <w:t>投标人登录“行采家采购服务平台-个人中心”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-&gt;“电子招投标”-&gt;“电子招投标中心”-&gt;“相关下载”</w:t>
      </w:r>
      <w:r>
        <w:rPr>
          <w:rFonts w:hint="eastAsia" w:asciiTheme="minorEastAsia" w:hAnsiTheme="minorEastAsia" w:cstheme="minorEastAsia"/>
          <w:sz w:val="24"/>
          <w:szCs w:val="24"/>
        </w:rPr>
        <w:t>，下载并安装“投标文件制作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工具</w:t>
      </w:r>
      <w:r>
        <w:rPr>
          <w:rFonts w:hint="eastAsia" w:asciiTheme="minorEastAsia" w:hAnsiTheme="minorEastAsia" w:cstheme="minorEastAsia"/>
          <w:sz w:val="24"/>
          <w:szCs w:val="24"/>
        </w:rPr>
        <w:t>”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和“统一电子签章客户端”</w:t>
      </w:r>
      <w:r>
        <w:rPr>
          <w:rFonts w:hint="eastAsia" w:asciiTheme="minorEastAsia" w:hAnsiTheme="minorEastAsia" w:cstheme="minorEastAsia"/>
          <w:sz w:val="24"/>
          <w:szCs w:val="24"/>
        </w:rPr>
        <w:t>。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安装流程请参考“行采家全程电子化采购系统供应商软件安装操作手册”。</w:t>
      </w:r>
    </w:p>
    <w:p>
      <w:pPr>
        <w:pStyle w:val="25"/>
        <w:spacing w:line="360" w:lineRule="auto"/>
        <w:ind w:left="0" w:leftChars="0" w:right="210" w:firstLine="48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cstheme="minorEastAsia"/>
          <w:sz w:val="24"/>
          <w:szCs w:val="24"/>
          <w:lang w:val="en-US" w:eastAsia="zh-CN"/>
        </w:rPr>
        <w:fldChar w:fldCharType="begin"/>
      </w:r>
      <w:r>
        <w:rPr>
          <w:rFonts w:hint="default" w:asciiTheme="minorEastAsia" w:hAnsiTheme="minorEastAsia" w:cstheme="minorEastAsia"/>
          <w:sz w:val="24"/>
          <w:szCs w:val="24"/>
          <w:lang w:val="en-US" w:eastAsia="zh-CN"/>
        </w:rPr>
        <w:instrText xml:space="preserve"> = 2 \* GB3 \* MERGEFORMAT </w:instrText>
      </w:r>
      <w:r>
        <w:rPr>
          <w:rFonts w:hint="default" w:asciiTheme="minorEastAsia" w:hAnsiTheme="minorEastAsia" w:cstheme="minorEastAsia"/>
          <w:sz w:val="24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②</w:t>
      </w:r>
      <w:r>
        <w:rPr>
          <w:rFonts w:hint="default" w:asciiTheme="minorEastAsia" w:hAnsiTheme="minorEastAsia" w:cstheme="minorEastAsia"/>
          <w:sz w:val="24"/>
          <w:szCs w:val="24"/>
          <w:lang w:val="en-US" w:eastAsia="zh-CN"/>
        </w:rPr>
        <w:fldChar w:fldCharType="end"/>
      </w:r>
      <w:r>
        <w:rPr>
          <w:rFonts w:hint="default" w:asciiTheme="minorEastAsia" w:hAnsiTheme="minorEastAsia" w:cstheme="minorEastAsia"/>
          <w:sz w:val="24"/>
          <w:szCs w:val="24"/>
          <w:lang w:val="en-US" w:eastAsia="zh-CN"/>
        </w:rPr>
        <w:t>办理CA证书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：流程请参考采购公告附件压缩包中的《重庆政府采购（兼用行采家）全程电子化招标采购CA办理手册》进行CA证书办理。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如图</w:t>
      </w:r>
      <w:r>
        <w:rPr>
          <w:rFonts w:asciiTheme="minorEastAsia" w:hAnsiTheme="minorEastAsia" w:cstheme="minorEastAsia"/>
          <w:sz w:val="24"/>
          <w:szCs w:val="24"/>
        </w:rPr>
        <w:t>2</w:t>
      </w:r>
      <w:r>
        <w:rPr>
          <w:rFonts w:hint="eastAsia" w:asciiTheme="minorEastAsia" w:hAnsiTheme="minorEastAsia" w:cstheme="minorEastAsia"/>
          <w:sz w:val="24"/>
          <w:szCs w:val="24"/>
        </w:rPr>
        <w:t>-</w:t>
      </w:r>
      <w:r>
        <w:rPr>
          <w:rFonts w:asciiTheme="minorEastAsia" w:hAnsiTheme="minorEastAsia" w:cstheme="minorEastAsia"/>
          <w:sz w:val="24"/>
          <w:szCs w:val="24"/>
        </w:rPr>
        <w:t>3</w:t>
      </w:r>
      <w:r>
        <w:rPr>
          <w:rFonts w:hint="eastAsia" w:asciiTheme="minorEastAsia" w:hAnsiTheme="minorEastAsia" w:cstheme="minorEastAsia"/>
          <w:sz w:val="24"/>
          <w:szCs w:val="24"/>
        </w:rPr>
        <w:t>所示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5273040" cy="2680970"/>
            <wp:effectExtent l="0" t="0" r="10160" b="1143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4646295" cy="2291080"/>
            <wp:effectExtent l="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l="3847" r="7911" b="34483"/>
                    <a:stretch>
                      <a:fillRect/>
                    </a:stretch>
                  </pic:blipFill>
                  <pic:spPr>
                    <a:xfrm>
                      <a:off x="0" y="0"/>
                      <a:ext cx="4646295" cy="229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2</w:t>
      </w:r>
      <w:r>
        <w:rPr>
          <w:rFonts w:hint="eastAsia"/>
          <w:color w:val="C00000"/>
        </w:rPr>
        <w:t>-</w:t>
      </w:r>
      <w:r>
        <w:rPr>
          <w:color w:val="C00000"/>
        </w:rPr>
        <w:t>3</w:t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 w:asciiTheme="minorEastAsia" w:hAnsiTheme="minorEastAsia" w:cstheme="minorEastAsia"/>
          <w:sz w:val="24"/>
          <w:szCs w:val="24"/>
        </w:rPr>
      </w:pPr>
    </w:p>
    <w:p>
      <w:pPr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17" w:name="_Toc21360"/>
      <w:r>
        <w:rPr>
          <w:rFonts w:ascii="黑体" w:hAnsi="黑体" w:eastAsia="黑体" w:cs="黑体"/>
          <w:b/>
          <w:bCs/>
          <w:kern w:val="2"/>
          <w:sz w:val="28"/>
          <w:szCs w:val="22"/>
        </w:rPr>
        <w:br w:type="page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r>
        <w:rPr>
          <w:rFonts w:ascii="黑体" w:hAnsi="黑体" w:eastAsia="黑体" w:cs="黑体"/>
          <w:b/>
          <w:bCs/>
          <w:kern w:val="2"/>
          <w:sz w:val="28"/>
          <w:szCs w:val="22"/>
        </w:rPr>
        <w:t>3</w:t>
      </w:r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.供应商系统登录</w:t>
      </w:r>
      <w:bookmarkEnd w:id="17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登录网址：www.gec123.com，账号密码与行采家账号密码保持不变，若忘记账号密码可在登录界面找回。如图</w:t>
      </w:r>
      <w:r>
        <w:rPr>
          <w:rFonts w:asciiTheme="minorEastAsia" w:hAnsiTheme="minorEastAsia" w:cstheme="minorEastAsia"/>
          <w:sz w:val="24"/>
          <w:szCs w:val="24"/>
        </w:rPr>
        <w:t>3</w:t>
      </w:r>
      <w:r>
        <w:rPr>
          <w:rFonts w:hint="eastAsia" w:asciiTheme="minorEastAsia" w:hAnsiTheme="minorEastAsia" w:cstheme="minorEastAsia"/>
          <w:sz w:val="24"/>
          <w:szCs w:val="24"/>
        </w:rPr>
        <w:t>-1所示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4820285" cy="2665730"/>
            <wp:effectExtent l="9525" t="9525" r="27940" b="10795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20285" cy="26657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3</w:t>
      </w:r>
      <w:r>
        <w:rPr>
          <w:rFonts w:hint="eastAsia"/>
          <w:color w:val="C00000"/>
        </w:rPr>
        <w:t>-1</w:t>
      </w:r>
    </w:p>
    <w:p>
      <w:pPr>
        <w:widowControl/>
        <w:jc w:val="left"/>
        <w:rPr>
          <w:rFonts w:ascii="黑体" w:hAnsi="黑体" w:eastAsia="黑体" w:cs="黑体"/>
          <w:b/>
          <w:bCs/>
          <w:sz w:val="28"/>
        </w:rPr>
      </w:pPr>
      <w:r>
        <w:rPr>
          <w:rFonts w:ascii="黑体" w:hAnsi="黑体" w:eastAsia="黑体" w:cs="黑体"/>
          <w:b/>
          <w:bCs/>
          <w:sz w:val="28"/>
        </w:rPr>
        <w:br w:type="page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18" w:name="_Toc24179"/>
      <w:r>
        <w:rPr>
          <w:rFonts w:ascii="黑体" w:hAnsi="黑体" w:eastAsia="黑体" w:cs="黑体"/>
          <w:b/>
          <w:bCs/>
          <w:kern w:val="2"/>
          <w:sz w:val="28"/>
          <w:szCs w:val="22"/>
        </w:rPr>
        <w:t>4</w:t>
      </w:r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.供应商获取采购文件</w:t>
      </w:r>
      <w:bookmarkEnd w:id="18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供应商获取采购文件，需完成以下操作：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在“待办中心”点击“电子招投标”。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2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②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在“电子招投标”菜单栏里点击“电子投标在线报名”，找到相关项目。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3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③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点击“在线获取”。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4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④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在获取采购文件界面，选好项目包，供应商需填入“联系人”，“联系手机”，“电子邮箱”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即可</w:t>
      </w:r>
      <w:r>
        <w:rPr>
          <w:rFonts w:hint="eastAsia" w:asciiTheme="minorEastAsia" w:hAnsiTheme="minorEastAsia" w:cstheme="minorEastAsia"/>
          <w:sz w:val="24"/>
          <w:szCs w:val="24"/>
        </w:rPr>
        <w:t>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5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⑤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最后供应商点击“已知晓并同意《投标人须知》”并完成提交。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特殊情况如下：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若部分代理机构设置需审核获取申请，则需代理机构在线审核通过后才可获取采购文件。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以上流程如图</w:t>
      </w:r>
      <w:r>
        <w:rPr>
          <w:rFonts w:asciiTheme="minorEastAsia" w:hAnsiTheme="minorEastAsia" w:cstheme="minorEastAsia"/>
          <w:sz w:val="24"/>
          <w:szCs w:val="24"/>
        </w:rPr>
        <w:t>4</w:t>
      </w:r>
      <w:r>
        <w:rPr>
          <w:rFonts w:hint="eastAsia" w:asciiTheme="minorEastAsia" w:hAnsiTheme="minorEastAsia" w:cstheme="minorEastAsia"/>
          <w:sz w:val="24"/>
          <w:szCs w:val="24"/>
        </w:rPr>
        <w:t>-1、4</w:t>
      </w:r>
      <w:r>
        <w:rPr>
          <w:rFonts w:asciiTheme="minorEastAsia" w:hAnsiTheme="minorEastAsia" w:cstheme="minorEastAsia"/>
          <w:sz w:val="24"/>
          <w:szCs w:val="24"/>
        </w:rPr>
        <w:t>-2</w:t>
      </w:r>
      <w:r>
        <w:rPr>
          <w:rFonts w:hint="eastAsia" w:asciiTheme="minorEastAsia" w:hAnsiTheme="minorEastAsia" w:cstheme="minorEastAsia"/>
          <w:sz w:val="24"/>
          <w:szCs w:val="24"/>
        </w:rPr>
        <w:t>、4</w:t>
      </w:r>
      <w:r>
        <w:rPr>
          <w:rFonts w:asciiTheme="minorEastAsia" w:hAnsiTheme="minorEastAsia" w:cstheme="minorEastAsia"/>
          <w:sz w:val="24"/>
          <w:szCs w:val="24"/>
        </w:rPr>
        <w:t>-3</w:t>
      </w:r>
      <w:r>
        <w:rPr>
          <w:rFonts w:hint="eastAsia" w:asciiTheme="minorEastAsia" w:hAnsiTheme="minorEastAsia" w:cstheme="minorEastAsia"/>
          <w:sz w:val="24"/>
          <w:szCs w:val="24"/>
        </w:rPr>
        <w:t>、4</w:t>
      </w:r>
      <w:r>
        <w:rPr>
          <w:rFonts w:asciiTheme="minorEastAsia" w:hAnsiTheme="minorEastAsia" w:cstheme="minorEastAsia"/>
          <w:sz w:val="24"/>
          <w:szCs w:val="24"/>
        </w:rPr>
        <w:t>-4</w:t>
      </w:r>
      <w:r>
        <w:rPr>
          <w:rFonts w:hint="eastAsia" w:asciiTheme="minorEastAsia" w:hAnsiTheme="minorEastAsia" w:cstheme="minorEastAsia"/>
          <w:sz w:val="24"/>
          <w:szCs w:val="24"/>
        </w:rPr>
        <w:t>所示.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0" distR="0">
            <wp:extent cx="5274310" cy="1899285"/>
            <wp:effectExtent l="0" t="0" r="254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4</w:t>
      </w:r>
      <w:r>
        <w:rPr>
          <w:rFonts w:hint="eastAsia"/>
          <w:color w:val="C00000"/>
        </w:rPr>
        <w:t>-1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0" distR="0">
            <wp:extent cx="2415540" cy="2373630"/>
            <wp:effectExtent l="0" t="0" r="381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25748" cy="238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4</w:t>
      </w:r>
      <w:r>
        <w:rPr>
          <w:rFonts w:hint="eastAsia"/>
          <w:color w:val="C00000"/>
        </w:rPr>
        <w:t>-</w:t>
      </w:r>
      <w:r>
        <w:rPr>
          <w:color w:val="C00000"/>
        </w:rPr>
        <w:t>2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4731385" cy="1322705"/>
            <wp:effectExtent l="9525" t="9525" r="21590" b="2032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31385" cy="13227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4</w:t>
      </w:r>
      <w:r>
        <w:rPr>
          <w:rFonts w:hint="eastAsia"/>
          <w:color w:val="C00000"/>
        </w:rPr>
        <w:t>-</w:t>
      </w:r>
      <w:r>
        <w:rPr>
          <w:color w:val="C00000"/>
        </w:rPr>
        <w:t>3</w:t>
      </w:r>
    </w:p>
    <w:p>
      <w:pPr>
        <w:spacing w:line="360" w:lineRule="auto"/>
        <w:ind w:right="210"/>
        <w:rPr>
          <w:color w:val="C00000"/>
        </w:rPr>
      </w:pPr>
      <w:r>
        <w:drawing>
          <wp:inline distT="0" distB="0" distL="0" distR="0">
            <wp:extent cx="5274310" cy="438531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8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4</w:t>
      </w:r>
      <w:r>
        <w:rPr>
          <w:rFonts w:hint="eastAsia"/>
          <w:color w:val="C00000"/>
        </w:rPr>
        <w:t>-</w:t>
      </w:r>
      <w:r>
        <w:rPr>
          <w:color w:val="C00000"/>
        </w:rPr>
        <w:t>4</w:t>
      </w:r>
    </w:p>
    <w:p>
      <w:pPr>
        <w:spacing w:line="360" w:lineRule="auto"/>
        <w:ind w:right="210"/>
        <w:rPr>
          <w:color w:val="C00000"/>
        </w:rPr>
      </w:pPr>
    </w:p>
    <w:p>
      <w:pPr>
        <w:widowControl/>
        <w:jc w:val="left"/>
        <w:rPr>
          <w:rFonts w:ascii="黑体" w:hAnsi="黑体" w:eastAsia="黑体" w:cs="黑体"/>
          <w:b/>
          <w:bCs/>
          <w:sz w:val="28"/>
        </w:rPr>
      </w:pPr>
      <w:r>
        <w:rPr>
          <w:rFonts w:ascii="黑体" w:hAnsi="黑体" w:eastAsia="黑体" w:cs="黑体"/>
          <w:b/>
          <w:bCs/>
          <w:sz w:val="28"/>
        </w:rPr>
        <w:br w:type="page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19" w:name="_Toc23699"/>
      <w:r>
        <w:rPr>
          <w:rFonts w:ascii="黑体" w:hAnsi="黑体" w:eastAsia="黑体" w:cs="黑体"/>
          <w:b/>
          <w:bCs/>
          <w:kern w:val="2"/>
          <w:sz w:val="28"/>
          <w:szCs w:val="22"/>
        </w:rPr>
        <w:t>5</w:t>
      </w:r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.供应商制作投标文件</w:t>
      </w:r>
      <w:bookmarkEnd w:id="19"/>
    </w:p>
    <w:p>
      <w:pPr>
        <w:spacing w:line="360" w:lineRule="auto"/>
        <w:ind w:firstLine="480" w:firstLineChars="20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highlight w:val="yellow"/>
        </w:rPr>
        <w:t>投标人根据采购文件要求制作投标文件，按照要求</w:t>
      </w:r>
      <w:r>
        <w:rPr>
          <w:rFonts w:hint="eastAsia" w:asciiTheme="minorEastAsia" w:hAnsiTheme="minorEastAsia" w:cstheme="minorEastAsia"/>
          <w:sz w:val="24"/>
          <w:szCs w:val="24"/>
          <w:highlight w:val="yellow"/>
          <w:lang w:val="en-US" w:eastAsia="zh-CN"/>
        </w:rPr>
        <w:t>线下盖好除公章外的私章和</w:t>
      </w:r>
      <w:r>
        <w:rPr>
          <w:rFonts w:hint="eastAsia" w:asciiTheme="minorEastAsia" w:hAnsiTheme="minorEastAsia" w:cstheme="minorEastAsia"/>
          <w:sz w:val="24"/>
          <w:szCs w:val="24"/>
          <w:highlight w:val="yellow"/>
        </w:rPr>
        <w:t>签字。最后将确认的版本转换为</w:t>
      </w:r>
      <w:r>
        <w:rPr>
          <w:rFonts w:hint="eastAsia" w:asciiTheme="minorEastAsia" w:hAnsiTheme="minorEastAsia" w:cstheme="minorEastAsia"/>
          <w:sz w:val="24"/>
          <w:szCs w:val="24"/>
          <w:highlight w:val="yellow"/>
          <w:lang w:val="en-US" w:eastAsia="zh-CN"/>
        </w:rPr>
        <w:t>PDF</w:t>
      </w:r>
      <w:r>
        <w:rPr>
          <w:rFonts w:hint="eastAsia" w:asciiTheme="minorEastAsia" w:hAnsiTheme="minorEastAsia" w:cstheme="minorEastAsia"/>
          <w:sz w:val="24"/>
          <w:szCs w:val="24"/>
          <w:highlight w:val="yellow"/>
        </w:rPr>
        <w:t>格式，用于电子投标文件制作。</w:t>
      </w:r>
    </w:p>
    <w:p>
      <w:pPr>
        <w:widowControl/>
        <w:jc w:val="left"/>
        <w:rPr>
          <w:rFonts w:ascii="黑体" w:hAnsi="黑体" w:eastAsia="黑体" w:cs="黑体"/>
          <w:b/>
          <w:bCs/>
          <w:sz w:val="28"/>
        </w:rPr>
      </w:pPr>
      <w:r>
        <w:rPr>
          <w:rFonts w:ascii="黑体" w:hAnsi="黑体" w:eastAsia="黑体" w:cs="黑体"/>
          <w:b/>
          <w:bCs/>
          <w:sz w:val="28"/>
        </w:rPr>
        <w:br w:type="page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20" w:name="_Toc8747"/>
      <w:r>
        <w:rPr>
          <w:rFonts w:ascii="黑体" w:hAnsi="黑体" w:eastAsia="黑体" w:cs="黑体"/>
          <w:b/>
          <w:bCs/>
          <w:kern w:val="2"/>
          <w:sz w:val="28"/>
          <w:szCs w:val="22"/>
        </w:rPr>
        <w:t>6</w:t>
      </w:r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.供应商离线制作电子投标文件</w:t>
      </w:r>
      <w:bookmarkEnd w:id="20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供应商登录大家采投标文件制作系统，离线制作投标文件，登录账号密码与行采家采购平台保持一致。如图</w:t>
      </w:r>
      <w:r>
        <w:rPr>
          <w:rFonts w:asciiTheme="minorEastAsia" w:hAnsiTheme="minorEastAsia" w:cstheme="minorEastAsia"/>
          <w:sz w:val="24"/>
          <w:szCs w:val="24"/>
        </w:rPr>
        <w:t>6</w:t>
      </w:r>
      <w:r>
        <w:rPr>
          <w:rFonts w:hint="eastAsia" w:asciiTheme="minorEastAsia" w:hAnsiTheme="minorEastAsia" w:cstheme="minorEastAsia"/>
          <w:sz w:val="24"/>
          <w:szCs w:val="24"/>
        </w:rPr>
        <w:t>-1所示</w:t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1231900" cy="1190625"/>
            <wp:effectExtent l="0" t="0" r="6350" b="9525"/>
            <wp:docPr id="1" name="图片 1" descr="lQLPJxbZoV4wJ2F9zKOwDBLWF5kPwoIDZaHBE4A2AA_163_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lQLPJxbZoV4wJ2F9zKOwDBLWF5kPwoIDZaHBE4A2AA_163_125"/>
                    <pic:cNvPicPr>
                      <a:picLocks noChangeAspect="1"/>
                    </pic:cNvPicPr>
                  </pic:nvPicPr>
                  <pic:blipFill>
                    <a:blip r:embed="rId16"/>
                    <a:srcRect r="20654"/>
                    <a:stretch>
                      <a:fillRect/>
                    </a:stretch>
                  </pic:blipFill>
                  <pic:spPr>
                    <a:xfrm>
                      <a:off x="0" y="0"/>
                      <a:ext cx="12319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3990975" cy="2283460"/>
            <wp:effectExtent l="9525" t="9525" r="19050" b="1206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2834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rPr>
          <w:rFonts w:hint="eastAsia"/>
          <w:color w:val="C00000"/>
        </w:rPr>
        <w:t>图</w:t>
      </w:r>
      <w:r>
        <w:rPr>
          <w:color w:val="C00000"/>
        </w:rPr>
        <w:t>6</w:t>
      </w:r>
      <w:r>
        <w:rPr>
          <w:rFonts w:hint="eastAsia"/>
          <w:color w:val="C00000"/>
        </w:rPr>
        <w:t>-1</w:t>
      </w:r>
    </w:p>
    <w:p>
      <w:pPr>
        <w:pStyle w:val="25"/>
        <w:spacing w:line="360" w:lineRule="auto"/>
        <w:ind w:left="0" w:leftChars="0" w:right="210" w:firstLine="560"/>
        <w:rPr>
          <w:rFonts w:asciiTheme="minorEastAsia" w:hAnsiTheme="minorEastAsia" w:cstheme="minorEastAsia"/>
          <w:sz w:val="28"/>
          <w:szCs w:val="28"/>
          <w:highlight w:val="yellow"/>
        </w:rPr>
      </w:pPr>
      <w:r>
        <w:rPr>
          <w:rFonts w:hint="eastAsia" w:asciiTheme="minorEastAsia" w:hAnsiTheme="minorEastAsia" w:cstheme="minorEastAsia"/>
          <w:sz w:val="28"/>
          <w:szCs w:val="28"/>
          <w:highlight w:val="yellow"/>
        </w:rPr>
        <w:t>离线制作投标文件需完成五大步骤，打开项目、录入报价一览表、上传投标文件、设置评分页码、</w:t>
      </w:r>
      <w:r>
        <w:rPr>
          <w:rFonts w:hint="eastAsia" w:asciiTheme="minorEastAsia" w:hAnsiTheme="minorEastAsia" w:cstheme="minorEastAsia"/>
          <w:sz w:val="28"/>
          <w:szCs w:val="28"/>
          <w:highlight w:val="yellow"/>
          <w:lang w:val="en-US" w:eastAsia="zh-CN"/>
        </w:rPr>
        <w:t>对投标文件签章</w:t>
      </w:r>
      <w:r>
        <w:rPr>
          <w:rFonts w:hint="eastAsia" w:asciiTheme="minorEastAsia" w:hAnsiTheme="minorEastAsia" w:cstheme="minorEastAsia"/>
          <w:sz w:val="28"/>
          <w:szCs w:val="28"/>
          <w:highlight w:val="yellow"/>
        </w:rPr>
        <w:t>并下载投标文件。如图</w:t>
      </w:r>
      <w:r>
        <w:rPr>
          <w:rFonts w:asciiTheme="minorEastAsia" w:hAnsiTheme="minorEastAsia" w:cstheme="minorEastAsia"/>
          <w:sz w:val="28"/>
          <w:szCs w:val="28"/>
          <w:highlight w:val="yellow"/>
        </w:rPr>
        <w:t>6</w:t>
      </w:r>
      <w:r>
        <w:rPr>
          <w:rFonts w:hint="eastAsia" w:asciiTheme="minorEastAsia" w:hAnsiTheme="minorEastAsia" w:cstheme="minorEastAsia"/>
          <w:sz w:val="28"/>
          <w:szCs w:val="28"/>
          <w:highlight w:val="yellow"/>
        </w:rPr>
        <w:t>-2所示</w:t>
      </w:r>
    </w:p>
    <w:p>
      <w:pPr>
        <w:pStyle w:val="25"/>
        <w:spacing w:line="360" w:lineRule="auto"/>
        <w:ind w:left="0" w:leftChars="0" w:right="210" w:firstLine="0" w:firstLineChars="0"/>
      </w:pPr>
      <w:r>
        <w:drawing>
          <wp:inline distT="0" distB="0" distL="114300" distR="114300">
            <wp:extent cx="5591175" cy="1727200"/>
            <wp:effectExtent l="9525" t="9525" r="19050" b="15875"/>
            <wp:docPr id="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7272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rPr>
          <w:rFonts w:hint="eastAsia"/>
          <w:color w:val="C00000"/>
        </w:rPr>
        <w:t>图</w:t>
      </w:r>
      <w:r>
        <w:rPr>
          <w:color w:val="C00000"/>
        </w:rPr>
        <w:t>6</w:t>
      </w:r>
      <w:r>
        <w:rPr>
          <w:rFonts w:hint="eastAsia"/>
          <w:color w:val="C00000"/>
        </w:rPr>
        <w:t>-2</w:t>
      </w:r>
    </w:p>
    <w:p>
      <w:pPr>
        <w:widowControl/>
        <w:jc w:val="left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21" w:name="_Toc31024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6.1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打开项目</w:t>
      </w:r>
      <w:bookmarkEnd w:id="21"/>
    </w:p>
    <w:p>
      <w:pPr>
        <w:pStyle w:val="25"/>
        <w:spacing w:line="360" w:lineRule="auto"/>
        <w:ind w:left="0" w:leftChars="0" w:right="0" w:rightChars="0" w:firstLine="480"/>
        <w:rPr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供应商点击“打开项目”，在线查看项目概括。</w:t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22" w:name="_Toc1449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6.2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录入报价一览表</w:t>
      </w:r>
      <w:bookmarkEnd w:id="22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供应商完成录入报价一览表需完成以下步骤：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录入总报价、数量及勾选是否为小微企业。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2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②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录入完成后点击“保存”。如图</w:t>
      </w:r>
      <w:r>
        <w:rPr>
          <w:rFonts w:asciiTheme="minorEastAsia" w:hAnsiTheme="minorEastAsia" w:cstheme="minorEastAsia"/>
          <w:sz w:val="24"/>
          <w:szCs w:val="24"/>
        </w:rPr>
        <w:t>6</w:t>
      </w:r>
      <w:r>
        <w:rPr>
          <w:rFonts w:hint="eastAsia" w:asciiTheme="minorEastAsia" w:hAnsiTheme="minorEastAsia" w:cstheme="minorEastAsia"/>
          <w:sz w:val="24"/>
          <w:szCs w:val="24"/>
        </w:rPr>
        <w:t>-3所示</w:t>
      </w:r>
    </w:p>
    <w:p>
      <w:pPr>
        <w:pStyle w:val="25"/>
        <w:spacing w:line="360" w:lineRule="auto"/>
        <w:ind w:left="0" w:leftChars="0" w:right="210" w:firstLine="0" w:firstLineChars="0"/>
      </w:pPr>
      <w:r>
        <w:drawing>
          <wp:inline distT="0" distB="0" distL="114300" distR="114300">
            <wp:extent cx="5643880" cy="2515235"/>
            <wp:effectExtent l="9525" t="9525" r="23495" b="2794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43880" cy="25152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rPr>
          <w:rFonts w:hint="eastAsia"/>
          <w:color w:val="C00000"/>
        </w:rPr>
        <w:t xml:space="preserve"> 图</w:t>
      </w:r>
      <w:r>
        <w:rPr>
          <w:color w:val="C00000"/>
        </w:rPr>
        <w:t>6</w:t>
      </w:r>
      <w:r>
        <w:rPr>
          <w:rFonts w:hint="eastAsia"/>
          <w:color w:val="C00000"/>
        </w:rPr>
        <w:t>-3</w:t>
      </w:r>
    </w:p>
    <w:p>
      <w:pPr>
        <w:widowControl/>
        <w:jc w:val="left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23" w:name="_Toc20694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6.3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上传投标文件</w:t>
      </w:r>
      <w:bookmarkEnd w:id="23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供应商点击“上传投标文件”，将制作好的投标文件电子档上传。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以上流程如图</w:t>
      </w:r>
      <w:r>
        <w:rPr>
          <w:rFonts w:asciiTheme="minorEastAsia" w:hAnsiTheme="minorEastAsia" w:cstheme="minorEastAsia"/>
          <w:sz w:val="24"/>
          <w:szCs w:val="24"/>
        </w:rPr>
        <w:t>6</w:t>
      </w:r>
      <w:r>
        <w:rPr>
          <w:rFonts w:hint="eastAsia" w:asciiTheme="minorEastAsia" w:hAnsiTheme="minorEastAsia" w:cstheme="minorEastAsia"/>
          <w:sz w:val="24"/>
          <w:szCs w:val="24"/>
        </w:rPr>
        <w:t>-4所示。</w:t>
      </w:r>
    </w:p>
    <w:p>
      <w:pPr>
        <w:pStyle w:val="25"/>
        <w:spacing w:line="360" w:lineRule="auto"/>
        <w:ind w:left="0" w:leftChars="0" w:right="210" w:firstLine="0" w:firstLineChars="0"/>
      </w:pPr>
      <w:r>
        <w:drawing>
          <wp:inline distT="0" distB="0" distL="114300" distR="114300">
            <wp:extent cx="5271770" cy="2674620"/>
            <wp:effectExtent l="0" t="0" r="5080" b="1143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/>
        <w:jc w:val="center"/>
      </w:pPr>
      <w:r>
        <w:rPr>
          <w:rFonts w:hint="eastAsia"/>
          <w:color w:val="C00000"/>
        </w:rPr>
        <w:t xml:space="preserve"> 图</w:t>
      </w:r>
      <w:r>
        <w:rPr>
          <w:color w:val="C00000"/>
        </w:rPr>
        <w:t>6</w:t>
      </w:r>
      <w:r>
        <w:rPr>
          <w:rFonts w:hint="eastAsia"/>
          <w:color w:val="C00000"/>
        </w:rPr>
        <w:t>-4</w:t>
      </w:r>
    </w:p>
    <w:p>
      <w:pPr>
        <w:widowControl/>
        <w:jc w:val="left"/>
        <w:rPr>
          <w:rFonts w:asciiTheme="minorEastAsia" w:hAnsiTheme="minorEastAsia" w:cstheme="minorEastAsia"/>
          <w:b/>
          <w:bCs/>
          <w:kern w:val="0"/>
          <w:sz w:val="28"/>
          <w:szCs w:val="28"/>
        </w:rPr>
      </w:pPr>
      <w:r>
        <w:rPr>
          <w:rFonts w:asciiTheme="minorEastAsia" w:hAnsiTheme="minorEastAsia" w:cstheme="minorEastAsia"/>
          <w:b/>
          <w:bCs/>
          <w:kern w:val="0"/>
          <w:sz w:val="28"/>
          <w:szCs w:val="28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24" w:name="_Toc28145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6.4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设置评分页码</w:t>
      </w:r>
      <w:bookmarkEnd w:id="24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供应商设置评分页码需完成一下步骤：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选中左边评标条款，将此条款与投标文件页码对应后点击“关联页码”。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2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②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关联成功后，左下方可查看此条款对应的页码内容情况。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3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③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将所有的评标条款与投标文件逐一进行页码关联成功后，点击“确认完成”。如图</w:t>
      </w:r>
      <w:r>
        <w:rPr>
          <w:rFonts w:asciiTheme="minorEastAsia" w:hAnsiTheme="minorEastAsia" w:cstheme="minorEastAsia"/>
          <w:sz w:val="24"/>
          <w:szCs w:val="24"/>
        </w:rPr>
        <w:t>6</w:t>
      </w:r>
      <w:r>
        <w:rPr>
          <w:rFonts w:hint="eastAsia" w:asciiTheme="minorEastAsia" w:hAnsiTheme="minorEastAsia" w:cstheme="minorEastAsia"/>
          <w:sz w:val="24"/>
          <w:szCs w:val="24"/>
        </w:rPr>
        <w:t>-5所示</w:t>
      </w:r>
    </w:p>
    <w:p>
      <w:pPr>
        <w:pStyle w:val="25"/>
        <w:spacing w:line="360" w:lineRule="auto"/>
        <w:ind w:left="0" w:leftChars="0" w:right="210" w:firstLine="0" w:firstLineChars="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5499735" cy="2701925"/>
            <wp:effectExtent l="9525" t="9525" r="15240" b="12700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99735" cy="27019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/>
        <w:jc w:val="center"/>
      </w:pPr>
      <w:r>
        <w:rPr>
          <w:rFonts w:hint="eastAsia"/>
          <w:color w:val="C00000"/>
        </w:rPr>
        <w:t xml:space="preserve"> 图</w:t>
      </w:r>
      <w:r>
        <w:rPr>
          <w:color w:val="C00000"/>
        </w:rPr>
        <w:t>6</w:t>
      </w:r>
      <w:r>
        <w:rPr>
          <w:rFonts w:hint="eastAsia"/>
          <w:color w:val="C00000"/>
        </w:rPr>
        <w:t>-5</w:t>
      </w:r>
    </w:p>
    <w:p>
      <w:pPr>
        <w:widowControl/>
        <w:jc w:val="left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25" w:name="_Toc26981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6.5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  <w:lang w:val="en-US" w:eastAsia="zh-CN"/>
        </w:rPr>
        <w:t>对投标文件签章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并下载投标文件</w:t>
      </w:r>
      <w:bookmarkEnd w:id="25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对投标文件签章</w:t>
      </w:r>
      <w:r>
        <w:rPr>
          <w:rFonts w:hint="eastAsia" w:asciiTheme="minorEastAsia" w:hAnsiTheme="minorEastAsia" w:cstheme="minorEastAsia"/>
          <w:sz w:val="24"/>
          <w:szCs w:val="24"/>
        </w:rPr>
        <w:t>完成后进入下载投标文件环节，供应商需完成以下步骤：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电脑上插上“CA”后，再点击“投标文件签章”按钮</w:t>
      </w:r>
      <w:r>
        <w:rPr>
          <w:rFonts w:hint="eastAsia" w:asciiTheme="minorEastAsia" w:hAnsiTheme="minorEastAsia" w:cstheme="minorEastAsia"/>
          <w:sz w:val="24"/>
          <w:szCs w:val="24"/>
        </w:rPr>
        <w:t>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2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②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进入到签章界面</w:t>
      </w:r>
      <w:r>
        <w:rPr>
          <w:rFonts w:hint="eastAsia" w:asciiTheme="minorEastAsia" w:hAnsiTheme="minorEastAsia" w:cstheme="minorEastAsia"/>
          <w:sz w:val="24"/>
          <w:szCs w:val="24"/>
        </w:rPr>
        <w:t>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3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③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输入“CA”密码后，才可以对投标文件进行签章操作</w:t>
      </w:r>
      <w:r>
        <w:rPr>
          <w:rFonts w:hint="eastAsia" w:asciiTheme="minorEastAsia" w:hAnsiTheme="minorEastAsia" w:cstheme="minorEastAsia"/>
          <w:sz w:val="24"/>
          <w:szCs w:val="24"/>
        </w:rPr>
        <w:t>。</w:t>
      </w:r>
    </w:p>
    <w:p>
      <w:pPr>
        <w:pStyle w:val="25"/>
        <w:spacing w:line="360" w:lineRule="auto"/>
        <w:ind w:left="0" w:leftChars="0" w:right="210" w:firstLine="48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4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④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投标人根据招标文件要求，对电子投标文件进行签章，再签完所有章后，点击右上角“保存”，签章环节结束。</w:t>
      </w:r>
    </w:p>
    <w:p>
      <w:pPr>
        <w:pStyle w:val="25"/>
        <w:spacing w:line="360" w:lineRule="auto"/>
        <w:ind w:left="0" w:leftChars="0" w:right="210" w:firstLine="480"/>
        <w:rPr>
          <w:rFonts w:hint="default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instrText xml:space="preserve"> = 5 \* GB3 \* MERGEFORMAT </w:instrTex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fldChar w:fldCharType="separate"/>
      </w:r>
      <w:r>
        <w:t>⑤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接下来投标人就可以下载电子投标文件和备份的电子投标文件。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备注：投标文件下载后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在线</w:t>
      </w:r>
      <w:r>
        <w:rPr>
          <w:rFonts w:hint="eastAsia" w:asciiTheme="minorEastAsia" w:hAnsiTheme="minorEastAsia" w:cstheme="minorEastAsia"/>
          <w:sz w:val="24"/>
          <w:szCs w:val="24"/>
        </w:rPr>
        <w:t>投标时再上传，备份的投标文件用于开标环节解密失败的情况下作备用上传（开标环节需带上此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备份</w:t>
      </w:r>
      <w:r>
        <w:rPr>
          <w:rFonts w:hint="eastAsia" w:asciiTheme="minorEastAsia" w:hAnsiTheme="minorEastAsia" w:cstheme="minorEastAsia"/>
          <w:sz w:val="24"/>
          <w:szCs w:val="24"/>
        </w:rPr>
        <w:t>电子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投标</w:t>
      </w:r>
      <w:r>
        <w:rPr>
          <w:rFonts w:hint="eastAsia" w:asciiTheme="minorEastAsia" w:hAnsiTheme="minorEastAsia" w:cstheme="minorEastAsia"/>
          <w:sz w:val="24"/>
          <w:szCs w:val="24"/>
        </w:rPr>
        <w:t>文件）。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以上流程如图</w:t>
      </w:r>
      <w:r>
        <w:rPr>
          <w:rFonts w:asciiTheme="minorEastAsia" w:hAnsiTheme="minorEastAsia" w:cstheme="minorEastAsia"/>
          <w:sz w:val="24"/>
          <w:szCs w:val="24"/>
        </w:rPr>
        <w:t>6</w:t>
      </w:r>
      <w:r>
        <w:rPr>
          <w:rFonts w:hint="eastAsia" w:asciiTheme="minorEastAsia" w:hAnsiTheme="minorEastAsia" w:cstheme="minorEastAsia"/>
          <w:sz w:val="24"/>
          <w:szCs w:val="24"/>
        </w:rPr>
        <w:t>-6、</w:t>
      </w:r>
      <w:r>
        <w:rPr>
          <w:rFonts w:asciiTheme="minorEastAsia" w:hAnsiTheme="minorEastAsia" w:cstheme="minorEastAsia"/>
          <w:sz w:val="24"/>
          <w:szCs w:val="24"/>
        </w:rPr>
        <w:t>6</w:t>
      </w:r>
      <w:r>
        <w:rPr>
          <w:rFonts w:hint="eastAsia" w:asciiTheme="minorEastAsia" w:hAnsiTheme="minorEastAsia" w:cstheme="minorEastAsia"/>
          <w:sz w:val="24"/>
          <w:szCs w:val="24"/>
        </w:rPr>
        <w:t>-7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6-8、6-9</w:t>
      </w:r>
      <w:r>
        <w:rPr>
          <w:rFonts w:hint="eastAsia" w:asciiTheme="minorEastAsia" w:hAnsiTheme="minorEastAsia" w:cstheme="minorEastAsia"/>
          <w:sz w:val="24"/>
          <w:szCs w:val="24"/>
        </w:rPr>
        <w:t>所示</w:t>
      </w:r>
    </w:p>
    <w:p>
      <w:pPr>
        <w:pStyle w:val="25"/>
        <w:spacing w:line="360" w:lineRule="auto"/>
        <w:ind w:left="0" w:leftChars="0" w:right="210" w:firstLine="0" w:firstLineChars="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5260975" cy="2682875"/>
            <wp:effectExtent l="0" t="0" r="15875" b="317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/>
          <w:color w:val="C00000"/>
        </w:rPr>
        <w:t xml:space="preserve"> 图</w:t>
      </w:r>
      <w:r>
        <w:rPr>
          <w:color w:val="C00000"/>
        </w:rPr>
        <w:t>6</w:t>
      </w:r>
      <w:r>
        <w:rPr>
          <w:rFonts w:hint="eastAsia"/>
          <w:color w:val="C00000"/>
        </w:rPr>
        <w:t>-6</w:t>
      </w:r>
    </w:p>
    <w:p>
      <w:pPr>
        <w:pStyle w:val="25"/>
        <w:spacing w:line="360" w:lineRule="auto"/>
        <w:ind w:left="0" w:leftChars="0" w:right="210" w:firstLine="0" w:firstLineChars="0"/>
      </w:pPr>
      <w:r>
        <w:drawing>
          <wp:inline distT="0" distB="0" distL="114300" distR="114300">
            <wp:extent cx="5272405" cy="2229485"/>
            <wp:effectExtent l="0" t="0" r="4445" b="1841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rPr>
          <w:rFonts w:hint="eastAsia"/>
          <w:color w:val="C00000"/>
        </w:rPr>
        <w:t>图</w:t>
      </w:r>
      <w:r>
        <w:rPr>
          <w:color w:val="C00000"/>
        </w:rPr>
        <w:t>6</w:t>
      </w:r>
      <w:r>
        <w:rPr>
          <w:rFonts w:hint="eastAsia"/>
          <w:color w:val="C00000"/>
        </w:rPr>
        <w:t>-7</w:t>
      </w:r>
    </w:p>
    <w:p>
      <w:pPr>
        <w:widowControl/>
        <w:jc w:val="left"/>
      </w:pPr>
      <w:r>
        <w:drawing>
          <wp:inline distT="0" distB="0" distL="114300" distR="114300">
            <wp:extent cx="5078730" cy="2733040"/>
            <wp:effectExtent l="0" t="0" r="7620" b="1016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78730" cy="273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/>
          <w:color w:val="C00000"/>
          <w:lang w:val="en-US" w:eastAsia="zh-CN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6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8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5271770" cy="2472055"/>
            <wp:effectExtent l="0" t="0" r="5080" b="4445"/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7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6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9</w:t>
      </w:r>
    </w:p>
    <w:p>
      <w:pPr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26" w:name="_Toc21167"/>
      <w:r>
        <w:rPr>
          <w:rFonts w:ascii="黑体" w:hAnsi="黑体" w:eastAsia="黑体" w:cs="黑体"/>
          <w:b/>
          <w:bCs/>
          <w:kern w:val="2"/>
          <w:sz w:val="28"/>
          <w:szCs w:val="22"/>
        </w:rPr>
        <w:br w:type="page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r>
        <w:rPr>
          <w:rFonts w:ascii="黑体" w:hAnsi="黑体" w:eastAsia="黑体" w:cs="黑体"/>
          <w:b/>
          <w:bCs/>
          <w:kern w:val="2"/>
          <w:sz w:val="28"/>
          <w:szCs w:val="22"/>
        </w:rPr>
        <w:t>7</w:t>
      </w:r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.供应商在线投标</w:t>
      </w:r>
      <w:bookmarkEnd w:id="26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投标时间结束前，供应商需完成在线投标，供应商需完成以下步骤：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进入“行采家采购服务平台-个人中心”点击“在线报名/投标”，进入在线投标界面。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2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②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在在线投标界面，完成供应商信息填写。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3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③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上传做好的电子投标文件。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4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④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点击“确定”供应商完成在线投标。如图</w:t>
      </w:r>
      <w:r>
        <w:rPr>
          <w:rFonts w:asciiTheme="minorEastAsia" w:hAnsiTheme="minorEastAsia" w:cstheme="minorEastAsia"/>
          <w:sz w:val="24"/>
          <w:szCs w:val="24"/>
        </w:rPr>
        <w:t>7</w:t>
      </w:r>
      <w:r>
        <w:rPr>
          <w:rFonts w:hint="eastAsia" w:asciiTheme="minorEastAsia" w:hAnsiTheme="minorEastAsia" w:cstheme="minorEastAsia"/>
          <w:sz w:val="24"/>
          <w:szCs w:val="24"/>
        </w:rPr>
        <w:t>-1所示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0" distR="0">
            <wp:extent cx="5274310" cy="166624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rPr>
          <w:rFonts w:hint="eastAsia"/>
          <w:color w:val="C00000"/>
        </w:rPr>
        <w:t>图</w:t>
      </w:r>
      <w:r>
        <w:rPr>
          <w:color w:val="C00000"/>
        </w:rPr>
        <w:t>7</w:t>
      </w:r>
      <w:r>
        <w:rPr>
          <w:rFonts w:hint="eastAsia"/>
          <w:color w:val="C00000"/>
        </w:rPr>
        <w:t>-1</w:t>
      </w:r>
    </w:p>
    <w:p>
      <w:pPr>
        <w:spacing w:line="360" w:lineRule="auto"/>
        <w:ind w:right="210"/>
      </w:pPr>
    </w:p>
    <w:p>
      <w:pPr>
        <w:widowControl/>
        <w:jc w:val="left"/>
        <w:rPr>
          <w:rFonts w:ascii="黑体" w:hAnsi="黑体" w:eastAsia="黑体" w:cs="黑体"/>
          <w:b/>
          <w:bCs/>
          <w:sz w:val="28"/>
        </w:rPr>
      </w:pPr>
      <w:r>
        <w:rPr>
          <w:rFonts w:ascii="黑体" w:hAnsi="黑体" w:eastAsia="黑体" w:cs="黑体"/>
          <w:b/>
          <w:bCs/>
          <w:sz w:val="28"/>
        </w:rPr>
        <w:br w:type="page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27" w:name="_Toc18455"/>
      <w:r>
        <w:rPr>
          <w:rFonts w:ascii="黑体" w:hAnsi="黑体" w:eastAsia="黑体" w:cs="黑体"/>
          <w:b/>
          <w:bCs/>
          <w:kern w:val="2"/>
          <w:sz w:val="28"/>
          <w:szCs w:val="22"/>
        </w:rPr>
        <w:t>8</w:t>
      </w:r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.在线开标</w:t>
      </w:r>
      <w:bookmarkEnd w:id="27"/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28" w:name="_Toc18300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8.1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进入开标室</w:t>
      </w:r>
      <w:bookmarkEnd w:id="28"/>
    </w:p>
    <w:p>
      <w:pPr>
        <w:pStyle w:val="40"/>
        <w:rPr>
          <w:rFonts w:hint="default"/>
        </w:rPr>
      </w:pPr>
      <w:r>
        <w:t>到达开标时间，投标人点击网上开评标大厅进入开标室做好开标准备。如图</w:t>
      </w:r>
      <w:r>
        <w:rPr>
          <w:rFonts w:hint="default"/>
        </w:rPr>
        <w:t>8</w:t>
      </w:r>
      <w:r>
        <w:t>-1、</w:t>
      </w:r>
      <w:r>
        <w:rPr>
          <w:rFonts w:hint="default"/>
        </w:rPr>
        <w:t>8</w:t>
      </w:r>
      <w:r>
        <w:t>-2所示</w:t>
      </w:r>
    </w:p>
    <w:p>
      <w:r>
        <w:drawing>
          <wp:inline distT="0" distB="0" distL="114300" distR="114300">
            <wp:extent cx="5269230" cy="1875155"/>
            <wp:effectExtent l="9525" t="9525" r="17145" b="20320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75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/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-1</w:t>
      </w:r>
    </w:p>
    <w:p>
      <w:pPr>
        <w:spacing w:line="360" w:lineRule="auto"/>
        <w:ind w:right="210"/>
        <w:outlineLvl w:val="2"/>
        <w:rPr>
          <w:rFonts w:hint="eastAsia" w:ascii="黑体" w:hAnsi="黑体" w:eastAsia="黑体" w:cstheme="minorEastAsia"/>
          <w:b/>
          <w:bCs/>
          <w:kern w:val="0"/>
          <w:sz w:val="24"/>
          <w:szCs w:val="24"/>
          <w:lang w:val="en-US" w:eastAsia="zh-CN"/>
        </w:rPr>
      </w:pPr>
      <w:bookmarkStart w:id="29" w:name="_Toc4131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8.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  <w:lang w:val="en-US" w:eastAsia="zh-CN"/>
        </w:rPr>
        <w:t>2开标测试准备</w:t>
      </w:r>
      <w:bookmarkEnd w:id="29"/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开标准备环节，供应商需完成以下步骤：</w:t>
      </w:r>
    </w:p>
    <w:p>
      <w:pPr>
        <w:pStyle w:val="25"/>
        <w:spacing w:line="360" w:lineRule="auto"/>
        <w:ind w:left="0" w:leftChars="0" w:right="210" w:firstLine="480"/>
        <w:rPr>
          <w:rFonts w:hint="eastAsia"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将C</w:t>
      </w:r>
      <w:r>
        <w:rPr>
          <w:rFonts w:asciiTheme="minorEastAsia" w:hAnsiTheme="minorEastAsia" w:cstheme="minorEastAsia"/>
          <w:sz w:val="24"/>
          <w:szCs w:val="24"/>
        </w:rPr>
        <w:t>A</w:t>
      </w:r>
      <w:r>
        <w:rPr>
          <w:rFonts w:hint="eastAsia" w:asciiTheme="minorEastAsia" w:hAnsiTheme="minorEastAsia" w:cstheme="minorEastAsia"/>
          <w:sz w:val="24"/>
          <w:szCs w:val="24"/>
        </w:rPr>
        <w:t>证书插入电脑，并在线签章测试。（此环节是否操作不影响后续解密）</w:t>
      </w:r>
    </w:p>
    <w:p>
      <w:pPr>
        <w:pStyle w:val="25"/>
        <w:spacing w:line="360" w:lineRule="auto"/>
        <w:ind w:left="0" w:leftChars="0" w:right="210" w:firstLine="480"/>
        <w:rPr>
          <w:rFonts w:hint="eastAsia"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2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②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签章操作流程：点击签章-&gt;输入签章密码-&gt;选择签章类型（盖单章、骑缝章、批量盖章等）-拖动签章到所需位置后确定签章-保存签章。</w:t>
      </w:r>
    </w:p>
    <w:p>
      <w:pPr>
        <w:pStyle w:val="25"/>
        <w:spacing w:line="360" w:lineRule="auto"/>
        <w:ind w:left="0" w:leftChars="0" w:right="210" w:firstLine="480"/>
        <w:rPr>
          <w:rFonts w:hint="default" w:ascii="黑体" w:hAnsi="黑体" w:eastAsia="黑体" w:cstheme="minorEastAsia"/>
          <w:b/>
          <w:bCs/>
          <w:kern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以上流程</w:t>
      </w:r>
      <w:r>
        <w:rPr>
          <w:rFonts w:hint="eastAsia" w:asciiTheme="minorEastAsia" w:hAnsiTheme="minorEastAsia" w:cstheme="minorEastAsia"/>
          <w:sz w:val="24"/>
          <w:szCs w:val="24"/>
        </w:rPr>
        <w:t>如图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8-2</w:t>
      </w:r>
      <w:r>
        <w:rPr>
          <w:rFonts w:hint="eastAsia" w:asciiTheme="minorEastAsia" w:hAnsiTheme="minorEastAsia" w:cstheme="minorEastAsia"/>
          <w:sz w:val="24"/>
          <w:szCs w:val="24"/>
        </w:rPr>
        <w:t>、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8-3、8-4</w:t>
      </w:r>
      <w:r>
        <w:rPr>
          <w:rFonts w:hint="eastAsia" w:asciiTheme="minorEastAsia" w:hAnsiTheme="minorEastAsia" w:cstheme="minorEastAsia"/>
          <w:sz w:val="24"/>
          <w:szCs w:val="24"/>
        </w:rPr>
        <w:t>所示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。</w:t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b/>
          <w:bCs/>
        </w:rPr>
      </w:pPr>
      <w:r>
        <w:drawing>
          <wp:inline distT="0" distB="0" distL="114300" distR="114300">
            <wp:extent cx="5313680" cy="2448560"/>
            <wp:effectExtent l="0" t="0" r="1270" b="889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rcRect t="6753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244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/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-2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4365625" cy="2070100"/>
            <wp:effectExtent l="0" t="0" r="15875" b="635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6562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3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4392930" cy="2178050"/>
            <wp:effectExtent l="0" t="0" r="762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92930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 w:eastAsiaTheme="minorEastAsia"/>
          <w:color w:val="C00000"/>
          <w:lang w:val="en-US" w:eastAsia="zh-CN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4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/>
        </w:rPr>
      </w:pPr>
    </w:p>
    <w:p>
      <w:pPr>
        <w:widowControl/>
        <w:jc w:val="left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30" w:name="_Toc28826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8.2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在线解密</w:t>
      </w:r>
      <w:bookmarkEnd w:id="30"/>
    </w:p>
    <w:p>
      <w:pPr>
        <w:spacing w:line="360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由代理机构引导进入解密环节，供应商在解密时间结束前，完成投标文件解密，供应商需完成以下步骤：</w:t>
      </w:r>
    </w:p>
    <w:p>
      <w:pPr>
        <w:pStyle w:val="25"/>
        <w:spacing w:line="360" w:lineRule="auto"/>
        <w:ind w:left="0" w:leftChars="0" w:right="210" w:firstLine="48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点击“解密投标文件”-&gt;输入电子签章密码-&gt;查看开标一览表并完成签章</w:t>
      </w:r>
      <w:r>
        <w:rPr>
          <w:rFonts w:asciiTheme="minorEastAsia" w:hAnsiTheme="minorEastAsia" w:cstheme="minorEastAsia"/>
          <w:sz w:val="24"/>
          <w:szCs w:val="24"/>
        </w:rPr>
        <w:t>-&gt;</w:t>
      </w:r>
      <w:r>
        <w:rPr>
          <w:rFonts w:hint="eastAsia" w:asciiTheme="minorEastAsia" w:hAnsiTheme="minorEastAsia" w:cstheme="minorEastAsia"/>
          <w:sz w:val="24"/>
          <w:szCs w:val="24"/>
        </w:rPr>
        <w:t>完成投标文件解密。</w:t>
      </w:r>
    </w:p>
    <w:p>
      <w:pPr>
        <w:pStyle w:val="25"/>
        <w:spacing w:line="360" w:lineRule="auto"/>
        <w:ind w:left="0" w:leftChars="0" w:right="210" w:firstLine="480"/>
        <w:rPr>
          <w:rFonts w:hint="eastAsia" w:ascii="宋体" w:hAnsi="宋体" w:cs="宋体" w:eastAsiaTheme="minorEastAsia"/>
          <w:sz w:val="24"/>
          <w:szCs w:val="24"/>
          <w:lang w:eastAsia="zh-CN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2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②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解密成功后等待代理机构进入下一个环节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。</w:t>
      </w:r>
    </w:p>
    <w:p>
      <w:pPr>
        <w:pStyle w:val="25"/>
        <w:spacing w:line="360" w:lineRule="auto"/>
        <w:ind w:left="0" w:leftChars="0" w:right="210" w:firstLine="480"/>
        <w:jc w:val="left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特殊情况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</w:rPr>
        <w:t>若解密投标文件失败或者C</w:t>
      </w:r>
      <w:r>
        <w:rPr>
          <w:rFonts w:asciiTheme="minorEastAsia" w:hAnsiTheme="minorEastAsia" w:cstheme="minorEastAsia"/>
          <w:sz w:val="24"/>
          <w:szCs w:val="24"/>
        </w:rPr>
        <w:t>A</w:t>
      </w:r>
      <w:r>
        <w:rPr>
          <w:rFonts w:hint="eastAsia" w:asciiTheme="minorEastAsia" w:hAnsiTheme="minorEastAsia" w:cstheme="minorEastAsia"/>
          <w:sz w:val="24"/>
          <w:szCs w:val="24"/>
        </w:rPr>
        <w:t>未被系统检测到，请联系代理机构负责人，代理机构可以开通上传备份投标文件的通道，进行投标文件解密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主要以图8-9所示</w:t>
      </w:r>
      <w:r>
        <w:rPr>
          <w:rFonts w:hint="eastAsia" w:asciiTheme="minorEastAsia" w:hAnsiTheme="minorEastAsia" w:cstheme="minorEastAsia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</w:rPr>
        <w:t>以上流程如图</w:t>
      </w:r>
      <w:r>
        <w:rPr>
          <w:rFonts w:asciiTheme="minorEastAsia" w:hAnsiTheme="minorEastAsia" w:cstheme="minorEastAsia"/>
          <w:sz w:val="24"/>
          <w:szCs w:val="24"/>
        </w:rPr>
        <w:t>8</w:t>
      </w:r>
      <w:r>
        <w:rPr>
          <w:rFonts w:hint="eastAsia" w:asciiTheme="minorEastAsia" w:hAnsiTheme="minorEastAsia" w:cstheme="minorEastAsia"/>
          <w:sz w:val="24"/>
          <w:szCs w:val="24"/>
        </w:rPr>
        <w:t>-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 w:cstheme="minorEastAsia"/>
          <w:sz w:val="24"/>
          <w:szCs w:val="24"/>
        </w:rPr>
        <w:t>、</w:t>
      </w:r>
      <w:r>
        <w:rPr>
          <w:rFonts w:asciiTheme="minorEastAsia" w:hAnsiTheme="minorEastAsia" w:cstheme="minorEastAsia"/>
          <w:sz w:val="24"/>
          <w:szCs w:val="24"/>
        </w:rPr>
        <w:t>8</w:t>
      </w:r>
      <w:r>
        <w:rPr>
          <w:rFonts w:hint="eastAsia" w:asciiTheme="minorEastAsia" w:hAnsiTheme="minorEastAsia" w:cstheme="minorEastAsia"/>
          <w:sz w:val="24"/>
          <w:szCs w:val="24"/>
        </w:rPr>
        <w:t>-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 w:cstheme="minorEastAsia"/>
          <w:sz w:val="24"/>
          <w:szCs w:val="24"/>
        </w:rPr>
        <w:t>、</w:t>
      </w:r>
      <w:r>
        <w:rPr>
          <w:rFonts w:asciiTheme="minorEastAsia" w:hAnsiTheme="minorEastAsia" w:cstheme="minorEastAsia"/>
          <w:sz w:val="24"/>
          <w:szCs w:val="24"/>
        </w:rPr>
        <w:t>8-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7、8-8、8-9</w:t>
      </w:r>
      <w:r>
        <w:rPr>
          <w:rFonts w:hint="eastAsia" w:asciiTheme="minorEastAsia" w:hAnsiTheme="minorEastAsia" w:cstheme="minorEastAsia"/>
          <w:sz w:val="24"/>
          <w:szCs w:val="24"/>
        </w:rPr>
        <w:t>所示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。</w:t>
      </w:r>
    </w:p>
    <w:p>
      <w:pPr>
        <w:jc w:val="left"/>
      </w:pPr>
      <w:r>
        <w:drawing>
          <wp:inline distT="0" distB="0" distL="114300" distR="114300">
            <wp:extent cx="5266690" cy="2874645"/>
            <wp:effectExtent l="0" t="0" r="10160" b="1905"/>
            <wp:docPr id="40" name="图片 40" descr="供应商解密倒计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供应商解密倒计时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5</w:t>
      </w:r>
    </w:p>
    <w:p>
      <w:pPr>
        <w:jc w:val="left"/>
      </w:pPr>
      <w:r>
        <w:drawing>
          <wp:inline distT="0" distB="0" distL="114300" distR="114300">
            <wp:extent cx="5267960" cy="2635250"/>
            <wp:effectExtent l="0" t="0" r="8890" b="12700"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6</w:t>
      </w:r>
    </w:p>
    <w:p>
      <w:pPr>
        <w:jc w:val="left"/>
      </w:pPr>
      <w:r>
        <w:drawing>
          <wp:inline distT="0" distB="0" distL="0" distR="0">
            <wp:extent cx="5274310" cy="2610485"/>
            <wp:effectExtent l="0" t="0" r="2540" b="1841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/>
          <w:color w:val="C00000"/>
          <w:lang w:val="en-US" w:eastAsia="zh-CN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7</w:t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 w:eastAsiaTheme="minorEastAsia"/>
          <w:color w:val="C00000"/>
          <w:lang w:val="en-US" w:eastAsia="zh-CN"/>
        </w:rPr>
      </w:pPr>
      <w:r>
        <w:drawing>
          <wp:inline distT="0" distB="0" distL="114300" distR="114300">
            <wp:extent cx="5267960" cy="2756535"/>
            <wp:effectExtent l="0" t="0" r="8890" b="5715"/>
            <wp:docPr id="4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8</w:t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rFonts w:hint="eastAsia" w:ascii="黑体" w:hAnsi="黑体" w:eastAsiaTheme="minorEastAsia" w:cstheme="minorEastAsia"/>
          <w:b/>
          <w:bCs/>
          <w:kern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4785" cy="2402840"/>
            <wp:effectExtent l="0" t="0" r="12065" b="16510"/>
            <wp:docPr id="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</w:t>
      </w:r>
      <w:r>
        <w:rPr>
          <w:rFonts w:hint="eastAsia"/>
          <w:color w:val="C00000"/>
          <w:lang w:val="en-US" w:eastAsia="zh-CN"/>
        </w:rPr>
        <w:t>9</w:t>
      </w:r>
    </w:p>
    <w:p>
      <w:pPr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31" w:name="_Toc13091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8.3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确认唱标结果</w:t>
      </w:r>
      <w:bookmarkEnd w:id="31"/>
    </w:p>
    <w:p>
      <w:pPr>
        <w:pStyle w:val="25"/>
        <w:spacing w:line="360" w:lineRule="auto"/>
        <w:ind w:left="0" w:leftChars="0" w:right="210" w:firstLine="480"/>
        <w:jc w:val="left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解密完成后，代理机构发起系统唱标，系统自行生成开标一览汇总表，投标人点击确认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 w:cstheme="minorEastAsia"/>
          <w:sz w:val="24"/>
          <w:szCs w:val="24"/>
        </w:rPr>
        <w:t>唱标结果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 w:cstheme="minorEastAsia"/>
          <w:sz w:val="24"/>
          <w:szCs w:val="24"/>
        </w:rPr>
        <w:t>，投标人可在线查看开标一览表。如图</w:t>
      </w:r>
      <w:r>
        <w:rPr>
          <w:rFonts w:asciiTheme="minorEastAsia" w:hAnsiTheme="minorEastAsia" w:cstheme="minorEastAsia"/>
          <w:sz w:val="24"/>
          <w:szCs w:val="24"/>
        </w:rPr>
        <w:t>8</w:t>
      </w:r>
      <w:r>
        <w:rPr>
          <w:rFonts w:hint="eastAsia" w:asciiTheme="minorEastAsia" w:hAnsiTheme="minorEastAsia" w:cstheme="minorEastAsia"/>
          <w:sz w:val="24"/>
          <w:szCs w:val="24"/>
        </w:rPr>
        <w:t>-6所示。</w:t>
      </w:r>
    </w:p>
    <w:p>
      <w:pPr>
        <w:pStyle w:val="40"/>
        <w:ind w:firstLine="0" w:firstLineChars="0"/>
        <w:rPr>
          <w:rFonts w:hint="default" w:asciiTheme="minorEastAsia" w:hAnsiTheme="minorEastAsia" w:cstheme="minorEastAsia"/>
          <w:sz w:val="28"/>
        </w:rPr>
      </w:pPr>
      <w:r>
        <w:drawing>
          <wp:inline distT="0" distB="0" distL="0" distR="0">
            <wp:extent cx="5274310" cy="259588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rPr>
          <w:rFonts w:hint="eastAsia"/>
          <w:color w:val="C00000"/>
        </w:rPr>
        <w:t>图</w:t>
      </w:r>
      <w:r>
        <w:rPr>
          <w:color w:val="C00000"/>
        </w:rPr>
        <w:t>8</w:t>
      </w:r>
      <w:r>
        <w:rPr>
          <w:rFonts w:hint="eastAsia"/>
          <w:color w:val="C00000"/>
        </w:rPr>
        <w:t>-6</w:t>
      </w:r>
    </w:p>
    <w:bookmarkEnd w:id="0"/>
    <w:bookmarkEnd w:id="1"/>
    <w:bookmarkEnd w:id="2"/>
    <w:bookmarkEnd w:id="3"/>
    <w:bookmarkEnd w:id="5"/>
    <w:bookmarkEnd w:id="6"/>
    <w:bookmarkEnd w:id="7"/>
    <w:bookmarkEnd w:id="8"/>
    <w:bookmarkEnd w:id="9"/>
    <w:bookmarkEnd w:id="10"/>
    <w:p>
      <w:pPr>
        <w:widowControl/>
        <w:jc w:val="left"/>
        <w:rPr>
          <w:rFonts w:ascii="黑体" w:hAnsi="黑体" w:eastAsia="黑体" w:cs="黑体"/>
          <w:b/>
          <w:bCs/>
          <w:sz w:val="28"/>
        </w:rPr>
      </w:pPr>
      <w:r>
        <w:rPr>
          <w:rFonts w:ascii="黑体" w:hAnsi="黑体" w:eastAsia="黑体" w:cs="黑体"/>
          <w:b/>
          <w:bCs/>
          <w:sz w:val="28"/>
        </w:rPr>
        <w:br w:type="page"/>
      </w:r>
    </w:p>
    <w:p>
      <w:pPr>
        <w:pStyle w:val="52"/>
        <w:spacing w:beforeLines="0" w:afterLines="0"/>
        <w:jc w:val="left"/>
        <w:outlineLvl w:val="1"/>
        <w:rPr>
          <w:rFonts w:ascii="黑体" w:hAnsi="黑体" w:eastAsia="黑体" w:cs="黑体"/>
          <w:b/>
          <w:bCs/>
          <w:kern w:val="2"/>
          <w:sz w:val="28"/>
          <w:szCs w:val="22"/>
        </w:rPr>
      </w:pPr>
      <w:bookmarkStart w:id="32" w:name="_Toc17962"/>
      <w:r>
        <w:rPr>
          <w:rFonts w:ascii="黑体" w:hAnsi="黑体" w:eastAsia="黑体" w:cs="黑体"/>
          <w:b/>
          <w:bCs/>
          <w:kern w:val="2"/>
          <w:sz w:val="28"/>
          <w:szCs w:val="22"/>
        </w:rPr>
        <w:t>9</w:t>
      </w:r>
      <w:r>
        <w:rPr>
          <w:rFonts w:hint="eastAsia" w:ascii="黑体" w:hAnsi="黑体" w:eastAsia="黑体" w:cs="黑体"/>
          <w:b/>
          <w:bCs/>
          <w:kern w:val="2"/>
          <w:sz w:val="28"/>
          <w:szCs w:val="22"/>
        </w:rPr>
        <w:t>.开标完成</w:t>
      </w:r>
      <w:bookmarkEnd w:id="32"/>
    </w:p>
    <w:p>
      <w:pPr>
        <w:pStyle w:val="25"/>
        <w:spacing w:line="360" w:lineRule="auto"/>
        <w:ind w:left="0" w:leftChars="0" w:right="21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开标完成后，若该项目为竞争性磋商或谈判等，供应商按采购人或代理机构要求等待评审，比如查看抽签顺序、参与在线磋商、二次报价、澄清等操作。</w:t>
      </w:r>
    </w:p>
    <w:p>
      <w:pPr>
        <w:pStyle w:val="25"/>
        <w:spacing w:line="360" w:lineRule="auto"/>
        <w:ind w:left="0" w:leftChars="0" w:right="210" w:firstLine="480"/>
        <w:jc w:val="left"/>
        <w:rPr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如图</w:t>
      </w:r>
      <w:r>
        <w:rPr>
          <w:rFonts w:asciiTheme="minorEastAsia" w:hAnsiTheme="minorEastAsia" w:cstheme="minorEastAsia"/>
          <w:sz w:val="24"/>
          <w:szCs w:val="24"/>
        </w:rPr>
        <w:t>9</w:t>
      </w:r>
      <w:r>
        <w:rPr>
          <w:rFonts w:hint="eastAsia" w:asciiTheme="minorEastAsia" w:hAnsiTheme="minorEastAsia" w:cstheme="minorEastAsia"/>
          <w:sz w:val="24"/>
          <w:szCs w:val="24"/>
        </w:rPr>
        <w:t>-1、</w:t>
      </w:r>
      <w:r>
        <w:rPr>
          <w:rFonts w:asciiTheme="minorEastAsia" w:hAnsiTheme="minorEastAsia" w:cstheme="minorEastAsia"/>
          <w:sz w:val="24"/>
          <w:szCs w:val="24"/>
        </w:rPr>
        <w:t>9</w:t>
      </w:r>
      <w:r>
        <w:rPr>
          <w:rFonts w:hint="eastAsia" w:asciiTheme="minorEastAsia" w:hAnsiTheme="minorEastAsia" w:cstheme="minorEastAsia"/>
          <w:sz w:val="24"/>
          <w:szCs w:val="24"/>
        </w:rPr>
        <w:t>-2、</w:t>
      </w:r>
      <w:r>
        <w:rPr>
          <w:rFonts w:asciiTheme="minorEastAsia" w:hAnsiTheme="minorEastAsia" w:cstheme="minorEastAsia"/>
          <w:sz w:val="24"/>
          <w:szCs w:val="24"/>
        </w:rPr>
        <w:t>9</w:t>
      </w:r>
      <w:r>
        <w:rPr>
          <w:rFonts w:hint="eastAsia" w:asciiTheme="minorEastAsia" w:hAnsiTheme="minorEastAsia" w:cstheme="minorEastAsia"/>
          <w:sz w:val="24"/>
          <w:szCs w:val="24"/>
        </w:rPr>
        <w:t>-3、</w:t>
      </w:r>
      <w:r>
        <w:rPr>
          <w:rFonts w:asciiTheme="minorEastAsia" w:hAnsiTheme="minorEastAsia" w:cstheme="minorEastAsia"/>
          <w:sz w:val="24"/>
          <w:szCs w:val="24"/>
        </w:rPr>
        <w:t>9</w:t>
      </w:r>
      <w:r>
        <w:rPr>
          <w:rFonts w:hint="eastAsia" w:asciiTheme="minorEastAsia" w:hAnsiTheme="minorEastAsia" w:cstheme="minorEastAsia"/>
          <w:sz w:val="24"/>
          <w:szCs w:val="24"/>
        </w:rPr>
        <w:t>-4、9</w:t>
      </w:r>
      <w:r>
        <w:rPr>
          <w:rFonts w:asciiTheme="minorEastAsia" w:hAnsiTheme="minorEastAsia" w:cstheme="minorEastAsia"/>
          <w:sz w:val="24"/>
          <w:szCs w:val="24"/>
        </w:rPr>
        <w:t>-5</w:t>
      </w:r>
      <w:r>
        <w:rPr>
          <w:rFonts w:hint="eastAsia" w:asciiTheme="minorEastAsia" w:hAnsiTheme="minorEastAsia" w:cstheme="minorEastAsia"/>
          <w:sz w:val="24"/>
          <w:szCs w:val="24"/>
        </w:rPr>
        <w:t>、9</w:t>
      </w:r>
      <w:r>
        <w:rPr>
          <w:rFonts w:asciiTheme="minorEastAsia" w:hAnsiTheme="minorEastAsia" w:cstheme="minorEastAsia"/>
          <w:sz w:val="24"/>
          <w:szCs w:val="24"/>
        </w:rPr>
        <w:t>-6</w:t>
      </w:r>
      <w:r>
        <w:rPr>
          <w:rFonts w:hint="eastAsia" w:asciiTheme="minorEastAsia" w:hAnsiTheme="minorEastAsia" w:cstheme="minorEastAsia"/>
          <w:sz w:val="24"/>
          <w:szCs w:val="24"/>
        </w:rPr>
        <w:t>所示。</w:t>
      </w:r>
    </w:p>
    <w:p>
      <w:pPr>
        <w:pStyle w:val="40"/>
        <w:ind w:firstLine="0" w:firstLineChars="0"/>
        <w:rPr>
          <w:rFonts w:hint="default"/>
        </w:rPr>
      </w:pPr>
      <w:r>
        <w:drawing>
          <wp:inline distT="0" distB="0" distL="0" distR="0">
            <wp:extent cx="5274310" cy="2600960"/>
            <wp:effectExtent l="0" t="0" r="254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9</w:t>
      </w:r>
      <w:r>
        <w:rPr>
          <w:rFonts w:hint="eastAsia"/>
          <w:color w:val="C00000"/>
        </w:rPr>
        <w:t>-1</w:t>
      </w:r>
    </w:p>
    <w:p>
      <w:pPr>
        <w:widowControl/>
        <w:jc w:val="left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33" w:name="_Toc10716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9.1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问题澄清</w:t>
      </w:r>
      <w:bookmarkEnd w:id="33"/>
    </w:p>
    <w:p>
      <w:pPr>
        <w:pStyle w:val="25"/>
        <w:spacing w:line="360" w:lineRule="auto"/>
        <w:ind w:left="0" w:leftChars="0" w:right="21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由专家发起“信息澄清”，专家会要求供应商回答其提出的问题和文件展示等要求。</w:t>
      </w:r>
    </w:p>
    <w:p>
      <w:pPr>
        <w:pStyle w:val="25"/>
        <w:spacing w:line="360" w:lineRule="auto"/>
        <w:ind w:left="0" w:leftChars="0" w:right="21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专家发起信息澄清后，供应商就会收到短信通知，供应商根据澄清要求完成以下步骤：</w:t>
      </w:r>
    </w:p>
    <w:p>
      <w:pPr>
        <w:pStyle w:val="25"/>
        <w:spacing w:line="360" w:lineRule="auto"/>
        <w:ind w:left="0" w:leftChars="0" w:right="210" w:firstLine="480"/>
        <w:jc w:val="left"/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</w:instrText>
      </w:r>
      <w:r>
        <w:rPr>
          <w:rFonts w:hint="eastAsia"/>
          <w:sz w:val="24"/>
          <w:szCs w:val="24"/>
        </w:rPr>
        <w:instrText xml:space="preserve">= 1 \* GB3</w:instrText>
      </w:r>
      <w:r>
        <w:rPr>
          <w:sz w:val="24"/>
          <w:szCs w:val="24"/>
        </w:rPr>
        <w:instrText xml:space="preserve">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①</w:t>
      </w:r>
      <w:r>
        <w:rPr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录入澄清内容，并将相关的文件跟澄清内容一并提交。</w:t>
      </w:r>
    </w:p>
    <w:p>
      <w:pPr>
        <w:pStyle w:val="25"/>
        <w:spacing w:line="360" w:lineRule="auto"/>
        <w:ind w:left="0" w:leftChars="0" w:right="210" w:firstLine="480"/>
        <w:jc w:val="left"/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</w:instrText>
      </w:r>
      <w:r>
        <w:rPr>
          <w:rFonts w:hint="eastAsia"/>
          <w:sz w:val="24"/>
          <w:szCs w:val="24"/>
        </w:rPr>
        <w:instrText xml:space="preserve">= 2 \* GB3</w:instrText>
      </w:r>
      <w:r>
        <w:rPr>
          <w:sz w:val="24"/>
          <w:szCs w:val="24"/>
        </w:rPr>
        <w:instrText xml:space="preserve">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②</w:t>
      </w:r>
      <w:r>
        <w:rPr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以上步骤做完后，就点击“提交澄清”。专家界面就会显示供应商的提交内容，并做出相应的答复。</w:t>
      </w:r>
    </w:p>
    <w:p>
      <w:pPr>
        <w:tabs>
          <w:tab w:val="left" w:pos="3545"/>
        </w:tabs>
        <w:spacing w:line="36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以上流程如图</w:t>
      </w:r>
      <w:r>
        <w:rPr>
          <w:rFonts w:asciiTheme="minorEastAsia" w:hAnsiTheme="minorEastAsia"/>
          <w:sz w:val="24"/>
          <w:szCs w:val="24"/>
        </w:rPr>
        <w:t>9-2</w:t>
      </w:r>
      <w:r>
        <w:rPr>
          <w:rFonts w:hint="eastAsia" w:asciiTheme="minorEastAsia" w:hAnsiTheme="minorEastAsia"/>
          <w:sz w:val="24"/>
          <w:szCs w:val="24"/>
        </w:rPr>
        <w:t>。</w:t>
      </w:r>
    </w:p>
    <w:p>
      <w:pPr>
        <w:pStyle w:val="40"/>
        <w:ind w:firstLine="0" w:firstLineChars="0"/>
        <w:rPr>
          <w:rFonts w:hint="default" w:ascii="黑体" w:hAnsi="黑体" w:eastAsia="黑体" w:cstheme="minorEastAsia"/>
          <w:b/>
          <w:bCs/>
          <w:kern w:val="0"/>
          <w:szCs w:val="24"/>
        </w:rPr>
      </w:pPr>
      <w:r>
        <w:drawing>
          <wp:inline distT="0" distB="0" distL="114300" distR="114300">
            <wp:extent cx="5262245" cy="2521585"/>
            <wp:effectExtent l="0" t="0" r="14605" b="1206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hAnsi="黑体" w:eastAsia="黑体" w:cstheme="minorEastAsia"/>
          <w:b/>
          <w:bCs/>
          <w:kern w:val="0"/>
          <w:szCs w:val="24"/>
        </w:rPr>
        <w:t xml:space="preserve"> </w:t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9</w:t>
      </w:r>
      <w:r>
        <w:rPr>
          <w:rFonts w:hint="eastAsia"/>
          <w:color w:val="C00000"/>
        </w:rPr>
        <w:t>-2</w:t>
      </w:r>
    </w:p>
    <w:p>
      <w:pPr>
        <w:widowControl/>
        <w:jc w:val="left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34" w:name="_Toc25189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9.2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供应商查看抽签</w:t>
      </w:r>
      <w:bookmarkEnd w:id="34"/>
    </w:p>
    <w:p>
      <w:pPr>
        <w:pStyle w:val="25"/>
        <w:spacing w:line="360" w:lineRule="auto"/>
        <w:ind w:left="0" w:leftChars="0" w:right="21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专家通过后台抽签，供应商可在开标大厅界面查看抽签顺序，并按顺序参与后续磋商交流环节。</w:t>
      </w:r>
    </w:p>
    <w:p>
      <w:pPr>
        <w:pStyle w:val="25"/>
        <w:spacing w:line="360" w:lineRule="auto"/>
        <w:ind w:left="0" w:leftChars="0" w:right="21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该流程如图</w:t>
      </w:r>
      <w:r>
        <w:rPr>
          <w:sz w:val="24"/>
          <w:szCs w:val="24"/>
        </w:rPr>
        <w:t>9-3</w:t>
      </w:r>
      <w:r>
        <w:rPr>
          <w:rFonts w:hint="eastAsia"/>
          <w:sz w:val="24"/>
          <w:szCs w:val="24"/>
        </w:rPr>
        <w:t>所示。</w:t>
      </w:r>
    </w:p>
    <w:p>
      <w:pPr>
        <w:pStyle w:val="25"/>
        <w:spacing w:line="360" w:lineRule="auto"/>
        <w:ind w:left="0" w:leftChars="0" w:right="210" w:firstLine="0" w:firstLineChars="0"/>
      </w:pPr>
      <w:r>
        <w:drawing>
          <wp:inline distT="0" distB="0" distL="114300" distR="114300">
            <wp:extent cx="5266055" cy="2424430"/>
            <wp:effectExtent l="0" t="0" r="10795" b="13970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color w:val="C00000"/>
        </w:rPr>
      </w:pPr>
      <w:r>
        <w:rPr>
          <w:rFonts w:hint="eastAsia"/>
          <w:color w:val="C00000"/>
        </w:rPr>
        <w:t>图</w:t>
      </w:r>
      <w:r>
        <w:rPr>
          <w:color w:val="C00000"/>
        </w:rPr>
        <w:t>9</w:t>
      </w:r>
      <w:r>
        <w:rPr>
          <w:rFonts w:hint="eastAsia"/>
          <w:color w:val="C00000"/>
        </w:rPr>
        <w:t>-3</w:t>
      </w:r>
    </w:p>
    <w:p>
      <w:pPr>
        <w:widowControl/>
        <w:jc w:val="left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br w:type="page"/>
      </w:r>
    </w:p>
    <w:p>
      <w:pPr>
        <w:spacing w:line="360" w:lineRule="auto"/>
        <w:ind w:right="210"/>
        <w:outlineLvl w:val="2"/>
        <w:rPr>
          <w:rFonts w:ascii="黑体" w:hAnsi="黑体" w:eastAsia="黑体" w:cstheme="minorEastAsia"/>
          <w:b/>
          <w:bCs/>
          <w:kern w:val="0"/>
          <w:sz w:val="24"/>
          <w:szCs w:val="24"/>
        </w:rPr>
      </w:pPr>
      <w:bookmarkStart w:id="35" w:name="_Toc8221"/>
      <w:r>
        <w:rPr>
          <w:rFonts w:ascii="黑体" w:hAnsi="黑体" w:eastAsia="黑体" w:cstheme="minorEastAsia"/>
          <w:b/>
          <w:bCs/>
          <w:kern w:val="0"/>
          <w:sz w:val="24"/>
          <w:szCs w:val="24"/>
        </w:rPr>
        <w:t>9.3</w:t>
      </w:r>
      <w:r>
        <w:rPr>
          <w:rFonts w:hint="eastAsia" w:ascii="黑体" w:hAnsi="黑体" w:eastAsia="黑体" w:cstheme="minorEastAsia"/>
          <w:b/>
          <w:bCs/>
          <w:kern w:val="0"/>
          <w:sz w:val="24"/>
          <w:szCs w:val="24"/>
        </w:rPr>
        <w:t>供应商二次报价</w:t>
      </w:r>
      <w:bookmarkEnd w:id="35"/>
    </w:p>
    <w:p>
      <w:pPr>
        <w:spacing w:line="360" w:lineRule="auto"/>
        <w:ind w:right="210" w:rightChars="100" w:firstLine="480" w:firstLineChars="20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若需要供应商二次报价，系统界面会自动提示，供应商完成以下步骤：</w:t>
      </w:r>
    </w:p>
    <w:p>
      <w:pPr>
        <w:spacing w:line="360" w:lineRule="auto"/>
        <w:ind w:right="210" w:rightChars="100" w:firstLine="480" w:firstLineChars="20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1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①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点击“二次报价”，进入二次报价界面。</w:t>
      </w:r>
    </w:p>
    <w:p>
      <w:pPr>
        <w:spacing w:line="360" w:lineRule="auto"/>
        <w:ind w:right="210" w:rightChars="100" w:firstLine="480" w:firstLineChars="20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2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②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在“本轮报价”里输入第二次报价的金额。</w:t>
      </w:r>
    </w:p>
    <w:p>
      <w:pPr>
        <w:spacing w:line="360" w:lineRule="auto"/>
        <w:ind w:right="210" w:rightChars="100" w:firstLine="480" w:firstLineChars="200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/>
          <w:sz w:val="24"/>
          <w:szCs w:val="24"/>
        </w:rPr>
        <w:fldChar w:fldCharType="begin"/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= 3 \* GB3</w:instrText>
      </w:r>
      <w:r>
        <w:rPr>
          <w:rFonts w:asciiTheme="minorEastAsia" w:hAnsiTheme="minorEastAsia" w:cstheme="minorEastAsia"/>
          <w:sz w:val="24"/>
          <w:szCs w:val="24"/>
        </w:rPr>
        <w:instrText xml:space="preserve"> </w:instrText>
      </w:r>
      <w:r>
        <w:rPr>
          <w:rFonts w:asciiTheme="minorEastAsia" w:hAnsiTheme="minorEastAsia" w:cstheme="minorEastAsia"/>
          <w:sz w:val="24"/>
          <w:szCs w:val="24"/>
        </w:rPr>
        <w:fldChar w:fldCharType="separate"/>
      </w:r>
      <w:r>
        <w:rPr>
          <w:rFonts w:hint="eastAsia" w:asciiTheme="minorEastAsia" w:hAnsiTheme="minorEastAsia" w:cstheme="minorEastAsia"/>
          <w:sz w:val="24"/>
          <w:szCs w:val="24"/>
        </w:rPr>
        <w:t>③</w:t>
      </w:r>
      <w:r>
        <w:rPr>
          <w:rFonts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完成报价表签章，然后提交报价，二次报价就操作成功了。</w:t>
      </w:r>
    </w:p>
    <w:p>
      <w:pPr>
        <w:spacing w:line="360" w:lineRule="auto"/>
        <w:ind w:right="210" w:rightChars="100" w:firstLine="480" w:firstLineChars="200"/>
        <w:rPr>
          <w:rFonts w:hint="eastAsia"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特殊情况：</w:t>
      </w:r>
    </w:p>
    <w:p>
      <w:pPr>
        <w:spacing w:line="360" w:lineRule="auto"/>
        <w:ind w:right="210" w:rightChars="100" w:firstLine="480" w:firstLineChars="200"/>
        <w:rPr>
          <w:rFonts w:hint="eastAsia"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fldChar w:fldCharType="begin"/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 = 1 \* GB3 \* MERGEFORMAT </w:instrText>
      </w:r>
      <w:r>
        <w:rPr>
          <w:rFonts w:hint="eastAsia" w:asciiTheme="minorEastAsia" w:hAnsiTheme="minorEastAsia" w:cstheme="minorEastAsia"/>
          <w:sz w:val="24"/>
          <w:szCs w:val="24"/>
        </w:rPr>
        <w:fldChar w:fldCharType="separate"/>
      </w:r>
      <w:r>
        <w:t>①</w:t>
      </w:r>
      <w:r>
        <w:rPr>
          <w:rFonts w:hint="eastAsia"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</w:rPr>
        <w:t>若二次报价时间中，供应商未报价也未提交，则使用最后一次报价为本次报价。</w:t>
      </w:r>
    </w:p>
    <w:p>
      <w:pPr>
        <w:spacing w:line="360" w:lineRule="auto"/>
        <w:ind w:right="210" w:rightChars="100" w:firstLine="480" w:firstLineChars="200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</w:rPr>
        <w:fldChar w:fldCharType="begin"/>
      </w:r>
      <w:r>
        <w:rPr>
          <w:rFonts w:hint="eastAsia" w:asciiTheme="minorEastAsia" w:hAnsiTheme="minorEastAsia" w:cstheme="minorEastAsia"/>
          <w:sz w:val="24"/>
          <w:szCs w:val="24"/>
        </w:rPr>
        <w:instrText xml:space="preserve"> = 2 \* GB3 \* MERGEFORMAT </w:instrText>
      </w:r>
      <w:r>
        <w:rPr>
          <w:rFonts w:hint="eastAsia" w:asciiTheme="minorEastAsia" w:hAnsiTheme="minorEastAsia" w:cstheme="minorEastAsia"/>
          <w:sz w:val="24"/>
          <w:szCs w:val="24"/>
        </w:rPr>
        <w:fldChar w:fldCharType="separate"/>
      </w:r>
      <w:r>
        <w:t>②</w:t>
      </w:r>
      <w:r>
        <w:rPr>
          <w:rFonts w:hint="eastAsia" w:asciiTheme="minorEastAsia" w:hAnsiTheme="minorEastAsia" w:cs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如果供应商不想参与投标项目了，可以点击“放弃报价”按钮，供应商可以退出该投标项目。</w:t>
      </w:r>
    </w:p>
    <w:p>
      <w:pPr>
        <w:spacing w:line="360" w:lineRule="auto"/>
        <w:ind w:right="210" w:rightChars="100" w:firstLine="480" w:firstLineChars="20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以上流程如图9</w:t>
      </w:r>
      <w:r>
        <w:rPr>
          <w:rFonts w:asciiTheme="minorEastAsia" w:hAnsiTheme="minorEastAsia" w:cstheme="minorEastAsia"/>
          <w:sz w:val="24"/>
          <w:szCs w:val="24"/>
        </w:rPr>
        <w:t>-4</w:t>
      </w:r>
      <w:r>
        <w:rPr>
          <w:rFonts w:hint="eastAsia" w:asciiTheme="minorEastAsia" w:hAnsiTheme="minorEastAsia" w:cstheme="minorEastAsia"/>
          <w:sz w:val="24"/>
          <w:szCs w:val="24"/>
        </w:rPr>
        <w:t>、9</w:t>
      </w:r>
      <w:r>
        <w:rPr>
          <w:rFonts w:asciiTheme="minorEastAsia" w:hAnsiTheme="minorEastAsia" w:cstheme="minorEastAsia"/>
          <w:sz w:val="24"/>
          <w:szCs w:val="24"/>
        </w:rPr>
        <w:t>-5</w:t>
      </w:r>
      <w:r>
        <w:rPr>
          <w:rFonts w:hint="eastAsia" w:asciiTheme="minorEastAsia" w:hAnsiTheme="minorEastAsia" w:cstheme="minorEastAsia"/>
          <w:sz w:val="24"/>
          <w:szCs w:val="24"/>
        </w:rPr>
        <w:t>、9</w:t>
      </w:r>
      <w:r>
        <w:rPr>
          <w:rFonts w:asciiTheme="minorEastAsia" w:hAnsiTheme="minorEastAsia" w:cstheme="minorEastAsia"/>
          <w:sz w:val="24"/>
          <w:szCs w:val="24"/>
        </w:rPr>
        <w:t>-6</w:t>
      </w:r>
      <w:r>
        <w:rPr>
          <w:rFonts w:hint="eastAsia" w:asciiTheme="minorEastAsia" w:hAnsiTheme="minorEastAsia" w:cstheme="minorEastAsia"/>
          <w:sz w:val="24"/>
          <w:szCs w:val="24"/>
        </w:rPr>
        <w:t>所示。</w:t>
      </w:r>
    </w:p>
    <w:p>
      <w:pPr>
        <w:pStyle w:val="25"/>
        <w:spacing w:line="360" w:lineRule="auto"/>
        <w:ind w:left="0" w:leftChars="0" w:right="210" w:firstLine="0" w:firstLineChars="0"/>
        <w:jc w:val="center"/>
        <w:rPr>
          <w:color w:val="C00000"/>
        </w:rPr>
      </w:pPr>
      <w:r>
        <w:drawing>
          <wp:inline distT="0" distB="0" distL="0" distR="0">
            <wp:extent cx="5274310" cy="259270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C00000"/>
        </w:rPr>
        <w:t>图</w:t>
      </w:r>
      <w:r>
        <w:rPr>
          <w:color w:val="C00000"/>
        </w:rPr>
        <w:t>9</w:t>
      </w:r>
      <w:r>
        <w:rPr>
          <w:rFonts w:hint="eastAsia"/>
          <w:color w:val="C00000"/>
        </w:rPr>
        <w:t>-4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5262880" cy="2694940"/>
            <wp:effectExtent l="0" t="0" r="13970" b="10160"/>
            <wp:docPr id="4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C00000"/>
        </w:rPr>
        <w:t>图</w:t>
      </w:r>
      <w:r>
        <w:rPr>
          <w:color w:val="C00000"/>
        </w:rPr>
        <w:t>9</w:t>
      </w:r>
      <w:r>
        <w:rPr>
          <w:rFonts w:hint="eastAsia"/>
          <w:color w:val="C00000"/>
        </w:rPr>
        <w:t>-</w:t>
      </w:r>
      <w:r>
        <w:rPr>
          <w:color w:val="C00000"/>
        </w:rPr>
        <w:t>5</w:t>
      </w:r>
    </w:p>
    <w:p>
      <w:pPr>
        <w:pStyle w:val="25"/>
        <w:spacing w:line="360" w:lineRule="auto"/>
        <w:ind w:left="0" w:leftChars="0" w:right="210" w:firstLine="0" w:firstLineChars="0"/>
        <w:jc w:val="center"/>
      </w:pPr>
      <w:r>
        <w:drawing>
          <wp:inline distT="0" distB="0" distL="114300" distR="114300">
            <wp:extent cx="5267960" cy="2532380"/>
            <wp:effectExtent l="0" t="0" r="8890" b="1270"/>
            <wp:docPr id="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C00000"/>
        </w:rPr>
        <w:t>图</w:t>
      </w:r>
      <w:r>
        <w:rPr>
          <w:color w:val="C00000"/>
        </w:rPr>
        <w:t>9</w:t>
      </w:r>
      <w:r>
        <w:rPr>
          <w:rFonts w:hint="eastAsia"/>
          <w:color w:val="C00000"/>
        </w:rPr>
        <w:t>-</w:t>
      </w:r>
      <w:r>
        <w:rPr>
          <w:color w:val="C00000"/>
        </w:rPr>
        <w:t>6</w:t>
      </w:r>
    </w:p>
    <w:sectPr>
      <w:footerReference r:id="rId4" w:type="first"/>
      <w:footerReference r:id="rId3" w:type="default"/>
      <w:pgSz w:w="11906" w:h="16838"/>
      <w:pgMar w:top="1440" w:right="1800" w:bottom="1440" w:left="1800" w:header="851" w:footer="992" w:gutter="0"/>
      <w:pgNumType w:start="1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1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VhjD8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qeUaKZQ8Mv3b5cf&#10;vy4/v5JplKexfo6onUVcaN+aFk0znHscRtZt6VT8gg+BH+Ker+KKNhAeL82ms9kYLg7fsAF+9njd&#10;Oh/eCaNINHLqUL0kKjttfehCh5CYTZtNLWWqoNSkyenN6zfjdOHqAbjUyBFJdI+NVmj3bc9sb4oz&#10;iDnTdYa3fFMj+Zb58MAcWgEPxrCEeyylNEhieouSyrgv/zqP8agQvJQ0aK2cakwSJfK9RuUAGAbD&#10;DcZ+MPRR3Rn06gRDaHkyccEFOZilM+ozJmgVc8DFNEemnIbBvAtde2MCuVitUhB6zbKw1TvLI3QU&#10;z9vVMUDApGsUpVOi1wrdlirTT0Zs5z/3Kerxb7D8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AFYYw/KwIAAFU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1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1E5634"/>
    <w:multiLevelType w:val="multilevel"/>
    <w:tmpl w:val="061E5634"/>
    <w:lvl w:ilvl="0" w:tentative="0">
      <w:start w:val="1"/>
      <w:numFmt w:val="chineseCountingThousand"/>
      <w:suff w:val="space"/>
      <w:lvlText w:val="第%1章"/>
      <w:lvlJc w:val="left"/>
      <w:pPr>
        <w:ind w:left="0" w:firstLine="0"/>
      </w:pPr>
      <w:rPr>
        <w:rFonts w:hint="eastAsia"/>
        <w:lang w:val="en-US"/>
      </w:rPr>
    </w:lvl>
    <w:lvl w:ilvl="1" w:tentative="0">
      <w:start w:val="1"/>
      <w:numFmt w:val="decimal"/>
      <w:pStyle w:val="54"/>
      <w:isLgl/>
      <w:suff w:val="space"/>
      <w:lvlText w:val="%1.%2"/>
      <w:lvlJc w:val="left"/>
      <w:pPr>
        <w:ind w:left="0" w:firstLine="0"/>
      </w:pPr>
      <w:rPr>
        <w:rFonts w:hint="default" w:ascii="Times New Roman" w:hAnsi="Times New Roman" w:cs="Times New Roman"/>
        <w:b/>
        <w:bCs/>
        <w:i w:val="0"/>
        <w:iCs w:val="0"/>
        <w:sz w:val="28"/>
        <w:szCs w:val="28"/>
      </w:rPr>
    </w:lvl>
    <w:lvl w:ilvl="2" w:tentative="0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hint="eastAsia"/>
      </w:rPr>
    </w:lvl>
    <w:lvl w:ilvl="3" w:tentative="0">
      <w:start w:val="1"/>
      <w:numFmt w:val="decimal"/>
      <w:isLgl/>
      <w:suff w:val="space"/>
      <w:lvlText w:val="%1.%2.%3.%4"/>
      <w:lvlJc w:val="left"/>
      <w:pPr>
        <w:ind w:left="0" w:firstLine="0"/>
      </w:pPr>
      <w:rPr>
        <w:rFonts w:hint="default" w:ascii="Times New Roman" w:hAnsi="Times New Roman" w:eastAsia="宋体" w:cs="Times New Roman"/>
        <w:b/>
        <w:bCs/>
        <w:i w:val="0"/>
        <w:iCs w:val="0"/>
        <w:sz w:val="28"/>
        <w:szCs w:val="28"/>
      </w:rPr>
    </w:lvl>
    <w:lvl w:ilvl="4" w:tentative="0">
      <w:start w:val="1"/>
      <w:numFmt w:val="decimal"/>
      <w:isLgl/>
      <w:suff w:val="space"/>
      <w:lvlText w:val="%1.%2.%3.%4.%5"/>
      <w:lvlJc w:val="left"/>
      <w:pPr>
        <w:ind w:left="0" w:firstLine="0"/>
      </w:pPr>
      <w:rPr>
        <w:rFonts w:hint="default" w:ascii="Times New Roman" w:hAnsi="Times New Roman" w:eastAsia="宋体" w:cs="Times New Roman"/>
        <w:b/>
        <w:bCs/>
        <w:i w:val="0"/>
        <w:iCs w:val="0"/>
        <w:sz w:val="28"/>
        <w:szCs w:val="28"/>
      </w:rPr>
    </w:lvl>
    <w:lvl w:ilvl="5" w:tentative="0">
      <w:start w:val="1"/>
      <w:numFmt w:val="decimal"/>
      <w:lvlText w:val="%1.%2.%3.%4.%5.%6"/>
      <w:lvlJc w:val="left"/>
      <w:pPr>
        <w:tabs>
          <w:tab w:val="left" w:pos="732"/>
        </w:tabs>
        <w:ind w:left="0" w:firstLine="0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876"/>
        </w:tabs>
        <w:ind w:left="0" w:firstLine="0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020"/>
        </w:tabs>
        <w:ind w:left="0" w:firstLine="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164"/>
        </w:tabs>
        <w:ind w:left="0" w:firstLine="0"/>
      </w:pPr>
      <w:rPr>
        <w:rFonts w:hint="eastAsia"/>
      </w:rPr>
    </w:lvl>
  </w:abstractNum>
  <w:abstractNum w:abstractNumId="1">
    <w:nsid w:val="3E5B72AD"/>
    <w:multiLevelType w:val="multilevel"/>
    <w:tmpl w:val="3E5B72AD"/>
    <w:lvl w:ilvl="0" w:tentative="0">
      <w:start w:val="1"/>
      <w:numFmt w:val="decimal"/>
      <w:pStyle w:val="2"/>
      <w:isLgl/>
      <w:suff w:val="space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1" w:tentative="0">
      <w:start w:val="1"/>
      <w:numFmt w:val="decimal"/>
      <w:pStyle w:val="3"/>
      <w:isLgl/>
      <w:suff w:val="space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2" w:tentative="0">
      <w:start w:val="1"/>
      <w:numFmt w:val="decimal"/>
      <w:pStyle w:val="4"/>
      <w:isLgl/>
      <w:suff w:val="space"/>
      <w:lvlText w:val="%1.%2.%3."/>
      <w:lvlJc w:val="left"/>
      <w:pPr>
        <w:ind w:left="0" w:firstLine="0"/>
      </w:pPr>
      <w:rPr>
        <w:rFonts w:hint="eastAsia"/>
      </w:rPr>
    </w:lvl>
    <w:lvl w:ilvl="3" w:tentative="0">
      <w:start w:val="1"/>
      <w:numFmt w:val="decimal"/>
      <w:pStyle w:val="5"/>
      <w:isLgl/>
      <w:suff w:val="space"/>
      <w:lvlText w:val="%1.%2.%3.%4."/>
      <w:lvlJc w:val="left"/>
      <w:pPr>
        <w:ind w:left="568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4" w:tentative="0">
      <w:start w:val="1"/>
      <w:numFmt w:val="decimal"/>
      <w:pStyle w:val="6"/>
      <w:isLgl/>
      <w:suff w:val="space"/>
      <w:lvlText w:val="%1.%2.%3.%4.%5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5" w:tentative="0">
      <w:start w:val="1"/>
      <w:numFmt w:val="decimal"/>
      <w:pStyle w:val="7"/>
      <w:isLgl/>
      <w:suff w:val="space"/>
      <w:lvlText w:val="%1.%2.%3.%4.%5.%6.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NhODNjOTdkNmRlNzdjYzUyNjE5NTExMmM5ZWMwN2IifQ=="/>
  </w:docVars>
  <w:rsids>
    <w:rsidRoot w:val="00DD0646"/>
    <w:rsid w:val="00001B95"/>
    <w:rsid w:val="00002153"/>
    <w:rsid w:val="00003AA3"/>
    <w:rsid w:val="00004BC0"/>
    <w:rsid w:val="000065D9"/>
    <w:rsid w:val="00013484"/>
    <w:rsid w:val="000138BD"/>
    <w:rsid w:val="00013B3E"/>
    <w:rsid w:val="00017317"/>
    <w:rsid w:val="00021C52"/>
    <w:rsid w:val="00021E71"/>
    <w:rsid w:val="000253B6"/>
    <w:rsid w:val="0004202F"/>
    <w:rsid w:val="00045DB1"/>
    <w:rsid w:val="000538F7"/>
    <w:rsid w:val="000570F1"/>
    <w:rsid w:val="0005715D"/>
    <w:rsid w:val="00060843"/>
    <w:rsid w:val="000722B7"/>
    <w:rsid w:val="0007284A"/>
    <w:rsid w:val="0008690C"/>
    <w:rsid w:val="00092B53"/>
    <w:rsid w:val="000931FF"/>
    <w:rsid w:val="000A1729"/>
    <w:rsid w:val="000B1068"/>
    <w:rsid w:val="000B2EC9"/>
    <w:rsid w:val="000B7414"/>
    <w:rsid w:val="000C22CA"/>
    <w:rsid w:val="000D3BFE"/>
    <w:rsid w:val="000E2DF5"/>
    <w:rsid w:val="000E3FBE"/>
    <w:rsid w:val="000E401B"/>
    <w:rsid w:val="000E7AB0"/>
    <w:rsid w:val="000F2A43"/>
    <w:rsid w:val="000F6734"/>
    <w:rsid w:val="000F6C38"/>
    <w:rsid w:val="00102313"/>
    <w:rsid w:val="00106CA3"/>
    <w:rsid w:val="00115458"/>
    <w:rsid w:val="00116478"/>
    <w:rsid w:val="00121BD0"/>
    <w:rsid w:val="00122D0B"/>
    <w:rsid w:val="001326B8"/>
    <w:rsid w:val="00133D00"/>
    <w:rsid w:val="00160C57"/>
    <w:rsid w:val="0017700D"/>
    <w:rsid w:val="001779C7"/>
    <w:rsid w:val="0018698F"/>
    <w:rsid w:val="00187A6F"/>
    <w:rsid w:val="00187A92"/>
    <w:rsid w:val="001A2864"/>
    <w:rsid w:val="001C04DD"/>
    <w:rsid w:val="001C63DD"/>
    <w:rsid w:val="001C7EF6"/>
    <w:rsid w:val="001D43F7"/>
    <w:rsid w:val="001E5806"/>
    <w:rsid w:val="001E6BD6"/>
    <w:rsid w:val="001F2274"/>
    <w:rsid w:val="001F45E8"/>
    <w:rsid w:val="001F6BAE"/>
    <w:rsid w:val="002046DC"/>
    <w:rsid w:val="00210D1A"/>
    <w:rsid w:val="00220535"/>
    <w:rsid w:val="00221E0A"/>
    <w:rsid w:val="00224E14"/>
    <w:rsid w:val="00242A7E"/>
    <w:rsid w:val="00247946"/>
    <w:rsid w:val="00253091"/>
    <w:rsid w:val="0025712B"/>
    <w:rsid w:val="002646C6"/>
    <w:rsid w:val="00266276"/>
    <w:rsid w:val="002725A6"/>
    <w:rsid w:val="00274F91"/>
    <w:rsid w:val="0027617E"/>
    <w:rsid w:val="0028360A"/>
    <w:rsid w:val="00285844"/>
    <w:rsid w:val="00293642"/>
    <w:rsid w:val="00297ACD"/>
    <w:rsid w:val="002A04B8"/>
    <w:rsid w:val="002A0D44"/>
    <w:rsid w:val="002B2F72"/>
    <w:rsid w:val="002B3CAE"/>
    <w:rsid w:val="002B4154"/>
    <w:rsid w:val="002B589B"/>
    <w:rsid w:val="002C35A2"/>
    <w:rsid w:val="002D212B"/>
    <w:rsid w:val="002D3A91"/>
    <w:rsid w:val="002D58A1"/>
    <w:rsid w:val="002E1ECB"/>
    <w:rsid w:val="002E340F"/>
    <w:rsid w:val="002E3E05"/>
    <w:rsid w:val="00307A01"/>
    <w:rsid w:val="00307BB9"/>
    <w:rsid w:val="003318D4"/>
    <w:rsid w:val="0033257D"/>
    <w:rsid w:val="00333AC6"/>
    <w:rsid w:val="00343DF6"/>
    <w:rsid w:val="00345280"/>
    <w:rsid w:val="00353F5F"/>
    <w:rsid w:val="00356C19"/>
    <w:rsid w:val="0036075C"/>
    <w:rsid w:val="003626A6"/>
    <w:rsid w:val="00365426"/>
    <w:rsid w:val="0036687D"/>
    <w:rsid w:val="003675EA"/>
    <w:rsid w:val="00374F30"/>
    <w:rsid w:val="00375462"/>
    <w:rsid w:val="00376A13"/>
    <w:rsid w:val="00380C4F"/>
    <w:rsid w:val="003832A9"/>
    <w:rsid w:val="00385CD0"/>
    <w:rsid w:val="00391A0D"/>
    <w:rsid w:val="00391A68"/>
    <w:rsid w:val="00396045"/>
    <w:rsid w:val="003A2191"/>
    <w:rsid w:val="003C5339"/>
    <w:rsid w:val="003C7540"/>
    <w:rsid w:val="003D2040"/>
    <w:rsid w:val="003D5AC9"/>
    <w:rsid w:val="003E6C46"/>
    <w:rsid w:val="003F35CE"/>
    <w:rsid w:val="00403BBE"/>
    <w:rsid w:val="00410198"/>
    <w:rsid w:val="004158FA"/>
    <w:rsid w:val="00421188"/>
    <w:rsid w:val="00423FFA"/>
    <w:rsid w:val="00434F6C"/>
    <w:rsid w:val="00442561"/>
    <w:rsid w:val="00442EB4"/>
    <w:rsid w:val="004464A6"/>
    <w:rsid w:val="00461CB4"/>
    <w:rsid w:val="004700C9"/>
    <w:rsid w:val="0047691C"/>
    <w:rsid w:val="00477243"/>
    <w:rsid w:val="00482D1A"/>
    <w:rsid w:val="00483B44"/>
    <w:rsid w:val="00483D46"/>
    <w:rsid w:val="0048585A"/>
    <w:rsid w:val="004878CA"/>
    <w:rsid w:val="004941A6"/>
    <w:rsid w:val="004A5CD8"/>
    <w:rsid w:val="004C2592"/>
    <w:rsid w:val="004D11F7"/>
    <w:rsid w:val="004D2416"/>
    <w:rsid w:val="004D7EFE"/>
    <w:rsid w:val="004F0371"/>
    <w:rsid w:val="004F04D7"/>
    <w:rsid w:val="004F1F3A"/>
    <w:rsid w:val="004F2099"/>
    <w:rsid w:val="004F5D9B"/>
    <w:rsid w:val="004F7E80"/>
    <w:rsid w:val="005137F9"/>
    <w:rsid w:val="00522928"/>
    <w:rsid w:val="005364CD"/>
    <w:rsid w:val="00537B66"/>
    <w:rsid w:val="00550DB4"/>
    <w:rsid w:val="00551EDD"/>
    <w:rsid w:val="00552BD3"/>
    <w:rsid w:val="00561197"/>
    <w:rsid w:val="00565FF8"/>
    <w:rsid w:val="005823BF"/>
    <w:rsid w:val="00584E5F"/>
    <w:rsid w:val="00585790"/>
    <w:rsid w:val="005865D8"/>
    <w:rsid w:val="00593DF2"/>
    <w:rsid w:val="005A6F0A"/>
    <w:rsid w:val="005B1567"/>
    <w:rsid w:val="005B77B2"/>
    <w:rsid w:val="005C478B"/>
    <w:rsid w:val="005C4DAB"/>
    <w:rsid w:val="005C5F9F"/>
    <w:rsid w:val="005C6651"/>
    <w:rsid w:val="005D02C7"/>
    <w:rsid w:val="005D76E0"/>
    <w:rsid w:val="005E27F6"/>
    <w:rsid w:val="005F40C1"/>
    <w:rsid w:val="00610A1A"/>
    <w:rsid w:val="00610E3C"/>
    <w:rsid w:val="00615131"/>
    <w:rsid w:val="00622470"/>
    <w:rsid w:val="0062779F"/>
    <w:rsid w:val="00630B02"/>
    <w:rsid w:val="00632F0E"/>
    <w:rsid w:val="006369A8"/>
    <w:rsid w:val="0064444D"/>
    <w:rsid w:val="006558CA"/>
    <w:rsid w:val="00656C1F"/>
    <w:rsid w:val="00661788"/>
    <w:rsid w:val="00663AFC"/>
    <w:rsid w:val="00665040"/>
    <w:rsid w:val="006706EB"/>
    <w:rsid w:val="00672E4D"/>
    <w:rsid w:val="006777C0"/>
    <w:rsid w:val="00685868"/>
    <w:rsid w:val="006860E2"/>
    <w:rsid w:val="00686FCF"/>
    <w:rsid w:val="00690027"/>
    <w:rsid w:val="00690873"/>
    <w:rsid w:val="006A2BEA"/>
    <w:rsid w:val="006A4876"/>
    <w:rsid w:val="006A6128"/>
    <w:rsid w:val="006A64FB"/>
    <w:rsid w:val="006B07D6"/>
    <w:rsid w:val="006B7DCA"/>
    <w:rsid w:val="006C5A49"/>
    <w:rsid w:val="006D1DAE"/>
    <w:rsid w:val="006D6B46"/>
    <w:rsid w:val="006E055E"/>
    <w:rsid w:val="006E3400"/>
    <w:rsid w:val="006E4548"/>
    <w:rsid w:val="006F4BE5"/>
    <w:rsid w:val="00702C2E"/>
    <w:rsid w:val="0070341B"/>
    <w:rsid w:val="00706F75"/>
    <w:rsid w:val="007076D0"/>
    <w:rsid w:val="0071315F"/>
    <w:rsid w:val="00715BA9"/>
    <w:rsid w:val="0071616E"/>
    <w:rsid w:val="0072038D"/>
    <w:rsid w:val="007224AA"/>
    <w:rsid w:val="00726641"/>
    <w:rsid w:val="00727A78"/>
    <w:rsid w:val="007304BD"/>
    <w:rsid w:val="00730EA4"/>
    <w:rsid w:val="00736D25"/>
    <w:rsid w:val="0073740E"/>
    <w:rsid w:val="007442D9"/>
    <w:rsid w:val="007645F0"/>
    <w:rsid w:val="0077130E"/>
    <w:rsid w:val="00773331"/>
    <w:rsid w:val="00783106"/>
    <w:rsid w:val="007923D5"/>
    <w:rsid w:val="007947C1"/>
    <w:rsid w:val="007A7CBC"/>
    <w:rsid w:val="007B0C5B"/>
    <w:rsid w:val="007B13DB"/>
    <w:rsid w:val="007B28FB"/>
    <w:rsid w:val="007C0EF8"/>
    <w:rsid w:val="007C357D"/>
    <w:rsid w:val="007D5712"/>
    <w:rsid w:val="007E396B"/>
    <w:rsid w:val="007E434A"/>
    <w:rsid w:val="007F4B7F"/>
    <w:rsid w:val="008053A1"/>
    <w:rsid w:val="00811605"/>
    <w:rsid w:val="00817C9E"/>
    <w:rsid w:val="00823883"/>
    <w:rsid w:val="008277AC"/>
    <w:rsid w:val="0083703A"/>
    <w:rsid w:val="00844B10"/>
    <w:rsid w:val="00850C94"/>
    <w:rsid w:val="008550D7"/>
    <w:rsid w:val="00863FA7"/>
    <w:rsid w:val="00866A8E"/>
    <w:rsid w:val="008700E4"/>
    <w:rsid w:val="00875927"/>
    <w:rsid w:val="00876E38"/>
    <w:rsid w:val="00890BB7"/>
    <w:rsid w:val="0089709E"/>
    <w:rsid w:val="008A3152"/>
    <w:rsid w:val="008B4DC7"/>
    <w:rsid w:val="008B4DD7"/>
    <w:rsid w:val="008C1004"/>
    <w:rsid w:val="008D0DEC"/>
    <w:rsid w:val="008D3370"/>
    <w:rsid w:val="008D4BFF"/>
    <w:rsid w:val="008E7A68"/>
    <w:rsid w:val="008F43DF"/>
    <w:rsid w:val="008F75E2"/>
    <w:rsid w:val="00916846"/>
    <w:rsid w:val="00917C17"/>
    <w:rsid w:val="00922729"/>
    <w:rsid w:val="00924808"/>
    <w:rsid w:val="00941318"/>
    <w:rsid w:val="00941A26"/>
    <w:rsid w:val="00942EEA"/>
    <w:rsid w:val="00946DF6"/>
    <w:rsid w:val="00951CCE"/>
    <w:rsid w:val="00956B15"/>
    <w:rsid w:val="00957B86"/>
    <w:rsid w:val="00957C6B"/>
    <w:rsid w:val="0096693F"/>
    <w:rsid w:val="00970E16"/>
    <w:rsid w:val="00972451"/>
    <w:rsid w:val="009733C2"/>
    <w:rsid w:val="00987590"/>
    <w:rsid w:val="009A1A51"/>
    <w:rsid w:val="009A3E2D"/>
    <w:rsid w:val="009A633F"/>
    <w:rsid w:val="009A6B3F"/>
    <w:rsid w:val="009B65C8"/>
    <w:rsid w:val="009C1250"/>
    <w:rsid w:val="009C5B67"/>
    <w:rsid w:val="009D4469"/>
    <w:rsid w:val="009E012E"/>
    <w:rsid w:val="009E065B"/>
    <w:rsid w:val="009F7AB2"/>
    <w:rsid w:val="00A10B62"/>
    <w:rsid w:val="00A15A03"/>
    <w:rsid w:val="00A177E6"/>
    <w:rsid w:val="00A21D9D"/>
    <w:rsid w:val="00A25EE3"/>
    <w:rsid w:val="00A26B15"/>
    <w:rsid w:val="00A3060E"/>
    <w:rsid w:val="00A364DD"/>
    <w:rsid w:val="00A37900"/>
    <w:rsid w:val="00A41C58"/>
    <w:rsid w:val="00A45638"/>
    <w:rsid w:val="00A46B9D"/>
    <w:rsid w:val="00A50790"/>
    <w:rsid w:val="00A53CCE"/>
    <w:rsid w:val="00A55A5B"/>
    <w:rsid w:val="00A572AE"/>
    <w:rsid w:val="00A617DC"/>
    <w:rsid w:val="00A748BC"/>
    <w:rsid w:val="00A931C1"/>
    <w:rsid w:val="00A93BF4"/>
    <w:rsid w:val="00AA2BE8"/>
    <w:rsid w:val="00AA3DC3"/>
    <w:rsid w:val="00AA3E5D"/>
    <w:rsid w:val="00AA5B19"/>
    <w:rsid w:val="00AA5F4D"/>
    <w:rsid w:val="00AC19B9"/>
    <w:rsid w:val="00AD1295"/>
    <w:rsid w:val="00AE45C8"/>
    <w:rsid w:val="00AE6B02"/>
    <w:rsid w:val="00AF1129"/>
    <w:rsid w:val="00AF2EC3"/>
    <w:rsid w:val="00AF683D"/>
    <w:rsid w:val="00B01229"/>
    <w:rsid w:val="00B029ED"/>
    <w:rsid w:val="00B0428F"/>
    <w:rsid w:val="00B04AA2"/>
    <w:rsid w:val="00B05C5F"/>
    <w:rsid w:val="00B063F6"/>
    <w:rsid w:val="00B231F5"/>
    <w:rsid w:val="00B35B9C"/>
    <w:rsid w:val="00B44EB4"/>
    <w:rsid w:val="00B541FA"/>
    <w:rsid w:val="00B60A01"/>
    <w:rsid w:val="00B624CA"/>
    <w:rsid w:val="00B65789"/>
    <w:rsid w:val="00B7568B"/>
    <w:rsid w:val="00B86843"/>
    <w:rsid w:val="00B87AC9"/>
    <w:rsid w:val="00B96350"/>
    <w:rsid w:val="00B96EA3"/>
    <w:rsid w:val="00BA0314"/>
    <w:rsid w:val="00BA1850"/>
    <w:rsid w:val="00BA3714"/>
    <w:rsid w:val="00BA62A6"/>
    <w:rsid w:val="00BB1183"/>
    <w:rsid w:val="00BB2005"/>
    <w:rsid w:val="00BB74C7"/>
    <w:rsid w:val="00BC4C0A"/>
    <w:rsid w:val="00BC79A9"/>
    <w:rsid w:val="00BC7FE0"/>
    <w:rsid w:val="00BD1509"/>
    <w:rsid w:val="00BD28E3"/>
    <w:rsid w:val="00BD7E85"/>
    <w:rsid w:val="00BE1FED"/>
    <w:rsid w:val="00BE2340"/>
    <w:rsid w:val="00BE430D"/>
    <w:rsid w:val="00BE49A9"/>
    <w:rsid w:val="00BF735C"/>
    <w:rsid w:val="00C06DA6"/>
    <w:rsid w:val="00C12014"/>
    <w:rsid w:val="00C174D2"/>
    <w:rsid w:val="00C20258"/>
    <w:rsid w:val="00C21F2E"/>
    <w:rsid w:val="00C22407"/>
    <w:rsid w:val="00C22545"/>
    <w:rsid w:val="00C25A4D"/>
    <w:rsid w:val="00C27B71"/>
    <w:rsid w:val="00C32E89"/>
    <w:rsid w:val="00C355A4"/>
    <w:rsid w:val="00C35D1E"/>
    <w:rsid w:val="00C3723F"/>
    <w:rsid w:val="00C45398"/>
    <w:rsid w:val="00C475AE"/>
    <w:rsid w:val="00C51D8B"/>
    <w:rsid w:val="00C544E4"/>
    <w:rsid w:val="00C552CC"/>
    <w:rsid w:val="00C55842"/>
    <w:rsid w:val="00C55B79"/>
    <w:rsid w:val="00C61022"/>
    <w:rsid w:val="00C626AA"/>
    <w:rsid w:val="00C95D31"/>
    <w:rsid w:val="00CA4897"/>
    <w:rsid w:val="00CA662A"/>
    <w:rsid w:val="00CB00B7"/>
    <w:rsid w:val="00CC1F5A"/>
    <w:rsid w:val="00CC34D2"/>
    <w:rsid w:val="00CC472F"/>
    <w:rsid w:val="00CC54B0"/>
    <w:rsid w:val="00CC72C9"/>
    <w:rsid w:val="00CD2D32"/>
    <w:rsid w:val="00CD36E8"/>
    <w:rsid w:val="00CD3F9C"/>
    <w:rsid w:val="00CD5F2C"/>
    <w:rsid w:val="00CD6063"/>
    <w:rsid w:val="00CD7FE9"/>
    <w:rsid w:val="00CE03DA"/>
    <w:rsid w:val="00CE5246"/>
    <w:rsid w:val="00CF3BC5"/>
    <w:rsid w:val="00CF7E41"/>
    <w:rsid w:val="00D02290"/>
    <w:rsid w:val="00D0286E"/>
    <w:rsid w:val="00D06073"/>
    <w:rsid w:val="00D165EA"/>
    <w:rsid w:val="00D17E33"/>
    <w:rsid w:val="00D23AC6"/>
    <w:rsid w:val="00D2554A"/>
    <w:rsid w:val="00D367D6"/>
    <w:rsid w:val="00D44821"/>
    <w:rsid w:val="00D511F0"/>
    <w:rsid w:val="00D51390"/>
    <w:rsid w:val="00D57A1F"/>
    <w:rsid w:val="00D57FFC"/>
    <w:rsid w:val="00D60FA0"/>
    <w:rsid w:val="00D61E35"/>
    <w:rsid w:val="00D659AD"/>
    <w:rsid w:val="00D65B64"/>
    <w:rsid w:val="00D672E6"/>
    <w:rsid w:val="00D70CD2"/>
    <w:rsid w:val="00D91E7D"/>
    <w:rsid w:val="00DA218E"/>
    <w:rsid w:val="00DA46E9"/>
    <w:rsid w:val="00DA586B"/>
    <w:rsid w:val="00DB1CB4"/>
    <w:rsid w:val="00DB37D0"/>
    <w:rsid w:val="00DB3C9E"/>
    <w:rsid w:val="00DC59A7"/>
    <w:rsid w:val="00DC6D37"/>
    <w:rsid w:val="00DD02B9"/>
    <w:rsid w:val="00DD0646"/>
    <w:rsid w:val="00DD0B11"/>
    <w:rsid w:val="00DD2068"/>
    <w:rsid w:val="00DD331C"/>
    <w:rsid w:val="00DE2EC3"/>
    <w:rsid w:val="00DF759F"/>
    <w:rsid w:val="00E04A06"/>
    <w:rsid w:val="00E06F68"/>
    <w:rsid w:val="00E13A9E"/>
    <w:rsid w:val="00E13B57"/>
    <w:rsid w:val="00E23E74"/>
    <w:rsid w:val="00E30232"/>
    <w:rsid w:val="00E3354E"/>
    <w:rsid w:val="00E37698"/>
    <w:rsid w:val="00E47589"/>
    <w:rsid w:val="00E51815"/>
    <w:rsid w:val="00E52343"/>
    <w:rsid w:val="00E56C26"/>
    <w:rsid w:val="00E601D4"/>
    <w:rsid w:val="00E628CF"/>
    <w:rsid w:val="00E62CC6"/>
    <w:rsid w:val="00E6770B"/>
    <w:rsid w:val="00E70489"/>
    <w:rsid w:val="00E74996"/>
    <w:rsid w:val="00E91564"/>
    <w:rsid w:val="00E92A34"/>
    <w:rsid w:val="00E9713F"/>
    <w:rsid w:val="00EA3525"/>
    <w:rsid w:val="00EA5979"/>
    <w:rsid w:val="00EB6EDE"/>
    <w:rsid w:val="00EB7938"/>
    <w:rsid w:val="00EC1E35"/>
    <w:rsid w:val="00EC2EB4"/>
    <w:rsid w:val="00EC7730"/>
    <w:rsid w:val="00ED0078"/>
    <w:rsid w:val="00ED1DF2"/>
    <w:rsid w:val="00ED43AF"/>
    <w:rsid w:val="00ED6756"/>
    <w:rsid w:val="00EF0288"/>
    <w:rsid w:val="00EF0C20"/>
    <w:rsid w:val="00EF4475"/>
    <w:rsid w:val="00EF4AD9"/>
    <w:rsid w:val="00EF5393"/>
    <w:rsid w:val="00F01CB8"/>
    <w:rsid w:val="00F027E2"/>
    <w:rsid w:val="00F03724"/>
    <w:rsid w:val="00F070C6"/>
    <w:rsid w:val="00F13D65"/>
    <w:rsid w:val="00F17DAB"/>
    <w:rsid w:val="00F22C75"/>
    <w:rsid w:val="00F26844"/>
    <w:rsid w:val="00F328AB"/>
    <w:rsid w:val="00F52BFC"/>
    <w:rsid w:val="00F5321C"/>
    <w:rsid w:val="00F66DCF"/>
    <w:rsid w:val="00F70589"/>
    <w:rsid w:val="00F71E0B"/>
    <w:rsid w:val="00F72DFD"/>
    <w:rsid w:val="00F7413D"/>
    <w:rsid w:val="00F76FEB"/>
    <w:rsid w:val="00F81677"/>
    <w:rsid w:val="00F938E1"/>
    <w:rsid w:val="00F93B93"/>
    <w:rsid w:val="00F96536"/>
    <w:rsid w:val="00FA2B08"/>
    <w:rsid w:val="00FA54D4"/>
    <w:rsid w:val="00FB38CF"/>
    <w:rsid w:val="00FC04A9"/>
    <w:rsid w:val="00FC1072"/>
    <w:rsid w:val="00FD0B23"/>
    <w:rsid w:val="00FD13AB"/>
    <w:rsid w:val="00FD4264"/>
    <w:rsid w:val="00FE5894"/>
    <w:rsid w:val="00FF0C36"/>
    <w:rsid w:val="00FF7A49"/>
    <w:rsid w:val="01C31BB1"/>
    <w:rsid w:val="01EA44C4"/>
    <w:rsid w:val="024141DC"/>
    <w:rsid w:val="029661EF"/>
    <w:rsid w:val="02D02575"/>
    <w:rsid w:val="030D6850"/>
    <w:rsid w:val="03420C2D"/>
    <w:rsid w:val="037461FF"/>
    <w:rsid w:val="046A14C6"/>
    <w:rsid w:val="05E02E4F"/>
    <w:rsid w:val="063B656D"/>
    <w:rsid w:val="06CE732C"/>
    <w:rsid w:val="07302D7C"/>
    <w:rsid w:val="07883688"/>
    <w:rsid w:val="079D1FB5"/>
    <w:rsid w:val="07DD7E0F"/>
    <w:rsid w:val="07FC2798"/>
    <w:rsid w:val="094A4A7E"/>
    <w:rsid w:val="09533A02"/>
    <w:rsid w:val="097D4BB4"/>
    <w:rsid w:val="09A9002B"/>
    <w:rsid w:val="0A123CCB"/>
    <w:rsid w:val="0A1E4E92"/>
    <w:rsid w:val="0A350C10"/>
    <w:rsid w:val="0A596BD2"/>
    <w:rsid w:val="0B375DA7"/>
    <w:rsid w:val="0B8909A2"/>
    <w:rsid w:val="0C0937C7"/>
    <w:rsid w:val="0C3E4FE7"/>
    <w:rsid w:val="0D3802C2"/>
    <w:rsid w:val="0E425A04"/>
    <w:rsid w:val="0E89515E"/>
    <w:rsid w:val="0EA96075"/>
    <w:rsid w:val="0EE16656"/>
    <w:rsid w:val="0FFD1EEF"/>
    <w:rsid w:val="101E3292"/>
    <w:rsid w:val="1228622E"/>
    <w:rsid w:val="126B20F2"/>
    <w:rsid w:val="12AD4606"/>
    <w:rsid w:val="12F84687"/>
    <w:rsid w:val="13125F10"/>
    <w:rsid w:val="137C0212"/>
    <w:rsid w:val="13A72A01"/>
    <w:rsid w:val="13E46B78"/>
    <w:rsid w:val="148B278B"/>
    <w:rsid w:val="14F17AD1"/>
    <w:rsid w:val="16E5337C"/>
    <w:rsid w:val="17EA6708"/>
    <w:rsid w:val="181E5DCF"/>
    <w:rsid w:val="187D616E"/>
    <w:rsid w:val="18B07A47"/>
    <w:rsid w:val="191B0D68"/>
    <w:rsid w:val="195E6C4C"/>
    <w:rsid w:val="196653DE"/>
    <w:rsid w:val="19E02449"/>
    <w:rsid w:val="1A19125C"/>
    <w:rsid w:val="1A25500C"/>
    <w:rsid w:val="1A4C26CB"/>
    <w:rsid w:val="1AF5600D"/>
    <w:rsid w:val="1BE65371"/>
    <w:rsid w:val="1C4933AE"/>
    <w:rsid w:val="1C8D65F9"/>
    <w:rsid w:val="1CC25B52"/>
    <w:rsid w:val="1D264C18"/>
    <w:rsid w:val="1DBD21EF"/>
    <w:rsid w:val="1E4D63BF"/>
    <w:rsid w:val="1E6C127B"/>
    <w:rsid w:val="1F2A076D"/>
    <w:rsid w:val="20332F62"/>
    <w:rsid w:val="2051050C"/>
    <w:rsid w:val="20880AEE"/>
    <w:rsid w:val="217A4079"/>
    <w:rsid w:val="21883522"/>
    <w:rsid w:val="22025DB6"/>
    <w:rsid w:val="22750988"/>
    <w:rsid w:val="2351172C"/>
    <w:rsid w:val="235B554E"/>
    <w:rsid w:val="23BD55EE"/>
    <w:rsid w:val="23D57211"/>
    <w:rsid w:val="24255838"/>
    <w:rsid w:val="24682CFC"/>
    <w:rsid w:val="249C6D21"/>
    <w:rsid w:val="24CF521F"/>
    <w:rsid w:val="25374CA0"/>
    <w:rsid w:val="256D7F19"/>
    <w:rsid w:val="257D0D9E"/>
    <w:rsid w:val="25ED344C"/>
    <w:rsid w:val="26F12454"/>
    <w:rsid w:val="27216DA4"/>
    <w:rsid w:val="274F3B7A"/>
    <w:rsid w:val="28AB1D72"/>
    <w:rsid w:val="28AB53E1"/>
    <w:rsid w:val="28BE77E1"/>
    <w:rsid w:val="28FE781D"/>
    <w:rsid w:val="296E0F0F"/>
    <w:rsid w:val="29A50577"/>
    <w:rsid w:val="29BA58C1"/>
    <w:rsid w:val="2A563C8A"/>
    <w:rsid w:val="2AA92763"/>
    <w:rsid w:val="2ABB5E37"/>
    <w:rsid w:val="2AEE52CA"/>
    <w:rsid w:val="2C6725BB"/>
    <w:rsid w:val="2C817163"/>
    <w:rsid w:val="2E0750A2"/>
    <w:rsid w:val="2E661AFD"/>
    <w:rsid w:val="305A3799"/>
    <w:rsid w:val="306501DA"/>
    <w:rsid w:val="314E33B0"/>
    <w:rsid w:val="336726C6"/>
    <w:rsid w:val="34094588"/>
    <w:rsid w:val="346538EE"/>
    <w:rsid w:val="356A30BE"/>
    <w:rsid w:val="35C812E0"/>
    <w:rsid w:val="35E95BD6"/>
    <w:rsid w:val="37054099"/>
    <w:rsid w:val="378B5CA7"/>
    <w:rsid w:val="381463B1"/>
    <w:rsid w:val="38346A08"/>
    <w:rsid w:val="38A0772A"/>
    <w:rsid w:val="39293A2A"/>
    <w:rsid w:val="39C23DC5"/>
    <w:rsid w:val="3A677439"/>
    <w:rsid w:val="3A7A76ED"/>
    <w:rsid w:val="3AA5315D"/>
    <w:rsid w:val="3B7E470C"/>
    <w:rsid w:val="3B921F58"/>
    <w:rsid w:val="3C722880"/>
    <w:rsid w:val="3D662FF0"/>
    <w:rsid w:val="3DD9719A"/>
    <w:rsid w:val="3DE6374B"/>
    <w:rsid w:val="3F0C1E37"/>
    <w:rsid w:val="3FA41FE7"/>
    <w:rsid w:val="3FE8618E"/>
    <w:rsid w:val="40322BBA"/>
    <w:rsid w:val="40600C23"/>
    <w:rsid w:val="41590C35"/>
    <w:rsid w:val="423F79DF"/>
    <w:rsid w:val="42511295"/>
    <w:rsid w:val="42724F74"/>
    <w:rsid w:val="42DA1725"/>
    <w:rsid w:val="43F15056"/>
    <w:rsid w:val="44576870"/>
    <w:rsid w:val="446A5BD4"/>
    <w:rsid w:val="44C52AFB"/>
    <w:rsid w:val="45070666"/>
    <w:rsid w:val="452B2A73"/>
    <w:rsid w:val="45445120"/>
    <w:rsid w:val="45F31522"/>
    <w:rsid w:val="474F7342"/>
    <w:rsid w:val="486714B5"/>
    <w:rsid w:val="489F0DA6"/>
    <w:rsid w:val="4932352E"/>
    <w:rsid w:val="496B1AD9"/>
    <w:rsid w:val="4B43260D"/>
    <w:rsid w:val="4BA730E2"/>
    <w:rsid w:val="4BDC4EDE"/>
    <w:rsid w:val="4C90354B"/>
    <w:rsid w:val="4CBC1AE1"/>
    <w:rsid w:val="4D4243B1"/>
    <w:rsid w:val="4DB148B4"/>
    <w:rsid w:val="4E051104"/>
    <w:rsid w:val="4F4F29C1"/>
    <w:rsid w:val="4F59237B"/>
    <w:rsid w:val="504F6B85"/>
    <w:rsid w:val="506748FE"/>
    <w:rsid w:val="5068712D"/>
    <w:rsid w:val="51541475"/>
    <w:rsid w:val="5168610E"/>
    <w:rsid w:val="51E567BF"/>
    <w:rsid w:val="54024D2C"/>
    <w:rsid w:val="543A18DA"/>
    <w:rsid w:val="548C47BE"/>
    <w:rsid w:val="54C47A64"/>
    <w:rsid w:val="55305880"/>
    <w:rsid w:val="55667EBE"/>
    <w:rsid w:val="55CA6202"/>
    <w:rsid w:val="562F564C"/>
    <w:rsid w:val="565226D1"/>
    <w:rsid w:val="56662019"/>
    <w:rsid w:val="56D64810"/>
    <w:rsid w:val="57270094"/>
    <w:rsid w:val="57DC136D"/>
    <w:rsid w:val="58141DEA"/>
    <w:rsid w:val="58386A31"/>
    <w:rsid w:val="58734044"/>
    <w:rsid w:val="594D609A"/>
    <w:rsid w:val="595C1401"/>
    <w:rsid w:val="59852594"/>
    <w:rsid w:val="59970394"/>
    <w:rsid w:val="59AF6015"/>
    <w:rsid w:val="5A432AA7"/>
    <w:rsid w:val="5B0914AE"/>
    <w:rsid w:val="5B610856"/>
    <w:rsid w:val="5B7778BF"/>
    <w:rsid w:val="5C390300"/>
    <w:rsid w:val="5C7E114B"/>
    <w:rsid w:val="5C8A7B51"/>
    <w:rsid w:val="5CA74DE8"/>
    <w:rsid w:val="5CEF566F"/>
    <w:rsid w:val="5DCB72CF"/>
    <w:rsid w:val="5F2174E6"/>
    <w:rsid w:val="5F8D2A58"/>
    <w:rsid w:val="608C3B7D"/>
    <w:rsid w:val="60BC5B3E"/>
    <w:rsid w:val="629572AB"/>
    <w:rsid w:val="62B01DCC"/>
    <w:rsid w:val="62D43FC0"/>
    <w:rsid w:val="638D0299"/>
    <w:rsid w:val="644F5326"/>
    <w:rsid w:val="64C56462"/>
    <w:rsid w:val="65153946"/>
    <w:rsid w:val="653541F0"/>
    <w:rsid w:val="65996D59"/>
    <w:rsid w:val="65F0369B"/>
    <w:rsid w:val="66237269"/>
    <w:rsid w:val="6653333C"/>
    <w:rsid w:val="66AC1326"/>
    <w:rsid w:val="67187EC0"/>
    <w:rsid w:val="67987CD6"/>
    <w:rsid w:val="679E7231"/>
    <w:rsid w:val="67A62C14"/>
    <w:rsid w:val="67FA0098"/>
    <w:rsid w:val="685F12C5"/>
    <w:rsid w:val="68B8650A"/>
    <w:rsid w:val="69F175D4"/>
    <w:rsid w:val="6B0038A9"/>
    <w:rsid w:val="6B1C7A8B"/>
    <w:rsid w:val="6B9C4185"/>
    <w:rsid w:val="6BBD6911"/>
    <w:rsid w:val="6BC4414D"/>
    <w:rsid w:val="6BDC5627"/>
    <w:rsid w:val="6C9C4E4E"/>
    <w:rsid w:val="6CB65CDA"/>
    <w:rsid w:val="6D24719C"/>
    <w:rsid w:val="6D4E2AF4"/>
    <w:rsid w:val="6D5764A9"/>
    <w:rsid w:val="6EAF4DDB"/>
    <w:rsid w:val="6EC55AC5"/>
    <w:rsid w:val="6EE23DE4"/>
    <w:rsid w:val="71142BD6"/>
    <w:rsid w:val="713C20DF"/>
    <w:rsid w:val="717F372F"/>
    <w:rsid w:val="71E1254D"/>
    <w:rsid w:val="728F7FBF"/>
    <w:rsid w:val="737F50AE"/>
    <w:rsid w:val="74516F99"/>
    <w:rsid w:val="755277DB"/>
    <w:rsid w:val="761E7980"/>
    <w:rsid w:val="766A05F5"/>
    <w:rsid w:val="76B73773"/>
    <w:rsid w:val="76D7096D"/>
    <w:rsid w:val="76FC49B1"/>
    <w:rsid w:val="77AE1948"/>
    <w:rsid w:val="782D29C1"/>
    <w:rsid w:val="787B54AA"/>
    <w:rsid w:val="788D1F00"/>
    <w:rsid w:val="7907563A"/>
    <w:rsid w:val="7931448E"/>
    <w:rsid w:val="79517074"/>
    <w:rsid w:val="7AFD7AF6"/>
    <w:rsid w:val="7B270493"/>
    <w:rsid w:val="7BA21F63"/>
    <w:rsid w:val="7C082FD2"/>
    <w:rsid w:val="7C560E61"/>
    <w:rsid w:val="7C743365"/>
    <w:rsid w:val="7CE33BB9"/>
    <w:rsid w:val="7D2834FE"/>
    <w:rsid w:val="7D4A4C81"/>
    <w:rsid w:val="7D9812CB"/>
    <w:rsid w:val="7F3452AA"/>
    <w:rsid w:val="7F712A2A"/>
    <w:rsid w:val="7F8C0397"/>
    <w:rsid w:val="DEFC9246"/>
    <w:rsid w:val="F7E70A09"/>
    <w:rsid w:val="FE8BF16A"/>
    <w:rsid w:val="FFFB6E4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7"/>
    <w:autoRedefine/>
    <w:qFormat/>
    <w:uiPriority w:val="9"/>
    <w:pPr>
      <w:keepNext/>
      <w:keepLines/>
      <w:numPr>
        <w:ilvl w:val="0"/>
        <w:numId w:val="1"/>
      </w:numPr>
      <w:autoSpaceDE w:val="0"/>
      <w:autoSpaceDN w:val="0"/>
      <w:adjustRightInd w:val="0"/>
      <w:snapToGrid w:val="0"/>
      <w:spacing w:beforeLines="100" w:afterLines="100" w:line="360" w:lineRule="auto"/>
      <w:outlineLvl w:val="0"/>
    </w:pPr>
    <w:rPr>
      <w:rFonts w:ascii="Times New Roman" w:hAnsi="Times New Roman" w:eastAsia="黑体" w:cs="宋体"/>
      <w:b/>
      <w:snapToGrid w:val="0"/>
      <w:color w:val="000000"/>
      <w:sz w:val="36"/>
      <w:szCs w:val="36"/>
    </w:rPr>
  </w:style>
  <w:style w:type="paragraph" w:styleId="3">
    <w:name w:val="heading 2"/>
    <w:basedOn w:val="1"/>
    <w:next w:val="1"/>
    <w:link w:val="28"/>
    <w:qFormat/>
    <w:uiPriority w:val="9"/>
    <w:pPr>
      <w:keepNext/>
      <w:keepLines/>
      <w:numPr>
        <w:ilvl w:val="1"/>
        <w:numId w:val="1"/>
      </w:numPr>
      <w:autoSpaceDE w:val="0"/>
      <w:autoSpaceDN w:val="0"/>
      <w:adjustRightInd w:val="0"/>
      <w:snapToGrid w:val="0"/>
      <w:spacing w:beforeLines="50" w:afterLines="50" w:line="360" w:lineRule="auto"/>
      <w:outlineLvl w:val="1"/>
    </w:pPr>
    <w:rPr>
      <w:rFonts w:ascii="Times" w:hAnsi="Times" w:eastAsia="黑体" w:cs="宋体"/>
      <w:b/>
      <w:snapToGrid w:val="0"/>
      <w:color w:val="000000"/>
      <w:sz w:val="32"/>
      <w:szCs w:val="32"/>
    </w:rPr>
  </w:style>
  <w:style w:type="paragraph" w:styleId="4">
    <w:name w:val="heading 3"/>
    <w:next w:val="1"/>
    <w:link w:val="29"/>
    <w:autoRedefine/>
    <w:qFormat/>
    <w:uiPriority w:val="0"/>
    <w:pPr>
      <w:keepNext/>
      <w:keepLines/>
      <w:numPr>
        <w:ilvl w:val="2"/>
        <w:numId w:val="1"/>
      </w:numPr>
      <w:adjustRightInd w:val="0"/>
      <w:snapToGrid w:val="0"/>
      <w:spacing w:beforeLines="50" w:line="360" w:lineRule="auto"/>
      <w:outlineLvl w:val="2"/>
    </w:pPr>
    <w:rPr>
      <w:rFonts w:ascii="Times New Roman" w:hAnsi="Times New Roman" w:eastAsia="黑体" w:cs="宋体"/>
      <w:b/>
      <w:snapToGrid w:val="0"/>
      <w:sz w:val="28"/>
      <w:szCs w:val="28"/>
      <w:lang w:val="en-US" w:eastAsia="zh-CN" w:bidi="ar-SA"/>
    </w:rPr>
  </w:style>
  <w:style w:type="paragraph" w:styleId="5">
    <w:name w:val="heading 4"/>
    <w:next w:val="1"/>
    <w:link w:val="30"/>
    <w:qFormat/>
    <w:uiPriority w:val="0"/>
    <w:pPr>
      <w:keepNext/>
      <w:keepLines/>
      <w:numPr>
        <w:ilvl w:val="3"/>
        <w:numId w:val="1"/>
      </w:numPr>
      <w:autoSpaceDE w:val="0"/>
      <w:autoSpaceDN w:val="0"/>
      <w:adjustRightInd w:val="0"/>
      <w:snapToGrid w:val="0"/>
      <w:spacing w:before="120" w:beforeLines="50" w:line="360" w:lineRule="auto"/>
      <w:ind w:right="100" w:rightChars="100"/>
      <w:outlineLvl w:val="3"/>
    </w:pPr>
    <w:rPr>
      <w:rFonts w:ascii="Times New Roman" w:hAnsi="Times New Roman" w:eastAsia="宋体" w:cs="宋体"/>
      <w:b/>
      <w:snapToGrid w:val="0"/>
      <w:color w:val="000000"/>
      <w:sz w:val="24"/>
      <w:szCs w:val="24"/>
      <w:lang w:val="en-US" w:eastAsia="zh-CN" w:bidi="ar-SA"/>
    </w:rPr>
  </w:style>
  <w:style w:type="paragraph" w:styleId="6">
    <w:name w:val="heading 5"/>
    <w:next w:val="1"/>
    <w:link w:val="31"/>
    <w:qFormat/>
    <w:uiPriority w:val="0"/>
    <w:pPr>
      <w:keepNext/>
      <w:keepLines/>
      <w:numPr>
        <w:ilvl w:val="4"/>
        <w:numId w:val="1"/>
      </w:numPr>
      <w:adjustRightInd w:val="0"/>
      <w:snapToGrid w:val="0"/>
      <w:spacing w:before="120" w:beforeLines="50" w:line="360" w:lineRule="auto"/>
      <w:ind w:right="100" w:rightChars="100"/>
      <w:outlineLvl w:val="4"/>
    </w:pPr>
    <w:rPr>
      <w:rFonts w:ascii="Times New Roman" w:hAnsi="Times New Roman" w:eastAsia="宋体" w:cs="宋体"/>
      <w:b/>
      <w:snapToGrid w:val="0"/>
      <w:sz w:val="24"/>
      <w:szCs w:val="24"/>
      <w:lang w:val="en-US" w:eastAsia="zh-CN" w:bidi="ar-SA"/>
    </w:rPr>
  </w:style>
  <w:style w:type="paragraph" w:styleId="7">
    <w:name w:val="heading 6"/>
    <w:next w:val="1"/>
    <w:link w:val="32"/>
    <w:qFormat/>
    <w:uiPriority w:val="0"/>
    <w:pPr>
      <w:keepNext/>
      <w:keepLines/>
      <w:numPr>
        <w:ilvl w:val="5"/>
        <w:numId w:val="1"/>
      </w:numPr>
      <w:adjustRightInd w:val="0"/>
      <w:snapToGrid w:val="0"/>
      <w:spacing w:beforeLines="50" w:line="360" w:lineRule="auto"/>
      <w:ind w:right="100" w:rightChars="100"/>
      <w:outlineLvl w:val="5"/>
    </w:pPr>
    <w:rPr>
      <w:rFonts w:ascii="Times New Roman" w:hAnsi="Times New Roman" w:eastAsia="宋体" w:cs="宋体"/>
      <w:b/>
      <w:snapToGrid w:val="0"/>
      <w:sz w:val="24"/>
      <w:szCs w:val="24"/>
      <w:lang w:val="en-US" w:eastAsia="zh-CN" w:bidi="ar-SA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9">
    <w:name w:val="Date"/>
    <w:basedOn w:val="1"/>
    <w:next w:val="1"/>
    <w:link w:val="33"/>
    <w:semiHidden/>
    <w:unhideWhenUsed/>
    <w:qFormat/>
    <w:uiPriority w:val="99"/>
    <w:pPr>
      <w:ind w:left="100" w:leftChars="2500"/>
    </w:pPr>
  </w:style>
  <w:style w:type="paragraph" w:styleId="10">
    <w:name w:val="Balloon Text"/>
    <w:basedOn w:val="1"/>
    <w:link w:val="26"/>
    <w:autoRedefine/>
    <w:semiHidden/>
    <w:unhideWhenUsed/>
    <w:qFormat/>
    <w:uiPriority w:val="99"/>
    <w:rPr>
      <w:sz w:val="18"/>
      <w:szCs w:val="18"/>
    </w:rPr>
  </w:style>
  <w:style w:type="paragraph" w:styleId="11">
    <w:name w:val="footer"/>
    <w:basedOn w:val="1"/>
    <w:link w:val="24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23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unhideWhenUsed/>
    <w:qFormat/>
    <w:uiPriority w:val="39"/>
    <w:pPr>
      <w:tabs>
        <w:tab w:val="right" w:leader="dot" w:pos="8296"/>
      </w:tabs>
    </w:pPr>
    <w:rPr>
      <w:rFonts w:ascii="仿宋" w:hAnsi="仿宋" w:eastAsia="仿宋"/>
      <w:b/>
      <w:sz w:val="28"/>
    </w:rPr>
  </w:style>
  <w:style w:type="paragraph" w:styleId="14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6">
    <w:name w:val="Title"/>
    <w:basedOn w:val="1"/>
    <w:next w:val="1"/>
    <w:link w:val="36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table" w:styleId="18">
    <w:name w:val="Table Grid"/>
    <w:basedOn w:val="17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0">
    <w:name w:val="Strong"/>
    <w:basedOn w:val="19"/>
    <w:qFormat/>
    <w:uiPriority w:val="22"/>
    <w:rPr>
      <w:b/>
      <w:bCs/>
    </w:rPr>
  </w:style>
  <w:style w:type="character" w:styleId="21">
    <w:name w:val="FollowedHyperlink"/>
    <w:basedOn w:val="19"/>
    <w:semiHidden/>
    <w:unhideWhenUsed/>
    <w:qFormat/>
    <w:uiPriority w:val="99"/>
    <w:rPr>
      <w:rFonts w:ascii="微软雅黑" w:hAnsi="微软雅黑" w:eastAsia="微软雅黑" w:cs="微软雅黑"/>
      <w:color w:val="02396F"/>
      <w:u w:val="single"/>
    </w:rPr>
  </w:style>
  <w:style w:type="character" w:styleId="22">
    <w:name w:val="Hyperlink"/>
    <w:basedOn w:val="19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23">
    <w:name w:val="页眉 字符"/>
    <w:basedOn w:val="19"/>
    <w:link w:val="12"/>
    <w:autoRedefine/>
    <w:qFormat/>
    <w:uiPriority w:val="99"/>
    <w:rPr>
      <w:sz w:val="18"/>
      <w:szCs w:val="18"/>
    </w:rPr>
  </w:style>
  <w:style w:type="character" w:customStyle="1" w:styleId="24">
    <w:name w:val="页脚 字符"/>
    <w:basedOn w:val="19"/>
    <w:link w:val="11"/>
    <w:autoRedefine/>
    <w:qFormat/>
    <w:uiPriority w:val="0"/>
    <w:rPr>
      <w:sz w:val="18"/>
      <w:szCs w:val="18"/>
    </w:rPr>
  </w:style>
  <w:style w:type="paragraph" w:styleId="25">
    <w:name w:val="List Paragraph"/>
    <w:basedOn w:val="1"/>
    <w:link w:val="41"/>
    <w:qFormat/>
    <w:uiPriority w:val="34"/>
    <w:pPr>
      <w:ind w:left="210" w:leftChars="100" w:right="100" w:rightChars="100" w:firstLine="420" w:firstLineChars="200"/>
    </w:pPr>
  </w:style>
  <w:style w:type="character" w:customStyle="1" w:styleId="26">
    <w:name w:val="批注框文本 字符"/>
    <w:basedOn w:val="19"/>
    <w:link w:val="10"/>
    <w:semiHidden/>
    <w:qFormat/>
    <w:uiPriority w:val="99"/>
    <w:rPr>
      <w:sz w:val="18"/>
      <w:szCs w:val="18"/>
    </w:rPr>
  </w:style>
  <w:style w:type="character" w:customStyle="1" w:styleId="27">
    <w:name w:val="标题 1 字符"/>
    <w:basedOn w:val="19"/>
    <w:link w:val="2"/>
    <w:autoRedefine/>
    <w:qFormat/>
    <w:uiPriority w:val="9"/>
    <w:rPr>
      <w:rFonts w:ascii="Times New Roman" w:hAnsi="Times New Roman" w:eastAsia="黑体" w:cs="宋体"/>
      <w:b/>
      <w:snapToGrid w:val="0"/>
      <w:color w:val="000000"/>
      <w:kern w:val="0"/>
      <w:sz w:val="36"/>
      <w:szCs w:val="36"/>
    </w:rPr>
  </w:style>
  <w:style w:type="character" w:customStyle="1" w:styleId="28">
    <w:name w:val="标题 2 字符"/>
    <w:basedOn w:val="19"/>
    <w:link w:val="3"/>
    <w:autoRedefine/>
    <w:qFormat/>
    <w:uiPriority w:val="9"/>
    <w:rPr>
      <w:rFonts w:ascii="Times" w:hAnsi="Times" w:eastAsia="黑体" w:cs="宋体"/>
      <w:b/>
      <w:snapToGrid w:val="0"/>
      <w:color w:val="000000"/>
      <w:kern w:val="0"/>
      <w:sz w:val="32"/>
      <w:szCs w:val="32"/>
    </w:rPr>
  </w:style>
  <w:style w:type="character" w:customStyle="1" w:styleId="29">
    <w:name w:val="标题 3 字符"/>
    <w:basedOn w:val="19"/>
    <w:link w:val="4"/>
    <w:qFormat/>
    <w:uiPriority w:val="0"/>
    <w:rPr>
      <w:rFonts w:ascii="Times New Roman" w:hAnsi="Times New Roman" w:eastAsia="黑体" w:cs="宋体"/>
      <w:b/>
      <w:snapToGrid w:val="0"/>
      <w:kern w:val="0"/>
      <w:sz w:val="28"/>
      <w:szCs w:val="28"/>
    </w:rPr>
  </w:style>
  <w:style w:type="character" w:customStyle="1" w:styleId="30">
    <w:name w:val="标题 4 字符"/>
    <w:basedOn w:val="19"/>
    <w:link w:val="5"/>
    <w:autoRedefine/>
    <w:qFormat/>
    <w:uiPriority w:val="0"/>
    <w:rPr>
      <w:rFonts w:ascii="Times New Roman" w:hAnsi="Times New Roman" w:eastAsia="宋体" w:cs="宋体"/>
      <w:b/>
      <w:snapToGrid w:val="0"/>
      <w:color w:val="000000"/>
      <w:kern w:val="0"/>
      <w:sz w:val="24"/>
      <w:szCs w:val="24"/>
    </w:rPr>
  </w:style>
  <w:style w:type="character" w:customStyle="1" w:styleId="31">
    <w:name w:val="标题 5 字符"/>
    <w:basedOn w:val="19"/>
    <w:link w:val="6"/>
    <w:autoRedefine/>
    <w:qFormat/>
    <w:uiPriority w:val="0"/>
    <w:rPr>
      <w:rFonts w:ascii="Times New Roman" w:hAnsi="Times New Roman" w:eastAsia="宋体" w:cs="宋体"/>
      <w:b/>
      <w:snapToGrid w:val="0"/>
      <w:kern w:val="0"/>
      <w:sz w:val="24"/>
      <w:szCs w:val="24"/>
    </w:rPr>
  </w:style>
  <w:style w:type="character" w:customStyle="1" w:styleId="32">
    <w:name w:val="标题 6 字符"/>
    <w:basedOn w:val="19"/>
    <w:link w:val="7"/>
    <w:autoRedefine/>
    <w:qFormat/>
    <w:uiPriority w:val="0"/>
    <w:rPr>
      <w:rFonts w:ascii="Times New Roman" w:hAnsi="Times New Roman" w:eastAsia="宋体" w:cs="宋体"/>
      <w:b/>
      <w:snapToGrid w:val="0"/>
      <w:kern w:val="0"/>
      <w:sz w:val="24"/>
      <w:szCs w:val="24"/>
    </w:rPr>
  </w:style>
  <w:style w:type="character" w:customStyle="1" w:styleId="33">
    <w:name w:val="日期 字符"/>
    <w:basedOn w:val="19"/>
    <w:link w:val="9"/>
    <w:semiHidden/>
    <w:qFormat/>
    <w:uiPriority w:val="99"/>
  </w:style>
  <w:style w:type="paragraph" w:styleId="34">
    <w:name w:val="Quote"/>
    <w:basedOn w:val="1"/>
    <w:next w:val="1"/>
    <w:link w:val="35"/>
    <w:autoRedefine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35">
    <w:name w:val="引用 字符"/>
    <w:basedOn w:val="19"/>
    <w:link w:val="34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36">
    <w:name w:val="标题 字符"/>
    <w:basedOn w:val="19"/>
    <w:link w:val="16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37">
    <w:name w:val="left"/>
    <w:basedOn w:val="19"/>
    <w:autoRedefine/>
    <w:qFormat/>
    <w:uiPriority w:val="0"/>
  </w:style>
  <w:style w:type="character" w:customStyle="1" w:styleId="38">
    <w:name w:val="right"/>
    <w:basedOn w:val="19"/>
    <w:qFormat/>
    <w:uiPriority w:val="0"/>
  </w:style>
  <w:style w:type="paragraph" w:customStyle="1" w:styleId="39">
    <w:name w:val="列出段落2"/>
    <w:basedOn w:val="1"/>
    <w:autoRedefine/>
    <w:qFormat/>
    <w:uiPriority w:val="34"/>
    <w:pPr>
      <w:ind w:firstLine="420" w:firstLineChars="200"/>
    </w:pPr>
    <w:rPr>
      <w:rFonts w:ascii="Times New Roman" w:hAnsi="Times New Roman" w:eastAsia="宋体" w:cs="Times New Roman"/>
      <w:szCs w:val="24"/>
    </w:rPr>
  </w:style>
  <w:style w:type="paragraph" w:customStyle="1" w:styleId="40">
    <w:name w:val="正文（首行缩进）"/>
    <w:basedOn w:val="1"/>
    <w:autoRedefine/>
    <w:unhideWhenUsed/>
    <w:qFormat/>
    <w:uiPriority w:val="0"/>
    <w:pPr>
      <w:spacing w:line="360" w:lineRule="auto"/>
      <w:ind w:firstLine="480" w:firstLineChars="200"/>
    </w:pPr>
    <w:rPr>
      <w:rFonts w:hint="eastAsia" w:ascii="宋体"/>
      <w:sz w:val="24"/>
    </w:rPr>
  </w:style>
  <w:style w:type="character" w:customStyle="1" w:styleId="41">
    <w:name w:val="列表段落 字符"/>
    <w:basedOn w:val="19"/>
    <w:link w:val="25"/>
    <w:autoRedefine/>
    <w:qFormat/>
    <w:uiPriority w:val="34"/>
  </w:style>
  <w:style w:type="paragraph" w:customStyle="1" w:styleId="42">
    <w:name w:val="文中醒目标题"/>
    <w:basedOn w:val="1"/>
    <w:next w:val="40"/>
    <w:autoRedefine/>
    <w:unhideWhenUsed/>
    <w:qFormat/>
    <w:uiPriority w:val="0"/>
    <w:pPr>
      <w:spacing w:line="360" w:lineRule="auto"/>
      <w:ind w:firstLine="200" w:firstLineChars="200"/>
    </w:pPr>
    <w:rPr>
      <w:rFonts w:hint="eastAsia" w:ascii="宋体"/>
      <w:b/>
      <w:sz w:val="28"/>
    </w:rPr>
  </w:style>
  <w:style w:type="paragraph" w:customStyle="1" w:styleId="43">
    <w:name w:val="图"/>
    <w:basedOn w:val="1"/>
    <w:next w:val="40"/>
    <w:unhideWhenUsed/>
    <w:qFormat/>
    <w:uiPriority w:val="0"/>
    <w:pPr>
      <w:jc w:val="center"/>
    </w:pPr>
    <w:rPr>
      <w:rFonts w:hint="eastAsia"/>
      <w:sz w:val="24"/>
    </w:rPr>
  </w:style>
  <w:style w:type="paragraph" w:styleId="44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5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46">
    <w:name w:val="displayarti"/>
    <w:basedOn w:val="19"/>
    <w:qFormat/>
    <w:uiPriority w:val="0"/>
    <w:rPr>
      <w:color w:val="FFFFFF"/>
      <w:shd w:val="clear" w:color="auto" w:fill="A00000"/>
    </w:rPr>
  </w:style>
  <w:style w:type="character" w:customStyle="1" w:styleId="47">
    <w:name w:val="redfilefwwh"/>
    <w:basedOn w:val="19"/>
    <w:autoRedefine/>
    <w:qFormat/>
    <w:uiPriority w:val="0"/>
    <w:rPr>
      <w:color w:val="BA2636"/>
      <w:sz w:val="12"/>
      <w:szCs w:val="12"/>
    </w:rPr>
  </w:style>
  <w:style w:type="character" w:customStyle="1" w:styleId="48">
    <w:name w:val="redfilenumber"/>
    <w:basedOn w:val="19"/>
    <w:qFormat/>
    <w:uiPriority w:val="0"/>
    <w:rPr>
      <w:color w:val="BA2636"/>
      <w:sz w:val="12"/>
      <w:szCs w:val="12"/>
    </w:rPr>
  </w:style>
  <w:style w:type="character" w:customStyle="1" w:styleId="49">
    <w:name w:val="gjfg"/>
    <w:basedOn w:val="19"/>
    <w:autoRedefine/>
    <w:qFormat/>
    <w:uiPriority w:val="0"/>
  </w:style>
  <w:style w:type="character" w:customStyle="1" w:styleId="50">
    <w:name w:val="cfdate"/>
    <w:basedOn w:val="19"/>
    <w:qFormat/>
    <w:uiPriority w:val="0"/>
    <w:rPr>
      <w:color w:val="333333"/>
      <w:sz w:val="12"/>
      <w:szCs w:val="12"/>
    </w:rPr>
  </w:style>
  <w:style w:type="character" w:customStyle="1" w:styleId="51">
    <w:name w:val="qxdate"/>
    <w:basedOn w:val="19"/>
    <w:autoRedefine/>
    <w:qFormat/>
    <w:uiPriority w:val="0"/>
    <w:rPr>
      <w:color w:val="333333"/>
      <w:sz w:val="12"/>
      <w:szCs w:val="12"/>
    </w:rPr>
  </w:style>
  <w:style w:type="paragraph" w:customStyle="1" w:styleId="52">
    <w:name w:val="正文格式"/>
    <w:basedOn w:val="1"/>
    <w:qFormat/>
    <w:uiPriority w:val="0"/>
    <w:pPr>
      <w:spacing w:beforeLines="50" w:afterLines="50" w:line="360" w:lineRule="auto"/>
    </w:pPr>
    <w:rPr>
      <w:rFonts w:ascii="Times New Roman" w:hAnsi="Times New Roman"/>
      <w:kern w:val="0"/>
      <w:sz w:val="20"/>
      <w:szCs w:val="24"/>
    </w:rPr>
  </w:style>
  <w:style w:type="paragraph" w:customStyle="1" w:styleId="53">
    <w:name w:val="p0"/>
    <w:basedOn w:val="1"/>
    <w:qFormat/>
    <w:uiPriority w:val="0"/>
    <w:pPr>
      <w:widowControl/>
    </w:pPr>
    <w:rPr>
      <w:rFonts w:ascii="Calibri" w:hAnsi="Calibri" w:cs="宋体"/>
      <w:kern w:val="0"/>
      <w:szCs w:val="21"/>
    </w:rPr>
  </w:style>
  <w:style w:type="paragraph" w:customStyle="1" w:styleId="54">
    <w:name w:val="第2级目录"/>
    <w:basedOn w:val="3"/>
    <w:autoRedefine/>
    <w:qFormat/>
    <w:uiPriority w:val="0"/>
    <w:pPr>
      <w:numPr>
        <w:numId w:val="2"/>
      </w:numPr>
      <w:spacing w:after="156"/>
      <w:jc w:val="left"/>
    </w:pPr>
    <w:rPr>
      <w:rFonts w:ascii="仿宋" w:hAnsi="仿宋" w:eastAsia="仿宋"/>
    </w:rPr>
  </w:style>
  <w:style w:type="paragraph" w:customStyle="1" w:styleId="55">
    <w:name w:val="正文0"/>
    <w:basedOn w:val="1"/>
    <w:qFormat/>
    <w:uiPriority w:val="0"/>
    <w:pPr>
      <w:spacing w:line="360" w:lineRule="auto"/>
      <w:ind w:firstLine="504" w:firstLineChars="200"/>
      <w:jc w:val="left"/>
    </w:pPr>
    <w:rPr>
      <w:rFonts w:ascii="宋体" w:hAnsi="宋体" w:cs="宋体"/>
      <w:spacing w:val="6"/>
      <w:kern w:val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6" Type="http://schemas.openxmlformats.org/officeDocument/2006/relationships/fontTable" Target="fontTable.xml"/><Relationship Id="rId45" Type="http://schemas.openxmlformats.org/officeDocument/2006/relationships/customXml" Target="../customXml/item2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9579DCF-63CF-45B5-A6D6-49EFC665CB6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http:/sdwm.org</Company>
  <Pages>26</Pages>
  <Words>2865</Words>
  <Characters>3155</Characters>
  <Lines>34</Lines>
  <Paragraphs>9</Paragraphs>
  <TotalTime>0</TotalTime>
  <ScaleCrop>false</ScaleCrop>
  <LinksUpToDate>false</LinksUpToDate>
  <CharactersWithSpaces>3187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2020-04-26T15:40:00Z</dcterms:created>
  <dc:creator>SDWM</dc:creator>
  <cp:lastModifiedBy>86178</cp:lastModifiedBy>
  <cp:lastPrinted>2020-04-26T23:54:00Z</cp:lastPrinted>
  <dcterms:modified xsi:type="dcterms:W3CDTF">2024-03-17T07:51:16Z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8B510F1E95B741BE9EB0D1E0E05D0802</vt:lpwstr>
  </property>
  <property fmtid="{D5CDD505-2E9C-101B-9397-08002B2CF9AE}" pid="4" name="commondata">
    <vt:lpwstr>eyJoZGlkIjoiMTg5Y2ZkNTlkNjE5YTI4NTUyOTBiYWJmNGZiYTAxYWIifQ==</vt:lpwstr>
  </property>
</Properties>
</file>