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left="1606" w:hanging="1606" w:hangingChars="500"/>
        <w:rPr>
          <w:rFonts w:ascii="宋体" w:hAnsi="宋体"/>
          <w:b/>
          <w:color w:val="000000" w:themeColor="text1"/>
          <w:kern w:val="0"/>
          <w:sz w:val="32"/>
          <w:szCs w:val="32"/>
          <w:highlight w:val="none"/>
          <w14:textFill>
            <w14:solidFill>
              <w14:schemeClr w14:val="tx1"/>
            </w14:solidFill>
          </w14:textFill>
        </w:rPr>
      </w:pPr>
      <w:bookmarkStart w:id="0" w:name="_Toc9785"/>
      <w:bookmarkStart w:id="1" w:name="_Toc31730"/>
      <w:bookmarkStart w:id="2" w:name="_Toc287620665"/>
      <w:bookmarkStart w:id="812" w:name="_GoBack"/>
    </w:p>
    <w:p>
      <w:pPr>
        <w:autoSpaceDE w:val="0"/>
        <w:autoSpaceDN w:val="0"/>
        <w:adjustRightInd w:val="0"/>
        <w:snapToGrid w:val="0"/>
        <w:spacing w:line="360" w:lineRule="auto"/>
        <w:ind w:left="1606" w:hanging="1606" w:hangingChars="500"/>
        <w:jc w:val="center"/>
        <w:outlineLvl w:val="0"/>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项目名称：</w:t>
      </w:r>
      <w:bookmarkStart w:id="3" w:name="OLE_LINK3"/>
      <w:r>
        <w:rPr>
          <w:rFonts w:hint="eastAsia" w:ascii="宋体" w:hAnsi="宋体"/>
          <w:b/>
          <w:color w:val="000000" w:themeColor="text1"/>
          <w:kern w:val="0"/>
          <w:sz w:val="32"/>
          <w:szCs w:val="32"/>
          <w:highlight w:val="none"/>
          <w:lang w:eastAsia="zh-CN"/>
          <w14:textFill>
            <w14:solidFill>
              <w14:schemeClr w14:val="tx1"/>
            </w14:solidFill>
          </w14:textFill>
        </w:rPr>
        <w:t>南岸区南坪片区、弹子石片区瓶改管燃气管道及设施建设</w:t>
      </w:r>
      <w:r>
        <w:rPr>
          <w:rFonts w:hint="eastAsia" w:ascii="宋体" w:hAnsi="宋体"/>
          <w:b/>
          <w:color w:val="000000" w:themeColor="text1"/>
          <w:kern w:val="0"/>
          <w:sz w:val="32"/>
          <w:szCs w:val="32"/>
          <w:highlight w:val="none"/>
          <w14:textFill>
            <w14:solidFill>
              <w14:schemeClr w14:val="tx1"/>
            </w14:solidFill>
          </w14:textFill>
        </w:rPr>
        <w:t>全过程跟踪审计项目</w:t>
      </w:r>
      <w:bookmarkEnd w:id="3"/>
    </w:p>
    <w:p>
      <w:pPr>
        <w:pStyle w:val="10"/>
        <w:snapToGrid w:val="0"/>
        <w:spacing w:line="360" w:lineRule="auto"/>
        <w:ind w:left="0" w:right="0" w:firstLine="0" w:firstLineChars="0"/>
        <w:rPr>
          <w:rFonts w:ascii="宋体" w:hAnsi="宋体" w:eastAsia="宋体"/>
          <w:b/>
          <w:color w:val="000000" w:themeColor="text1"/>
          <w:sz w:val="56"/>
          <w:szCs w:val="56"/>
          <w:highlight w:val="none"/>
          <w14:textFill>
            <w14:solidFill>
              <w14:schemeClr w14:val="tx1"/>
            </w14:solidFill>
          </w14:textFill>
        </w:rPr>
      </w:pPr>
    </w:p>
    <w:p>
      <w:pPr>
        <w:pStyle w:val="10"/>
        <w:snapToGrid w:val="0"/>
        <w:spacing w:line="360" w:lineRule="auto"/>
        <w:ind w:left="0" w:right="0" w:firstLine="0" w:firstLineChars="0"/>
        <w:jc w:val="center"/>
        <w:rPr>
          <w:rFonts w:ascii="宋体" w:hAnsi="宋体" w:eastAsia="宋体"/>
          <w:b/>
          <w:color w:val="000000" w:themeColor="text1"/>
          <w:sz w:val="84"/>
          <w:szCs w:val="84"/>
          <w:highlight w:val="none"/>
          <w14:textFill>
            <w14:solidFill>
              <w14:schemeClr w14:val="tx1"/>
            </w14:solidFill>
          </w14:textFill>
        </w:rPr>
      </w:pPr>
    </w:p>
    <w:p>
      <w:pPr>
        <w:pStyle w:val="10"/>
        <w:snapToGrid w:val="0"/>
        <w:spacing w:line="360" w:lineRule="auto"/>
        <w:ind w:left="0" w:right="0" w:firstLine="0" w:firstLineChars="0"/>
        <w:jc w:val="center"/>
        <w:rPr>
          <w:rFonts w:ascii="宋体" w:hAnsi="宋体" w:eastAsia="宋体"/>
          <w:b/>
          <w:color w:val="000000" w:themeColor="text1"/>
          <w:sz w:val="84"/>
          <w:szCs w:val="84"/>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color w:val="000000" w:themeColor="text1"/>
          <w:kern w:val="0"/>
          <w:sz w:val="72"/>
          <w:szCs w:val="72"/>
          <w:highlight w:val="none"/>
          <w14:textFill>
            <w14:solidFill>
              <w14:schemeClr w14:val="tx1"/>
            </w14:solidFill>
          </w14:textFill>
        </w:rPr>
      </w:pPr>
      <w:r>
        <w:rPr>
          <w:rFonts w:hint="eastAsia" w:ascii="宋体" w:hAnsi="宋体"/>
          <w:b/>
          <w:color w:val="000000" w:themeColor="text1"/>
          <w:kern w:val="0"/>
          <w:sz w:val="72"/>
          <w:szCs w:val="72"/>
          <w:highlight w:val="none"/>
          <w14:textFill>
            <w14:solidFill>
              <w14:schemeClr w14:val="tx1"/>
            </w14:solidFill>
          </w14:textFill>
        </w:rPr>
        <w:t>竞争性比选文件</w:t>
      </w:r>
    </w:p>
    <w:p>
      <w:pPr>
        <w:pStyle w:val="8"/>
        <w:rPr>
          <w:rFonts w:ascii="宋体" w:hAnsi="宋体"/>
          <w:color w:val="000000" w:themeColor="text1"/>
          <w:highlight w:val="none"/>
          <w14:textFill>
            <w14:solidFill>
              <w14:schemeClr w14:val="tx1"/>
            </w14:solidFill>
          </w14:textFill>
        </w:rPr>
      </w:pPr>
    </w:p>
    <w:p>
      <w:pPr>
        <w:pStyle w:val="4"/>
        <w:rPr>
          <w:rFonts w:ascii="宋体" w:hAnsi="宋体"/>
          <w:color w:val="000000" w:themeColor="text1"/>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color w:val="000000" w:themeColor="text1"/>
          <w:kern w:val="0"/>
          <w:position w:val="-5"/>
          <w:sz w:val="32"/>
          <w:szCs w:val="48"/>
          <w:highlight w:val="none"/>
          <w14:textFill>
            <w14:solidFill>
              <w14:schemeClr w14:val="tx1"/>
            </w14:solidFill>
          </w14:textFill>
        </w:rPr>
      </w:pPr>
    </w:p>
    <w:p>
      <w:pPr>
        <w:spacing w:line="520" w:lineRule="exact"/>
        <w:ind w:firstLine="1205" w:firstLineChars="400"/>
        <w:outlineLvl w:val="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 选 人：</w:t>
      </w:r>
      <w:r>
        <w:rPr>
          <w:rFonts w:hint="eastAsia" w:ascii="宋体" w:hAnsi="宋体" w:cs="宋体"/>
          <w:b/>
          <w:color w:val="000000" w:themeColor="text1"/>
          <w:sz w:val="30"/>
          <w:szCs w:val="30"/>
          <w:highlight w:val="none"/>
          <w:lang w:eastAsia="zh-CN"/>
          <w14:textFill>
            <w14:solidFill>
              <w14:schemeClr w14:val="tx1"/>
            </w14:solidFill>
          </w14:textFill>
        </w:rPr>
        <w:t>重庆市南岸城市更新建设发展有限公司</w:t>
      </w:r>
    </w:p>
    <w:p>
      <w:pPr>
        <w:spacing w:line="520" w:lineRule="exact"/>
        <w:ind w:firstLine="1205" w:firstLineChars="400"/>
        <w:outlineLvl w:val="0"/>
        <w:rPr>
          <w:rFonts w:ascii="宋体" w:hAnsi="宋体" w:cs="宋体"/>
          <w:b/>
          <w:color w:val="000000" w:themeColor="text1"/>
          <w:sz w:val="30"/>
          <w:szCs w:val="30"/>
          <w:highlight w:val="none"/>
          <w14:textFill>
            <w14:solidFill>
              <w14:schemeClr w14:val="tx1"/>
            </w14:solidFill>
          </w14:textFill>
        </w:rPr>
      </w:pPr>
    </w:p>
    <w:p>
      <w:pPr>
        <w:spacing w:line="520" w:lineRule="exact"/>
        <w:ind w:firstLine="1205" w:firstLineChars="400"/>
        <w:outlineLvl w:val="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比选代理机构：</w:t>
      </w:r>
      <w:r>
        <w:rPr>
          <w:rFonts w:ascii="宋体" w:hAnsi="宋体" w:cs="宋体"/>
          <w:b/>
          <w:color w:val="000000" w:themeColor="text1"/>
          <w:sz w:val="30"/>
          <w:szCs w:val="30"/>
          <w:highlight w:val="none"/>
          <w14:textFill>
            <w14:solidFill>
              <w14:schemeClr w14:val="tx1"/>
            </w14:solidFill>
          </w14:textFill>
        </w:rPr>
        <w:t>重庆昱炀工程咨询有限公司</w:t>
      </w:r>
    </w:p>
    <w:p>
      <w:pPr>
        <w:pStyle w:val="52"/>
        <w:jc w:val="center"/>
        <w:rPr>
          <w:rFonts w:ascii="宋体" w:hAnsi="宋体" w:cs="宋体"/>
          <w:b/>
          <w:color w:val="000000" w:themeColor="text1"/>
          <w:sz w:val="30"/>
          <w:szCs w:val="30"/>
          <w:highlight w:val="none"/>
          <w14:textFill>
            <w14:solidFill>
              <w14:schemeClr w14:val="tx1"/>
            </w14:solidFill>
          </w14:textFill>
        </w:rPr>
      </w:pPr>
    </w:p>
    <w:p>
      <w:pPr>
        <w:pStyle w:val="52"/>
        <w:jc w:val="center"/>
        <w:rPr>
          <w:rFonts w:ascii="宋体" w:hAnsi="宋体" w:cs="宋体"/>
          <w:b/>
          <w:color w:val="000000" w:themeColor="text1"/>
          <w:sz w:val="30"/>
          <w:szCs w:val="30"/>
          <w:highlight w:val="none"/>
          <w14:textFill>
            <w14:solidFill>
              <w14:schemeClr w14:val="tx1"/>
            </w14:solidFill>
          </w14:textFill>
        </w:rPr>
      </w:pPr>
    </w:p>
    <w:p>
      <w:pPr>
        <w:pStyle w:val="52"/>
        <w:jc w:val="center"/>
        <w:rPr>
          <w:rFonts w:ascii="宋体" w:hAnsi="宋体" w:cs="宋体"/>
          <w:b/>
          <w:color w:val="000000" w:themeColor="text1"/>
          <w:sz w:val="30"/>
          <w:szCs w:val="30"/>
          <w:highlight w:val="none"/>
          <w14:textFill>
            <w14:solidFill>
              <w14:schemeClr w14:val="tx1"/>
            </w14:solidFill>
          </w14:textFill>
        </w:rPr>
      </w:pPr>
    </w:p>
    <w:p>
      <w:pPr>
        <w:autoSpaceDE w:val="0"/>
        <w:autoSpaceDN w:val="0"/>
        <w:adjustRightInd w:val="0"/>
        <w:snapToGrid w:val="0"/>
        <w:spacing w:line="360" w:lineRule="auto"/>
        <w:jc w:val="center"/>
        <w:outlineLvl w:val="0"/>
        <w:rPr>
          <w:rFonts w:ascii="宋体" w:hAnsi="宋体"/>
          <w:b/>
          <w:color w:val="000000" w:themeColor="text1"/>
          <w:spacing w:val="8"/>
          <w:kern w:val="0"/>
          <w:sz w:val="28"/>
          <w:szCs w:val="28"/>
          <w:highlight w:val="none"/>
          <w14:textFill>
            <w14:solidFill>
              <w14:schemeClr w14:val="tx1"/>
            </w14:solidFill>
          </w14:textFill>
        </w:rPr>
      </w:pPr>
      <w:r>
        <w:rPr>
          <w:rFonts w:hint="eastAsia" w:ascii="宋体" w:hAnsi="宋体"/>
          <w:b/>
          <w:color w:val="000000" w:themeColor="text1"/>
          <w:spacing w:val="8"/>
          <w:kern w:val="0"/>
          <w:sz w:val="28"/>
          <w:szCs w:val="28"/>
          <w:highlight w:val="none"/>
          <w14:textFill>
            <w14:solidFill>
              <w14:schemeClr w14:val="tx1"/>
            </w14:solidFill>
          </w14:textFill>
        </w:rPr>
        <w:t>202</w:t>
      </w:r>
      <w:r>
        <w:rPr>
          <w:rFonts w:hint="eastAsia" w:ascii="宋体" w:hAnsi="宋体"/>
          <w:b/>
          <w:color w:val="000000" w:themeColor="text1"/>
          <w:spacing w:val="8"/>
          <w:kern w:val="0"/>
          <w:sz w:val="28"/>
          <w:szCs w:val="28"/>
          <w:highlight w:val="none"/>
          <w:lang w:val="en-US" w:eastAsia="zh-CN"/>
          <w14:textFill>
            <w14:solidFill>
              <w14:schemeClr w14:val="tx1"/>
            </w14:solidFill>
          </w14:textFill>
        </w:rPr>
        <w:t>5</w:t>
      </w:r>
      <w:r>
        <w:rPr>
          <w:rFonts w:ascii="宋体" w:hAnsi="宋体"/>
          <w:b/>
          <w:color w:val="000000" w:themeColor="text1"/>
          <w:spacing w:val="8"/>
          <w:kern w:val="0"/>
          <w:sz w:val="28"/>
          <w:szCs w:val="28"/>
          <w:highlight w:val="none"/>
          <w14:textFill>
            <w14:solidFill>
              <w14:schemeClr w14:val="tx1"/>
            </w14:solidFill>
          </w14:textFill>
        </w:rPr>
        <w:t>年</w:t>
      </w:r>
      <w:r>
        <w:rPr>
          <w:rFonts w:hint="eastAsia" w:ascii="宋体" w:hAnsi="宋体"/>
          <w:b/>
          <w:color w:val="000000" w:themeColor="text1"/>
          <w:spacing w:val="8"/>
          <w:kern w:val="0"/>
          <w:sz w:val="28"/>
          <w:szCs w:val="28"/>
          <w:highlight w:val="none"/>
          <w:lang w:val="en-US" w:eastAsia="zh-CN"/>
          <w14:textFill>
            <w14:solidFill>
              <w14:schemeClr w14:val="tx1"/>
            </w14:solidFill>
          </w14:textFill>
        </w:rPr>
        <w:t>6</w:t>
      </w:r>
      <w:r>
        <w:rPr>
          <w:rFonts w:ascii="宋体" w:hAnsi="宋体"/>
          <w:b/>
          <w:color w:val="000000" w:themeColor="text1"/>
          <w:spacing w:val="8"/>
          <w:kern w:val="0"/>
          <w:sz w:val="28"/>
          <w:szCs w:val="28"/>
          <w:highlight w:val="none"/>
          <w14:textFill>
            <w14:solidFill>
              <w14:schemeClr w14:val="tx1"/>
            </w14:solidFill>
          </w14:textFill>
        </w:rPr>
        <w:t>月</w:t>
      </w:r>
    </w:p>
    <w:p>
      <w:pPr>
        <w:rPr>
          <w:rFonts w:ascii="宋体" w:hAnsi="宋体"/>
          <w:b/>
          <w:color w:val="000000" w:themeColor="text1"/>
          <w:spacing w:val="8"/>
          <w:kern w:val="0"/>
          <w:sz w:val="28"/>
          <w:szCs w:val="28"/>
          <w:highlight w:val="none"/>
          <w14:textFill>
            <w14:solidFill>
              <w14:schemeClr w14:val="tx1"/>
            </w14:solidFill>
          </w14:textFill>
        </w:rPr>
      </w:pPr>
    </w:p>
    <w:p>
      <w:pPr>
        <w:pStyle w:val="4"/>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目  录</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第一章 比选公告</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第二章 竞选人须知</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第三章 评选办法</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第四章 合同条款及格式</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第五章 发包人要求</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第六章 竞选文件格式</w:t>
      </w:r>
    </w:p>
    <w:bookmarkEnd w:id="0"/>
    <w:bookmarkEnd w:id="1"/>
    <w:bookmarkEnd w:id="2"/>
    <w:sdt>
      <w:sdtPr>
        <w:rPr>
          <w:rFonts w:ascii="宋体" w:hAnsi="宋体"/>
          <w:color w:val="000000" w:themeColor="text1"/>
          <w:highlight w:val="none"/>
          <w14:textFill>
            <w14:solidFill>
              <w14:schemeClr w14:val="tx1"/>
            </w14:solidFill>
          </w14:textFill>
        </w:rPr>
        <w:id w:val="147455173"/>
        <w:docPartObj>
          <w:docPartGallery w:val="Table of Contents"/>
          <w:docPartUnique/>
        </w:docPartObj>
      </w:sdtPr>
      <w:sdtEndPr>
        <w:rPr>
          <w:rFonts w:ascii="宋体" w:hAnsi="宋体" w:cs="宋体"/>
          <w:b/>
          <w:bCs/>
          <w:color w:val="000000" w:themeColor="text1"/>
          <w:sz w:val="32"/>
          <w:szCs w:val="40"/>
          <w:highlight w:val="none"/>
          <w14:textFill>
            <w14:solidFill>
              <w14:schemeClr w14:val="tx1"/>
            </w14:solidFill>
          </w14:textFill>
        </w:rPr>
      </w:sdtEndPr>
      <w:sdtContent>
        <w:p>
          <w:pPr>
            <w:jc w:val="center"/>
            <w:rPr>
              <w:rFonts w:ascii="宋体" w:hAnsi="宋体"/>
              <w:color w:val="000000" w:themeColor="text1"/>
              <w:highlight w:val="none"/>
              <w14:textFill>
                <w14:solidFill>
                  <w14:schemeClr w14:val="tx1"/>
                </w14:solidFill>
              </w14:textFill>
            </w:rPr>
          </w:pPr>
          <w:bookmarkStart w:id="4" w:name="_Toc8580"/>
          <w:bookmarkStart w:id="5" w:name="_Toc509218691"/>
          <w:bookmarkStart w:id="6" w:name="_Toc277082535"/>
          <w:bookmarkStart w:id="7" w:name="_Toc224103298"/>
          <w:bookmarkStart w:id="8" w:name="_Toc2534"/>
          <w:bookmarkStart w:id="9" w:name="_Toc287607727"/>
          <w:bookmarkStart w:id="10" w:name="_Toc287620666"/>
          <w:bookmarkStart w:id="11" w:name="_Toc430530415"/>
        </w:p>
      </w:sdtContent>
    </w:sdt>
    <w:p>
      <w:pPr>
        <w:spacing w:line="360" w:lineRule="auto"/>
        <w:rPr>
          <w:rFonts w:ascii="宋体" w:hAnsi="宋体" w:cs="宋体"/>
          <w:snapToGrid w:val="0"/>
          <w:color w:val="000000" w:themeColor="text1"/>
          <w:kern w:val="0"/>
          <w:sz w:val="15"/>
          <w:szCs w:val="15"/>
          <w:highlight w:val="none"/>
          <w14:textFill>
            <w14:solidFill>
              <w14:schemeClr w14:val="tx1"/>
            </w14:solidFill>
          </w14:textFill>
        </w:rPr>
      </w:pPr>
    </w:p>
    <w:p>
      <w:pPr>
        <w:rPr>
          <w:rFonts w:ascii="宋体" w:hAnsi="宋体" w:cs="宋体"/>
          <w:snapToGrid w:val="0"/>
          <w:color w:val="000000" w:themeColor="text1"/>
          <w:kern w:val="0"/>
          <w:sz w:val="15"/>
          <w:szCs w:val="15"/>
          <w:highlight w:val="none"/>
          <w14:textFill>
            <w14:solidFill>
              <w14:schemeClr w14:val="tx1"/>
            </w14:solidFill>
          </w14:textFill>
        </w:rPr>
      </w:pPr>
    </w:p>
    <w:p>
      <w:pPr>
        <w:pStyle w:val="8"/>
        <w:rPr>
          <w:rFonts w:ascii="宋体" w:hAnsi="宋体" w:cs="宋体"/>
          <w:snapToGrid w:val="0"/>
          <w:color w:val="000000" w:themeColor="text1"/>
          <w:kern w:val="0"/>
          <w:sz w:val="15"/>
          <w:szCs w:val="15"/>
          <w:highlight w:val="none"/>
          <w14:textFill>
            <w14:solidFill>
              <w14:schemeClr w14:val="tx1"/>
            </w14:solidFill>
          </w14:textFill>
        </w:rPr>
      </w:pPr>
    </w:p>
    <w:p>
      <w:pPr>
        <w:rPr>
          <w:rFonts w:ascii="宋体" w:hAnsi="宋体" w:cs="宋体"/>
          <w:snapToGrid w:val="0"/>
          <w:color w:val="000000" w:themeColor="text1"/>
          <w:kern w:val="0"/>
          <w:sz w:val="15"/>
          <w:szCs w:val="15"/>
          <w:highlight w:val="none"/>
          <w14:textFill>
            <w14:solidFill>
              <w14:schemeClr w14:val="tx1"/>
            </w14:solidFill>
          </w14:textFill>
        </w:rPr>
      </w:pPr>
    </w:p>
    <w:p>
      <w:pPr>
        <w:pStyle w:val="8"/>
        <w:rPr>
          <w:rFonts w:ascii="宋体" w:hAnsi="宋体" w:cs="宋体"/>
          <w:snapToGrid w:val="0"/>
          <w:color w:val="000000" w:themeColor="text1"/>
          <w:kern w:val="0"/>
          <w:sz w:val="15"/>
          <w:szCs w:val="15"/>
          <w:highlight w:val="none"/>
          <w14:textFill>
            <w14:solidFill>
              <w14:schemeClr w14:val="tx1"/>
            </w14:solidFill>
          </w14:textFill>
        </w:rPr>
      </w:pPr>
    </w:p>
    <w:p>
      <w:pPr>
        <w:rPr>
          <w:rFonts w:ascii="宋体" w:hAnsi="宋体" w:cs="宋体"/>
          <w:snapToGrid w:val="0"/>
          <w:color w:val="000000" w:themeColor="text1"/>
          <w:kern w:val="0"/>
          <w:sz w:val="15"/>
          <w:szCs w:val="15"/>
          <w:highlight w:val="none"/>
          <w14:textFill>
            <w14:solidFill>
              <w14:schemeClr w14:val="tx1"/>
            </w14:solidFill>
          </w14:textFill>
        </w:rPr>
      </w:pPr>
    </w:p>
    <w:p>
      <w:pPr>
        <w:widowControl/>
        <w:jc w:val="left"/>
        <w:rPr>
          <w:rFonts w:ascii="宋体" w:hAnsi="宋体" w:cs="宋体"/>
          <w:snapToGrid w:val="0"/>
          <w:color w:val="000000" w:themeColor="text1"/>
          <w:kern w:val="0"/>
          <w:sz w:val="15"/>
          <w:szCs w:val="15"/>
          <w:highlight w:val="none"/>
          <w14:textFill>
            <w14:solidFill>
              <w14:schemeClr w14:val="tx1"/>
            </w14:solidFill>
          </w14:textFill>
        </w:rPr>
      </w:pPr>
      <w:r>
        <w:rPr>
          <w:rFonts w:ascii="宋体" w:hAnsi="宋体" w:cs="宋体"/>
          <w:b/>
          <w:bCs/>
          <w:snapToGrid w:val="0"/>
          <w:color w:val="000000" w:themeColor="text1"/>
          <w:kern w:val="0"/>
          <w:sz w:val="15"/>
          <w:szCs w:val="15"/>
          <w:highlight w:val="none"/>
          <w14:textFill>
            <w14:solidFill>
              <w14:schemeClr w14:val="tx1"/>
            </w14:solidFill>
          </w14:textFill>
        </w:rPr>
        <w:br w:type="page"/>
      </w:r>
    </w:p>
    <w:p>
      <w:pPr>
        <w:pStyle w:val="2"/>
        <w:spacing w:before="0" w:after="0" w:line="36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第一章  比选公告</w:t>
      </w:r>
      <w:bookmarkEnd w:id="4"/>
      <w:bookmarkEnd w:id="5"/>
      <w:bookmarkEnd w:id="6"/>
      <w:bookmarkEnd w:id="7"/>
      <w:bookmarkEnd w:id="8"/>
      <w:bookmarkEnd w:id="9"/>
      <w:bookmarkEnd w:id="10"/>
      <w:bookmarkEnd w:id="11"/>
    </w:p>
    <w:p>
      <w:pPr>
        <w:spacing w:before="100" w:after="100" w:line="400" w:lineRule="exact"/>
        <w:jc w:val="center"/>
        <w:rPr>
          <w:rFonts w:ascii="宋体" w:hAnsi="宋体"/>
          <w:b/>
          <w:color w:val="000000" w:themeColor="text1"/>
          <w:kern w:val="0"/>
          <w:sz w:val="32"/>
          <w:szCs w:val="32"/>
          <w:highlight w:val="none"/>
          <w14:textFill>
            <w14:solidFill>
              <w14:schemeClr w14:val="tx1"/>
            </w14:solidFill>
          </w14:textFill>
        </w:rPr>
      </w:pPr>
      <w:bookmarkStart w:id="12" w:name="_Toc13786"/>
      <w:bookmarkStart w:id="13" w:name="_Toc31381"/>
      <w:bookmarkStart w:id="14" w:name="_Toc7072"/>
      <w:bookmarkStart w:id="15" w:name="OLE_LINK2"/>
      <w:r>
        <w:rPr>
          <w:rFonts w:hint="eastAsia" w:ascii="宋体" w:hAnsi="宋体"/>
          <w:b/>
          <w:color w:val="000000" w:themeColor="text1"/>
          <w:kern w:val="0"/>
          <w:sz w:val="32"/>
          <w:szCs w:val="32"/>
          <w:highlight w:val="none"/>
          <w:lang w:eastAsia="zh-CN"/>
          <w14:textFill>
            <w14:solidFill>
              <w14:schemeClr w14:val="tx1"/>
            </w14:solidFill>
          </w14:textFill>
        </w:rPr>
        <w:t>南岸区南坪片区、弹子石片区瓶改管燃气管道及设施建设全过程跟踪审计项目</w:t>
      </w:r>
      <w:r>
        <w:rPr>
          <w:rFonts w:hint="eastAsia" w:ascii="宋体" w:hAnsi="宋体"/>
          <w:b/>
          <w:color w:val="000000" w:themeColor="text1"/>
          <w:kern w:val="0"/>
          <w:sz w:val="32"/>
          <w:szCs w:val="32"/>
          <w:highlight w:val="none"/>
          <w14:textFill>
            <w14:solidFill>
              <w14:schemeClr w14:val="tx1"/>
            </w14:solidFill>
          </w14:textFill>
        </w:rPr>
        <w:t>比选公告</w:t>
      </w:r>
    </w:p>
    <w:p>
      <w:pPr>
        <w:spacing w:before="100" w:after="100" w:line="400" w:lineRule="exact"/>
        <w:ind w:firstLine="422" w:firstLineChars="200"/>
        <w:rPr>
          <w:rFonts w:ascii="宋体" w:hAnsi="宋体" w:cs="宋体"/>
          <w:b/>
          <w:snapToGrid w:val="0"/>
          <w:color w:val="000000" w:themeColor="text1"/>
          <w:szCs w:val="21"/>
          <w:highlight w:val="none"/>
          <w14:textFill>
            <w14:solidFill>
              <w14:schemeClr w14:val="tx1"/>
            </w14:solidFill>
          </w14:textFill>
        </w:rPr>
      </w:pPr>
      <w:r>
        <w:rPr>
          <w:rFonts w:hint="eastAsia" w:ascii="宋体" w:hAnsi="宋体" w:cs="宋体"/>
          <w:b/>
          <w:snapToGrid w:val="0"/>
          <w:color w:val="000000" w:themeColor="text1"/>
          <w:szCs w:val="21"/>
          <w:highlight w:val="none"/>
          <w14:textFill>
            <w14:solidFill>
              <w14:schemeClr w14:val="tx1"/>
            </w14:solidFill>
          </w14:textFill>
        </w:rPr>
        <w:t>1、比选条件</w:t>
      </w:r>
      <w:bookmarkEnd w:id="12"/>
      <w:bookmarkEnd w:id="13"/>
      <w:bookmarkEnd w:id="14"/>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lang w:val="zh-TW" w:eastAsia="zh-TW"/>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本项目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南岸区南坪片区、弹子石片区瓶改管燃气管道及设施建设项目</w:t>
      </w:r>
      <w:r>
        <w:rPr>
          <w:rFonts w:hint="eastAsia" w:ascii="宋体" w:hAnsi="宋体"/>
          <w:snapToGrid w:val="0"/>
          <w:color w:val="000000" w:themeColor="text1"/>
          <w:kern w:val="0"/>
          <w:szCs w:val="21"/>
          <w:highlight w:val="none"/>
          <w:u w:val="single"/>
          <w14:textFill>
            <w14:solidFill>
              <w14:schemeClr w14:val="tx1"/>
            </w14:solidFill>
          </w14:textFill>
        </w:rPr>
        <w:t>已</w:t>
      </w:r>
      <w:r>
        <w:rPr>
          <w:rFonts w:hint="eastAsia" w:ascii="宋体" w:hAnsi="宋体"/>
          <w:snapToGrid w:val="0"/>
          <w:color w:val="000000" w:themeColor="text1"/>
          <w:kern w:val="0"/>
          <w:szCs w:val="21"/>
          <w:highlight w:val="none"/>
          <w14:textFill>
            <w14:solidFill>
              <w14:schemeClr w14:val="tx1"/>
            </w14:solidFill>
          </w14:textFill>
        </w:rPr>
        <w:t>批准建设，项目业主为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hint="eastAsia"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国有资金</w:t>
      </w:r>
      <w:r>
        <w:rPr>
          <w:rFonts w:hint="eastAsia" w:ascii="宋体" w:hAnsi="宋体"/>
          <w:snapToGrid w:val="0"/>
          <w:color w:val="000000" w:themeColor="text1"/>
          <w:kern w:val="0"/>
          <w:szCs w:val="21"/>
          <w:highlight w:val="none"/>
          <w14:textFill>
            <w14:solidFill>
              <w14:schemeClr w14:val="tx1"/>
            </w14:solidFill>
          </w14:textFill>
        </w:rPr>
        <w:t>，项目出资比例为100%，比选人为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hint="eastAsia" w:ascii="宋体" w:hAnsi="宋体"/>
          <w:snapToGrid w:val="0"/>
          <w:color w:val="000000" w:themeColor="text1"/>
          <w:kern w:val="0"/>
          <w:szCs w:val="21"/>
          <w:highlight w:val="none"/>
          <w14:textFill>
            <w14:solidFill>
              <w14:schemeClr w14:val="tx1"/>
            </w14:solidFill>
          </w14:textFill>
        </w:rPr>
        <w:t>。现对该项目的</w:t>
      </w:r>
      <w:r>
        <w:rPr>
          <w:rFonts w:hint="eastAsia" w:ascii="宋体" w:hAnsi="宋体"/>
          <w:snapToGrid w:val="0"/>
          <w:color w:val="000000" w:themeColor="text1"/>
          <w:kern w:val="0"/>
          <w:szCs w:val="21"/>
          <w:highlight w:val="none"/>
          <w:u w:val="single"/>
          <w:lang w:eastAsia="zh-CN"/>
          <w14:textFill>
            <w14:solidFill>
              <w14:schemeClr w14:val="tx1"/>
            </w14:solidFill>
          </w14:textFill>
        </w:rPr>
        <w:t>全过程跟踪审计项目</w:t>
      </w:r>
      <w:r>
        <w:rPr>
          <w:rFonts w:hint="eastAsia" w:ascii="宋体" w:hAnsi="宋体"/>
          <w:snapToGrid w:val="0"/>
          <w:color w:val="000000" w:themeColor="text1"/>
          <w:kern w:val="0"/>
          <w:szCs w:val="21"/>
          <w:highlight w:val="none"/>
          <w14:textFill>
            <w14:solidFill>
              <w14:schemeClr w14:val="tx1"/>
            </w14:solidFill>
          </w14:textFill>
        </w:rPr>
        <w:t>进行公开竞争性比选，欢迎各潜在竞选人参与竞选。</w:t>
      </w:r>
    </w:p>
    <w:p>
      <w:pPr>
        <w:spacing w:before="100" w:after="100" w:line="400" w:lineRule="exact"/>
        <w:ind w:firstLine="422" w:firstLineChars="200"/>
        <w:rPr>
          <w:rFonts w:ascii="宋体" w:hAnsi="宋体" w:cs="宋体"/>
          <w:b/>
          <w:bCs/>
          <w:snapToGrid w:val="0"/>
          <w:color w:val="000000" w:themeColor="text1"/>
          <w:szCs w:val="21"/>
          <w:highlight w:val="none"/>
          <w14:textFill>
            <w14:solidFill>
              <w14:schemeClr w14:val="tx1"/>
            </w14:solidFill>
          </w14:textFill>
        </w:rPr>
      </w:pPr>
      <w:bookmarkStart w:id="16" w:name="_Toc17229"/>
      <w:bookmarkStart w:id="17" w:name="_Toc30487"/>
      <w:bookmarkStart w:id="18" w:name="_Toc13219"/>
      <w:r>
        <w:rPr>
          <w:rFonts w:hint="eastAsia" w:ascii="宋体" w:hAnsi="宋体" w:cs="宋体"/>
          <w:b/>
          <w:bCs/>
          <w:snapToGrid w:val="0"/>
          <w:color w:val="000000" w:themeColor="text1"/>
          <w:szCs w:val="21"/>
          <w:highlight w:val="none"/>
          <w14:textFill>
            <w14:solidFill>
              <w14:schemeClr w14:val="tx1"/>
            </w14:solidFill>
          </w14:textFill>
        </w:rPr>
        <w:t>2、项目概况与比选范围</w:t>
      </w:r>
    </w:p>
    <w:p>
      <w:pPr>
        <w:spacing w:line="4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w:t>
      </w:r>
      <w:r>
        <w:rPr>
          <w:rFonts w:ascii="宋体" w:hAnsi="宋体"/>
          <w:color w:val="000000" w:themeColor="text1"/>
          <w:highlight w:val="none"/>
          <w14:textFill>
            <w14:solidFill>
              <w14:schemeClr w14:val="tx1"/>
            </w14:solidFill>
          </w14:textFill>
        </w:rPr>
        <w:t>建设地点：</w:t>
      </w:r>
      <w:r>
        <w:rPr>
          <w:rFonts w:hint="eastAsia" w:ascii="宋体" w:hAnsi="宋体" w:cs="宋体"/>
          <w:color w:val="000000" w:themeColor="text1"/>
          <w:szCs w:val="21"/>
          <w:highlight w:val="none"/>
          <w:u w:val="single"/>
          <w14:textFill>
            <w14:solidFill>
              <w14:schemeClr w14:val="tx1"/>
            </w14:solidFill>
          </w14:textFill>
        </w:rPr>
        <w:t>重庆市南岸区</w:t>
      </w:r>
      <w:r>
        <w:rPr>
          <w:rFonts w:hint="eastAsia" w:ascii="宋体" w:hAnsi="宋体"/>
          <w:color w:val="000000" w:themeColor="text1"/>
          <w:highlight w:val="none"/>
          <w:u w:val="single"/>
          <w14:textFill>
            <w14:solidFill>
              <w14:schemeClr w14:val="tx1"/>
            </w14:solidFill>
          </w14:textFill>
        </w:rPr>
        <w:t>。</w:t>
      </w:r>
    </w:p>
    <w:p>
      <w:pPr>
        <w:spacing w:line="460" w:lineRule="exact"/>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2.2 项目概况与建设规模：“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p>
    <w:p>
      <w:pPr>
        <w:spacing w:line="460" w:lineRule="exact"/>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2.3建安工程费与合同估算金额：本项目估算总投资为</w:t>
      </w:r>
      <w:r>
        <w:rPr>
          <w:rFonts w:hint="eastAsia" w:ascii="宋体" w:hAnsi="宋体" w:eastAsia="宋体" w:cs="Times New Roman"/>
          <w:color w:val="000000" w:themeColor="text1"/>
          <w:highlight w:val="none"/>
          <w14:textFill>
            <w14:solidFill>
              <w14:schemeClr w14:val="tx1"/>
            </w14:solidFill>
          </w14:textFill>
        </w:rPr>
        <w:t>6096.54万元。</w:t>
      </w:r>
    </w:p>
    <w:bookmarkEnd w:id="16"/>
    <w:bookmarkEnd w:id="17"/>
    <w:bookmarkEnd w:id="18"/>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olor w:val="000000" w:themeColor="text1"/>
          <w:szCs w:val="21"/>
          <w:highlight w:val="none"/>
          <w:u w:val="single"/>
          <w14:textFill>
            <w14:solidFill>
              <w14:schemeClr w14:val="tx1"/>
            </w14:solidFill>
          </w14:textFill>
        </w:rPr>
      </w:pPr>
      <w:bookmarkStart w:id="19" w:name="_Toc4964"/>
      <w:bookmarkStart w:id="20" w:name="_Toc3686"/>
      <w:bookmarkStart w:id="21" w:name="_Toc6792"/>
      <w:r>
        <w:rPr>
          <w:rFonts w:hint="eastAsia" w:ascii="宋体" w:hAnsi="宋体"/>
          <w:snapToGrid w:val="0"/>
          <w:color w:val="000000" w:themeColor="text1"/>
          <w:kern w:val="0"/>
          <w:szCs w:val="21"/>
          <w:highlight w:val="none"/>
          <w14:textFill>
            <w14:solidFill>
              <w14:schemeClr w14:val="tx1"/>
            </w14:solidFill>
          </w14:textFill>
        </w:rPr>
        <w:t>2.4比选范围：</w:t>
      </w:r>
      <w:r>
        <w:rPr>
          <w:rFonts w:hint="eastAsia" w:ascii="宋体" w:hAnsi="宋体"/>
          <w:color w:val="000000" w:themeColor="text1"/>
          <w:szCs w:val="21"/>
          <w:highlight w:val="none"/>
          <w:u w:val="single"/>
          <w14:textFill>
            <w14:solidFill>
              <w14:schemeClr w14:val="tx1"/>
            </w14:solidFill>
          </w14:textFill>
        </w:rPr>
        <w:t>对本工程提供全过程跟踪审计，包含但不限于：施工方案的经济评价、设计变更的经济分析、变更审核、参与施工阶段的现场计量及其审核、现场签证及其审核、新增项目的价格审核及评价、建筑材料认（审）价、工程进度款审核、专业分包造价控制、工程索赔和反索赔咨询、有关工程造价信息及法规咨询、与本工程有关的其他采购事宜限价编制、完工后的结算审核等与造价控制有关的其他服务工作及配合项目审计等工作，详见合同约定。</w:t>
      </w:r>
    </w:p>
    <w:p>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eastAsia="宋体" w:cs="Times New Roman"/>
          <w:b/>
          <w:bCs/>
          <w:color w:val="000000" w:themeColor="text1"/>
          <w:szCs w:val="21"/>
          <w:highlight w:val="none"/>
          <w:u w:val="none"/>
          <w14:textFill>
            <w14:solidFill>
              <w14:schemeClr w14:val="tx1"/>
            </w14:solidFill>
          </w14:textFill>
        </w:rPr>
      </w:pP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注：</w:t>
      </w:r>
      <w:r>
        <w:rPr>
          <w:rFonts w:hint="default" w:ascii="宋体" w:hAnsi="宋体" w:eastAsia="宋体" w:cs="Times New Roman"/>
          <w:b/>
          <w:bCs/>
          <w:color w:val="000000" w:themeColor="text1"/>
          <w:szCs w:val="21"/>
          <w:highlight w:val="none"/>
          <w:u w:val="none"/>
          <w14:textFill>
            <w14:solidFill>
              <w14:schemeClr w14:val="tx1"/>
            </w14:solidFill>
          </w14:textFill>
        </w:rPr>
        <w:t>本项目</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范围、实施内容及招标金额均为初步估算，最终以</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人在项目实施中确认的实施范围和内容为准。本工程项目如遇政策调整或</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人根据项目进展需要及实际情况等因素，</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人有权减少或调整工程实施范围及工程量等，最终实施范围及工程量，以工程实施中</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人确认的工程实施范围及工程量为准，</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人与</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中选</w:t>
      </w:r>
      <w:r>
        <w:rPr>
          <w:rFonts w:hint="default" w:ascii="宋体" w:hAnsi="宋体" w:eastAsia="宋体" w:cs="Times New Roman"/>
          <w:b/>
          <w:bCs/>
          <w:color w:val="000000" w:themeColor="text1"/>
          <w:szCs w:val="21"/>
          <w:highlight w:val="none"/>
          <w:u w:val="none"/>
          <w14:textFill>
            <w14:solidFill>
              <w14:schemeClr w14:val="tx1"/>
            </w14:solidFill>
          </w14:textFill>
        </w:rPr>
        <w:t>人按照合同约定的计量计价原则进行支付和结算，承包人对此不持异议且不得提出任何费用索赔。承包人将该因素综合考虑在投标报价中。</w:t>
      </w:r>
    </w:p>
    <w:p>
      <w:pPr>
        <w:tabs>
          <w:tab w:val="left" w:pos="3840"/>
          <w:tab w:val="left" w:pos="5300"/>
        </w:tabs>
        <w:autoSpaceDE w:val="0"/>
        <w:autoSpaceDN w:val="0"/>
        <w:adjustRightInd w:val="0"/>
        <w:snapToGrid w:val="0"/>
        <w:spacing w:line="5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2.5服务期</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本项目服务周期自合同签订之日开始至工程竣工验收及结算审计完成</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u w:val="single"/>
          <w14:textFill>
            <w14:solidFill>
              <w14:schemeClr w14:val="tx1"/>
            </w14:solidFill>
          </w14:textFill>
        </w:rPr>
        <w:t>并出具结算审核报告。</w:t>
      </w:r>
    </w:p>
    <w:p>
      <w:pPr>
        <w:tabs>
          <w:tab w:val="left" w:pos="3840"/>
          <w:tab w:val="left" w:pos="5300"/>
        </w:tabs>
        <w:autoSpaceDE w:val="0"/>
        <w:autoSpaceDN w:val="0"/>
        <w:adjustRightInd w:val="0"/>
        <w:snapToGrid w:val="0"/>
        <w:spacing w:line="460" w:lineRule="exact"/>
        <w:ind w:firstLine="422" w:firstLineChars="200"/>
        <w:jc w:val="left"/>
        <w:rPr>
          <w:rFonts w:ascii="宋体" w:hAnsi="宋体"/>
          <w:b/>
          <w:bCs/>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3、竞选人资格要求</w:t>
      </w:r>
      <w:bookmarkEnd w:id="19"/>
      <w:bookmarkEnd w:id="20"/>
      <w:bookmarkEnd w:id="21"/>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14:textFill>
            <w14:solidFill>
              <w14:schemeClr w14:val="tx1"/>
            </w14:solidFill>
          </w14:textFill>
        </w:rPr>
      </w:pPr>
      <w:bookmarkStart w:id="22" w:name="_Toc26534"/>
      <w:bookmarkStart w:id="23" w:name="_Toc22348"/>
      <w:bookmarkStart w:id="24" w:name="_Toc29881"/>
      <w:r>
        <w:rPr>
          <w:rFonts w:hint="eastAsia" w:ascii="宋体" w:hAnsi="宋体" w:cs="宋体"/>
          <w:color w:val="000000" w:themeColor="text1"/>
          <w:szCs w:val="21"/>
          <w:highlight w:val="none"/>
          <w14:textFill>
            <w14:solidFill>
              <w14:schemeClr w14:val="tx1"/>
            </w14:solidFill>
          </w14:textFill>
        </w:rPr>
        <w:t>3.1 本次招标要求竞选人须具备以下条件：</w:t>
      </w:r>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 本次比选要求竞选人具备有效的营业执照；</w:t>
      </w:r>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竞选人还应在人员、设备、资金等方面具有相应的能力，详见比选文件第二章竞选人须知前附表第1.4.1项内容。</w:t>
      </w:r>
    </w:p>
    <w:p>
      <w:pPr>
        <w:tabs>
          <w:tab w:val="left" w:pos="3045"/>
          <w:tab w:val="left" w:pos="8310"/>
        </w:tabs>
        <w:autoSpaceDE w:val="0"/>
        <w:autoSpaceDN w:val="0"/>
        <w:adjustRightInd w:val="0"/>
        <w:snapToGrid w:val="0"/>
        <w:spacing w:line="42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  本次比选不接受联合体竞选。</w:t>
      </w:r>
    </w:p>
    <w:p>
      <w:pPr>
        <w:pStyle w:val="25"/>
        <w:widowControl/>
        <w:snapToGrid w:val="0"/>
        <w:spacing w:beforeAutospacing="0" w:afterAutospacing="0" w:line="420" w:lineRule="exact"/>
        <w:ind w:firstLine="442" w:firstLineChars="200"/>
        <w:rPr>
          <w:rFonts w:ascii="宋体" w:hAnsi="宋体" w:cs="宋体"/>
          <w:snapToGrid w:val="0"/>
          <w:color w:val="000000" w:themeColor="text1"/>
          <w:sz w:val="22"/>
          <w:szCs w:val="22"/>
          <w:highlight w:val="none"/>
          <w14:textFill>
            <w14:solidFill>
              <w14:schemeClr w14:val="tx1"/>
            </w14:solidFill>
          </w14:textFill>
        </w:rPr>
      </w:pPr>
      <w:r>
        <w:rPr>
          <w:rFonts w:hint="eastAsia" w:ascii="宋体" w:hAnsi="宋体" w:cs="宋体"/>
          <w:b/>
          <w:bCs/>
          <w:snapToGrid w:val="0"/>
          <w:color w:val="000000" w:themeColor="text1"/>
          <w:sz w:val="22"/>
          <w:szCs w:val="22"/>
          <w:highlight w:val="none"/>
          <w14:textFill>
            <w14:solidFill>
              <w14:schemeClr w14:val="tx1"/>
            </w14:solidFill>
          </w14:textFill>
        </w:rPr>
        <w:t>4、比选文件的获取</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4.1.竞标人在竞标前可在行采家（https://www.gec123.com/）下载招标文件、工程量清单、电子图纸等资料。</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4.2报名和比选文件发售期：</w:t>
      </w:r>
      <w:bookmarkStart w:id="25" w:name="OLE_LINK7"/>
      <w:r>
        <w:rPr>
          <w:rFonts w:hint="eastAsia" w:ascii="宋体" w:hAnsi="宋体"/>
          <w:snapToGrid w:val="0"/>
          <w:color w:val="000000" w:themeColor="text1"/>
          <w:kern w:val="0"/>
          <w:highlight w:val="none"/>
          <w14:textFill>
            <w14:solidFill>
              <w14:schemeClr w14:val="tx1"/>
            </w14:solidFill>
          </w14:textFill>
        </w:rPr>
        <w:t>202</w:t>
      </w:r>
      <w:r>
        <w:rPr>
          <w:rFonts w:hint="eastAsia" w:ascii="宋体" w:hAnsi="宋体"/>
          <w:snapToGrid w:val="0"/>
          <w:color w:val="000000" w:themeColor="text1"/>
          <w:kern w:val="0"/>
          <w:highlight w:val="none"/>
          <w:lang w:val="en-US" w:eastAsia="zh-CN"/>
          <w14:textFill>
            <w14:solidFill>
              <w14:schemeClr w14:val="tx1"/>
            </w14:solidFill>
          </w14:textFill>
        </w:rPr>
        <w:t>5</w:t>
      </w:r>
      <w:r>
        <w:rPr>
          <w:rFonts w:hint="eastAsia" w:ascii="宋体" w:hAnsi="宋体"/>
          <w:snapToGrid w:val="0"/>
          <w:color w:val="000000" w:themeColor="text1"/>
          <w:kern w:val="0"/>
          <w:highlight w:val="none"/>
          <w14:textFill>
            <w14:solidFill>
              <w14:schemeClr w14:val="tx1"/>
            </w14:solidFill>
          </w14:textFill>
        </w:rPr>
        <w:t>年</w:t>
      </w:r>
      <w:r>
        <w:rPr>
          <w:rFonts w:hint="eastAsia" w:ascii="宋体" w:hAnsi="宋体"/>
          <w:snapToGrid w:val="0"/>
          <w:color w:val="000000" w:themeColor="text1"/>
          <w:kern w:val="0"/>
          <w:highlight w:val="none"/>
          <w:lang w:val="en-US" w:eastAsia="zh-CN"/>
          <w14:textFill>
            <w14:solidFill>
              <w14:schemeClr w14:val="tx1"/>
            </w14:solidFill>
          </w14:textFill>
        </w:rPr>
        <w:t>6</w:t>
      </w:r>
      <w:r>
        <w:rPr>
          <w:rFonts w:hint="eastAsia" w:ascii="宋体" w:hAnsi="宋体"/>
          <w:snapToGrid w:val="0"/>
          <w:color w:val="000000" w:themeColor="text1"/>
          <w:kern w:val="0"/>
          <w:highlight w:val="none"/>
          <w14:textFill>
            <w14:solidFill>
              <w14:schemeClr w14:val="tx1"/>
            </w14:solidFill>
          </w14:textFill>
        </w:rPr>
        <w:t>月</w:t>
      </w:r>
      <w:r>
        <w:rPr>
          <w:rFonts w:hint="eastAsia" w:ascii="宋体" w:hAnsi="宋体"/>
          <w:snapToGrid w:val="0"/>
          <w:color w:val="000000" w:themeColor="text1"/>
          <w:kern w:val="0"/>
          <w:highlight w:val="none"/>
          <w:lang w:val="en-US" w:eastAsia="zh-CN"/>
          <w14:textFill>
            <w14:solidFill>
              <w14:schemeClr w14:val="tx1"/>
            </w14:solidFill>
          </w14:textFill>
        </w:rPr>
        <w:t>6</w:t>
      </w:r>
      <w:r>
        <w:rPr>
          <w:rFonts w:hint="eastAsia" w:ascii="宋体" w:hAnsi="宋体"/>
          <w:snapToGrid w:val="0"/>
          <w:color w:val="000000" w:themeColor="text1"/>
          <w:kern w:val="0"/>
          <w:highlight w:val="none"/>
          <w14:textFill>
            <w14:solidFill>
              <w14:schemeClr w14:val="tx1"/>
            </w14:solidFill>
          </w14:textFill>
        </w:rPr>
        <w:t>日</w:t>
      </w:r>
      <w:bookmarkEnd w:id="25"/>
      <w:r>
        <w:rPr>
          <w:rFonts w:hint="eastAsia" w:ascii="宋体" w:hAnsi="宋体"/>
          <w:snapToGrid w:val="0"/>
          <w:color w:val="000000" w:themeColor="text1"/>
          <w:kern w:val="0"/>
          <w:highlight w:val="none"/>
          <w14:textFill>
            <w14:solidFill>
              <w14:schemeClr w14:val="tx1"/>
            </w14:solidFill>
          </w14:textFill>
        </w:rPr>
        <w:t>-202</w:t>
      </w:r>
      <w:r>
        <w:rPr>
          <w:rFonts w:hint="eastAsia" w:ascii="宋体" w:hAnsi="宋体"/>
          <w:snapToGrid w:val="0"/>
          <w:color w:val="000000" w:themeColor="text1"/>
          <w:kern w:val="0"/>
          <w:highlight w:val="none"/>
          <w:lang w:val="en-US" w:eastAsia="zh-CN"/>
          <w14:textFill>
            <w14:solidFill>
              <w14:schemeClr w14:val="tx1"/>
            </w14:solidFill>
          </w14:textFill>
        </w:rPr>
        <w:t>5</w:t>
      </w:r>
      <w:r>
        <w:rPr>
          <w:rFonts w:hint="eastAsia" w:ascii="宋体" w:hAnsi="宋体"/>
          <w:snapToGrid w:val="0"/>
          <w:color w:val="000000" w:themeColor="text1"/>
          <w:kern w:val="0"/>
          <w:highlight w:val="none"/>
          <w14:textFill>
            <w14:solidFill>
              <w14:schemeClr w14:val="tx1"/>
            </w14:solidFill>
          </w14:textFill>
        </w:rPr>
        <w:t>年</w:t>
      </w:r>
      <w:r>
        <w:rPr>
          <w:rFonts w:hint="eastAsia" w:ascii="宋体" w:hAnsi="宋体"/>
          <w:snapToGrid w:val="0"/>
          <w:color w:val="000000" w:themeColor="text1"/>
          <w:kern w:val="0"/>
          <w:highlight w:val="none"/>
          <w:lang w:val="en-US" w:eastAsia="zh-CN"/>
          <w14:textFill>
            <w14:solidFill>
              <w14:schemeClr w14:val="tx1"/>
            </w14:solidFill>
          </w14:textFill>
        </w:rPr>
        <w:t>6</w:t>
      </w:r>
      <w:r>
        <w:rPr>
          <w:rFonts w:hint="eastAsia" w:ascii="宋体" w:hAnsi="宋体"/>
          <w:snapToGrid w:val="0"/>
          <w:color w:val="000000" w:themeColor="text1"/>
          <w:kern w:val="0"/>
          <w:highlight w:val="none"/>
          <w14:textFill>
            <w14:solidFill>
              <w14:schemeClr w14:val="tx1"/>
            </w14:solidFill>
          </w14:textFill>
        </w:rPr>
        <w:t>月</w:t>
      </w:r>
      <w:r>
        <w:rPr>
          <w:rFonts w:hint="eastAsia" w:ascii="宋体" w:hAnsi="宋体"/>
          <w:snapToGrid w:val="0"/>
          <w:color w:val="000000" w:themeColor="text1"/>
          <w:kern w:val="0"/>
          <w:highlight w:val="none"/>
          <w:lang w:val="en-US" w:eastAsia="zh-CN"/>
          <w14:textFill>
            <w14:solidFill>
              <w14:schemeClr w14:val="tx1"/>
            </w14:solidFill>
          </w14:textFill>
        </w:rPr>
        <w:t>11</w:t>
      </w:r>
      <w:r>
        <w:rPr>
          <w:rFonts w:hint="eastAsia" w:ascii="宋体" w:hAnsi="宋体"/>
          <w:snapToGrid w:val="0"/>
          <w:color w:val="000000" w:themeColor="text1"/>
          <w:kern w:val="0"/>
          <w:highlight w:val="none"/>
          <w14:textFill>
            <w14:solidFill>
              <w14:schemeClr w14:val="tx1"/>
            </w14:solidFill>
          </w14:textFill>
        </w:rPr>
        <w:t>日（工作时间）</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4.3.竞争性比选文件发售期内，竞标人可选择以下两种方式报名并获取比选文件：</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4.3.1现场报名</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在竞争性比选文件发售期内，供应商须《比选文件发售登记表》（加盖竞标人公章）到</w:t>
      </w:r>
      <w:r>
        <w:rPr>
          <w:rFonts w:ascii="宋体" w:hAnsi="宋体"/>
          <w:snapToGrid w:val="0"/>
          <w:color w:val="000000" w:themeColor="text1"/>
          <w:kern w:val="0"/>
          <w:highlight w:val="none"/>
          <w14:textFill>
            <w14:solidFill>
              <w14:schemeClr w14:val="tx1"/>
            </w14:solidFill>
          </w14:textFill>
        </w:rPr>
        <w:t>重庆昱炀工程咨询有限公司</w:t>
      </w:r>
      <w:r>
        <w:rPr>
          <w:rFonts w:hint="eastAsia" w:ascii="宋体" w:hAnsi="宋体"/>
          <w:snapToGrid w:val="0"/>
          <w:color w:val="000000" w:themeColor="text1"/>
          <w:kern w:val="0"/>
          <w:highlight w:val="none"/>
          <w14:textFill>
            <w14:solidFill>
              <w14:schemeClr w14:val="tx1"/>
            </w14:solidFill>
          </w14:textFill>
        </w:rPr>
        <w:t>（</w:t>
      </w:r>
      <w:r>
        <w:rPr>
          <w:rFonts w:ascii="宋体" w:hAnsi="宋体"/>
          <w:snapToGrid w:val="0"/>
          <w:color w:val="000000" w:themeColor="text1"/>
          <w:kern w:val="0"/>
          <w:highlight w:val="none"/>
          <w14:textFill>
            <w14:solidFill>
              <w14:schemeClr w14:val="tx1"/>
            </w14:solidFill>
          </w14:textFill>
        </w:rPr>
        <w:t>重庆市</w:t>
      </w:r>
      <w:r>
        <w:rPr>
          <w:rFonts w:hint="eastAsia" w:ascii="宋体" w:hAnsi="宋体"/>
          <w:snapToGrid w:val="0"/>
          <w:color w:val="000000" w:themeColor="text1"/>
          <w:kern w:val="0"/>
          <w:highlight w:val="none"/>
          <w14:textFill>
            <w14:solidFill>
              <w14:schemeClr w14:val="tx1"/>
            </w14:solidFill>
          </w14:textFill>
        </w:rPr>
        <w:t>南岸区同景国际城U组团2栋18楼）报名并购买比选文件。</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4.3.2非现场报名</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在竞争性比选文件发售期内，竞标人将比选文件购买费用汇至以下账户内进行购买。通过汇款方式购买比选文件的，将比选文件费汇款凭证（注明项目名称）、《比选文件发售登记表》（加盖竞标人公章）扫描后发送至250634682@qq.com（邮箱）进行报名并购买比选文件。</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户名：</w:t>
      </w:r>
      <w:r>
        <w:rPr>
          <w:rFonts w:ascii="宋体" w:hAnsi="宋体"/>
          <w:snapToGrid w:val="0"/>
          <w:color w:val="000000" w:themeColor="text1"/>
          <w:kern w:val="0"/>
          <w:highlight w:val="none"/>
          <w14:textFill>
            <w14:solidFill>
              <w14:schemeClr w14:val="tx1"/>
            </w14:solidFill>
          </w14:textFill>
        </w:rPr>
        <w:t>重庆昱炀工程咨询有限公司</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开户行：</w:t>
      </w:r>
      <w:r>
        <w:rPr>
          <w:rFonts w:ascii="宋体" w:hAnsi="宋体"/>
          <w:snapToGrid w:val="0"/>
          <w:color w:val="000000" w:themeColor="text1"/>
          <w:kern w:val="0"/>
          <w:highlight w:val="none"/>
          <w14:textFill>
            <w14:solidFill>
              <w14:schemeClr w14:val="tx1"/>
            </w14:solidFill>
          </w14:textFill>
        </w:rPr>
        <w:t>中国民生银行重庆龙湖支行</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账号：</w:t>
      </w:r>
      <w:r>
        <w:rPr>
          <w:rFonts w:ascii="宋体" w:hAnsi="宋体"/>
          <w:snapToGrid w:val="0"/>
          <w:color w:val="000000" w:themeColor="text1"/>
          <w:kern w:val="0"/>
          <w:highlight w:val="none"/>
          <w14:textFill>
            <w14:solidFill>
              <w14:schemeClr w14:val="tx1"/>
            </w14:solidFill>
          </w14:textFill>
        </w:rPr>
        <w:t>160612349</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注：在竞争性比选文件发售期限内报名的供应商，其递交响应文件时才能被接收。</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4.4.竞争性比选文件售价：人民币500元/份。</w:t>
      </w:r>
    </w:p>
    <w:p>
      <w:pPr>
        <w:pStyle w:val="25"/>
        <w:widowControl/>
        <w:snapToGrid w:val="0"/>
        <w:spacing w:beforeAutospacing="0" w:afterAutospacing="0" w:line="420" w:lineRule="exact"/>
        <w:ind w:firstLine="442" w:firstLineChars="200"/>
        <w:jc w:val="both"/>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5、竞选文件的递交</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5.1  </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递交的截止时间（</w:t>
      </w:r>
      <w:r>
        <w:rPr>
          <w:rFonts w:hint="eastAsia" w:ascii="宋体" w:hAnsi="宋体"/>
          <w:snapToGrid w:val="0"/>
          <w:color w:val="000000" w:themeColor="text1"/>
          <w:kern w:val="0"/>
          <w:szCs w:val="21"/>
          <w:highlight w:val="none"/>
          <w14:textFill>
            <w14:solidFill>
              <w14:schemeClr w14:val="tx1"/>
            </w14:solidFill>
          </w14:textFill>
        </w:rPr>
        <w:t>竞选截止时间</w:t>
      </w:r>
      <w:r>
        <w:rPr>
          <w:rFonts w:ascii="宋体" w:hAnsi="宋体"/>
          <w:snapToGrid w:val="0"/>
          <w:color w:val="000000" w:themeColor="text1"/>
          <w:kern w:val="0"/>
          <w:szCs w:val="21"/>
          <w:highlight w:val="none"/>
          <w14:textFill>
            <w14:solidFill>
              <w14:schemeClr w14:val="tx1"/>
            </w14:solidFill>
          </w14:textFill>
        </w:rPr>
        <w:t>，下同）为</w:t>
      </w:r>
      <w:r>
        <w:rPr>
          <w:rFonts w:hint="eastAsia" w:ascii="宋体" w:hAnsi="宋体"/>
          <w:snapToGrid w:val="0"/>
          <w:color w:val="000000" w:themeColor="text1"/>
          <w:kern w:val="0"/>
          <w:highlight w:val="none"/>
          <w14:textFill>
            <w14:solidFill>
              <w14:schemeClr w14:val="tx1"/>
            </w14:solidFill>
          </w14:textFill>
        </w:rPr>
        <w:t>202</w:t>
      </w:r>
      <w:r>
        <w:rPr>
          <w:rFonts w:hint="eastAsia" w:ascii="宋体" w:hAnsi="宋体"/>
          <w:snapToGrid w:val="0"/>
          <w:color w:val="000000" w:themeColor="text1"/>
          <w:kern w:val="0"/>
          <w:highlight w:val="none"/>
          <w:lang w:val="en-US" w:eastAsia="zh-CN"/>
          <w14:textFill>
            <w14:solidFill>
              <w14:schemeClr w14:val="tx1"/>
            </w14:solidFill>
          </w14:textFill>
        </w:rPr>
        <w:t>5</w:t>
      </w:r>
      <w:r>
        <w:rPr>
          <w:rFonts w:hint="eastAsia" w:ascii="宋体" w:hAnsi="宋体"/>
          <w:snapToGrid w:val="0"/>
          <w:color w:val="000000" w:themeColor="text1"/>
          <w:kern w:val="0"/>
          <w:highlight w:val="none"/>
          <w14:textFill>
            <w14:solidFill>
              <w14:schemeClr w14:val="tx1"/>
            </w14:solidFill>
          </w14:textFill>
        </w:rPr>
        <w:t>年</w:t>
      </w:r>
      <w:r>
        <w:rPr>
          <w:rFonts w:hint="eastAsia" w:ascii="宋体" w:hAnsi="宋体"/>
          <w:snapToGrid w:val="0"/>
          <w:color w:val="000000" w:themeColor="text1"/>
          <w:kern w:val="0"/>
          <w:highlight w:val="none"/>
          <w:lang w:val="en-US" w:eastAsia="zh-CN"/>
          <w14:textFill>
            <w14:solidFill>
              <w14:schemeClr w14:val="tx1"/>
            </w14:solidFill>
          </w14:textFill>
        </w:rPr>
        <w:t>6</w:t>
      </w:r>
      <w:r>
        <w:rPr>
          <w:rFonts w:hint="eastAsia" w:ascii="宋体" w:hAnsi="宋体"/>
          <w:snapToGrid w:val="0"/>
          <w:color w:val="000000" w:themeColor="text1"/>
          <w:kern w:val="0"/>
          <w:highlight w:val="none"/>
          <w14:textFill>
            <w14:solidFill>
              <w14:schemeClr w14:val="tx1"/>
            </w14:solidFill>
          </w14:textFill>
        </w:rPr>
        <w:t>月</w:t>
      </w:r>
      <w:r>
        <w:rPr>
          <w:rFonts w:hint="eastAsia" w:ascii="宋体" w:hAnsi="宋体"/>
          <w:snapToGrid w:val="0"/>
          <w:color w:val="000000" w:themeColor="text1"/>
          <w:kern w:val="0"/>
          <w:highlight w:val="none"/>
          <w:lang w:val="en-US" w:eastAsia="zh-CN"/>
          <w14:textFill>
            <w14:solidFill>
              <w14:schemeClr w14:val="tx1"/>
            </w14:solidFill>
          </w14:textFill>
        </w:rPr>
        <w:t>12</w:t>
      </w:r>
      <w:r>
        <w:rPr>
          <w:rFonts w:hint="eastAsia" w:ascii="宋体" w:hAnsi="宋体"/>
          <w:snapToGrid w:val="0"/>
          <w:color w:val="000000" w:themeColor="text1"/>
          <w:kern w:val="0"/>
          <w:highlight w:val="none"/>
          <w14:textFill>
            <w14:solidFill>
              <w14:schemeClr w14:val="tx1"/>
            </w14:solidFill>
          </w14:textFill>
        </w:rPr>
        <w:t>日</w:t>
      </w:r>
      <w:r>
        <w:rPr>
          <w:rFonts w:hint="eastAsia" w:ascii="宋体" w:hAnsi="宋体"/>
          <w:snapToGrid w:val="0"/>
          <w:color w:val="000000" w:themeColor="text1"/>
          <w:kern w:val="0"/>
          <w:highlight w:val="none"/>
          <w:lang w:val="en-US" w:eastAsia="zh-CN"/>
          <w14:textFill>
            <w14:solidFill>
              <w14:schemeClr w14:val="tx1"/>
            </w14:solidFill>
          </w14:textFill>
        </w:rPr>
        <w:t>14</w:t>
      </w:r>
      <w:r>
        <w:rPr>
          <w:rFonts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ascii="宋体" w:hAnsi="宋体"/>
          <w:snapToGrid w:val="0"/>
          <w:color w:val="000000" w:themeColor="text1"/>
          <w:kern w:val="0"/>
          <w:szCs w:val="21"/>
          <w:highlight w:val="none"/>
          <w14:textFill>
            <w14:solidFill>
              <w14:schemeClr w14:val="tx1"/>
            </w14:solidFill>
          </w14:textFill>
        </w:rPr>
        <w:t>分，地点为</w:t>
      </w:r>
      <w:r>
        <w:rPr>
          <w:rFonts w:hint="eastAsia" w:ascii="宋体" w:hAnsi="宋体"/>
          <w:snapToGrid w:val="0"/>
          <w:color w:val="000000" w:themeColor="text1"/>
          <w:kern w:val="0"/>
          <w:szCs w:val="21"/>
          <w:highlight w:val="none"/>
          <w:u w:val="single"/>
          <w14:textFill>
            <w14:solidFill>
              <w14:schemeClr w14:val="tx1"/>
            </w14:solidFill>
          </w14:textFill>
        </w:rPr>
        <w:t>重庆市南岸区行政服务中心B区3号楼</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20</w:t>
      </w:r>
      <w:r>
        <w:rPr>
          <w:rFonts w:hint="eastAsia" w:ascii="宋体" w:hAnsi="宋体"/>
          <w:snapToGrid w:val="0"/>
          <w:color w:val="000000" w:themeColor="text1"/>
          <w:kern w:val="0"/>
          <w:szCs w:val="21"/>
          <w:highlight w:val="none"/>
          <w:u w:val="single"/>
          <w14:textFill>
            <w14:solidFill>
              <w14:schemeClr w14:val="tx1"/>
            </w14:solidFill>
          </w14:textFill>
        </w:rPr>
        <w:t>12室</w:t>
      </w:r>
      <w:r>
        <w:rPr>
          <w:rFonts w:ascii="宋体" w:hAnsi="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42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5.2  逾期送达的或者未送达指定地点的</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pPr>
        <w:pStyle w:val="25"/>
        <w:widowControl/>
        <w:snapToGrid w:val="0"/>
        <w:spacing w:beforeAutospacing="0" w:afterAutospacing="0" w:line="420" w:lineRule="exact"/>
        <w:ind w:firstLine="442" w:firstLineChars="200"/>
        <w:jc w:val="both"/>
        <w:rPr>
          <w:rFonts w:ascii="宋体" w:hAnsi="宋体" w:cs="宋体"/>
          <w:b/>
          <w:snapToGrid w:val="0"/>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6、发布公告的媒介</w:t>
      </w:r>
    </w:p>
    <w:p>
      <w:pPr>
        <w:pStyle w:val="25"/>
        <w:widowControl/>
        <w:snapToGrid w:val="0"/>
        <w:spacing w:beforeAutospacing="0" w:afterAutospacing="0" w:line="42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本次比选公</w:t>
      </w:r>
      <w:r>
        <w:rPr>
          <w:rFonts w:hint="eastAsia" w:ascii="宋体" w:hAnsi="宋体" w:eastAsia="宋体" w:cs="宋体"/>
          <w:snapToGrid w:val="0"/>
          <w:color w:val="000000" w:themeColor="text1"/>
          <w:sz w:val="21"/>
          <w:szCs w:val="21"/>
          <w:highlight w:val="none"/>
          <w14:textFill>
            <w14:solidFill>
              <w14:schemeClr w14:val="tx1"/>
            </w14:solidFill>
          </w14:textFill>
        </w:rPr>
        <w:t>告在“行采家”网站（https://www.gec123.com/）</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和</w:t>
      </w:r>
      <w:r>
        <w:rPr>
          <w:rFonts w:hint="default" w:ascii="宋体" w:hAnsi="宋体" w:eastAsia="宋体" w:cs="宋体"/>
          <w:snapToGrid w:val="0"/>
          <w:color w:val="000000" w:themeColor="text1"/>
          <w:sz w:val="21"/>
          <w:szCs w:val="21"/>
          <w:highlight w:val="none"/>
          <w14:textFill>
            <w14:solidFill>
              <w14:schemeClr w14:val="tx1"/>
            </w14:solidFill>
          </w14:textFill>
        </w:rPr>
        <w:t>中国招标投标公共服务平台http://www.cebpubservice.com/</w:t>
      </w:r>
      <w:r>
        <w:rPr>
          <w:rFonts w:hint="eastAsia" w:ascii="宋体" w:hAnsi="宋体" w:eastAsia="宋体" w:cs="宋体"/>
          <w:snapToGrid w:val="0"/>
          <w:color w:val="000000" w:themeColor="text1"/>
          <w:sz w:val="21"/>
          <w:szCs w:val="21"/>
          <w:highlight w:val="none"/>
          <w14:textFill>
            <w14:solidFill>
              <w14:schemeClr w14:val="tx1"/>
            </w14:solidFill>
          </w14:textFill>
        </w:rPr>
        <w:t>上发布。</w:t>
      </w:r>
    </w:p>
    <w:p>
      <w:pPr>
        <w:pStyle w:val="25"/>
        <w:widowControl/>
        <w:snapToGrid w:val="0"/>
        <w:spacing w:beforeAutospacing="0" w:afterAutospacing="0" w:line="420" w:lineRule="exact"/>
        <w:ind w:firstLine="442" w:firstLineChars="200"/>
        <w:jc w:val="both"/>
        <w:rPr>
          <w:rFonts w:ascii="宋体" w:hAnsi="宋体"/>
          <w:color w:val="000000" w:themeColor="text1"/>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7、联系方式</w:t>
      </w:r>
    </w:p>
    <w:bookmarkEnd w:id="22"/>
    <w:bookmarkEnd w:id="23"/>
    <w:bookmarkEnd w:id="24"/>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w:t>
      </w:r>
      <w:r>
        <w:rPr>
          <w:rFonts w:hint="eastAsia" w:ascii="宋体" w:hAnsi="宋体"/>
          <w:color w:val="000000" w:themeColor="text1"/>
          <w:szCs w:val="21"/>
          <w:highlight w:val="none"/>
          <w:lang w:eastAsia="zh-CN"/>
          <w14:textFill>
            <w14:solidFill>
              <w14:schemeClr w14:val="tx1"/>
            </w14:solidFill>
          </w14:textFill>
        </w:rPr>
        <w:t>重庆市南岸城市更新建设发展有限公司</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地址：重庆市南岸区行政中心B区三号楼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w:t>
      </w:r>
      <w:r>
        <w:rPr>
          <w:rFonts w:hint="eastAsia" w:ascii="宋体" w:hAnsi="宋体" w:eastAsia="宋体" w:cs="Times New Roman"/>
          <w:color w:val="000000" w:themeColor="text1"/>
          <w:szCs w:val="21"/>
          <w:highlight w:val="none"/>
          <w14:textFill>
            <w14:solidFill>
              <w14:schemeClr w14:val="tx1"/>
            </w14:solidFill>
          </w14:textFill>
        </w:rPr>
        <w:t>系人：</w:t>
      </w:r>
      <w:r>
        <w:rPr>
          <w:rFonts w:hint="eastAsia" w:ascii="宋体" w:hAnsi="宋体" w:eastAsia="宋体" w:cs="Times New Roman"/>
          <w:color w:val="000000" w:themeColor="text1"/>
          <w:szCs w:val="21"/>
          <w:highlight w:val="none"/>
          <w:lang w:val="en-US" w:eastAsia="zh-CN"/>
          <w14:textFill>
            <w14:solidFill>
              <w14:schemeClr w14:val="tx1"/>
            </w14:solidFill>
          </w14:textFill>
        </w:rPr>
        <w:t>李</w:t>
      </w:r>
      <w:r>
        <w:rPr>
          <w:rFonts w:hint="eastAsia" w:ascii="宋体" w:hAnsi="宋体" w:eastAsia="宋体" w:cs="Times New Roman"/>
          <w:color w:val="000000" w:themeColor="text1"/>
          <w:szCs w:val="21"/>
          <w:highlight w:val="none"/>
          <w14:textFill>
            <w14:solidFill>
              <w14:schemeClr w14:val="tx1"/>
            </w14:solidFill>
          </w14:textFill>
        </w:rPr>
        <w:t>老师</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  话：023-62905607</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比选代理机构：重庆昱炀工程咨询有限公司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地址：重庆市南岸区同景国际城U组团2栋18楼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联系人：廖老师  </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话：13212397888</w:t>
      </w:r>
      <w:bookmarkEnd w:id="15"/>
      <w:bookmarkStart w:id="26" w:name="_Toc287607744"/>
      <w:bookmarkStart w:id="27" w:name="_Toc287620683"/>
      <w:bookmarkStart w:id="28" w:name="_Toc1178"/>
      <w:bookmarkStart w:id="29" w:name="_Toc224103315"/>
      <w:bookmarkStart w:id="30" w:name="_Toc30449"/>
      <w:bookmarkStart w:id="31" w:name="_Toc430530432"/>
    </w:p>
    <w:p>
      <w:pPr>
        <w:tabs>
          <w:tab w:val="left" w:pos="5140"/>
          <w:tab w:val="left" w:pos="8420"/>
        </w:tabs>
        <w:autoSpaceDE w:val="0"/>
        <w:autoSpaceDN w:val="0"/>
        <w:adjustRightInd w:val="0"/>
        <w:snapToGrid w:val="0"/>
        <w:spacing w:line="420" w:lineRule="exact"/>
        <w:ind w:firstLine="420" w:firstLineChars="200"/>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u w:val="none"/>
          <w14:textFill>
            <w14:solidFill>
              <w14:schemeClr w14:val="tx1"/>
            </w14:solidFill>
          </w14:textFill>
        </w:rPr>
        <w:t>202</w:t>
      </w:r>
      <w:r>
        <w:rPr>
          <w:rFonts w:hint="eastAsia" w:ascii="宋体" w:hAnsi="宋体"/>
          <w:color w:val="000000" w:themeColor="text1"/>
          <w:kern w:val="0"/>
          <w:highlight w:val="none"/>
          <w:u w:val="none"/>
          <w:lang w:val="en-US" w:eastAsia="zh-CN"/>
          <w14:textFill>
            <w14:solidFill>
              <w14:schemeClr w14:val="tx1"/>
            </w14:solidFill>
          </w14:textFill>
        </w:rPr>
        <w:t>5</w:t>
      </w:r>
      <w:r>
        <w:rPr>
          <w:rFonts w:hint="eastAsia" w:ascii="宋体" w:hAnsi="宋体"/>
          <w:color w:val="000000" w:themeColor="text1"/>
          <w:kern w:val="0"/>
          <w:highlight w:val="none"/>
          <w14:textFill>
            <w14:solidFill>
              <w14:schemeClr w14:val="tx1"/>
            </w14:solidFill>
          </w14:textFill>
        </w:rPr>
        <w:t>年</w:t>
      </w:r>
      <w:r>
        <w:rPr>
          <w:rFonts w:hint="eastAsia" w:ascii="宋体" w:hAnsi="宋体"/>
          <w:color w:val="000000" w:themeColor="text1"/>
          <w:kern w:val="0"/>
          <w:highlight w:val="none"/>
          <w:lang w:val="en-US" w:eastAsia="zh-CN"/>
          <w14:textFill>
            <w14:solidFill>
              <w14:schemeClr w14:val="tx1"/>
            </w14:solidFill>
          </w14:textFill>
        </w:rPr>
        <w:t>6</w:t>
      </w:r>
      <w:r>
        <w:rPr>
          <w:rFonts w:hint="eastAsia" w:ascii="宋体" w:hAnsi="宋体"/>
          <w:color w:val="000000" w:themeColor="text1"/>
          <w:kern w:val="0"/>
          <w:highlight w:val="none"/>
          <w14:textFill>
            <w14:solidFill>
              <w14:schemeClr w14:val="tx1"/>
            </w14:solidFill>
          </w14:textFill>
        </w:rPr>
        <w:t>月</w:t>
      </w:r>
      <w:r>
        <w:rPr>
          <w:rFonts w:hint="eastAsia" w:ascii="宋体" w:hAnsi="宋体"/>
          <w:color w:val="000000" w:themeColor="text1"/>
          <w:kern w:val="0"/>
          <w:highlight w:val="none"/>
          <w:lang w:val="en-US" w:eastAsia="zh-CN"/>
          <w14:textFill>
            <w14:solidFill>
              <w14:schemeClr w14:val="tx1"/>
            </w14:solidFill>
          </w14:textFill>
        </w:rPr>
        <w:t>6</w:t>
      </w:r>
      <w:r>
        <w:rPr>
          <w:rFonts w:hint="eastAsia" w:ascii="宋体" w:hAnsi="宋体"/>
          <w:color w:val="000000" w:themeColor="text1"/>
          <w:kern w:val="0"/>
          <w:highlight w:val="none"/>
          <w14:textFill>
            <w14:solidFill>
              <w14:schemeClr w14:val="tx1"/>
            </w14:solidFill>
          </w14:textFill>
        </w:rPr>
        <w:t>日</w:t>
      </w:r>
      <w:r>
        <w:rPr>
          <w:rFonts w:ascii="宋体" w:hAnsi="宋体" w:cs="宋体"/>
          <w:snapToGrid w:val="0"/>
          <w:color w:val="000000" w:themeColor="text1"/>
          <w:kern w:val="0"/>
          <w:highlight w:val="none"/>
          <w14:textFill>
            <w14:solidFill>
              <w14:schemeClr w14:val="tx1"/>
            </w14:solidFill>
          </w14:textFill>
        </w:rPr>
        <w:br w:type="page"/>
      </w:r>
    </w:p>
    <w:p>
      <w:pPr>
        <w:pStyle w:val="2"/>
        <w:spacing w:before="0" w:after="0" w:line="360" w:lineRule="auto"/>
        <w:jc w:val="center"/>
        <w:rPr>
          <w:rFonts w:ascii="宋体" w:hAnsi="宋体" w:cs="宋体"/>
          <w:bCs w:val="0"/>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第二章  竞选人须知</w:t>
      </w:r>
      <w:bookmarkEnd w:id="26"/>
      <w:bookmarkEnd w:id="27"/>
      <w:bookmarkEnd w:id="28"/>
      <w:bookmarkEnd w:id="29"/>
      <w:bookmarkEnd w:id="30"/>
      <w:bookmarkEnd w:id="31"/>
      <w:bookmarkStart w:id="32" w:name="_Toc287620684"/>
      <w:bookmarkStart w:id="33" w:name="_Toc430530433"/>
      <w:bookmarkStart w:id="34" w:name="_Toc277082551"/>
      <w:bookmarkStart w:id="35" w:name="_Toc287607745"/>
      <w:bookmarkStart w:id="36" w:name="_Toc224103316"/>
    </w:p>
    <w:p>
      <w:pPr>
        <w:pStyle w:val="3"/>
        <w:spacing w:before="100" w:after="100" w:line="360" w:lineRule="auto"/>
        <w:rPr>
          <w:rFonts w:ascii="宋体" w:hAnsi="宋体" w:cs="宋体"/>
          <w:color w:val="000000" w:themeColor="text1"/>
          <w:highlight w:val="none"/>
          <w14:textFill>
            <w14:solidFill>
              <w14:schemeClr w14:val="tx1"/>
            </w14:solidFill>
          </w14:textFill>
        </w:rPr>
      </w:pPr>
      <w:bookmarkStart w:id="37" w:name="_Toc509218708"/>
      <w:bookmarkStart w:id="38" w:name="_Toc4746"/>
      <w:bookmarkStart w:id="39" w:name="_Toc9850"/>
      <w:bookmarkStart w:id="40" w:name="_Toc15182"/>
      <w:r>
        <w:rPr>
          <w:rFonts w:hint="eastAsia" w:ascii="宋体" w:hAnsi="宋体" w:cs="宋体"/>
          <w:color w:val="000000" w:themeColor="text1"/>
          <w:highlight w:val="none"/>
          <w14:textFill>
            <w14:solidFill>
              <w14:schemeClr w14:val="tx1"/>
            </w14:solidFill>
          </w14:textFill>
        </w:rPr>
        <w:t>竞选人须知前附表</w:t>
      </w:r>
      <w:bookmarkEnd w:id="32"/>
      <w:bookmarkEnd w:id="33"/>
      <w:bookmarkEnd w:id="34"/>
      <w:bookmarkEnd w:id="35"/>
      <w:bookmarkEnd w:id="36"/>
      <w:bookmarkEnd w:id="37"/>
      <w:bookmarkEnd w:id="38"/>
      <w:bookmarkEnd w:id="39"/>
      <w:bookmarkEnd w:id="40"/>
    </w:p>
    <w:p>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若竞选人须知前附表与正文不一致的地方，以竞选人须知前附表为准。</w:t>
      </w:r>
    </w:p>
    <w:tbl>
      <w:tblPr>
        <w:tblStyle w:val="28"/>
        <w:tblW w:w="94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pPr>
              <w:snapToGrid w:val="0"/>
              <w:spacing w:line="4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964" w:type="dxa"/>
            <w:vAlign w:val="center"/>
          </w:tcPr>
          <w:p>
            <w:pPr>
              <w:snapToGrid w:val="0"/>
              <w:spacing w:line="4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311" w:type="dxa"/>
            <w:vAlign w:val="center"/>
          </w:tcPr>
          <w:p>
            <w:pPr>
              <w:snapToGrid w:val="0"/>
              <w:spacing w:line="4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比选人：</w:t>
            </w:r>
            <w:r>
              <w:rPr>
                <w:rFonts w:hint="eastAsia" w:ascii="宋体" w:hAnsi="宋体" w:cs="Times New Roman"/>
                <w:color w:val="000000" w:themeColor="text1"/>
                <w:szCs w:val="21"/>
                <w:highlight w:val="none"/>
                <w:lang w:eastAsia="zh-CN"/>
                <w14:textFill>
                  <w14:solidFill>
                    <w14:schemeClr w14:val="tx1"/>
                  </w14:solidFill>
                </w14:textFill>
              </w:rPr>
              <w:t>重庆市南岸城市更新建设发展有限公司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地址：重庆市南岸区行政中心B区三号楼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eastAsia="宋体" w:cs="Times New Roman"/>
                <w:color w:val="000000" w:themeColor="text1"/>
                <w:szCs w:val="21"/>
                <w:highlight w:val="none"/>
                <w:lang w:val="en-US" w:eastAsia="zh-CN"/>
                <w14:textFill>
                  <w14:solidFill>
                    <w14:schemeClr w14:val="tx1"/>
                  </w14:solidFill>
                </w14:textFill>
              </w:rPr>
              <w:t>李</w:t>
            </w:r>
            <w:r>
              <w:rPr>
                <w:rFonts w:hint="eastAsia" w:ascii="宋体" w:hAnsi="宋体" w:eastAsia="宋体" w:cs="Times New Roman"/>
                <w:color w:val="000000" w:themeColor="text1"/>
                <w:szCs w:val="21"/>
                <w:highlight w:val="none"/>
                <w14:textFill>
                  <w14:solidFill>
                    <w14:schemeClr w14:val="tx1"/>
                  </w14:solidFill>
                </w14:textFill>
              </w:rPr>
              <w:t>老师</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  话：023-62905607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比选代理机构：重庆昱炀工程咨询有限公司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地址：重庆市南岸区同景国际城U组团2栋18楼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联系人：廖老师  </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  话：13212397888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南岸区南坪片区、弹子石片区瓶改管燃气管道及设施建设全过程跟踪审计项目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311" w:type="dxa"/>
            <w:vAlign w:val="bottom"/>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重庆市南岸区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项目概况与建设规模</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国有资金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4" w:type="dxa"/>
            <w:vAlign w:val="center"/>
          </w:tcPr>
          <w:p>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6311"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对本工程提供全过程跟踪审计，包含但不限于：施工方案的经济评价、设计变更的经济分析、变更审核、参与施工阶段的现场计量及其审核、现场签证及其审核、新增项目的价格审核及评价、建筑材料认（审）价、工程进度款审核、专业分包造价控制、工程索赔和反索赔咨询、有关工程造价信息及法规咨询、与本工程有关的其他采购事宜限价编制、完工后的结算审核等与造价控制有关的其他服务工作及配合项目审计等工作，详见合同约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本项目服务周期自合同签订之日开始至工程竣工验收及结算审计完成</w:t>
            </w:r>
            <w:r>
              <w:rPr>
                <w:rFonts w:hint="eastAsia" w:ascii="宋体" w:hAnsi="宋体"/>
                <w:color w:val="000000" w:themeColor="text1"/>
                <w:szCs w:val="21"/>
                <w:highlight w:val="none"/>
                <w:u w:val="none"/>
                <w:lang w:eastAsia="zh-CN"/>
                <w14:textFill>
                  <w14:solidFill>
                    <w14:schemeClr w14:val="tx1"/>
                  </w14:solidFill>
                </w14:textFill>
              </w:rPr>
              <w:t>，</w:t>
            </w:r>
            <w:r>
              <w:rPr>
                <w:rFonts w:hint="eastAsia" w:ascii="宋体" w:hAnsi="宋体"/>
                <w:snapToGrid w:val="0"/>
                <w:color w:val="000000" w:themeColor="text1"/>
                <w:kern w:val="0"/>
                <w:szCs w:val="21"/>
                <w:u w:val="none"/>
                <w14:textFill>
                  <w14:solidFill>
                    <w14:schemeClr w14:val="tx1"/>
                  </w14:solidFill>
                </w14:textFill>
              </w:rPr>
              <w:t>并出具结算审核报告。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1.3.3</w:t>
            </w:r>
          </w:p>
        </w:tc>
        <w:tc>
          <w:tcPr>
            <w:tcW w:w="1964"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质量要求</w:t>
            </w:r>
          </w:p>
        </w:tc>
        <w:tc>
          <w:tcPr>
            <w:tcW w:w="6311" w:type="dxa"/>
            <w:vAlign w:val="center"/>
          </w:tcPr>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达到国家现行有关服务质量规范要求，并达到合格标准。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snapToGrid w:val="0"/>
              <w:spacing w:line="400" w:lineRule="exact"/>
              <w:rPr>
                <w:rFonts w:ascii="宋体" w:hAnsi="宋体" w:cs="宋体"/>
                <w:color w:val="000000" w:themeColor="text1"/>
                <w:kern w:val="0"/>
                <w:szCs w:val="21"/>
                <w:highlight w:val="none"/>
                <w14:textFill>
                  <w14:solidFill>
                    <w14:schemeClr w14:val="tx1"/>
                  </w14:solidFill>
                </w14:textFill>
              </w:rPr>
            </w:pP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rPr>
                <w:rFonts w:ascii="宋体" w:hAnsi="宋体" w:cs="宋体"/>
                <w:color w:val="000000" w:themeColor="text1"/>
                <w:kern w:val="0"/>
                <w:szCs w:val="21"/>
                <w:highlight w:val="none"/>
                <w14:textFill>
                  <w14:solidFill>
                    <w14:schemeClr w14:val="tx1"/>
                  </w14:solidFill>
                </w14:textFill>
              </w:rPr>
            </w:pPr>
          </w:p>
        </w:tc>
        <w:tc>
          <w:tcPr>
            <w:tcW w:w="6311" w:type="dxa"/>
            <w:vAlign w:val="center"/>
          </w:tcPr>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bookmarkStart w:id="41" w:name="OLE_LINK1"/>
            <w:r>
              <w:rPr>
                <w:rFonts w:hint="eastAsia" w:ascii="宋体" w:hAnsi="宋体" w:cs="宋体"/>
                <w:color w:val="000000" w:themeColor="text1"/>
                <w:highlight w:val="none"/>
                <w14:textFill>
                  <w14:solidFill>
                    <w14:schemeClr w14:val="tx1"/>
                  </w14:solidFill>
                </w14:textFill>
              </w:rPr>
              <w:t>本次比选实行资格后审，</w:t>
            </w:r>
            <w:bookmarkStart w:id="42" w:name="一是"/>
            <w:bookmarkEnd w:id="42"/>
            <w:r>
              <w:rPr>
                <w:rFonts w:hint="eastAsia" w:ascii="宋体" w:hAnsi="宋体" w:cs="宋体"/>
                <w:color w:val="000000" w:themeColor="text1"/>
                <w:highlight w:val="none"/>
                <w14:textFill>
                  <w14:solidFill>
                    <w14:schemeClr w14:val="tx1"/>
                  </w14:solidFill>
                </w14:textFill>
              </w:rPr>
              <w:t>竞选人须具备以下资格条件：</w:t>
            </w:r>
          </w:p>
          <w:bookmarkEnd w:id="41"/>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营业执照要求</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具备有效的营业执照，并具有独立法人资格</w:t>
            </w:r>
            <w:r>
              <w:rPr>
                <w:rFonts w:hint="eastAsia" w:ascii="宋体" w:hAnsi="宋体" w:cs="宋体"/>
                <w:color w:val="000000" w:themeColor="text1"/>
                <w:highlight w:val="none"/>
                <w14:textFill>
                  <w14:solidFill>
                    <w14:schemeClr w14:val="tx1"/>
                  </w14:solidFill>
                </w14:textFill>
              </w:rPr>
              <w:t>。</w:t>
            </w:r>
          </w:p>
          <w:p>
            <w:pPr>
              <w:snapToGrid w:val="0"/>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提供载有统一社会信用代码的营业执照副本复印件。</w:t>
            </w:r>
          </w:p>
          <w:p>
            <w:pPr>
              <w:snapToGrid w:val="0"/>
              <w:spacing w:line="400" w:lineRule="exact"/>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2.财务要求：</w:t>
            </w: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年度或者202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年度财务状况不亏损。</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竞选人须在竞选文件资格审查部分提供经会计师事务所或审计机构出具的合法有效的财务审计报告或财务报表（成立时间不足一年的提供财务报表，须包含利润表、现金流量表、资产负债表等）。</w:t>
            </w:r>
          </w:p>
          <w:p>
            <w:pPr>
              <w:snapToGrid w:val="0"/>
              <w:spacing w:line="360" w:lineRule="exact"/>
              <w:ind w:firstLine="422"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.比选截止日比选资格情况</w:t>
            </w:r>
          </w:p>
          <w:p>
            <w:pPr>
              <w:snapToGrid w:val="0"/>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竞选人自行承诺（格式自拟）不得存在下列情形之一：</w:t>
            </w:r>
          </w:p>
          <w:p>
            <w:pPr>
              <w:snapToGrid w:val="0"/>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pPr>
              <w:snapToGrid w:val="0"/>
              <w:spacing w:line="400" w:lineRule="exact"/>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4</w:t>
            </w:r>
            <w:r>
              <w:rPr>
                <w:rFonts w:hint="eastAsia" w:ascii="宋体" w:hAnsi="宋体" w:cs="宋体"/>
                <w:b/>
                <w:bCs/>
                <w:color w:val="000000" w:themeColor="text1"/>
                <w:highlight w:val="none"/>
                <w14:textFill>
                  <w14:solidFill>
                    <w14:schemeClr w14:val="tx1"/>
                  </w14:solidFill>
                </w14:textFill>
              </w:rPr>
              <w:t>.拟派项目人员</w:t>
            </w:r>
          </w:p>
          <w:p>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项目负责人:1人，须为竞选单位的在职职工，具备</w:t>
            </w:r>
            <w:r>
              <w:rPr>
                <w:rFonts w:hint="eastAsia" w:ascii="宋体" w:hAnsi="宋体" w:cs="宋体"/>
                <w:color w:val="000000" w:themeColor="text1"/>
                <w:kern w:val="0"/>
                <w:szCs w:val="21"/>
                <w:highlight w:val="none"/>
                <w:u w:val="single"/>
                <w14:textFill>
                  <w14:solidFill>
                    <w14:schemeClr w14:val="tx1"/>
                  </w14:solidFill>
                </w14:textFill>
              </w:rPr>
              <w:t>工程类的高级及以上</w:t>
            </w:r>
            <w:r>
              <w:rPr>
                <w:rFonts w:hint="eastAsia" w:ascii="宋体" w:hAnsi="宋体" w:cs="宋体"/>
                <w:color w:val="000000" w:themeColor="text1"/>
                <w:kern w:val="0"/>
                <w:szCs w:val="21"/>
                <w:highlight w:val="none"/>
                <w14:textFill>
                  <w14:solidFill>
                    <w14:schemeClr w14:val="tx1"/>
                  </w14:solidFill>
                </w14:textFill>
              </w:rPr>
              <w:t>职称且具有全国一级造价工程师（或全国注册造价工程师）执业资格。</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.2其他项目组成员：</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①土建专业负责人1人，土建专业负责人必须已在竞选人本单位注册并应具有全国一级造价工程师（全国注册造价工程师）执业资格（专业类别：土建），且具有中级及以上技术职称；</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②安装专业负责人1人，安装专业负责人必须已在竞选人本单位注册并应具有全国一级造价工程师（全国注册造价工程师）执业资格（专业类别：安装），且具有中级及以上技术职称；</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③其他造价人员，</w:t>
            </w:r>
            <w:r>
              <w:rPr>
                <w:rFonts w:hint="eastAsia"/>
                <w:color w:val="000000" w:themeColor="text1"/>
                <w:highlight w:val="none"/>
                <w14:textFill>
                  <w14:solidFill>
                    <w14:schemeClr w14:val="tx1"/>
                  </w14:solidFill>
                </w14:textFill>
              </w:rPr>
              <w:t>现场派驻人员</w:t>
            </w:r>
            <w:r>
              <w:rPr>
                <w:rFonts w:hint="eastAsia" w:ascii="宋体" w:hAnsi="宋体" w:cs="宋体"/>
                <w:color w:val="000000" w:themeColor="text1"/>
                <w:highlight w:val="none"/>
                <w14:textFill>
                  <w14:solidFill>
                    <w14:schemeClr w14:val="tx1"/>
                  </w14:solidFill>
                </w14:textFill>
              </w:rPr>
              <w:t>不低于1名，造价人员必须已在竞选人本单位注册并应具有全国注册造价工程师（一级造价工程师）或二级造价工程师或全国造价员执业资格。</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b/>
                <w:bCs/>
                <w:color w:val="000000" w:themeColor="text1"/>
                <w:highlight w:val="none"/>
                <w14:textFill>
                  <w14:solidFill>
                    <w14:schemeClr w14:val="tx1"/>
                  </w14:solidFill>
                </w14:textFill>
              </w:rPr>
              <w:t>以上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.1及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.2各岗位人员不得相互兼任，</w:t>
            </w:r>
            <w:r>
              <w:rPr>
                <w:rFonts w:hint="eastAsia" w:ascii="宋体" w:hAnsi="宋体"/>
                <w:color w:val="000000" w:themeColor="text1"/>
                <w:highlight w:val="none"/>
                <w14:textFill>
                  <w14:solidFill>
                    <w14:schemeClr w14:val="tx1"/>
                  </w14:solidFill>
                </w14:textFill>
              </w:rPr>
              <w:t>竞选人须在竞选文件资格审查部分提供上述所有人员对应的</w:t>
            </w:r>
            <w:r>
              <w:rPr>
                <w:rFonts w:hint="eastAsia" w:ascii="宋体" w:hAnsi="宋体" w:cs="宋体"/>
                <w:color w:val="000000" w:themeColor="text1"/>
                <w:highlight w:val="none"/>
                <w14:textFill>
                  <w14:solidFill>
                    <w14:schemeClr w14:val="tx1"/>
                  </w14:solidFill>
                </w14:textFill>
              </w:rPr>
              <w:t>造价工程师（或造价员）证书、职称证（如有职称要求）及以竞选人名义缴纳的养老保险证明材料复印件。</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w:t>
            </w:r>
          </w:p>
          <w:p>
            <w:pPr>
              <w:snapToGrid w:val="0"/>
              <w:spacing w:line="400" w:lineRule="exact"/>
              <w:ind w:firstLine="420" w:firstLineChars="200"/>
              <w:rPr>
                <w:rFonts w:ascii="宋体" w:hAns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条所须提交的相关证明材料复印件均应加盖竞选单位公章并装入竞选文件资格审查部分中。上述1～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条，有一条不满足，则竞选文件由评选委员会作否决竞选处理；</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②上述所有人员有养老保险证明材料；</w:t>
            </w:r>
          </w:p>
          <w:p>
            <w:pPr>
              <w:snapToGrid w:val="0"/>
              <w:spacing w:line="400" w:lineRule="exact"/>
              <w:ind w:firstLine="42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联合体竞选</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不组织，由竞选人自行踏勘现场。</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□组织，集中踏勘时间：</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比选预备会</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不召开</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□召开，召开时间：</w:t>
            </w:r>
          </w:p>
          <w:p>
            <w:pPr>
              <w:snapToGrid w:val="0"/>
              <w:spacing w:afterLines="5"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311" w:type="dxa"/>
            <w:vAlign w:val="center"/>
          </w:tcPr>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不允许</w:t>
            </w:r>
          </w:p>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允许，分包内容要求：</w:t>
            </w:r>
          </w:p>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分包金额要求：</w:t>
            </w:r>
          </w:p>
          <w:p>
            <w:pPr>
              <w:snapToGrid w:val="0"/>
              <w:spacing w:afterLines="5" w:line="400" w:lineRule="exact"/>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964" w:type="dxa"/>
            <w:vAlign w:val="center"/>
          </w:tcPr>
          <w:p>
            <w:pPr>
              <w:snapToGrid w:val="0"/>
              <w:spacing w:afterLines="5"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比选人发出的答疑及补遗书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4" w:type="dxa"/>
            <w:tcBorders>
              <w:bottom w:val="single" w:color="auto" w:sz="4" w:space="0"/>
            </w:tcBorders>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竞选人对比选文件提出疑问的</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截止时间</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竞选人在收到比选文件后，应仔细检查比选文件的所有内容，如有残缺或文字表述不清，图纸尺寸标注不明以及存在错、碰、漏、缺、概念模糊和有可能出现歧义或理解上的偏差的内容等应以书面形式提交。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964" w:type="dxa"/>
            <w:tcBorders>
              <w:top w:val="single" w:color="auto" w:sz="4" w:space="0"/>
            </w:tcBorders>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比选人对比选文件答疑的截止时间</w:t>
            </w:r>
          </w:p>
        </w:tc>
        <w:tc>
          <w:tcPr>
            <w:tcW w:w="6311" w:type="dxa"/>
            <w:vAlign w:val="center"/>
          </w:tcPr>
          <w:p>
            <w:pPr>
              <w:snapToGri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11</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18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00 </w:t>
            </w:r>
            <w:r>
              <w:rPr>
                <w:rFonts w:hint="eastAsia" w:ascii="宋体" w:hAnsi="宋体" w:cs="宋体"/>
                <w:color w:val="000000" w:themeColor="text1"/>
                <w:szCs w:val="21"/>
                <w:highlight w:val="none"/>
                <w14:textFill>
                  <w14:solidFill>
                    <w14:schemeClr w14:val="tx1"/>
                  </w14:solidFill>
                </w14:textFill>
              </w:rPr>
              <w:t>分（北京时间）</w:t>
            </w:r>
            <w:r>
              <w:rPr>
                <w:rFonts w:hint="eastAsia" w:ascii="宋体" w:hAnsi="宋体" w:cs="宋体"/>
                <w:color w:val="000000" w:themeColor="text1"/>
                <w:kern w:val="0"/>
                <w:szCs w:val="21"/>
                <w:highlight w:val="none"/>
                <w14:textFill>
                  <w14:solidFill>
                    <w14:schemeClr w14:val="tx1"/>
                  </w14:solidFill>
                </w14:textFill>
              </w:rPr>
              <w:t>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964" w:type="dxa"/>
            <w:vAlign w:val="center"/>
          </w:tcPr>
          <w:p>
            <w:pPr>
              <w:snapToGrid w:val="0"/>
              <w:spacing w:afterLines="1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构成竞选文件</w:t>
            </w:r>
          </w:p>
          <w:p>
            <w:pPr>
              <w:snapToGrid w:val="0"/>
              <w:spacing w:afterLines="1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的其他材料</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竞选人的书面澄清、说明和补正（但不得改变竞选文件的实质性内容）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6311" w:type="dxa"/>
            <w:vAlign w:val="center"/>
          </w:tcPr>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一、报价范围</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1.参选报价应是本章竞选人须知前附表1.3.1项中所述的本次比选范围内的全部内容的参选报价，是竞选人根据市场行情及自身情况的自主报价 。</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二、计价原则：</w:t>
            </w:r>
          </w:p>
          <w:p>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1.报价原则：采用固定</w:t>
            </w:r>
            <w:r>
              <w:rPr>
                <w:rFonts w:hint="eastAsia"/>
                <w:color w:val="000000" w:themeColor="text1"/>
                <w:highlight w:val="none"/>
                <w:lang w:val="en-US" w:eastAsia="zh-CN"/>
                <w14:textFill>
                  <w14:solidFill>
                    <w14:schemeClr w14:val="tx1"/>
                  </w14:solidFill>
                </w14:textFill>
              </w:rPr>
              <w:t>费率</w:t>
            </w:r>
            <w:r>
              <w:rPr>
                <w:rFonts w:hint="eastAsia"/>
                <w:color w:val="000000" w:themeColor="text1"/>
                <w:highlight w:val="none"/>
                <w14:textFill>
                  <w14:solidFill>
                    <w14:schemeClr w14:val="tx1"/>
                  </w14:solidFill>
                </w14:textFill>
              </w:rPr>
              <w:t>报价。</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所填报的服务</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作为结算使用，参选费率需综合考虑本项目比选范围内的所有工作内容，竞选人应将本工程的相关费用充分考虑进入参选报价的费率中。</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2、在本合同范围内，无论任何因素（工期延长，人员增加，国家政策或法规、标准调整，市场价格波动等），中选费率均不作调整。</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三、比选最高限价：</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本项目比选最高限价：</w:t>
            </w:r>
            <w:r>
              <w:rPr>
                <w:rFonts w:hint="eastAsia" w:ascii="宋体" w:hAnsi="宋体"/>
                <w:b/>
                <w:bCs/>
                <w:color w:val="000000" w:themeColor="text1"/>
                <w:szCs w:val="21"/>
                <w:highlight w:val="none"/>
                <w14:textFill>
                  <w14:solidFill>
                    <w14:schemeClr w14:val="tx1"/>
                  </w14:solidFill>
                </w14:textFill>
              </w:rPr>
              <w:t>以暂定建安</w:t>
            </w:r>
            <w:r>
              <w:rPr>
                <w:rFonts w:hint="eastAsia" w:ascii="宋体" w:hAnsi="宋体" w:eastAsia="宋体" w:cs="Times New Roman"/>
                <w:b/>
                <w:bCs/>
                <w:color w:val="000000" w:themeColor="text1"/>
                <w:szCs w:val="21"/>
                <w:highlight w:val="none"/>
                <w14:textFill>
                  <w14:solidFill>
                    <w14:schemeClr w14:val="tx1"/>
                  </w14:solidFill>
                </w14:textFill>
              </w:rPr>
              <w:t>工程费</w:t>
            </w:r>
            <w:r>
              <w:rPr>
                <w:rFonts w:hint="eastAsia" w:ascii="宋体" w:hAnsi="宋体" w:cs="Times New Roman"/>
                <w:b/>
                <w:bCs/>
                <w:color w:val="000000" w:themeColor="text1"/>
                <w:szCs w:val="21"/>
                <w:highlight w:val="none"/>
                <w:lang w:val="en-US" w:eastAsia="zh-CN"/>
                <w14:textFill>
                  <w14:solidFill>
                    <w14:schemeClr w14:val="tx1"/>
                  </w14:solidFill>
                </w14:textFill>
              </w:rPr>
              <w:t>6096.54</w:t>
            </w:r>
            <w:r>
              <w:rPr>
                <w:rFonts w:hint="eastAsia" w:ascii="宋体" w:hAnsi="宋体" w:eastAsia="宋体" w:cs="Times New Roman"/>
                <w:b/>
                <w:bCs/>
                <w:color w:val="000000" w:themeColor="text1"/>
                <w:szCs w:val="21"/>
                <w:highlight w:val="none"/>
                <w14:textFill>
                  <w14:solidFill>
                    <w14:schemeClr w14:val="tx1"/>
                  </w14:solidFill>
                </w14:textFill>
              </w:rPr>
              <w:t>万</w:t>
            </w:r>
            <w:r>
              <w:rPr>
                <w:rFonts w:hint="eastAsia" w:ascii="宋体" w:hAnsi="宋体"/>
                <w:b/>
                <w:bCs/>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为计费基数，本</w:t>
            </w:r>
            <w:r>
              <w:rPr>
                <w:rFonts w:hint="eastAsia" w:ascii="宋体" w:hAnsi="宋体"/>
                <w:color w:val="000000" w:themeColor="text1"/>
                <w:szCs w:val="21"/>
                <w:highlight w:val="none"/>
                <w:lang w:val="en-US" w:eastAsia="zh-CN"/>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施工阶段工程造价全过程控制</w:t>
            </w:r>
            <w:r>
              <w:rPr>
                <w:rFonts w:hint="eastAsia" w:ascii="宋体" w:hAnsi="宋体"/>
                <w:color w:val="000000" w:themeColor="text1"/>
                <w:sz w:val="24"/>
                <w:highlight w:val="none"/>
                <w14:textFill>
                  <w14:solidFill>
                    <w14:schemeClr w14:val="tx1"/>
                  </w14:solidFill>
                </w14:textFill>
              </w:rPr>
              <w:t>（全过程跟踪审计）</w:t>
            </w:r>
            <w:r>
              <w:rPr>
                <w:rFonts w:hint="eastAsia" w:ascii="宋体" w:hAnsi="宋体"/>
                <w:color w:val="000000" w:themeColor="text1"/>
                <w:szCs w:val="21"/>
                <w:highlight w:val="none"/>
                <w14:textFill>
                  <w14:solidFill>
                    <w14:schemeClr w14:val="tx1"/>
                  </w14:solidFill>
                </w14:textFill>
              </w:rPr>
              <w:t>最高最高</w:t>
            </w:r>
            <w:r>
              <w:rPr>
                <w:rFonts w:hint="eastAsia" w:ascii="宋体" w:hAnsi="宋体"/>
                <w:color w:val="000000" w:themeColor="text1"/>
                <w:szCs w:val="21"/>
                <w:highlight w:val="none"/>
                <w:lang w:val="en-US" w:eastAsia="zh-CN"/>
                <w14:textFill>
                  <w14:solidFill>
                    <w14:schemeClr w14:val="tx1"/>
                  </w14:solidFill>
                </w14:textFill>
              </w:rPr>
              <w:t>固定</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为：</w:t>
            </w:r>
            <w:r>
              <w:rPr>
                <w:rFonts w:hint="eastAsia" w:ascii="宋体" w:hAnsi="宋体"/>
                <w:b/>
                <w:color w:val="000000" w:themeColor="text1"/>
                <w:szCs w:val="21"/>
                <w:highlight w:val="none"/>
                <w:u w:val="single"/>
                <w:lang w:val="en-US" w:eastAsia="zh-CN"/>
                <w14:textFill>
                  <w14:solidFill>
                    <w14:schemeClr w14:val="tx1"/>
                  </w14:solidFill>
                </w14:textFill>
              </w:rPr>
              <w:t xml:space="preserve">0.50 </w:t>
            </w:r>
            <w:r>
              <w:rPr>
                <w:rFonts w:hint="eastAsia" w:ascii="宋体" w:hAnsi="宋体"/>
                <w:b/>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。工程造价全过程控制</w:t>
            </w:r>
            <w:r>
              <w:rPr>
                <w:rFonts w:hint="eastAsia" w:ascii="宋体" w:hAnsi="宋体"/>
                <w:color w:val="000000" w:themeColor="text1"/>
                <w:sz w:val="24"/>
                <w:highlight w:val="none"/>
                <w14:textFill>
                  <w14:solidFill>
                    <w14:schemeClr w14:val="tx1"/>
                  </w14:solidFill>
                </w14:textFill>
              </w:rPr>
              <w:t>（全过程跟踪审计）</w:t>
            </w:r>
            <w:r>
              <w:rPr>
                <w:rFonts w:hint="eastAsia" w:ascii="宋体" w:hAnsi="宋体"/>
                <w:color w:val="000000" w:themeColor="text1"/>
                <w:szCs w:val="21"/>
                <w:highlight w:val="none"/>
                <w14:textFill>
                  <w14:solidFill>
                    <w14:schemeClr w14:val="tx1"/>
                  </w14:solidFill>
                </w14:textFill>
              </w:rPr>
              <w:t>最高</w:t>
            </w:r>
            <w:r>
              <w:rPr>
                <w:rFonts w:hint="eastAsia" w:ascii="宋体" w:hAnsi="宋体"/>
                <w:color w:val="000000" w:themeColor="text1"/>
                <w:szCs w:val="21"/>
                <w:highlight w:val="none"/>
                <w:lang w:val="en-US" w:eastAsia="zh-CN"/>
                <w14:textFill>
                  <w14:solidFill>
                    <w14:schemeClr w14:val="tx1"/>
                  </w14:solidFill>
                </w14:textFill>
              </w:rPr>
              <w:t>限价</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u w:val="single"/>
                <w:lang w:val="en-US" w:eastAsia="zh-CN"/>
                <w14:textFill>
                  <w14:solidFill>
                    <w14:schemeClr w14:val="tx1"/>
                  </w14:solidFill>
                </w14:textFill>
              </w:rPr>
              <w:t>303861.60元</w:t>
            </w:r>
            <w:r>
              <w:rPr>
                <w:rFonts w:hint="eastAsia" w:ascii="宋体" w:hAnsi="宋体"/>
                <w:color w:val="000000" w:themeColor="text1"/>
                <w:szCs w:val="21"/>
                <w:highlight w:val="none"/>
                <w:lang w:val="en-US" w:eastAsia="zh-CN"/>
                <w14:textFill>
                  <w14:solidFill>
                    <w14:schemeClr w14:val="tx1"/>
                  </w14:solidFill>
                </w14:textFill>
              </w:rPr>
              <w:t>。</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各竞选人的竞选总报价</w:t>
            </w:r>
            <w:r>
              <w:rPr>
                <w:rFonts w:hint="eastAsia" w:ascii="宋体" w:hAnsi="宋体"/>
                <w:color w:val="000000" w:themeColor="text1"/>
                <w:szCs w:val="21"/>
                <w:highlight w:val="none"/>
                <w:lang w:val="en-US" w:eastAsia="zh-CN"/>
                <w14:textFill>
                  <w14:solidFill>
                    <w14:schemeClr w14:val="tx1"/>
                  </w14:solidFill>
                </w14:textFill>
              </w:rPr>
              <w:t>及固定</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不得超过最高限价，</w:t>
            </w:r>
            <w:r>
              <w:rPr>
                <w:rFonts w:ascii="宋体" w:hAnsi="宋体" w:cs="宋体"/>
                <w:color w:val="000000" w:themeColor="text1"/>
                <w:highlight w:val="none"/>
                <w14:textFill>
                  <w14:solidFill>
                    <w14:schemeClr w14:val="tx1"/>
                  </w14:solidFill>
                </w14:textFill>
              </w:rPr>
              <w:t>否则由评</w:t>
            </w:r>
            <w:r>
              <w:rPr>
                <w:rFonts w:hint="eastAsia" w:ascii="宋体" w:hAnsi="宋体" w:cs="宋体"/>
                <w:color w:val="000000" w:themeColor="text1"/>
                <w:highlight w:val="none"/>
                <w14:textFill>
                  <w14:solidFill>
                    <w14:schemeClr w14:val="tx1"/>
                  </w14:solidFill>
                </w14:textFill>
              </w:rPr>
              <w:t>审</w:t>
            </w:r>
            <w:r>
              <w:rPr>
                <w:rFonts w:ascii="宋体" w:hAnsi="宋体" w:cs="宋体"/>
                <w:color w:val="000000" w:themeColor="text1"/>
                <w:highlight w:val="none"/>
                <w14:textFill>
                  <w14:solidFill>
                    <w14:schemeClr w14:val="tx1"/>
                  </w14:solidFill>
                </w14:textFill>
              </w:rPr>
              <w:t>委员会作否决投</w:t>
            </w:r>
            <w:r>
              <w:rPr>
                <w:rFonts w:ascii="宋体" w:hAnsi="宋体" w:cs="宋体"/>
                <w:color w:val="000000" w:themeColor="text1"/>
                <w:spacing w:val="-10"/>
                <w:highlight w:val="none"/>
                <w14:textFill>
                  <w14:solidFill>
                    <w14:schemeClr w14:val="tx1"/>
                  </w14:solidFill>
                </w14:textFill>
              </w:rPr>
              <w:t>标处理</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比选有效期</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比选保证金</w:t>
            </w:r>
          </w:p>
        </w:tc>
        <w:tc>
          <w:tcPr>
            <w:tcW w:w="6311" w:type="dxa"/>
            <w:vAlign w:val="center"/>
          </w:tcPr>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1. 竞标保证金金额：</w:t>
            </w:r>
            <w:r>
              <w:rPr>
                <w:rFonts w:hint="eastAsia" w:cs="Times New Roman"/>
                <w:color w:val="000000" w:themeColor="text1"/>
                <w:sz w:val="21"/>
                <w:szCs w:val="21"/>
                <w:highlight w:val="none"/>
                <w:lang w:val="en-US" w:eastAsia="zh-CN"/>
                <w14:textFill>
                  <w14:solidFill>
                    <w14:schemeClr w14:val="tx1"/>
                  </w14:solidFill>
                </w14:textFill>
              </w:rPr>
              <w:t>6</w:t>
            </w:r>
            <w:r>
              <w:rPr>
                <w:rFonts w:cs="Times New Roman"/>
                <w:color w:val="000000" w:themeColor="text1"/>
                <w:sz w:val="21"/>
                <w:szCs w:val="21"/>
                <w:highlight w:val="none"/>
                <w14:textFill>
                  <w14:solidFill>
                    <w14:schemeClr w14:val="tx1"/>
                  </w14:solidFill>
                </w14:textFill>
              </w:rPr>
              <w:t>000</w:t>
            </w:r>
            <w:r>
              <w:rPr>
                <w:rFonts w:hint="eastAsia" w:cs="Times New Roman"/>
                <w:color w:val="000000" w:themeColor="text1"/>
                <w:sz w:val="21"/>
                <w:szCs w:val="21"/>
                <w:highlight w:val="none"/>
                <w14:textFill>
                  <w14:solidFill>
                    <w14:schemeClr w14:val="tx1"/>
                  </w14:solidFill>
                </w14:textFill>
              </w:rPr>
              <w:t>元，（大写：</w:t>
            </w:r>
            <w:r>
              <w:rPr>
                <w:rFonts w:hint="eastAsia" w:cs="Times New Roman"/>
                <w:color w:val="000000" w:themeColor="text1"/>
                <w:sz w:val="21"/>
                <w:szCs w:val="21"/>
                <w:highlight w:val="none"/>
                <w:lang w:val="en-US" w:eastAsia="zh-CN"/>
                <w14:textFill>
                  <w14:solidFill>
                    <w14:schemeClr w14:val="tx1"/>
                  </w14:solidFill>
                </w14:textFill>
              </w:rPr>
              <w:t>陆</w:t>
            </w:r>
            <w:r>
              <w:rPr>
                <w:rFonts w:hint="eastAsia" w:cs="Times New Roman"/>
                <w:color w:val="000000" w:themeColor="text1"/>
                <w:sz w:val="21"/>
                <w:szCs w:val="21"/>
                <w:highlight w:val="none"/>
                <w14:textFill>
                  <w14:solidFill>
                    <w14:schemeClr w14:val="tx1"/>
                  </w14:solidFill>
                </w14:textFill>
              </w:rPr>
              <w:t>仟元）。</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2.缴纳形式：转账</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3.保证金账户：</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户名：重庆昱炀工程咨询有限公司，</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账号：160612349，</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开户行：中国民生银行重庆龙湖支行。</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注明标段名称。</w:t>
            </w:r>
          </w:p>
          <w:p>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4.保证金的退还：中选通知书发出后5个工作日内退还退还未中选竞标人的竞标竞标人的竞标保证金，中选人与比选人合同签订后5个工作日内退还中选人的竞标保证金。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6311" w:type="dxa"/>
            <w:vAlign w:val="center"/>
          </w:tcPr>
          <w:p>
            <w:pPr>
              <w:snapToGrid w:val="0"/>
              <w:spacing w:afterLines="3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近年财务状况</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的年份要求</w:t>
            </w:r>
          </w:p>
        </w:tc>
        <w:tc>
          <w:tcPr>
            <w:tcW w:w="6311" w:type="dxa"/>
            <w:vAlign w:val="center"/>
          </w:tcPr>
          <w:p>
            <w:pPr>
              <w:snapToGrid w:val="0"/>
              <w:spacing w:afterLines="30"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pPr>
              <w:snapToGrid w:val="0"/>
              <w:spacing w:afterLines="3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备选竞选方案</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不允许</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pPr>
              <w:snapToGrid w:val="0"/>
              <w:spacing w:line="400" w:lineRule="exact"/>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未按上述规定执行的，交由评选委员会作否决竞选处理。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4" w:type="dxa"/>
            <w:vAlign w:val="center"/>
          </w:tcPr>
          <w:p>
            <w:pPr>
              <w:snapToGrid w:val="0"/>
              <w:spacing w:line="400" w:lineRule="exact"/>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竞选文件的份数</w:t>
            </w:r>
          </w:p>
        </w:tc>
        <w:tc>
          <w:tcPr>
            <w:tcW w:w="6311" w:type="dxa"/>
            <w:vAlign w:val="center"/>
          </w:tcPr>
          <w:p>
            <w:pPr>
              <w:widowControl/>
              <w:spacing w:line="400" w:lineRule="exact"/>
              <w:ind w:firstLine="45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正本</w:t>
            </w:r>
            <w:r>
              <w:rPr>
                <w:rFonts w:hint="eastAsia" w:ascii="宋体" w:hAnsi="宋体"/>
                <w:color w:val="000000" w:themeColor="text1"/>
                <w:kern w:val="0"/>
                <w:szCs w:val="21"/>
                <w:highlight w:val="none"/>
                <w14:textFill>
                  <w14:solidFill>
                    <w14:schemeClr w14:val="tx1"/>
                  </w14:solidFill>
                </w14:textFill>
              </w:rPr>
              <w:t>1份、副本1份，电子版形式（U盘）1份，</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》不分正副本</w:t>
            </w:r>
            <w:r>
              <w:rPr>
                <w:rFonts w:hint="eastAsia" w:ascii="宋体" w:hAnsi="宋体"/>
                <w:color w:val="000000" w:themeColor="text1"/>
                <w:kern w:val="0"/>
                <w:szCs w:val="21"/>
                <w:highlight w:val="none"/>
                <w14:textFill>
                  <w14:solidFill>
                    <w14:schemeClr w14:val="tx1"/>
                  </w14:solidFill>
                </w14:textFill>
              </w:rPr>
              <w:t>。当副本和正本不一致时，以正本为准。否则由评标委员会作否决投标处理。</w:t>
            </w:r>
          </w:p>
          <w:p>
            <w:pPr>
              <w:widowControl/>
              <w:spacing w:line="400" w:lineRule="exact"/>
              <w:ind w:firstLine="45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电子版形式（U盘）：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电子文档内容</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包括word版比选申请文件正本和签字盖章齐全的比选申请文件正本扫描件PDF版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，内容必须与正本一致，如出现不一致情况以纸质比选申请文件正本为准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（此项不作为否决投标依据，为便于存档请遵照执行）。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311" w:type="dxa"/>
            <w:vAlign w:val="center"/>
          </w:tcPr>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1、本工程技术部分采用暗标评审，应将投标函部分、技术部分、</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2、装订</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）投标函部分的装订要求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七</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）技术部分的装订要求</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服务方案</w:t>
            </w:r>
            <w:r>
              <w:rPr>
                <w:rFonts w:ascii="宋体" w:hAnsi="宋体"/>
                <w:color w:val="000000" w:themeColor="text1"/>
                <w:kern w:val="0"/>
                <w:szCs w:val="21"/>
                <w:highlight w:val="none"/>
                <w14:textFill>
                  <w14:solidFill>
                    <w14:schemeClr w14:val="tx1"/>
                  </w14:solidFill>
                </w14:textFill>
              </w:rPr>
              <w:t>》面页使用A4厚型白纸面页，用初号仿宋字体居中标明 “</w:t>
            </w:r>
            <w:r>
              <w:rPr>
                <w:rFonts w:hint="eastAsia" w:ascii="宋体" w:hAnsi="宋体"/>
                <w:color w:val="000000" w:themeColor="text1"/>
                <w:kern w:val="0"/>
                <w:szCs w:val="21"/>
                <w:highlight w:val="none"/>
                <w:lang w:val="en-US" w:eastAsia="zh-CN"/>
                <w14:textFill>
                  <w14:solidFill>
                    <w14:schemeClr w14:val="tx1"/>
                  </w14:solidFill>
                </w14:textFill>
              </w:rPr>
              <w:t>服务方案</w:t>
            </w:r>
            <w:r>
              <w:rPr>
                <w:rFonts w:ascii="宋体" w:hAnsi="宋体"/>
                <w:color w:val="000000" w:themeColor="text1"/>
                <w:kern w:val="0"/>
                <w:szCs w:val="21"/>
                <w:highlight w:val="none"/>
                <w14:textFill>
                  <w14:solidFill>
                    <w14:schemeClr w14:val="tx1"/>
                  </w14:solidFill>
                </w14:textFill>
              </w:rPr>
              <w:t>”；在页面右下角加盖投标单位章后沿密封线折叠成腰约10cm左右的等腰直角三角形密封；面页除了“</w:t>
            </w:r>
            <w:r>
              <w:rPr>
                <w:rFonts w:hint="eastAsia" w:ascii="宋体" w:hAnsi="宋体"/>
                <w:color w:val="000000" w:themeColor="text1"/>
                <w:kern w:val="0"/>
                <w:szCs w:val="21"/>
                <w:highlight w:val="none"/>
                <w14:textFill>
                  <w14:solidFill>
                    <w14:schemeClr w14:val="tx1"/>
                  </w14:solidFill>
                </w14:textFill>
              </w:rPr>
              <w:t>服务方案</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四</w:t>
            </w:r>
            <w:r>
              <w:rPr>
                <w:rFonts w:ascii="宋体" w:hAnsi="宋体"/>
                <w:color w:val="000000" w:themeColor="text1"/>
                <w:kern w:val="0"/>
                <w:szCs w:val="21"/>
                <w:highlight w:val="none"/>
                <w14:textFill>
                  <w14:solidFill>
                    <w14:schemeClr w14:val="tx1"/>
                  </w14:solidFill>
                </w14:textFill>
              </w:rPr>
              <w:t>字和右下角密封处印章外不得有其他印记；密封后的面页及整个《</w:t>
            </w:r>
            <w:r>
              <w:rPr>
                <w:rFonts w:hint="eastAsia" w:ascii="宋体" w:hAnsi="宋体"/>
                <w:color w:val="000000" w:themeColor="text1"/>
                <w:kern w:val="0"/>
                <w:szCs w:val="21"/>
                <w:highlight w:val="none"/>
                <w14:textFill>
                  <w14:solidFill>
                    <w14:schemeClr w14:val="tx1"/>
                  </w14:solidFill>
                </w14:textFill>
              </w:rPr>
              <w:t>服务方案</w:t>
            </w:r>
            <w:r>
              <w:rPr>
                <w:rFonts w:ascii="宋体" w:hAnsi="宋体"/>
                <w:color w:val="000000" w:themeColor="text1"/>
                <w:kern w:val="0"/>
                <w:szCs w:val="21"/>
                <w:highlight w:val="none"/>
                <w14:textFill>
                  <w14:solidFill>
                    <w14:schemeClr w14:val="tx1"/>
                  </w14:solidFill>
                </w14:textFill>
              </w:rPr>
              <w:t>》均不得</w:t>
            </w:r>
            <w:r>
              <w:rPr>
                <w:rFonts w:ascii="宋体" w:hAnsi="宋体"/>
                <w:color w:val="000000" w:themeColor="text1"/>
                <w:szCs w:val="21"/>
                <w:highlight w:val="none"/>
                <w14:textFill>
                  <w14:solidFill>
                    <w14:schemeClr w14:val="tx1"/>
                  </w14:solidFill>
                </w14:textFill>
              </w:rPr>
              <w:t>出现白页、残页和倒页，不得</w:t>
            </w:r>
            <w:r>
              <w:rPr>
                <w:rFonts w:ascii="宋体" w:hAnsi="宋体"/>
                <w:color w:val="000000" w:themeColor="text1"/>
                <w:kern w:val="0"/>
                <w:szCs w:val="21"/>
                <w:highlight w:val="none"/>
                <w14:textFill>
                  <w14:solidFill>
                    <w14:schemeClr w14:val="tx1"/>
                  </w14:solidFill>
                </w14:textFill>
              </w:rPr>
              <w:t>显示与</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企业有关的任何信息</w:t>
            </w:r>
            <w:r>
              <w:rPr>
                <w:rFonts w:hint="eastAsia" w:ascii="宋体" w:hAnsi="宋体"/>
                <w:color w:val="000000" w:themeColor="text1"/>
                <w:kern w:val="0"/>
                <w:szCs w:val="21"/>
                <w:highlight w:val="none"/>
                <w14:textFill>
                  <w14:solidFill>
                    <w14:schemeClr w14:val="tx1"/>
                  </w14:solidFill>
                </w14:textFill>
              </w:rPr>
              <w:t>及与本工程无关内容</w:t>
            </w:r>
            <w:r>
              <w:rPr>
                <w:rFonts w:ascii="宋体" w:hAnsi="宋体"/>
                <w:color w:val="000000" w:themeColor="text1"/>
                <w:kern w:val="0"/>
                <w:szCs w:val="21"/>
                <w:highlight w:val="none"/>
                <w14:textFill>
                  <w14:solidFill>
                    <w14:schemeClr w14:val="tx1"/>
                  </w14:solidFill>
                </w14:textFill>
              </w:rPr>
              <w:t>（面页由</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中提供的电子文档格式用A4厚型白纸打印，加盖</w:t>
            </w:r>
            <w:r>
              <w:rPr>
                <w:rFonts w:hint="eastAsia" w:ascii="宋体" w:hAnsi="宋体"/>
                <w:color w:val="000000" w:themeColor="text1"/>
                <w:kern w:val="0"/>
                <w:szCs w:val="21"/>
                <w:highlight w:val="none"/>
                <w14:textFill>
                  <w14:solidFill>
                    <w14:schemeClr w14:val="tx1"/>
                  </w14:solidFill>
                </w14:textFill>
              </w:rPr>
              <w:t>单位法人章</w:t>
            </w:r>
            <w:r>
              <w:rPr>
                <w:rFonts w:ascii="宋体" w:hAnsi="宋体"/>
                <w:color w:val="000000" w:themeColor="text1"/>
                <w:kern w:val="0"/>
                <w:szCs w:val="21"/>
                <w:highlight w:val="none"/>
                <w14:textFill>
                  <w14:solidFill>
                    <w14:schemeClr w14:val="tx1"/>
                  </w14:solidFill>
                </w14:textFill>
              </w:rPr>
              <w:t>后其面页的反面以不得显示出</w:t>
            </w:r>
            <w:r>
              <w:rPr>
                <w:rFonts w:hint="eastAsia" w:ascii="宋体" w:hAnsi="宋体"/>
                <w:color w:val="000000" w:themeColor="text1"/>
                <w:kern w:val="0"/>
                <w:szCs w:val="21"/>
                <w:highlight w:val="none"/>
                <w14:textFill>
                  <w14:solidFill>
                    <w14:schemeClr w14:val="tx1"/>
                  </w14:solidFill>
                </w14:textFill>
              </w:rPr>
              <w:t>单位</w:t>
            </w:r>
            <w:r>
              <w:rPr>
                <w:rFonts w:ascii="宋体" w:hAnsi="宋体"/>
                <w:color w:val="000000" w:themeColor="text1"/>
                <w:kern w:val="0"/>
                <w:szCs w:val="21"/>
                <w:highlight w:val="none"/>
                <w14:textFill>
                  <w14:solidFill>
                    <w14:schemeClr w14:val="tx1"/>
                  </w14:solidFill>
                </w14:textFill>
              </w:rPr>
              <w:t>法人章单位名称为准）；</w:t>
            </w:r>
            <w:r>
              <w:rPr>
                <w:rFonts w:hint="eastAsia" w:ascii="宋体" w:hAnsi="宋体"/>
                <w:color w:val="000000" w:themeColor="text1"/>
                <w:kern w:val="0"/>
                <w:szCs w:val="21"/>
                <w:highlight w:val="none"/>
                <w14:textFill>
                  <w14:solidFill>
                    <w14:schemeClr w14:val="tx1"/>
                  </w14:solidFill>
                </w14:textFill>
              </w:rPr>
              <w:t>《服务方案》文本部分的纸张采用A4白纸，文本部分的文字采用四号仿宋字体；图表部分的纸张采用A4或A3白纸，图表内的字体、字号大小不限；文字、图表不得使用彩色和不得编制页码。</w:t>
            </w:r>
            <w:r>
              <w:rPr>
                <w:rFonts w:ascii="宋体" w:hAnsi="宋体"/>
                <w:color w:val="000000" w:themeColor="text1"/>
                <w:kern w:val="0"/>
                <w:szCs w:val="21"/>
                <w:highlight w:val="none"/>
                <w14:textFill>
                  <w14:solidFill>
                    <w14:schemeClr w14:val="tx1"/>
                  </w14:solidFill>
                </w14:textFill>
              </w:rPr>
              <w:t>违反上述任何一项，</w:t>
            </w:r>
            <w:r>
              <w:rPr>
                <w:rFonts w:hint="eastAsia" w:ascii="宋体" w:hAnsi="宋体"/>
                <w:color w:val="000000" w:themeColor="text1"/>
                <w:kern w:val="0"/>
                <w:szCs w:val="21"/>
                <w:highlight w:val="none"/>
                <w14:textFill>
                  <w14:solidFill>
                    <w14:schemeClr w14:val="tx1"/>
                  </w14:solidFill>
                </w14:textFill>
              </w:rPr>
              <w:t>其竞选文件《服务方案》部分为零分</w:t>
            </w:r>
            <w:r>
              <w:rPr>
                <w:rFonts w:ascii="宋体" w:hAnsi="宋体"/>
                <w:color w:val="000000" w:themeColor="text1"/>
                <w:kern w:val="0"/>
                <w:szCs w:val="21"/>
                <w:highlight w:val="none"/>
                <w14:textFill>
                  <w14:solidFill>
                    <w14:schemeClr w14:val="tx1"/>
                  </w14:solidFill>
                </w14:textFill>
              </w:rPr>
              <w:t>。</w:t>
            </w:r>
          </w:p>
          <w:p>
            <w:pPr>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pPr>
              <w:adjustRightInd w:val="0"/>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应按照第八章规定格式装订成册，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964" w:type="dxa"/>
            <w:vAlign w:val="center"/>
          </w:tcPr>
          <w:p>
            <w:pPr>
              <w:snapToGrid w:val="0"/>
              <w:spacing w:line="400" w:lineRule="exact"/>
              <w:jc w:val="center"/>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竞选文件的密封</w:t>
            </w:r>
          </w:p>
        </w:tc>
        <w:tc>
          <w:tcPr>
            <w:tcW w:w="6311" w:type="dxa"/>
            <w:vAlign w:val="center"/>
          </w:tcPr>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袋使用“</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函部分”袋、“技术部分”袋、“</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”袋以及“</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.投标函部分</w:t>
            </w:r>
            <w:r>
              <w:rPr>
                <w:rFonts w:hint="eastAsia" w:ascii="宋体" w:hAnsi="宋体"/>
                <w:color w:val="000000" w:themeColor="text1"/>
                <w:szCs w:val="21"/>
                <w:highlight w:val="none"/>
                <w14:textFill>
                  <w14:solidFill>
                    <w14:schemeClr w14:val="tx1"/>
                  </w14:solidFill>
                </w14:textFill>
              </w:rPr>
              <w:t>和电子版形式（U盘）</w:t>
            </w:r>
            <w:r>
              <w:rPr>
                <w:rFonts w:ascii="宋体" w:hAnsi="宋体"/>
                <w:color w:val="000000" w:themeColor="text1"/>
                <w:szCs w:val="21"/>
                <w:highlight w:val="none"/>
                <w14:textFill>
                  <w14:solidFill>
                    <w14:schemeClr w14:val="tx1"/>
                  </w14:solidFill>
                </w14:textFill>
              </w:rPr>
              <w:t>装入“投标函部分”袋中，密封并在袋上加盖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.本次招标技术部分采用暗标评审，技术部分装入“技术部分”袋中，密封不加盖任何印章。</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资格审查部分装入“资格审查部分”袋中，密封并在袋上加盖竞选人单位法人章。</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.“投标函部分”、“技术部分”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等小袋装入“</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”大袋中，密封并在大袋上加盖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章，同时“</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”大袋应按本表第4.1.2项的规定写明相应内容。</w:t>
            </w:r>
            <w:r>
              <w:rPr>
                <w:rFonts w:hint="eastAsia" w:ascii="宋体" w:hAnsi="宋体"/>
                <w:color w:val="000000" w:themeColor="text1"/>
                <w:szCs w:val="21"/>
                <w:highlight w:val="none"/>
                <w14:textFill>
                  <w14:solidFill>
                    <w14:schemeClr w14:val="tx1"/>
                  </w14:solidFill>
                </w14:textFill>
              </w:rPr>
              <w:t>一个大袋装不下的，可使用多个大袋分册封装。大袋未按要求密封的，比选人或代理机构应该拒收。</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注：“投标函部分”袋、“技术部分”袋、“资格审查部分”袋只为方便竞选文件分装，不作为判定密封合格与否的条件。但为了方便开标，请各竞选人主动配合，按要求分装。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应在封套上写明如下内容：</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（项目名称）竞选文件</w:t>
            </w:r>
          </w:p>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在年月日时分前不得开启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6311" w:type="dxa"/>
            <w:vAlign w:val="center"/>
          </w:tcPr>
          <w:p>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否</w:t>
            </w:r>
          </w:p>
          <w:p>
            <w:pPr>
              <w:snapToGrid w:val="0"/>
              <w:spacing w:line="400" w:lineRule="exact"/>
              <w:ind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评选时间和地点</w:t>
            </w:r>
          </w:p>
        </w:tc>
        <w:tc>
          <w:tcPr>
            <w:tcW w:w="6311" w:type="dxa"/>
            <w:vAlign w:val="center"/>
          </w:tcPr>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开标时间：同</w:t>
            </w:r>
            <w:r>
              <w:rPr>
                <w:rFonts w:hint="eastAsia" w:ascii="宋体" w:hAnsi="宋体"/>
                <w:color w:val="000000" w:themeColor="text1"/>
                <w:kern w:val="0"/>
                <w:szCs w:val="21"/>
                <w:highlight w:val="none"/>
                <w14:textFill>
                  <w14:solidFill>
                    <w14:schemeClr w14:val="tx1"/>
                  </w14:solidFill>
                </w14:textFill>
              </w:rPr>
              <w:t>竞选截止时间</w:t>
            </w:r>
          </w:p>
          <w:p>
            <w:pPr>
              <w:snapToGrid w:val="0"/>
              <w:spacing w:line="400" w:lineRule="exact"/>
              <w:ind w:firstLine="420" w:firstLineChars="200"/>
              <w:rPr>
                <w:rFonts w:ascii="宋体" w:hAnsi="宋体" w:cs="宋体"/>
                <w:bCs/>
                <w:i/>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开标地点：</w:t>
            </w:r>
            <w:r>
              <w:rPr>
                <w:rFonts w:hint="eastAsia" w:ascii="宋体" w:hAnsi="宋体" w:cs="宋体"/>
                <w:color w:val="000000" w:themeColor="text1"/>
                <w:szCs w:val="21"/>
                <w:highlight w:val="none"/>
                <w14:textFill>
                  <w14:solidFill>
                    <w14:schemeClr w14:val="tx1"/>
                  </w14:solidFill>
                </w14:textFill>
              </w:rPr>
              <w:t>重庆市南岸区行政服务中心B区3号楼</w:t>
            </w:r>
            <w:r>
              <w:rPr>
                <w:rFonts w:hint="eastAsia" w:ascii="宋体" w:hAnsi="宋体" w:cs="宋体"/>
                <w:color w:val="000000" w:themeColor="text1"/>
                <w:szCs w:val="21"/>
                <w:highlight w:val="none"/>
                <w:lang w:val="en-US" w:eastAsia="zh-CN"/>
                <w14:textFill>
                  <w14:solidFill>
                    <w14:schemeClr w14:val="tx1"/>
                  </w14:solidFill>
                </w14:textFill>
              </w:rPr>
              <w:t>2012</w:t>
            </w:r>
            <w:r>
              <w:rPr>
                <w:rFonts w:hint="eastAsia" w:ascii="宋体" w:hAnsi="宋体" w:cs="宋体"/>
                <w:color w:val="000000" w:themeColor="text1"/>
                <w:szCs w:val="21"/>
                <w:highlight w:val="none"/>
                <w14:textFill>
                  <w14:solidFill>
                    <w14:schemeClr w14:val="tx1"/>
                  </w14:solidFill>
                </w14:textFill>
              </w:rPr>
              <w:t>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4" w:type="dxa"/>
            <w:vAlign w:val="center"/>
          </w:tcPr>
          <w:p>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竞选文件开启</w:t>
            </w:r>
          </w:p>
          <w:p>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及唱标程序</w:t>
            </w:r>
          </w:p>
        </w:tc>
        <w:tc>
          <w:tcPr>
            <w:tcW w:w="6311" w:type="dxa"/>
            <w:vAlign w:val="center"/>
          </w:tcPr>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2.宣布开标纪律</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名称、投标报价、质量要求、工期及其他内容并记录在案</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评选委员会的组建</w:t>
            </w:r>
          </w:p>
        </w:tc>
        <w:tc>
          <w:tcPr>
            <w:tcW w:w="6311" w:type="dxa"/>
            <w:vAlign w:val="center"/>
          </w:tcPr>
          <w:p>
            <w:pPr>
              <w:pStyle w:val="8"/>
              <w:spacing w:line="400" w:lineRule="exact"/>
              <w:ind w:firstLine="436" w:firstLineChars="200"/>
              <w:rPr>
                <w:rFonts w:ascii="宋体" w:hAnsi="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kern w:val="0"/>
                <w:szCs w:val="21"/>
                <w:highlight w:val="none"/>
                <w14:textFill>
                  <w14:solidFill>
                    <w14:schemeClr w14:val="tx1"/>
                  </w14:solidFill>
                </w14:textFill>
              </w:rPr>
              <w:t>由比选人按法律法规及相关规定依法组建评标委员会</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4" w:type="dxa"/>
            <w:vAlign w:val="center"/>
          </w:tcPr>
          <w:p>
            <w:pPr>
              <w:snapToGrid w:val="0"/>
              <w:spacing w:afterLines="2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是否授权评选委员会确定中选人</w:t>
            </w:r>
          </w:p>
        </w:tc>
        <w:tc>
          <w:tcPr>
            <w:tcW w:w="6311" w:type="dxa"/>
            <w:vAlign w:val="center"/>
          </w:tcPr>
          <w:p>
            <w:pPr>
              <w:snapToGrid w:val="0"/>
              <w:spacing w:line="400" w:lineRule="exact"/>
              <w:ind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p>
            <w:pPr>
              <w:snapToGrid w:val="0"/>
              <w:spacing w:line="400" w:lineRule="exact"/>
              <w:ind w:firstLine="210" w:firstLineChars="100"/>
              <w:rPr>
                <w:rFonts w:ascii="宋体" w:hAnsi="宋体" w:cs="宋体"/>
                <w:i/>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否，</w:t>
            </w:r>
            <w:r>
              <w:rPr>
                <w:rFonts w:ascii="宋体" w:hAnsi="宋体" w:cs="宋体"/>
                <w:color w:val="000000" w:themeColor="text1"/>
                <w:szCs w:val="21"/>
                <w:highlight w:val="none"/>
                <w14:textFill>
                  <w14:solidFill>
                    <w14:schemeClr w14:val="tx1"/>
                  </w14:solidFill>
                </w14:textFill>
              </w:rPr>
              <w:t>推荐经</w:t>
            </w:r>
            <w:r>
              <w:rPr>
                <w:rFonts w:hint="eastAsia" w:ascii="宋体" w:hAnsi="宋体" w:cs="宋体"/>
                <w:color w:val="000000" w:themeColor="text1"/>
                <w:szCs w:val="21"/>
                <w:highlight w:val="none"/>
                <w14:textFill>
                  <w14:solidFill>
                    <w14:schemeClr w14:val="tx1"/>
                  </w14:solidFill>
                </w14:textFill>
              </w:rPr>
              <w:t>评选</w:t>
            </w:r>
            <w:r>
              <w:rPr>
                <w:rFonts w:ascii="宋体" w:hAnsi="宋体" w:cs="宋体"/>
                <w:color w:val="000000" w:themeColor="text1"/>
                <w:szCs w:val="21"/>
                <w:highlight w:val="none"/>
                <w14:textFill>
                  <w14:solidFill>
                    <w14:schemeClr w14:val="tx1"/>
                  </w14:solidFill>
                </w14:textFill>
              </w:rPr>
              <w:t>综合得分由高到低排名前三名为</w:t>
            </w:r>
            <w:r>
              <w:rPr>
                <w:rFonts w:hint="eastAsia" w:ascii="宋体" w:hAnsi="宋体" w:cs="宋体"/>
                <w:color w:val="000000" w:themeColor="text1"/>
                <w:szCs w:val="21"/>
                <w:highlight w:val="none"/>
                <w14:textFill>
                  <w14:solidFill>
                    <w14:schemeClr w14:val="tx1"/>
                  </w14:solidFill>
                </w14:textFill>
              </w:rPr>
              <w:t>中选</w:t>
            </w:r>
            <w:r>
              <w:rPr>
                <w:rFonts w:ascii="宋体" w:hAnsi="宋体" w:cs="宋体"/>
                <w:color w:val="000000" w:themeColor="text1"/>
                <w:szCs w:val="21"/>
                <w:highlight w:val="none"/>
                <w14:textFill>
                  <w14:solidFill>
                    <w14:schemeClr w14:val="tx1"/>
                  </w14:solidFill>
                </w14:textFill>
              </w:rPr>
              <w:t>候选人</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964" w:type="dxa"/>
            <w:vAlign w:val="center"/>
          </w:tcPr>
          <w:p>
            <w:pPr>
              <w:snapToGrid w:val="0"/>
              <w:spacing w:afterLines="2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中选结果公告</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评选结果在比选人确认评选结果后2个工作日内，于“</w:t>
            </w:r>
            <w:r>
              <w:rPr>
                <w:rFonts w:hint="eastAsia" w:ascii="宋体" w:hAnsi="宋体"/>
                <w:snapToGrid w:val="0"/>
                <w:color w:val="000000" w:themeColor="text1"/>
                <w:kern w:val="0"/>
                <w:szCs w:val="21"/>
                <w:highlight w:val="none"/>
                <w14:textFill>
                  <w14:solidFill>
                    <w14:schemeClr w14:val="tx1"/>
                  </w14:solidFill>
                </w14:textFill>
              </w:rPr>
              <w:t>行采家”网站（https://www.gec123.com/）上</w:t>
            </w:r>
            <w:r>
              <w:rPr>
                <w:rFonts w:hint="eastAsia" w:ascii="宋体" w:hAnsi="宋体" w:cs="宋体"/>
                <w:color w:val="000000" w:themeColor="text1"/>
                <w:szCs w:val="21"/>
                <w:highlight w:val="none"/>
                <w14:textFill>
                  <w14:solidFill>
                    <w14:schemeClr w14:val="tx1"/>
                  </w14:solidFill>
                </w14:textFill>
              </w:rPr>
              <w:t>进行公告，公告期限为3日。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履约担保</w:t>
            </w:r>
          </w:p>
        </w:tc>
        <w:tc>
          <w:tcPr>
            <w:tcW w:w="6311" w:type="dxa"/>
            <w:vAlign w:val="center"/>
          </w:tcPr>
          <w:p>
            <w:pPr>
              <w:snapToGrid w:val="0"/>
              <w:spacing w:after="48" w:line="400" w:lineRule="exact"/>
              <w:ind w:firstLine="420" w:firstLineChars="200"/>
              <w:rPr>
                <w:rStyle w:val="55"/>
                <w:rFonts w:ascii="宋体" w:hAnsi="宋体" w:cs="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kern w:val="0"/>
                <w:szCs w:val="21"/>
                <w:highlight w:val="none"/>
                <w14:textFill>
                  <w14:solidFill>
                    <w14:schemeClr w14:val="tx1"/>
                  </w14:solidFill>
                </w14:textFill>
              </w:rPr>
              <w:t>1.</w:t>
            </w:r>
            <w:r>
              <w:rPr>
                <w:rStyle w:val="55"/>
                <w:rFonts w:hint="eastAsia" w:ascii="宋体" w:hAnsi="宋体" w:eastAsia="宋体" w:cs="宋体"/>
                <w:color w:val="000000" w:themeColor="text1"/>
                <w:kern w:val="0"/>
                <w:szCs w:val="21"/>
                <w:highlight w:val="none"/>
                <w14:textFill>
                  <w14:solidFill>
                    <w14:schemeClr w14:val="tx1"/>
                  </w14:solidFill>
                </w14:textFill>
              </w:rPr>
              <w:t>担保形式：</w:t>
            </w:r>
            <w:r>
              <w:rPr>
                <w:rStyle w:val="55"/>
                <w:rFonts w:hint="default" w:ascii="宋体" w:hAnsi="宋体" w:eastAsia="宋体" w:cs="宋体"/>
                <w:color w:val="000000" w:themeColor="text1"/>
                <w:kern w:val="0"/>
                <w:szCs w:val="21"/>
                <w:highlight w:val="none"/>
                <w14:textFill>
                  <w14:solidFill>
                    <w14:schemeClr w14:val="tx1"/>
                  </w14:solidFill>
                </w14:textFill>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w:t>
            </w:r>
            <w:r>
              <w:rPr>
                <w:rStyle w:val="55"/>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Style w:val="55"/>
                <w:rFonts w:hint="default" w:ascii="宋体" w:hAnsi="宋体" w:eastAsia="宋体" w:cs="宋体"/>
                <w:color w:val="000000" w:themeColor="text1"/>
                <w:kern w:val="0"/>
                <w:szCs w:val="21"/>
                <w:highlight w:val="none"/>
                <w14:textFill>
                  <w14:solidFill>
                    <w14:schemeClr w14:val="tx1"/>
                  </w14:solidFill>
                </w14:textFill>
              </w:rPr>
              <w:t>文件约定要求。</w:t>
            </w:r>
            <w:r>
              <w:rPr>
                <w:rStyle w:val="55"/>
                <w:rFonts w:hint="eastAsia" w:ascii="宋体" w:hAnsi="宋体" w:cs="宋体"/>
                <w:color w:val="000000" w:themeColor="text1"/>
                <w:kern w:val="0"/>
                <w:szCs w:val="21"/>
                <w:highlight w:val="none"/>
                <w14:textFill>
                  <w14:solidFill>
                    <w14:schemeClr w14:val="tx1"/>
                  </w14:solidFill>
                </w14:textFill>
              </w:rPr>
              <w:t>中选人</w:t>
            </w:r>
            <w:r>
              <w:rPr>
                <w:rStyle w:val="55"/>
                <w:rFonts w:hint="default" w:ascii="宋体" w:hAnsi="宋体" w:eastAsia="宋体" w:cs="宋体"/>
                <w:color w:val="000000" w:themeColor="text1"/>
                <w:kern w:val="0"/>
                <w:szCs w:val="21"/>
                <w:highlight w:val="none"/>
                <w14:textFill>
                  <w14:solidFill>
                    <w14:schemeClr w14:val="tx1"/>
                  </w14:solidFill>
                </w14:textFill>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Style w:val="55"/>
                <w:rFonts w:hint="eastAsia" w:ascii="宋体" w:hAnsi="宋体" w:cs="宋体"/>
                <w:color w:val="000000" w:themeColor="text1"/>
                <w:kern w:val="0"/>
                <w:szCs w:val="21"/>
                <w:highlight w:val="none"/>
                <w14:textFill>
                  <w14:solidFill>
                    <w14:schemeClr w14:val="tx1"/>
                  </w14:solidFill>
                </w14:textFill>
              </w:rPr>
              <w:t>中选人</w:t>
            </w:r>
            <w:r>
              <w:rPr>
                <w:rStyle w:val="55"/>
                <w:rFonts w:hint="default" w:ascii="宋体" w:hAnsi="宋体" w:eastAsia="宋体" w:cs="宋体"/>
                <w:color w:val="000000" w:themeColor="text1"/>
                <w:kern w:val="0"/>
                <w:szCs w:val="21"/>
                <w:highlight w:val="none"/>
                <w14:textFill>
                  <w14:solidFill>
                    <w14:schemeClr w14:val="tx1"/>
                  </w14:solidFill>
                </w14:textFill>
              </w:rPr>
              <w:t>对所提交的保函的真实性、合法性、有效性负责。</w:t>
            </w:r>
          </w:p>
          <w:p>
            <w:pPr>
              <w:snapToGrid w:val="0"/>
              <w:spacing w:after="48" w:line="400" w:lineRule="exact"/>
              <w:ind w:firstLine="420" w:firstLineChars="200"/>
              <w:rPr>
                <w:rStyle w:val="55"/>
                <w:rFonts w:ascii="宋体" w:hAnsi="宋体" w:cs="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kern w:val="0"/>
                <w:szCs w:val="21"/>
                <w:highlight w:val="none"/>
                <w14:textFill>
                  <w14:solidFill>
                    <w14:schemeClr w14:val="tx1"/>
                  </w14:solidFill>
                </w14:textFill>
              </w:rPr>
              <w:t>2.担保金额：中选合同金额的10%；</w:t>
            </w:r>
          </w:p>
          <w:p>
            <w:pPr>
              <w:snapToGrid w:val="0"/>
              <w:spacing w:after="48" w:line="400" w:lineRule="exact"/>
              <w:ind w:firstLine="420" w:firstLineChars="200"/>
              <w:rPr>
                <w:rStyle w:val="55"/>
                <w:rFonts w:ascii="宋体" w:hAnsi="宋体" w:cs="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kern w:val="0"/>
                <w:szCs w:val="21"/>
                <w:highlight w:val="none"/>
                <w14:textFill>
                  <w14:solidFill>
                    <w14:schemeClr w14:val="tx1"/>
                  </w14:solidFill>
                </w14:textFill>
              </w:rPr>
              <w:t>3.提交时间：中选人领取中选通知书后10个工作日内提交，并作为签订合同的必备条件。其中：履约担保为银行转账的，中选人须从其企业基本账户将相应的履约担保金额打入比选人指定账户，账户在签订合同前由比选人提供；</w:t>
            </w:r>
          </w:p>
          <w:p>
            <w:pPr>
              <w:snapToGrid w:val="0"/>
              <w:spacing w:after="48" w:line="400" w:lineRule="exact"/>
              <w:ind w:firstLine="420" w:firstLineChars="200"/>
              <w:rPr>
                <w:rFonts w:ascii="宋体" w:hAnsi="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highlight w:val="none"/>
                <w14:textFill>
                  <w14:solidFill>
                    <w14:schemeClr w14:val="tx1"/>
                  </w14:solidFill>
                </w14:textFill>
              </w:rPr>
              <w:t>4.退还时间：完成合同所有约定事项</w:t>
            </w:r>
            <w:r>
              <w:rPr>
                <w:rFonts w:hint="eastAsia" w:ascii="宋体" w:hAnsi="宋体"/>
                <w:color w:val="000000" w:themeColor="text1"/>
                <w:szCs w:val="21"/>
                <w:highlight w:val="none"/>
                <w14:textFill>
                  <w14:solidFill>
                    <w14:schemeClr w14:val="tx1"/>
                  </w14:solidFill>
                </w14:textFill>
              </w:rPr>
              <w:t>后退还履约保证金（履约保证金不计算利息）</w:t>
            </w:r>
            <w:r>
              <w:rPr>
                <w:rStyle w:val="55"/>
                <w:rFonts w:hint="eastAsia" w:ascii="宋体" w:hAnsi="宋体" w:cs="宋体"/>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重新比选</w:t>
            </w:r>
          </w:p>
        </w:tc>
        <w:tc>
          <w:tcPr>
            <w:tcW w:w="6311" w:type="dxa"/>
            <w:vAlign w:val="center"/>
          </w:tcPr>
          <w:p>
            <w:pPr>
              <w:autoSpaceDE w:val="0"/>
              <w:autoSpaceDN w:val="0"/>
              <w:adjustRightInd w:val="0"/>
              <w:snapToGrid w:val="0"/>
              <w:spacing w:afterLines="20" w:line="400" w:lineRule="exact"/>
              <w:ind w:firstLine="420" w:firstLineChars="20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1.初次比选：按竞选人须知第8.1执行；</w:t>
            </w:r>
          </w:p>
          <w:p>
            <w:pPr>
              <w:autoSpaceDE w:val="0"/>
              <w:autoSpaceDN w:val="0"/>
              <w:adjustRightInd w:val="0"/>
              <w:snapToGrid w:val="0"/>
              <w:spacing w:afterLines="20"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2.二次比选：若初次比选因故终止，第二次比选有效竞选人仍然少于三个的，按照原规定的程序比选和评审。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275" w:type="dxa"/>
            <w:gridSpan w:val="2"/>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w:t>
            </w:r>
          </w:p>
        </w:tc>
        <w:tc>
          <w:tcPr>
            <w:tcW w:w="1964" w:type="dxa"/>
            <w:vAlign w:val="center"/>
          </w:tcPr>
          <w:p>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支付担保</w:t>
            </w:r>
          </w:p>
        </w:tc>
        <w:tc>
          <w:tcPr>
            <w:tcW w:w="6311" w:type="dxa"/>
            <w:vAlign w:val="center"/>
          </w:tcPr>
          <w:p>
            <w:pPr>
              <w:spacing w:line="40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p>
        </w:tc>
        <w:tc>
          <w:tcPr>
            <w:tcW w:w="1964"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比选代理服务费</w:t>
            </w:r>
          </w:p>
        </w:tc>
        <w:tc>
          <w:tcPr>
            <w:tcW w:w="6311" w:type="dxa"/>
            <w:vAlign w:val="center"/>
          </w:tcPr>
          <w:p>
            <w:pPr>
              <w:snapToGrid w:val="0"/>
              <w:spacing w:line="400" w:lineRule="exact"/>
              <w:ind w:firstLine="440" w:firstLineChars="200"/>
              <w:rPr>
                <w:rStyle w:val="55"/>
                <w:rFonts w:hint="eastAsia" w:ascii="宋体" w:hAnsi="宋体" w:eastAsia="宋体" w:cs="宋体"/>
                <w:color w:val="000000" w:themeColor="text1"/>
                <w:kern w:val="0"/>
                <w:sz w:val="22"/>
                <w:szCs w:val="22"/>
                <w:highlight w:val="none"/>
                <w14:textFill>
                  <w14:solidFill>
                    <w14:schemeClr w14:val="tx1"/>
                  </w14:solidFill>
                </w14:textFill>
              </w:rPr>
            </w:pPr>
            <w:r>
              <w:rPr>
                <w:rStyle w:val="55"/>
                <w:rFonts w:hint="eastAsia" w:ascii="宋体" w:hAnsi="宋体" w:eastAsia="宋体" w:cs="宋体"/>
                <w:color w:val="000000" w:themeColor="text1"/>
                <w:kern w:val="0"/>
                <w:sz w:val="22"/>
                <w:szCs w:val="22"/>
                <w:highlight w:val="none"/>
                <w:lang w:val="en-US" w:eastAsia="zh-CN"/>
                <w14:textFill>
                  <w14:solidFill>
                    <w14:schemeClr w14:val="tx1"/>
                  </w14:solidFill>
                </w14:textFill>
              </w:rPr>
              <w:t>本项目招标代理服务费</w:t>
            </w:r>
            <w:r>
              <w:rPr>
                <w:rStyle w:val="55"/>
                <w:rFonts w:hint="eastAsia" w:ascii="宋体" w:hAnsi="宋体" w:eastAsia="宋体" w:cs="宋体"/>
                <w:color w:val="000000" w:themeColor="text1"/>
                <w:kern w:val="0"/>
                <w:sz w:val="22"/>
                <w:szCs w:val="22"/>
                <w:highlight w:val="none"/>
                <w14:textFill>
                  <w14:solidFill>
                    <w14:schemeClr w14:val="tx1"/>
                  </w14:solidFill>
                </w14:textFill>
              </w:rPr>
              <w:t>按照</w:t>
            </w:r>
            <w:r>
              <w:rPr>
                <w:rStyle w:val="55"/>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Style w:val="55"/>
                <w:rFonts w:hint="eastAsia" w:ascii="宋体" w:hAnsi="宋体" w:eastAsia="宋体" w:cs="宋体"/>
                <w:color w:val="000000" w:themeColor="text1"/>
                <w:kern w:val="0"/>
                <w:sz w:val="22"/>
                <w:szCs w:val="22"/>
                <w:highlight w:val="none"/>
                <w14:textFill>
                  <w14:solidFill>
                    <w14:schemeClr w14:val="tx1"/>
                  </w14:solidFill>
                </w14:textFill>
              </w:rPr>
              <w:t>按照《招标代理服务收费管理暂行办法》（计价格[2002]1980号）收费标准</w:t>
            </w:r>
            <w:r>
              <w:rPr>
                <w:rStyle w:val="55"/>
                <w:rFonts w:hint="eastAsia" w:ascii="宋体" w:hAnsi="宋体" w:eastAsia="宋体" w:cs="宋体"/>
                <w:color w:val="000000" w:themeColor="text1"/>
                <w:kern w:val="0"/>
                <w:sz w:val="22"/>
                <w:szCs w:val="22"/>
                <w:highlight w:val="none"/>
                <w:lang w:val="en-US" w:eastAsia="zh-CN"/>
                <w14:textFill>
                  <w14:solidFill>
                    <w14:schemeClr w14:val="tx1"/>
                  </w14:solidFill>
                </w14:textFill>
              </w:rPr>
              <w:t>【70】%</w:t>
            </w:r>
            <w:r>
              <w:rPr>
                <w:rStyle w:val="55"/>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Style w:val="55"/>
                <w:rFonts w:hint="eastAsia" w:ascii="宋体" w:hAnsi="宋体" w:eastAsia="宋体" w:cs="宋体"/>
                <w:color w:val="000000" w:themeColor="text1"/>
                <w:kern w:val="0"/>
                <w:sz w:val="22"/>
                <w:szCs w:val="22"/>
                <w:highlight w:val="none"/>
                <w14:textFill>
                  <w14:solidFill>
                    <w14:schemeClr w14:val="tx1"/>
                  </w14:solidFill>
                </w14:textFill>
              </w:rPr>
              <w:t>计算，</w:t>
            </w:r>
            <w:r>
              <w:rPr>
                <w:rStyle w:val="55"/>
                <w:rFonts w:hint="eastAsia" w:ascii="宋体" w:hAnsi="宋体" w:eastAsia="宋体" w:cs="宋体"/>
                <w:color w:val="000000" w:themeColor="text1"/>
                <w:kern w:val="0"/>
                <w:sz w:val="22"/>
                <w:szCs w:val="22"/>
                <w:highlight w:val="none"/>
                <w:lang w:val="en-US" w:eastAsia="zh-CN"/>
                <w14:textFill>
                  <w14:solidFill>
                    <w14:schemeClr w14:val="tx1"/>
                  </w14:solidFill>
                </w14:textFill>
              </w:rPr>
              <w:t>不足6000元按6000元计。</w:t>
            </w:r>
            <w:r>
              <w:rPr>
                <w:rStyle w:val="55"/>
                <w:rFonts w:hint="eastAsia" w:ascii="宋体" w:hAnsi="宋体" w:eastAsia="宋体" w:cs="宋体"/>
                <w:color w:val="000000" w:themeColor="text1"/>
                <w:kern w:val="0"/>
                <w:sz w:val="22"/>
                <w:szCs w:val="22"/>
                <w:highlight w:val="none"/>
                <w14:textFill>
                  <w14:solidFill>
                    <w14:schemeClr w14:val="tx1"/>
                  </w14:solidFill>
                </w14:textFill>
              </w:rPr>
              <w:t>由中选单位领取中选通知书时一次性支付给代理机构，各比选申请在投标报价时应考虑此费用。</w:t>
            </w:r>
          </w:p>
          <w:p>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代理服务费缴纳账号：</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户名：</w:t>
            </w:r>
            <w:r>
              <w:rPr>
                <w:rFonts w:ascii="宋体" w:hAnsi="宋体"/>
                <w:snapToGrid w:val="0"/>
                <w:color w:val="000000" w:themeColor="text1"/>
                <w:kern w:val="0"/>
                <w:highlight w:val="none"/>
                <w14:textFill>
                  <w14:solidFill>
                    <w14:schemeClr w14:val="tx1"/>
                  </w14:solidFill>
                </w14:textFill>
              </w:rPr>
              <w:t>重庆昱炀工程咨询有限公司</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开户行：</w:t>
            </w:r>
            <w:r>
              <w:rPr>
                <w:rFonts w:ascii="宋体" w:hAnsi="宋体"/>
                <w:snapToGrid w:val="0"/>
                <w:color w:val="000000" w:themeColor="text1"/>
                <w:kern w:val="0"/>
                <w:highlight w:val="none"/>
                <w14:textFill>
                  <w14:solidFill>
                    <w14:schemeClr w14:val="tx1"/>
                  </w14:solidFill>
                </w14:textFill>
              </w:rPr>
              <w:t>中国民生银行重庆龙湖支行</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账号：</w:t>
            </w:r>
            <w:r>
              <w:rPr>
                <w:rFonts w:ascii="宋体" w:hAnsi="宋体"/>
                <w:snapToGrid w:val="0"/>
                <w:color w:val="000000" w:themeColor="text1"/>
                <w:kern w:val="0"/>
                <w:highlight w:val="none"/>
                <w14:textFill>
                  <w14:solidFill>
                    <w14:schemeClr w14:val="tx1"/>
                  </w14:solidFill>
                </w14:textFill>
              </w:rPr>
              <w:t>160612349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w:t>
            </w:r>
          </w:p>
        </w:tc>
        <w:tc>
          <w:tcPr>
            <w:tcW w:w="1964"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关于对比选文件及竞选文件理解争议的解释</w:t>
            </w:r>
          </w:p>
        </w:tc>
        <w:tc>
          <w:tcPr>
            <w:tcW w:w="6311" w:type="dxa"/>
            <w:vAlign w:val="center"/>
          </w:tcPr>
          <w:p>
            <w:pPr>
              <w:spacing w:line="40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对比选文件的评选标准和方法，以及资格审查和否决条款理解有争议的，应当作出不利于比选人的解释，但违背国家利益、社会公共利益的除外。</w:t>
            </w:r>
          </w:p>
          <w:p>
            <w:pPr>
              <w:spacing w:line="40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对竞选文件理解有争议的，应当作出不利于提交该竞选文件的竞选人的解释。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10.4</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付款方式</w:t>
            </w:r>
          </w:p>
        </w:tc>
        <w:tc>
          <w:tcPr>
            <w:tcW w:w="6311" w:type="dxa"/>
            <w:vAlign w:val="center"/>
          </w:tcPr>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）施工阶段工程造价全过程控制（全过程跟踪审计）</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10.5</w:t>
            </w:r>
          </w:p>
        </w:tc>
        <w:tc>
          <w:tcPr>
            <w:tcW w:w="1964"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中选候选人和中选人无故放弃中选或不签订合同的后果</w:t>
            </w:r>
          </w:p>
        </w:tc>
        <w:tc>
          <w:tcPr>
            <w:tcW w:w="6311"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1.不予退还比选保证金；</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2.给比选人造成经济损失的，要赔偿比选人合理损失；</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3.由比选人将其不良行为上报监督部门处理。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10.6</w:t>
            </w:r>
          </w:p>
        </w:tc>
        <w:tc>
          <w:tcPr>
            <w:tcW w:w="1964"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kern w:val="0"/>
                <w:sz w:val="22"/>
                <w:szCs w:val="22"/>
                <w:highlight w:val="none"/>
                <w:lang w:val="en-US" w:eastAsia="zh-CN"/>
                <w14:textFill>
                  <w14:solidFill>
                    <w14:schemeClr w14:val="tx1"/>
                  </w14:solidFill>
                </w14:textFill>
              </w:rPr>
              <w:t>低价风险担保</w:t>
            </w:r>
          </w:p>
        </w:tc>
        <w:tc>
          <w:tcPr>
            <w:tcW w:w="6311" w:type="dxa"/>
            <w:vAlign w:val="center"/>
          </w:tcPr>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2．中标人提供低价风险担保的形式、金额及期限：</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（1）低价风险担保的形式：</w:t>
            </w:r>
            <w:r>
              <w:rPr>
                <w:rFonts w:hint="eastAsia" w:ascii="宋体" w:hAnsi="宋体"/>
                <w:color w:val="000000" w:themeColor="text1"/>
                <w:kern w:val="0"/>
                <w:szCs w:val="21"/>
                <w:highlight w:val="none"/>
                <w14:textFill>
                  <w14:solidFill>
                    <w14:schemeClr w14:val="tx1"/>
                  </w14:solidFill>
                </w14:textFill>
              </w:rPr>
              <w:t>现金或银行保函或现金</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银行保函的组合；采用银行保函形式的，保函必须为不可撤销、不可转让且见索即付的独立保函，中标人出具保函时，不得修改“低价风险担保保函”名称，也不得对低价风险担保保函示范文本中付款条件等实质性内容进行修改，否则视为不符合招标文件规定。</w:t>
            </w:r>
          </w:p>
          <w:p>
            <w:pPr>
              <w:autoSpaceDE w:val="0"/>
              <w:autoSpaceDN w:val="0"/>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（2）低价风险担保的金额：（最高限价×85%-中标价）×□1□2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3，且最高不超过最高限价的85%</w:t>
            </w:r>
            <w:r>
              <w:rPr>
                <w:rFonts w:hint="eastAsia"/>
                <w:color w:val="000000" w:themeColor="text1"/>
                <w:highlight w:val="none"/>
                <w:lang w:eastAsia="zh-CN"/>
                <w14:textFill>
                  <w14:solidFill>
                    <w14:schemeClr w14:val="tx1"/>
                  </w14:solidFill>
                </w14:textFill>
              </w:rPr>
              <w:t>。</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（3）低价风险担保送达招标人的时间：从招标人中标通知书送达拟中标人之日起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工作日内。</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（5）低价风险担保的期限：见专用合同条款。</w:t>
            </w:r>
          </w:p>
          <w:p>
            <w:pPr>
              <w:widowControl/>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3．低价风险担保的退还时间：见专用合同条款。</w:t>
            </w:r>
          </w:p>
          <w:p>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pPr>
              <w:spacing w:line="312" w:lineRule="auto"/>
              <w:ind w:firstLine="480" w:firstLineChars="0"/>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5. 投标总报价低于最高限价85%的，投标人应在编制投标文件时，在投标函部分中递交低价风险担保提交承诺书。</w:t>
            </w:r>
          </w:p>
        </w:tc>
      </w:tr>
    </w:tbl>
    <w:p>
      <w:pPr>
        <w:pStyle w:val="8"/>
        <w:outlineLvl w:val="1"/>
        <w:rPr>
          <w:rFonts w:ascii="宋体" w:hAnsi="宋体" w:cs="宋体"/>
          <w:bCs/>
          <w:snapToGrid w:val="0"/>
          <w:color w:val="000000" w:themeColor="text1"/>
          <w:sz w:val="24"/>
          <w:highlight w:val="none"/>
          <w14:textFill>
            <w14:solidFill>
              <w14:schemeClr w14:val="tx1"/>
            </w14:solidFill>
          </w14:textFill>
        </w:rPr>
      </w:pPr>
      <w:bookmarkStart w:id="43" w:name="_Toc224103317"/>
      <w:bookmarkStart w:id="44" w:name="_Toc430530435"/>
      <w:bookmarkStart w:id="45" w:name="_Toc200513126"/>
      <w:bookmarkStart w:id="46" w:name="_Toc509218710"/>
      <w:bookmarkStart w:id="47" w:name="_Toc287620685"/>
      <w:bookmarkStart w:id="48" w:name="_Toc277082552"/>
      <w:bookmarkStart w:id="49" w:name="_Toc287607746"/>
    </w:p>
    <w:p>
      <w:pP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pPr>
        <w:pStyle w:val="8"/>
        <w:outlineLvl w:val="1"/>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  总则</w:t>
      </w:r>
      <w:bookmarkEnd w:id="43"/>
      <w:bookmarkEnd w:id="44"/>
      <w:bookmarkEnd w:id="45"/>
      <w:bookmarkEnd w:id="46"/>
      <w:bookmarkEnd w:id="47"/>
      <w:bookmarkEnd w:id="48"/>
      <w:bookmarkEnd w:id="49"/>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0" w:name="_Toc10890"/>
      <w:bookmarkStart w:id="51" w:name="_Toc287620686"/>
      <w:bookmarkStart w:id="52" w:name="_Toc40569141"/>
      <w:bookmarkStart w:id="53" w:name="_Toc40569046"/>
      <w:bookmarkStart w:id="54" w:name="_Toc430530436"/>
      <w:bookmarkStart w:id="55" w:name="_Toc277082553"/>
      <w:bookmarkStart w:id="56" w:name="_Toc224103318"/>
      <w:bookmarkStart w:id="57" w:name="_Toc32083"/>
      <w:bookmarkStart w:id="58" w:name="_Toc287607747"/>
      <w:bookmarkStart w:id="59" w:name="_Toc509218711"/>
      <w:bookmarkStart w:id="60" w:name="_Toc3411"/>
      <w:bookmarkStart w:id="61" w:name="_Toc200513127"/>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50"/>
      <w:bookmarkEnd w:id="51"/>
      <w:bookmarkEnd w:id="52"/>
      <w:bookmarkEnd w:id="53"/>
      <w:bookmarkEnd w:id="54"/>
      <w:bookmarkEnd w:id="55"/>
      <w:bookmarkEnd w:id="56"/>
      <w:bookmarkEnd w:id="57"/>
      <w:bookmarkEnd w:id="58"/>
      <w:bookmarkEnd w:id="59"/>
      <w:bookmarkEnd w:id="60"/>
      <w:bookmarkEnd w:id="61"/>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根据《中华人民共和国招标投标法》等有关法律、法规和规章的规定，本发包项目已具备比选条件，现对本项目进行竞争性比选。</w:t>
      </w:r>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本发包项目比选人：见竞选人须知前附表。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本项目比选代理机构：见竞选人须知前附表。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本发包项目名称：见竞选人须知前附表。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本项目建设地点：见竞选人须知前附表。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本项目建设规模：见竞选人须知前附表。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2" w:name="_Toc277082554"/>
      <w:bookmarkStart w:id="63" w:name="_Toc21234"/>
      <w:bookmarkStart w:id="64" w:name="_Toc2933"/>
      <w:bookmarkStart w:id="65" w:name="_Toc40569047"/>
      <w:bookmarkStart w:id="66" w:name="_Toc224103319"/>
      <w:bookmarkStart w:id="67" w:name="_Toc25629"/>
      <w:bookmarkStart w:id="68" w:name="_Toc287607748"/>
      <w:bookmarkStart w:id="69" w:name="_Toc200513128"/>
      <w:bookmarkStart w:id="70" w:name="_Toc40569142"/>
      <w:bookmarkStart w:id="71" w:name="_Toc430530437"/>
      <w:bookmarkStart w:id="72" w:name="_Toc509218712"/>
      <w:bookmarkStart w:id="73" w:name="_Toc287620687"/>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62"/>
      <w:bookmarkEnd w:id="63"/>
      <w:bookmarkEnd w:id="64"/>
      <w:bookmarkEnd w:id="65"/>
      <w:bookmarkEnd w:id="66"/>
      <w:bookmarkEnd w:id="67"/>
      <w:bookmarkEnd w:id="68"/>
      <w:bookmarkEnd w:id="69"/>
      <w:bookmarkEnd w:id="70"/>
      <w:bookmarkEnd w:id="71"/>
      <w:bookmarkEnd w:id="72"/>
      <w:bookmarkEnd w:id="73"/>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本发包项目的资金来源：见竞选人须知前附表。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本发包项目的出资比例：见竞选人须知前附表。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本发包项目的资金落实情况：见竞选人须知前附表。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4" w:name="_Toc277082555"/>
      <w:bookmarkStart w:id="75" w:name="_Toc287607749"/>
      <w:bookmarkStart w:id="76" w:name="_Toc40569143"/>
      <w:bookmarkStart w:id="77" w:name="_Toc23212"/>
      <w:bookmarkStart w:id="78" w:name="_Toc430530438"/>
      <w:bookmarkStart w:id="79" w:name="_Toc3621"/>
      <w:bookmarkStart w:id="80" w:name="_Toc509218713"/>
      <w:bookmarkStart w:id="81" w:name="_Toc287620688"/>
      <w:bookmarkStart w:id="82" w:name="_Toc40569048"/>
      <w:bookmarkStart w:id="83" w:name="_Toc200513129"/>
      <w:bookmarkStart w:id="84" w:name="_Toc224103320"/>
      <w:bookmarkStart w:id="85" w:name="_Toc21182"/>
      <w:r>
        <w:rPr>
          <w:rFonts w:hint="eastAsia" w:ascii="宋体" w:hAnsi="宋体" w:cs="宋体"/>
          <w:b w:val="0"/>
          <w:snapToGrid w:val="0"/>
          <w:color w:val="000000" w:themeColor="text1"/>
          <w:sz w:val="24"/>
          <w:szCs w:val="24"/>
          <w:highlight w:val="none"/>
          <w14:textFill>
            <w14:solidFill>
              <w14:schemeClr w14:val="tx1"/>
            </w14:solidFill>
          </w14:textFill>
        </w:rPr>
        <w:t>1.3  比选范围、工期和质量要求</w:t>
      </w:r>
      <w:bookmarkEnd w:id="74"/>
      <w:bookmarkEnd w:id="75"/>
      <w:bookmarkEnd w:id="76"/>
      <w:bookmarkEnd w:id="77"/>
      <w:bookmarkEnd w:id="78"/>
      <w:bookmarkEnd w:id="79"/>
      <w:bookmarkEnd w:id="80"/>
      <w:bookmarkEnd w:id="81"/>
      <w:bookmarkEnd w:id="82"/>
      <w:bookmarkEnd w:id="83"/>
      <w:bookmarkEnd w:id="84"/>
      <w:bookmarkEnd w:id="85"/>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本次比选范围：见竞选人须知前附表。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本项目的服务期：见竞选人须知前附表。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本项目的质量要求：见竞选人须知前附表。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6" w:name="_Toc200513130"/>
      <w:bookmarkStart w:id="87" w:name="_Toc509218714"/>
      <w:bookmarkStart w:id="88" w:name="_Toc287607750"/>
      <w:bookmarkStart w:id="89" w:name="_Toc277082556"/>
      <w:bookmarkStart w:id="90" w:name="_Toc430530439"/>
      <w:bookmarkStart w:id="91" w:name="_Toc224103321"/>
      <w:bookmarkStart w:id="92" w:name="_Toc287620689"/>
      <w:bookmarkStart w:id="93" w:name="_Toc40569049"/>
      <w:bookmarkStart w:id="94" w:name="_Toc28521"/>
      <w:bookmarkStart w:id="95" w:name="_Toc40569144"/>
      <w:bookmarkStart w:id="96" w:name="_Toc5712"/>
      <w:bookmarkStart w:id="97" w:name="_Toc30002"/>
      <w:r>
        <w:rPr>
          <w:rFonts w:hint="eastAsia" w:ascii="宋体" w:hAnsi="宋体" w:cs="宋体"/>
          <w:b w:val="0"/>
          <w:snapToGrid w:val="0"/>
          <w:color w:val="000000" w:themeColor="text1"/>
          <w:sz w:val="24"/>
          <w:szCs w:val="24"/>
          <w:highlight w:val="none"/>
          <w14:textFill>
            <w14:solidFill>
              <w14:schemeClr w14:val="tx1"/>
            </w14:solidFill>
          </w14:textFill>
        </w:rPr>
        <w:t xml:space="preserve">1.4  </w:t>
      </w:r>
      <w:bookmarkEnd w:id="86"/>
      <w:bookmarkEnd w:id="87"/>
      <w:bookmarkEnd w:id="88"/>
      <w:bookmarkEnd w:id="89"/>
      <w:bookmarkEnd w:id="90"/>
      <w:bookmarkEnd w:id="91"/>
      <w:bookmarkEnd w:id="92"/>
      <w:bookmarkStart w:id="98" w:name="_Toc200513131"/>
      <w:bookmarkStart w:id="99" w:name="_Toc430530440"/>
      <w:bookmarkStart w:id="100" w:name="_Toc277082557"/>
      <w:bookmarkStart w:id="101" w:name="_Toc509218715"/>
      <w:bookmarkStart w:id="102" w:name="_Toc287620690"/>
      <w:bookmarkStart w:id="103" w:name="_Toc224103322"/>
      <w:bookmarkStart w:id="104" w:name="_Toc287607751"/>
      <w:r>
        <w:rPr>
          <w:rFonts w:hint="eastAsia" w:ascii="宋体" w:hAnsi="宋体" w:cs="宋体"/>
          <w:b w:val="0"/>
          <w:snapToGrid w:val="0"/>
          <w:color w:val="000000" w:themeColor="text1"/>
          <w:sz w:val="24"/>
          <w:szCs w:val="24"/>
          <w:highlight w:val="none"/>
          <w14:textFill>
            <w14:solidFill>
              <w14:schemeClr w14:val="tx1"/>
            </w14:solidFill>
          </w14:textFill>
        </w:rPr>
        <w:t>竞选人资格要求</w:t>
      </w:r>
      <w:bookmarkEnd w:id="93"/>
      <w:bookmarkEnd w:id="94"/>
      <w:bookmarkEnd w:id="95"/>
      <w:bookmarkEnd w:id="96"/>
      <w:bookmarkEnd w:id="97"/>
      <w:bookmarkEnd w:id="98"/>
      <w:bookmarkEnd w:id="99"/>
      <w:bookmarkEnd w:id="100"/>
      <w:bookmarkEnd w:id="101"/>
      <w:bookmarkEnd w:id="102"/>
      <w:bookmarkEnd w:id="103"/>
      <w:bookmarkEnd w:id="104"/>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1.4.1 竞选人应具备承担本项目的资质条件、能力和信誉。</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资质条件、营业执照</w:t>
      </w:r>
      <w:r>
        <w:rPr>
          <w:rFonts w:hint="eastAsia" w:ascii="宋体" w:hAnsi="宋体" w:cs="宋体"/>
          <w:snapToGrid w:val="0"/>
          <w:color w:val="000000" w:themeColor="text1"/>
          <w:kern w:val="0"/>
          <w:szCs w:val="21"/>
          <w:highlight w:val="none"/>
          <w14:textFill>
            <w14:solidFill>
              <w14:schemeClr w14:val="tx1"/>
            </w14:solidFill>
          </w14:textFill>
        </w:rPr>
        <w:t>：见竞选人须知前附表；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（2）财务要求：见竞选人须知前附表；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（3）业绩要求：见竞选人须知前附表；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（4）人员要求：见竞选人须知前附表；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（5）其他要求：见竞选人须知前附表。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1.4.2  竞选人须知前附表规定接受联合体参与竞选的，除应符合本章第1.4.1项和竞选人须知前附表的要求外，还应遵守以下规定：</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（1）联合体各方应按比选文件提供的格式签订联合体协议书，明确联合体牵头人和各方权利义务；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（2）联合体各方均应当具备承担招标项目的相应能力；联合体协议约定同一专业分工由两个及以上单位共同承担的，按照就低不就高的原则确定联合体资质；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1.4.3  竞选人不得存在下列情形之一：</w:t>
      </w:r>
    </w:p>
    <w:p>
      <w:pPr>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105" w:name="_Toc287607752"/>
      <w:bookmarkStart w:id="106" w:name="_Toc5221"/>
      <w:bookmarkStart w:id="107" w:name="_Toc277082558"/>
      <w:bookmarkStart w:id="108" w:name="_Toc40569145"/>
      <w:bookmarkStart w:id="109" w:name="_Toc40569050"/>
      <w:bookmarkStart w:id="110" w:name="_Toc7266"/>
      <w:bookmarkStart w:id="111" w:name="_Toc224103323"/>
      <w:bookmarkStart w:id="112" w:name="_Toc430530441"/>
      <w:bookmarkStart w:id="113" w:name="_Toc200513132"/>
      <w:bookmarkStart w:id="114" w:name="_Toc287620691"/>
      <w:bookmarkStart w:id="115" w:name="_Toc509218716"/>
      <w:bookmarkStart w:id="116" w:name="_Toc9192"/>
      <w:r>
        <w:rPr>
          <w:rFonts w:hint="eastAsia" w:ascii="宋体" w:hAnsi="宋体"/>
          <w:color w:val="000000" w:themeColor="text1"/>
          <w:szCs w:val="21"/>
          <w:highlight w:val="none"/>
          <w14:textFill>
            <w14:solidFill>
              <w14:schemeClr w14:val="tx1"/>
            </w14:solidFill>
          </w14:textFill>
        </w:rPr>
        <w:t>（1）与比选人存在利害关系可能影响招标公正性的法人、其他组织或者个人；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（2）为本项目的代理人；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（3）为本项目的代建人；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（4）为本项目提供比选代理服务的；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（5）与本项目的代建人或比选代理机构同为一个法定代表人的；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（6）与本项目的代建人或比选代理机构相互控股或参股的；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（7）与本项目的代建人或比选代理机构相互任职或工作的；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（8）被责令停业的；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（9）被暂停或取消投标资格的；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（10）财产被接管或冻结的；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（11）单位负责人为同一人或者存在控股、管理关系的不同单位，不得在同一标段中同时投标。</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105"/>
      <w:bookmarkEnd w:id="106"/>
      <w:bookmarkEnd w:id="107"/>
      <w:bookmarkEnd w:id="108"/>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竞选人准备和参加竞选活动发生的费用自理。</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17" w:name="_Toc224103324"/>
      <w:bookmarkStart w:id="118" w:name="_Toc287620692"/>
      <w:bookmarkStart w:id="119" w:name="_Toc287607753"/>
      <w:bookmarkStart w:id="120" w:name="_Toc5293"/>
      <w:bookmarkStart w:id="121" w:name="_Toc200513133"/>
      <w:bookmarkStart w:id="122" w:name="_Toc20139"/>
      <w:bookmarkStart w:id="123" w:name="_Toc277082559"/>
      <w:bookmarkStart w:id="124" w:name="_Toc509218717"/>
      <w:bookmarkStart w:id="125" w:name="_Toc40569051"/>
      <w:bookmarkStart w:id="126" w:name="_Toc40569146"/>
      <w:bookmarkStart w:id="127" w:name="_Toc430530442"/>
      <w:bookmarkStart w:id="128" w:name="_Toc5781"/>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117"/>
      <w:bookmarkEnd w:id="118"/>
      <w:bookmarkEnd w:id="119"/>
      <w:bookmarkEnd w:id="120"/>
      <w:bookmarkEnd w:id="121"/>
      <w:bookmarkEnd w:id="122"/>
      <w:bookmarkEnd w:id="123"/>
      <w:bookmarkEnd w:id="124"/>
      <w:bookmarkEnd w:id="125"/>
      <w:bookmarkEnd w:id="126"/>
      <w:bookmarkEnd w:id="127"/>
      <w:bookmarkEnd w:id="128"/>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参与比选活动的各方应对比选文件和竞选文件中的商业和技术等秘密保密，违者应对由此造成的后果承担法律责任。</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29" w:name="_Toc224103325"/>
      <w:bookmarkStart w:id="130" w:name="_Toc277082560"/>
      <w:bookmarkStart w:id="131" w:name="_Toc430530443"/>
      <w:bookmarkStart w:id="132" w:name="_Toc509218718"/>
      <w:bookmarkStart w:id="133" w:name="_Toc200513134"/>
      <w:bookmarkStart w:id="134" w:name="_Toc10589"/>
      <w:bookmarkStart w:id="135" w:name="_Toc287607754"/>
      <w:bookmarkStart w:id="136" w:name="_Toc287620693"/>
      <w:bookmarkStart w:id="137" w:name="_Toc40569052"/>
      <w:bookmarkStart w:id="138" w:name="_Toc32367"/>
      <w:bookmarkStart w:id="139" w:name="_Toc40569147"/>
      <w:bookmarkStart w:id="140" w:name="_Toc7317"/>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129"/>
      <w:bookmarkEnd w:id="130"/>
      <w:bookmarkEnd w:id="131"/>
      <w:bookmarkEnd w:id="132"/>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41" w:name="_Toc7911"/>
      <w:bookmarkStart w:id="142" w:name="_Toc287620694"/>
      <w:bookmarkStart w:id="143" w:name="_Toc287607755"/>
      <w:bookmarkStart w:id="144" w:name="_Toc277082561"/>
      <w:bookmarkStart w:id="145" w:name="_Toc40569053"/>
      <w:bookmarkStart w:id="146" w:name="_Toc40569148"/>
      <w:bookmarkStart w:id="147" w:name="_Toc1276"/>
      <w:bookmarkStart w:id="148" w:name="_Toc200513135"/>
      <w:bookmarkStart w:id="149" w:name="_Toc430530444"/>
      <w:bookmarkStart w:id="150" w:name="_Toc23841"/>
      <w:bookmarkStart w:id="151" w:name="_Toc509218719"/>
      <w:bookmarkStart w:id="152" w:name="_Toc224103326"/>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141"/>
      <w:bookmarkEnd w:id="142"/>
      <w:bookmarkEnd w:id="143"/>
      <w:bookmarkEnd w:id="144"/>
      <w:bookmarkEnd w:id="145"/>
      <w:bookmarkEnd w:id="146"/>
      <w:bookmarkEnd w:id="147"/>
      <w:bookmarkEnd w:id="148"/>
      <w:bookmarkEnd w:id="149"/>
      <w:bookmarkEnd w:id="150"/>
      <w:bookmarkEnd w:id="151"/>
      <w:bookmarkEnd w:id="152"/>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53" w:name="_Toc5390"/>
      <w:bookmarkStart w:id="154" w:name="_Toc287620695"/>
      <w:bookmarkStart w:id="155" w:name="_Toc430530445"/>
      <w:bookmarkStart w:id="156" w:name="_Toc5120"/>
      <w:bookmarkStart w:id="157" w:name="_Toc287607756"/>
      <w:bookmarkStart w:id="158" w:name="_Toc40569149"/>
      <w:bookmarkStart w:id="159" w:name="_Toc40569054"/>
      <w:bookmarkStart w:id="160" w:name="_Toc509218720"/>
      <w:bookmarkStart w:id="161" w:name="_Toc277082562"/>
      <w:bookmarkStart w:id="162" w:name="_Toc200513136"/>
      <w:bookmarkStart w:id="163" w:name="_Toc224103327"/>
      <w:bookmarkStart w:id="164" w:name="_Toc11881"/>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153"/>
      <w:bookmarkEnd w:id="154"/>
      <w:bookmarkEnd w:id="155"/>
      <w:bookmarkEnd w:id="156"/>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1.9.1  竞选人须知前附表规定组织踏勘现场的，比选人按竞选人须知前附表规定的时间、 地点组织竞选人踏勘项目现场。</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1.9.2  竞选人踏勘现场发生的费用自理。</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除比选人的原因外，竞选人自行负责在踏勘现场中所发生的人员伤亡和财产损失。</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比选人在踏勘现场中介绍的工程场地和相关的周边环境情况，供竞选人在编制竞选文件时参考，比选人不对竞选人据此做出的判断和决策负责。</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65" w:name="_Toc430530446"/>
      <w:bookmarkStart w:id="166" w:name="_Toc277082563"/>
      <w:bookmarkStart w:id="167" w:name="_Toc509218721"/>
      <w:bookmarkStart w:id="168" w:name="_Toc224103328"/>
      <w:bookmarkStart w:id="169" w:name="_Toc27798"/>
      <w:bookmarkStart w:id="170" w:name="_Toc287620696"/>
      <w:bookmarkStart w:id="171" w:name="_Toc40569055"/>
      <w:bookmarkStart w:id="172" w:name="_Toc40569150"/>
      <w:bookmarkStart w:id="173" w:name="_Toc10229"/>
      <w:bookmarkStart w:id="174" w:name="_Toc14731"/>
      <w:bookmarkStart w:id="175" w:name="_Toc287607757"/>
      <w:bookmarkStart w:id="176" w:name="_Toc200513137"/>
      <w:r>
        <w:rPr>
          <w:rFonts w:hint="eastAsia" w:ascii="宋体" w:hAnsi="宋体" w:cs="宋体"/>
          <w:b w:val="0"/>
          <w:snapToGrid w:val="0"/>
          <w:color w:val="000000" w:themeColor="text1"/>
          <w:sz w:val="24"/>
          <w:szCs w:val="24"/>
          <w:highlight w:val="none"/>
          <w14:textFill>
            <w14:solidFill>
              <w14:schemeClr w14:val="tx1"/>
            </w14:solidFill>
          </w14:textFill>
        </w:rPr>
        <w:t>1.10  比选预备会</w:t>
      </w:r>
      <w:bookmarkEnd w:id="165"/>
      <w:bookmarkEnd w:id="166"/>
      <w:bookmarkEnd w:id="167"/>
      <w:bookmarkEnd w:id="168"/>
      <w:bookmarkEnd w:id="169"/>
      <w:bookmarkEnd w:id="170"/>
      <w:bookmarkEnd w:id="171"/>
      <w:bookmarkEnd w:id="172"/>
      <w:bookmarkEnd w:id="173"/>
      <w:bookmarkEnd w:id="174"/>
      <w:bookmarkEnd w:id="175"/>
      <w:bookmarkEnd w:id="176"/>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1.10.1  竞选人须知前附表规定召开比选预备会的，比选人按竞选人须知前附表规定的时间和地点召开预备会，澄清竞选人提出的问题。</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1.10.2  竞选人应在竞选人须知前附表</w:t>
      </w:r>
      <w:r>
        <w:rPr>
          <w:rFonts w:hint="eastAsia" w:ascii="宋体" w:hAnsi="宋体" w:cs="宋体"/>
          <w:color w:val="000000" w:themeColor="text1"/>
          <w:kern w:val="0"/>
          <w:szCs w:val="21"/>
          <w:highlight w:val="none"/>
          <w14:textFill>
            <w14:solidFill>
              <w14:schemeClr w14:val="tx1"/>
            </w14:solidFill>
          </w14:textFill>
        </w:rPr>
        <w:t>2.2.4</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规定的时间前，以书面形式将提出的问题送达比选人，以便比选人澄清。</w:t>
      </w:r>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比选人在竞选人须知前附表规定的时间内，将对竞选人所提</w:t>
      </w:r>
      <w:r>
        <w:rPr>
          <w:rFonts w:hint="eastAsia" w:ascii="宋体" w:hAnsi="宋体" w:cs="宋体"/>
          <w:snapToGrid w:val="0"/>
          <w:color w:val="000000" w:themeColor="text1"/>
          <w:kern w:val="0"/>
          <w:position w:val="-2"/>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问题</w:t>
      </w:r>
      <w:r>
        <w:rPr>
          <w:rFonts w:hint="eastAsia" w:ascii="宋体" w:hAnsi="宋体" w:cs="宋体"/>
          <w:snapToGrid w:val="0"/>
          <w:color w:val="000000" w:themeColor="text1"/>
          <w:kern w:val="0"/>
          <w:position w:val="-2"/>
          <w:szCs w:val="21"/>
          <w:highlight w:val="none"/>
          <w14:textFill>
            <w14:solidFill>
              <w14:schemeClr w14:val="tx1"/>
            </w14:solidFill>
          </w14:textFill>
        </w:rPr>
        <w:t>进行澄清。该澄清内容为比选文件的组成部分。</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77" w:name="_Toc287620697"/>
      <w:bookmarkStart w:id="178" w:name="_Toc277082564"/>
      <w:bookmarkStart w:id="179" w:name="_Toc224103329"/>
      <w:bookmarkStart w:id="180" w:name="_Toc509218722"/>
      <w:bookmarkStart w:id="181" w:name="_Toc28064"/>
      <w:bookmarkStart w:id="182" w:name="_Toc287607758"/>
      <w:bookmarkStart w:id="183" w:name="_Toc40569056"/>
      <w:bookmarkStart w:id="184" w:name="_Toc40569151"/>
      <w:bookmarkStart w:id="185" w:name="_Toc7176"/>
      <w:bookmarkStart w:id="186" w:name="_Toc430530447"/>
      <w:bookmarkStart w:id="187" w:name="_Toc21877"/>
      <w:bookmarkStart w:id="188" w:name="_Toc200513138"/>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177"/>
      <w:bookmarkEnd w:id="178"/>
      <w:bookmarkEnd w:id="179"/>
      <w:bookmarkEnd w:id="180"/>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本项目不允许分包。</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89" w:name="_Toc5934"/>
      <w:bookmarkStart w:id="190" w:name="_Toc23307"/>
      <w:bookmarkStart w:id="191" w:name="_Toc29373"/>
      <w:bookmarkStart w:id="192" w:name="_Toc40569152"/>
      <w:bookmarkStart w:id="193" w:name="_Toc277082565"/>
      <w:bookmarkStart w:id="194" w:name="_Toc287607759"/>
      <w:bookmarkStart w:id="195" w:name="_Toc430530448"/>
      <w:bookmarkStart w:id="196" w:name="_Toc200513139"/>
      <w:bookmarkStart w:id="197" w:name="_Toc224103330"/>
      <w:bookmarkStart w:id="198" w:name="_Toc509218723"/>
      <w:bookmarkStart w:id="199" w:name="_Toc287620698"/>
      <w:bookmarkStart w:id="200" w:name="_Toc40569057"/>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189"/>
      <w:bookmarkEnd w:id="190"/>
      <w:bookmarkEnd w:id="191"/>
      <w:bookmarkEnd w:id="192"/>
      <w:bookmarkEnd w:id="193"/>
      <w:bookmarkEnd w:id="194"/>
      <w:bookmarkEnd w:id="195"/>
      <w:bookmarkEnd w:id="196"/>
      <w:bookmarkEnd w:id="197"/>
      <w:bookmarkEnd w:id="198"/>
      <w:bookmarkEnd w:id="199"/>
      <w:bookmarkEnd w:id="20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竞选人须知前附表允许竞选文件偏离比选文件某些要求的，偏离应当符合比选文件规定的偏离范围和幅度。</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01" w:name="_Toc7676"/>
      <w:bookmarkStart w:id="202" w:name="_Toc430530449"/>
      <w:bookmarkStart w:id="203" w:name="_Toc287620699"/>
      <w:bookmarkStart w:id="204" w:name="_Toc224103331"/>
      <w:bookmarkStart w:id="205" w:name="_Toc23017"/>
      <w:bookmarkStart w:id="206" w:name="_Toc509218724"/>
      <w:bookmarkStart w:id="207" w:name="_Toc10764"/>
      <w:bookmarkStart w:id="208" w:name="_Toc200513140"/>
      <w:bookmarkStart w:id="209" w:name="_Toc277082566"/>
      <w:bookmarkStart w:id="210" w:name="_Toc287607760"/>
      <w:r>
        <w:rPr>
          <w:rFonts w:hint="eastAsia" w:ascii="宋体" w:hAnsi="宋体" w:cs="宋体"/>
          <w:b w:val="0"/>
          <w:snapToGrid w:val="0"/>
          <w:color w:val="000000" w:themeColor="text1"/>
          <w:sz w:val="24"/>
          <w:szCs w:val="24"/>
          <w:highlight w:val="none"/>
          <w14:textFill>
            <w14:solidFill>
              <w14:schemeClr w14:val="tx1"/>
            </w14:solidFill>
          </w14:textFill>
        </w:rPr>
        <w:t>2.  比选文件</w:t>
      </w:r>
      <w:bookmarkEnd w:id="201"/>
      <w:bookmarkEnd w:id="202"/>
      <w:bookmarkEnd w:id="203"/>
      <w:bookmarkEnd w:id="204"/>
      <w:bookmarkEnd w:id="205"/>
      <w:bookmarkEnd w:id="206"/>
      <w:bookmarkEnd w:id="207"/>
      <w:bookmarkEnd w:id="208"/>
      <w:bookmarkEnd w:id="209"/>
      <w:bookmarkEnd w:id="210"/>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11" w:name="_Toc509218725"/>
      <w:bookmarkStart w:id="212" w:name="_Toc224103332"/>
      <w:bookmarkStart w:id="213" w:name="_Toc40569059"/>
      <w:bookmarkStart w:id="214" w:name="_Toc1329"/>
      <w:bookmarkStart w:id="215" w:name="_Toc287607761"/>
      <w:bookmarkStart w:id="216" w:name="_Toc31485"/>
      <w:bookmarkStart w:id="217" w:name="_Toc21327"/>
      <w:bookmarkStart w:id="218" w:name="_Toc277082567"/>
      <w:bookmarkStart w:id="219" w:name="_Toc287620700"/>
      <w:bookmarkStart w:id="220" w:name="_Toc200513141"/>
      <w:bookmarkStart w:id="221" w:name="_Toc40569154"/>
      <w:bookmarkStart w:id="222" w:name="_Toc430530450"/>
      <w:r>
        <w:rPr>
          <w:rFonts w:hint="eastAsia" w:ascii="宋体" w:hAnsi="宋体" w:cs="宋体"/>
          <w:b w:val="0"/>
          <w:snapToGrid w:val="0"/>
          <w:color w:val="000000" w:themeColor="text1"/>
          <w:sz w:val="24"/>
          <w:szCs w:val="24"/>
          <w:highlight w:val="none"/>
          <w14:textFill>
            <w14:solidFill>
              <w14:schemeClr w14:val="tx1"/>
            </w14:solidFill>
          </w14:textFill>
        </w:rPr>
        <w:t>2.1  比选文件的组成</w:t>
      </w:r>
      <w:bookmarkEnd w:id="211"/>
      <w:bookmarkEnd w:id="212"/>
      <w:bookmarkEnd w:id="213"/>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本比选文件包括：</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（1）比选公告；</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（2）竞选人须知；</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（3）评选办法；</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（5）技术标准和要求；</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（6）图纸及工程量清单（如有）；</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（7）竞选文件格式；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（8）竞选人须知前附表规定的其他材料。</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根据本章第1.10款、第2.2款和第2.3款对比选文件所作的澄清、修改，构成比选文件的组成部分。</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23" w:name="_Toc20393"/>
      <w:bookmarkStart w:id="224" w:name="_Toc40569060"/>
      <w:bookmarkStart w:id="225" w:name="_Toc25357"/>
      <w:bookmarkStart w:id="226" w:name="_Toc509218726"/>
      <w:bookmarkStart w:id="227" w:name="_Toc430530451"/>
      <w:bookmarkStart w:id="228" w:name="_Toc40569155"/>
      <w:bookmarkStart w:id="229" w:name="_Toc5751"/>
      <w:r>
        <w:rPr>
          <w:rFonts w:hint="eastAsia" w:ascii="宋体" w:hAnsi="宋体" w:cs="宋体"/>
          <w:b w:val="0"/>
          <w:snapToGrid w:val="0"/>
          <w:color w:val="000000" w:themeColor="text1"/>
          <w:sz w:val="24"/>
          <w:szCs w:val="24"/>
          <w:highlight w:val="none"/>
          <w14:textFill>
            <w14:solidFill>
              <w14:schemeClr w14:val="tx1"/>
            </w14:solidFill>
          </w14:textFill>
        </w:rPr>
        <w:t>2.2  比选文件的澄清</w:t>
      </w:r>
      <w:bookmarkEnd w:id="223"/>
      <w:bookmarkEnd w:id="224"/>
      <w:bookmarkEnd w:id="225"/>
      <w:bookmarkEnd w:id="226"/>
      <w:bookmarkEnd w:id="227"/>
      <w:bookmarkEnd w:id="228"/>
      <w:bookmarkEnd w:id="229"/>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000000" w:themeColor="text1"/>
          <w:kern w:val="0"/>
          <w:szCs w:val="21"/>
          <w:highlight w:val="none"/>
          <w14:textFill>
            <w14:solidFill>
              <w14:schemeClr w14:val="tx1"/>
            </w14:solidFill>
          </w14:textFill>
        </w:rPr>
        <w:t>以书面形式向比选人或代理机构提出</w:t>
      </w:r>
      <w:r>
        <w:rPr>
          <w:rFonts w:hint="eastAsia" w:ascii="宋体" w:hAnsi="宋体" w:cs="宋体"/>
          <w:snapToGrid w:val="0"/>
          <w:color w:val="000000" w:themeColor="text1"/>
          <w:kern w:val="0"/>
          <w:szCs w:val="21"/>
          <w:highlight w:val="none"/>
          <w14:textFill>
            <w14:solidFill>
              <w14:schemeClr w14:val="tx1"/>
            </w14:solidFill>
          </w14:textFill>
        </w:rPr>
        <w:t>，要求比选人对比选文件予以澄清。</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30" w:name="_Toc8378"/>
      <w:bookmarkStart w:id="231" w:name="_Toc26098"/>
      <w:bookmarkStart w:id="232" w:name="_Toc40569156"/>
      <w:bookmarkStart w:id="233" w:name="_Toc14087"/>
      <w:bookmarkStart w:id="234" w:name="_Toc224103334"/>
      <w:bookmarkStart w:id="235" w:name="_Toc287607763"/>
      <w:bookmarkStart w:id="236" w:name="_Toc430530452"/>
      <w:bookmarkStart w:id="237" w:name="_Toc509218727"/>
      <w:bookmarkStart w:id="238" w:name="_Toc200513143"/>
      <w:bookmarkStart w:id="239" w:name="_Toc40569061"/>
      <w:bookmarkStart w:id="240" w:name="_Toc277082569"/>
      <w:bookmarkStart w:id="241" w:name="_Toc287620702"/>
      <w:r>
        <w:rPr>
          <w:rFonts w:hint="eastAsia" w:ascii="宋体" w:hAnsi="宋体" w:cs="宋体"/>
          <w:b w:val="0"/>
          <w:snapToGrid w:val="0"/>
          <w:color w:val="000000" w:themeColor="text1"/>
          <w:sz w:val="24"/>
          <w:szCs w:val="24"/>
          <w:highlight w:val="none"/>
          <w14:textFill>
            <w14:solidFill>
              <w14:schemeClr w14:val="tx1"/>
            </w14:solidFill>
          </w14:textFill>
        </w:rPr>
        <w:t>2.3  比选文件的修改</w:t>
      </w:r>
      <w:bookmarkEnd w:id="230"/>
      <w:bookmarkEnd w:id="231"/>
      <w:bookmarkEnd w:id="232"/>
      <w:bookmarkEnd w:id="233"/>
      <w:bookmarkEnd w:id="234"/>
      <w:bookmarkEnd w:id="235"/>
      <w:bookmarkEnd w:id="236"/>
      <w:bookmarkEnd w:id="237"/>
      <w:bookmarkEnd w:id="238"/>
      <w:bookmarkEnd w:id="239"/>
      <w:bookmarkEnd w:id="240"/>
      <w:bookmarkEnd w:id="241"/>
    </w:p>
    <w:p>
      <w:pPr>
        <w:autoSpaceDE w:val="0"/>
        <w:autoSpaceDN w:val="0"/>
        <w:adjustRightInd w:val="0"/>
        <w:snapToGrid w:val="0"/>
        <w:spacing w:line="360" w:lineRule="auto"/>
        <w:ind w:firstLine="420"/>
        <w:rPr>
          <w:rFonts w:ascii="宋体" w:hAnsi="宋体" w:cs="宋体"/>
          <w:snapToGrid w:val="0"/>
          <w:color w:val="000000" w:themeColor="text1"/>
          <w:highlight w:val="none"/>
          <w14:textFill>
            <w14:solidFill>
              <w14:schemeClr w14:val="tx1"/>
            </w14:solidFill>
          </w14:textFill>
        </w:rPr>
      </w:pPr>
      <w:bookmarkStart w:id="242" w:name="_Toc277082570"/>
      <w:bookmarkStart w:id="243" w:name="_Toc200513144"/>
      <w:bookmarkStart w:id="244" w:name="_Toc224103335"/>
      <w:bookmarkStart w:id="245" w:name="_Toc287620703"/>
      <w:bookmarkStart w:id="246" w:name="_Toc287607764"/>
      <w:r>
        <w:rPr>
          <w:rFonts w:hint="eastAsia" w:ascii="宋体" w:hAnsi="宋体" w:cs="宋体"/>
          <w:snapToGrid w:val="0"/>
          <w:color w:val="000000" w:themeColor="text1"/>
          <w:highlight w:val="none"/>
          <w14:textFill>
            <w14:solidFill>
              <w14:schemeClr w14:val="tx1"/>
            </w14:solidFill>
          </w14:textFill>
        </w:rPr>
        <w:t>按照本章2.2比选文件的澄清相关内容及方式执行。</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47" w:name="_Toc430530453"/>
      <w:bookmarkStart w:id="248" w:name="_Toc22016"/>
      <w:bookmarkStart w:id="249" w:name="_Toc509218728"/>
      <w:bookmarkStart w:id="250" w:name="_Toc6009"/>
      <w:bookmarkStart w:id="251" w:name="_Toc5400"/>
      <w:r>
        <w:rPr>
          <w:rFonts w:hint="eastAsia" w:ascii="宋体" w:hAnsi="宋体" w:cs="宋体"/>
          <w:b w:val="0"/>
          <w:snapToGrid w:val="0"/>
          <w:color w:val="000000" w:themeColor="text1"/>
          <w:sz w:val="24"/>
          <w:szCs w:val="24"/>
          <w:highlight w:val="none"/>
          <w14:textFill>
            <w14:solidFill>
              <w14:schemeClr w14:val="tx1"/>
            </w14:solidFill>
          </w14:textFill>
        </w:rPr>
        <w:t xml:space="preserve">3.  </w:t>
      </w:r>
      <w:bookmarkEnd w:id="242"/>
      <w:bookmarkEnd w:id="243"/>
      <w:bookmarkEnd w:id="244"/>
      <w:bookmarkEnd w:id="245"/>
      <w:bookmarkEnd w:id="246"/>
      <w:bookmarkEnd w:id="247"/>
      <w:bookmarkEnd w:id="248"/>
      <w:bookmarkEnd w:id="249"/>
      <w:bookmarkEnd w:id="250"/>
      <w:bookmarkEnd w:id="251"/>
      <w:r>
        <w:rPr>
          <w:rFonts w:hint="eastAsia" w:ascii="宋体" w:hAnsi="宋体" w:cs="宋体"/>
          <w:b w:val="0"/>
          <w:snapToGrid w:val="0"/>
          <w:color w:val="000000" w:themeColor="text1"/>
          <w:sz w:val="24"/>
          <w:szCs w:val="24"/>
          <w:highlight w:val="none"/>
          <w14:textFill>
            <w14:solidFill>
              <w14:schemeClr w14:val="tx1"/>
            </w14:solidFill>
          </w14:textFill>
        </w:rPr>
        <w:t>竞选文件</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52" w:name="_Toc224103336"/>
      <w:bookmarkStart w:id="253" w:name="_Toc287620704"/>
      <w:bookmarkStart w:id="254" w:name="_Toc40569063"/>
      <w:bookmarkStart w:id="255" w:name="_Toc40569158"/>
      <w:bookmarkStart w:id="256" w:name="_Toc509218729"/>
      <w:bookmarkStart w:id="257" w:name="_Toc277082571"/>
      <w:bookmarkStart w:id="258" w:name="_Toc7795"/>
      <w:bookmarkStart w:id="259" w:name="_Toc29196"/>
      <w:bookmarkStart w:id="260" w:name="_Toc200513145"/>
      <w:bookmarkStart w:id="261" w:name="_Toc430530454"/>
      <w:bookmarkStart w:id="262" w:name="_Toc13714"/>
      <w:bookmarkStart w:id="263" w:name="_Toc287607765"/>
      <w:r>
        <w:rPr>
          <w:rFonts w:hint="eastAsia" w:ascii="宋体" w:hAnsi="宋体" w:cs="宋体"/>
          <w:b w:val="0"/>
          <w:snapToGrid w:val="0"/>
          <w:color w:val="000000" w:themeColor="text1"/>
          <w:sz w:val="24"/>
          <w:szCs w:val="24"/>
          <w:highlight w:val="none"/>
          <w14:textFill>
            <w14:solidFill>
              <w14:schemeClr w14:val="tx1"/>
            </w14:solidFill>
          </w14:textFill>
        </w:rPr>
        <w:t>3.1  竞选文件的组成</w:t>
      </w:r>
      <w:bookmarkEnd w:id="252"/>
      <w:bookmarkEnd w:id="253"/>
      <w:bookmarkEnd w:id="254"/>
      <w:bookmarkEnd w:id="255"/>
      <w:bookmarkEnd w:id="256"/>
      <w:bookmarkEnd w:id="257"/>
      <w:bookmarkEnd w:id="258"/>
      <w:bookmarkEnd w:id="259"/>
      <w:bookmarkEnd w:id="260"/>
      <w:bookmarkEnd w:id="261"/>
      <w:bookmarkEnd w:id="262"/>
      <w:bookmarkEnd w:id="26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竞选文件应包括下列内容：</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（1）竞选函及竞选函附录；</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（2）法定代表人身份证明或附有法定代表人身份证明的授权委托书；</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（3）比选保证金；</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（4）服务方案；</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（5）资格审查资料；</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（6）竞选人须知前附表规定的其他材料。</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3.1.2  竞选人须知前附表规定不接受联合体投标的，或竞选人没有组成联合体的，竞选文件不包括本章第3.1.1（3）目所指的联合体协议书。</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64" w:name="_Toc509218730"/>
      <w:bookmarkStart w:id="265" w:name="_Toc40569064"/>
      <w:bookmarkStart w:id="266" w:name="_Toc2578"/>
      <w:bookmarkStart w:id="267" w:name="_Toc287620705"/>
      <w:bookmarkStart w:id="268" w:name="_Toc277082572"/>
      <w:bookmarkStart w:id="269" w:name="_Toc3265"/>
      <w:bookmarkStart w:id="270" w:name="_Toc200513146"/>
      <w:bookmarkStart w:id="271" w:name="_Toc430530455"/>
      <w:bookmarkStart w:id="272" w:name="_Toc224103337"/>
      <w:bookmarkStart w:id="273" w:name="_Toc40569159"/>
      <w:bookmarkStart w:id="274" w:name="_Toc287607766"/>
      <w:bookmarkStart w:id="275" w:name="_Toc5935"/>
      <w:r>
        <w:rPr>
          <w:rFonts w:hint="eastAsia" w:ascii="宋体" w:hAnsi="宋体" w:cs="宋体"/>
          <w:b w:val="0"/>
          <w:snapToGrid w:val="0"/>
          <w:color w:val="000000" w:themeColor="text1"/>
          <w:sz w:val="24"/>
          <w:szCs w:val="24"/>
          <w:highlight w:val="none"/>
          <w14:textFill>
            <w14:solidFill>
              <w14:schemeClr w14:val="tx1"/>
            </w14:solidFill>
          </w14:textFill>
        </w:rPr>
        <w:t>3.2  竞选报价</w:t>
      </w:r>
      <w:bookmarkEnd w:id="264"/>
      <w:bookmarkEnd w:id="265"/>
      <w:bookmarkEnd w:id="266"/>
      <w:bookmarkEnd w:id="267"/>
      <w:bookmarkEnd w:id="268"/>
      <w:bookmarkEnd w:id="269"/>
      <w:bookmarkEnd w:id="270"/>
      <w:bookmarkEnd w:id="271"/>
      <w:bookmarkEnd w:id="272"/>
      <w:bookmarkEnd w:id="273"/>
      <w:bookmarkEnd w:id="274"/>
      <w:bookmarkEnd w:id="27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3.2.1  竞选人应按第七章“竞选文件格式”的要求填写相应表格。</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3.2.2  竞选人应认真阅读比选文件规定的计价、结算要求，自行填报报价。</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76" w:name="_Toc224103338"/>
      <w:bookmarkStart w:id="277" w:name="_Toc277082573"/>
      <w:bookmarkStart w:id="278" w:name="_Toc200513147"/>
      <w:bookmarkStart w:id="279" w:name="_Toc40569160"/>
      <w:bookmarkStart w:id="280" w:name="_Toc15462"/>
      <w:bookmarkStart w:id="281" w:name="_Toc27583"/>
      <w:bookmarkStart w:id="282" w:name="_Toc915"/>
      <w:bookmarkStart w:id="283" w:name="_Toc509218731"/>
      <w:bookmarkStart w:id="284" w:name="_Toc40569065"/>
      <w:bookmarkStart w:id="285" w:name="_Toc287620706"/>
      <w:bookmarkStart w:id="286" w:name="_Toc430530456"/>
      <w:bookmarkStart w:id="287" w:name="_Toc287607767"/>
      <w:r>
        <w:rPr>
          <w:rFonts w:hint="eastAsia" w:ascii="宋体" w:hAnsi="宋体" w:cs="宋体"/>
          <w:b w:val="0"/>
          <w:snapToGrid w:val="0"/>
          <w:color w:val="000000" w:themeColor="text1"/>
          <w:sz w:val="24"/>
          <w:szCs w:val="24"/>
          <w:highlight w:val="none"/>
          <w14:textFill>
            <w14:solidFill>
              <w14:schemeClr w14:val="tx1"/>
            </w14:solidFill>
          </w14:textFill>
        </w:rPr>
        <w:t>3.3  比选有效期</w:t>
      </w:r>
      <w:bookmarkEnd w:id="276"/>
      <w:bookmarkEnd w:id="277"/>
      <w:bookmarkEnd w:id="278"/>
      <w:bookmarkEnd w:id="279"/>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在竞选人须知前附表规定的比选有效期内，竞选人不得要求撤销或修改其竞选文件。</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88" w:name="_Toc287607768"/>
      <w:bookmarkStart w:id="289" w:name="_Toc19857"/>
      <w:bookmarkStart w:id="290" w:name="_Toc509218732"/>
      <w:bookmarkStart w:id="291" w:name="_Toc40569161"/>
      <w:bookmarkStart w:id="292" w:name="_Toc14235"/>
      <w:bookmarkStart w:id="293" w:name="_Toc287620707"/>
      <w:bookmarkStart w:id="294" w:name="_Toc430530457"/>
      <w:bookmarkStart w:id="295" w:name="_Toc224103339"/>
      <w:bookmarkStart w:id="296" w:name="_Toc277082574"/>
      <w:bookmarkStart w:id="297" w:name="_Toc40569066"/>
      <w:bookmarkStart w:id="298" w:name="_Toc200513148"/>
      <w:bookmarkStart w:id="299" w:name="_Toc26206"/>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288"/>
      <w:bookmarkEnd w:id="289"/>
      <w:bookmarkEnd w:id="290"/>
      <w:bookmarkEnd w:id="291"/>
      <w:bookmarkEnd w:id="292"/>
      <w:bookmarkEnd w:id="293"/>
      <w:bookmarkEnd w:id="294"/>
      <w:bookmarkEnd w:id="295"/>
      <w:bookmarkEnd w:id="296"/>
      <w:bookmarkEnd w:id="297"/>
      <w:bookmarkEnd w:id="298"/>
      <w:bookmarkEnd w:id="299"/>
      <w:r>
        <w:rPr>
          <w:rFonts w:hint="eastAsia" w:ascii="宋体" w:hAnsi="宋体" w:cs="宋体"/>
          <w:b w:val="0"/>
          <w:snapToGrid w:val="0"/>
          <w:color w:val="000000" w:themeColor="text1"/>
          <w:sz w:val="24"/>
          <w:szCs w:val="24"/>
          <w:highlight w:val="none"/>
          <w14:textFill>
            <w14:solidFill>
              <w14:schemeClr w14:val="tx1"/>
            </w14:solidFill>
          </w14:textFill>
        </w:rPr>
        <w:t>比选保证金</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3.4.2  竞选人不按本章第 3.4.1 项要求提交比选保证金的，其竞选文件作否决竞选处理。</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3.4.3  比选保证金（保函）退还：见竞选人须知前附表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有下列情形之一的，比选保证金将不予退还：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（1）竞选人在规定的比选有效期内撤销或修改其竞选文件；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（3）违反本章9.2条对竞选人的纪律要求的；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（4）法律法规和本比选文件规定的其他情形。</w:t>
      </w:r>
    </w:p>
    <w:p>
      <w:pPr>
        <w:tabs>
          <w:tab w:val="left" w:pos="611"/>
          <w:tab w:val="left" w:pos="669"/>
        </w:tabs>
        <w:snapToGrid w:val="0"/>
        <w:spacing w:line="360"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（1）比选保证金为无条件担保；</w:t>
      </w:r>
    </w:p>
    <w:p>
      <w:pPr>
        <w:tabs>
          <w:tab w:val="left" w:pos="611"/>
          <w:tab w:val="left" w:pos="669"/>
        </w:tabs>
        <w:snapToGrid w:val="0"/>
        <w:spacing w:line="360" w:lineRule="auto"/>
        <w:ind w:firstLine="945" w:firstLineChars="45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（2）比选保证金的受益人为比选人。</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00" w:name="_Toc40569067"/>
      <w:bookmarkStart w:id="301" w:name="_Toc7055"/>
      <w:bookmarkStart w:id="302" w:name="_Toc287607770"/>
      <w:bookmarkStart w:id="303" w:name="_Toc287620709"/>
      <w:bookmarkStart w:id="304" w:name="_Toc8188"/>
      <w:bookmarkStart w:id="305" w:name="_Toc224103341"/>
      <w:bookmarkStart w:id="306" w:name="_Toc200513150"/>
      <w:bookmarkStart w:id="307" w:name="_Toc30972"/>
      <w:bookmarkStart w:id="308" w:name="_Toc40569162"/>
      <w:bookmarkStart w:id="309" w:name="_Toc509218734"/>
      <w:bookmarkStart w:id="310" w:name="_Toc277082576"/>
      <w:bookmarkStart w:id="311" w:name="_Toc430530459"/>
      <w:r>
        <w:rPr>
          <w:rFonts w:hint="eastAsia" w:ascii="宋体" w:hAnsi="宋体" w:cs="宋体"/>
          <w:b w:val="0"/>
          <w:snapToGrid w:val="0"/>
          <w:color w:val="000000" w:themeColor="text1"/>
          <w:sz w:val="24"/>
          <w:szCs w:val="24"/>
          <w:highlight w:val="none"/>
          <w14:textFill>
            <w14:solidFill>
              <w14:schemeClr w14:val="tx1"/>
            </w14:solidFill>
          </w14:textFill>
        </w:rPr>
        <w:t>3.5  资格审查资料</w:t>
      </w:r>
      <w:bookmarkEnd w:id="300"/>
      <w:bookmarkEnd w:id="301"/>
      <w:bookmarkEnd w:id="302"/>
      <w:bookmarkEnd w:id="303"/>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left="103" w:leftChars="49" w:right="37"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竞选人须在提交竞选文件时将</w:t>
      </w:r>
      <w:r>
        <w:rPr>
          <w:rFonts w:hint="eastAsia" w:ascii="宋体" w:hAnsi="宋体" w:cs="宋体"/>
          <w:color w:val="000000" w:themeColor="text1"/>
          <w:kern w:val="0"/>
          <w:szCs w:val="21"/>
          <w:highlight w:val="none"/>
          <w14:textFill>
            <w14:solidFill>
              <w14:schemeClr w14:val="tx1"/>
            </w14:solidFill>
          </w14:textFill>
        </w:rPr>
        <w:t>竞选人须知前附表1.4.1中要求的原件</w:t>
      </w:r>
      <w:r>
        <w:rPr>
          <w:rFonts w:hint="eastAsia" w:ascii="宋体" w:hAnsi="宋体" w:cs="宋体"/>
          <w:color w:val="000000" w:themeColor="text1"/>
          <w:szCs w:val="21"/>
          <w:highlight w:val="none"/>
          <w14:textFill>
            <w14:solidFill>
              <w14:schemeClr w14:val="tx1"/>
            </w14:solidFill>
          </w14:textFill>
        </w:rPr>
        <w:t>一次性提交，</w:t>
      </w:r>
      <w:r>
        <w:rPr>
          <w:rFonts w:hint="eastAsia" w:ascii="宋体" w:hAnsi="宋体" w:cs="宋体"/>
          <w:color w:val="000000" w:themeColor="text1"/>
          <w:kern w:val="0"/>
          <w:szCs w:val="21"/>
          <w:highlight w:val="none"/>
          <w14:textFill>
            <w14:solidFill>
              <w14:schemeClr w14:val="tx1"/>
            </w14:solidFill>
          </w14:textFill>
        </w:rPr>
        <w:t>评选委员会审查时必须对</w:t>
      </w:r>
      <w:r>
        <w:rPr>
          <w:rFonts w:hint="eastAsia" w:ascii="宋体" w:hAnsi="宋体" w:cs="宋体"/>
          <w:color w:val="000000" w:themeColor="text1"/>
          <w:szCs w:val="21"/>
          <w:highlight w:val="none"/>
          <w14:textFill>
            <w14:solidFill>
              <w14:schemeClr w14:val="tx1"/>
            </w14:solidFill>
          </w14:textFill>
        </w:rPr>
        <w:t>有关证明和证件的原件核查，若经审查复印件与原件不一致，或未提交原件的，则竞选文件作否决竞选处理。</w:t>
      </w:r>
    </w:p>
    <w:p>
      <w:pPr>
        <w:autoSpaceDE w:val="0"/>
        <w:autoSpaceDN w:val="0"/>
        <w:adjustRightInd w:val="0"/>
        <w:snapToGrid w:val="0"/>
        <w:spacing w:line="360" w:lineRule="auto"/>
        <w:ind w:left="103" w:leftChars="49" w:right="37"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联合体投标的，详见竞选人须知前附表联合体投标相关内容。</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12" w:name="_Toc40569068"/>
      <w:bookmarkStart w:id="313" w:name="_Toc430530460"/>
      <w:bookmarkStart w:id="314" w:name="_Toc9341"/>
      <w:bookmarkStart w:id="315" w:name="_Toc287607771"/>
      <w:bookmarkStart w:id="316" w:name="_Toc26526"/>
      <w:bookmarkStart w:id="317" w:name="_Toc509218735"/>
      <w:bookmarkStart w:id="318" w:name="_Toc277082577"/>
      <w:bookmarkStart w:id="319" w:name="_Toc224103342"/>
      <w:bookmarkStart w:id="320" w:name="_Toc200513151"/>
      <w:bookmarkStart w:id="321" w:name="_Toc287620710"/>
      <w:bookmarkStart w:id="322" w:name="_Toc7522"/>
      <w:bookmarkStart w:id="323" w:name="_Toc40569163"/>
      <w:r>
        <w:rPr>
          <w:rFonts w:hint="eastAsia" w:ascii="宋体" w:hAnsi="宋体" w:cs="宋体"/>
          <w:b w:val="0"/>
          <w:snapToGrid w:val="0"/>
          <w:color w:val="000000" w:themeColor="text1"/>
          <w:sz w:val="24"/>
          <w:szCs w:val="24"/>
          <w:highlight w:val="none"/>
          <w14:textFill>
            <w14:solidFill>
              <w14:schemeClr w14:val="tx1"/>
            </w14:solidFill>
          </w14:textFill>
        </w:rPr>
        <w:t>3.6  备选投标方案</w:t>
      </w:r>
      <w:bookmarkEnd w:id="312"/>
      <w:bookmarkEnd w:id="313"/>
      <w:bookmarkEnd w:id="314"/>
      <w:bookmarkEnd w:id="315"/>
      <w:bookmarkEnd w:id="316"/>
      <w:bookmarkEnd w:id="317"/>
      <w:bookmarkEnd w:id="318"/>
      <w:bookmarkEnd w:id="319"/>
      <w:bookmarkEnd w:id="320"/>
      <w:bookmarkEnd w:id="321"/>
      <w:bookmarkEnd w:id="322"/>
      <w:bookmarkEnd w:id="32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24" w:name="_Toc430530461"/>
      <w:bookmarkStart w:id="325" w:name="_Toc287607772"/>
      <w:bookmarkStart w:id="326" w:name="_Toc29561"/>
      <w:bookmarkStart w:id="327" w:name="_Toc287620711"/>
      <w:bookmarkStart w:id="328" w:name="_Toc277082578"/>
      <w:bookmarkStart w:id="329" w:name="_Toc509218736"/>
      <w:bookmarkStart w:id="330" w:name="_Toc29274"/>
      <w:bookmarkStart w:id="331" w:name="_Toc200513152"/>
      <w:bookmarkStart w:id="332" w:name="_Toc25048"/>
      <w:bookmarkStart w:id="333" w:name="_Toc224103343"/>
      <w:bookmarkStart w:id="334" w:name="_Toc40569164"/>
      <w:bookmarkStart w:id="335" w:name="_Toc40569069"/>
      <w:r>
        <w:rPr>
          <w:rFonts w:hint="eastAsia" w:ascii="宋体" w:hAnsi="宋体" w:cs="宋体"/>
          <w:b w:val="0"/>
          <w:snapToGrid w:val="0"/>
          <w:color w:val="000000" w:themeColor="text1"/>
          <w:sz w:val="24"/>
          <w:szCs w:val="24"/>
          <w:highlight w:val="none"/>
          <w14:textFill>
            <w14:solidFill>
              <w14:schemeClr w14:val="tx1"/>
            </w14:solidFill>
          </w14:textFill>
        </w:rPr>
        <w:t>3.7  竞选文件的编制</w:t>
      </w:r>
      <w:bookmarkEnd w:id="324"/>
      <w:bookmarkEnd w:id="325"/>
      <w:bookmarkEnd w:id="326"/>
      <w:bookmarkEnd w:id="327"/>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3.7.1  竞选文件应按第七章“竞选文件格式”进行编写，如有必要，可以增加附页，作为竞选文件的组成部分。其中，竞选函附录在满足比选文件实质性要求的基础上，可以提出比选文件要求更有利于比选人的承诺。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3.7.2  竞选文件应当对比选文件有关工期、比选有效期、质量要求、技术标准和要求、比选范围等实质性内容做出响应。</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按竞选人须知前附表3.7.3款执行。</w:t>
      </w:r>
    </w:p>
    <w:p>
      <w:pPr>
        <w:autoSpaceDE w:val="0"/>
        <w:autoSpaceDN w:val="0"/>
        <w:adjustRightInd w:val="0"/>
        <w:snapToGrid w:val="0"/>
        <w:spacing w:line="360" w:lineRule="auto"/>
        <w:ind w:right="-164" w:firstLine="420" w:firstLineChars="200"/>
        <w:rPr>
          <w:rFonts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3.7.4  竞选文件的份数见竞选人须知前附表，不按规定递交足够份数的竞选文件作否决处理。</w:t>
      </w:r>
    </w:p>
    <w:p>
      <w:pPr>
        <w:autoSpaceDE w:val="0"/>
        <w:autoSpaceDN w:val="0"/>
        <w:adjustRightInd w:val="0"/>
        <w:snapToGrid w:val="0"/>
        <w:spacing w:line="360" w:lineRule="auto"/>
        <w:ind w:right="-109"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3.7.5  竞选文件应装订成册，并编制目录，具体装订要求见竞选人须知前附表规定。</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36" w:name="_Toc287607773"/>
      <w:bookmarkStart w:id="337" w:name="_Toc509218737"/>
      <w:bookmarkStart w:id="338" w:name="_Toc200513153"/>
      <w:bookmarkStart w:id="339" w:name="_Toc430530462"/>
      <w:bookmarkStart w:id="340" w:name="_Toc224103344"/>
      <w:bookmarkStart w:id="341" w:name="_Toc31627"/>
      <w:bookmarkStart w:id="342" w:name="_Toc17781"/>
      <w:bookmarkStart w:id="343" w:name="_Toc26662"/>
      <w:bookmarkStart w:id="344" w:name="_Toc277082579"/>
      <w:bookmarkStart w:id="345" w:name="_Toc287620712"/>
      <w:r>
        <w:rPr>
          <w:rFonts w:hint="eastAsia" w:ascii="宋体" w:hAnsi="宋体" w:cs="宋体"/>
          <w:b w:val="0"/>
          <w:snapToGrid w:val="0"/>
          <w:color w:val="000000" w:themeColor="text1"/>
          <w:sz w:val="24"/>
          <w:szCs w:val="24"/>
          <w:highlight w:val="none"/>
          <w14:textFill>
            <w14:solidFill>
              <w14:schemeClr w14:val="tx1"/>
            </w14:solidFill>
          </w14:textFill>
        </w:rPr>
        <w:t xml:space="preserve">4.  </w:t>
      </w:r>
      <w:bookmarkEnd w:id="336"/>
      <w:bookmarkEnd w:id="337"/>
      <w:bookmarkEnd w:id="338"/>
      <w:bookmarkEnd w:id="339"/>
      <w:bookmarkEnd w:id="340"/>
      <w:bookmarkEnd w:id="341"/>
      <w:bookmarkEnd w:id="342"/>
      <w:bookmarkEnd w:id="343"/>
      <w:bookmarkEnd w:id="344"/>
      <w:bookmarkEnd w:id="345"/>
      <w:r>
        <w:rPr>
          <w:rFonts w:hint="eastAsia" w:ascii="宋体" w:hAnsi="宋体" w:cs="宋体"/>
          <w:b w:val="0"/>
          <w:snapToGrid w:val="0"/>
          <w:color w:val="000000" w:themeColor="text1"/>
          <w:sz w:val="24"/>
          <w:szCs w:val="24"/>
          <w:highlight w:val="none"/>
          <w14:textFill>
            <w14:solidFill>
              <w14:schemeClr w14:val="tx1"/>
            </w14:solidFill>
          </w14:textFill>
        </w:rPr>
        <w:t>竞选文件递交</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46" w:name="_Toc430530463"/>
      <w:bookmarkStart w:id="347" w:name="_Toc224103345"/>
      <w:bookmarkStart w:id="348" w:name="_Toc21526"/>
      <w:bookmarkStart w:id="349" w:name="_Toc40569166"/>
      <w:bookmarkStart w:id="350" w:name="_Toc200513154"/>
      <w:bookmarkStart w:id="351" w:name="_Toc287620713"/>
      <w:bookmarkStart w:id="352" w:name="_Toc1906"/>
      <w:bookmarkStart w:id="353" w:name="_Toc30123"/>
      <w:bookmarkStart w:id="354" w:name="_Toc287607774"/>
      <w:bookmarkStart w:id="355" w:name="_Toc277082580"/>
      <w:bookmarkStart w:id="356" w:name="_Toc509218738"/>
      <w:bookmarkStart w:id="357" w:name="_Toc40569071"/>
      <w:r>
        <w:rPr>
          <w:rFonts w:hint="eastAsia" w:ascii="宋体" w:hAnsi="宋体" w:cs="宋体"/>
          <w:b w:val="0"/>
          <w:snapToGrid w:val="0"/>
          <w:color w:val="000000" w:themeColor="text1"/>
          <w:sz w:val="24"/>
          <w:szCs w:val="24"/>
          <w:highlight w:val="none"/>
          <w14:textFill>
            <w14:solidFill>
              <w14:schemeClr w14:val="tx1"/>
            </w14:solidFill>
          </w14:textFill>
        </w:rPr>
        <w:t>4.1  竞选文件的密封和标记</w:t>
      </w:r>
      <w:bookmarkEnd w:id="346"/>
      <w:bookmarkEnd w:id="347"/>
      <w:bookmarkEnd w:id="348"/>
      <w:bookmarkEnd w:id="349"/>
      <w:bookmarkEnd w:id="350"/>
      <w:bookmarkEnd w:id="351"/>
      <w:bookmarkEnd w:id="352"/>
      <w:bookmarkEnd w:id="353"/>
      <w:bookmarkEnd w:id="354"/>
      <w:bookmarkEnd w:id="355"/>
      <w:bookmarkEnd w:id="356"/>
      <w:bookmarkEnd w:id="35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bookmarkStart w:id="358" w:name="_Toc200513155"/>
      <w:r>
        <w:rPr>
          <w:rFonts w:hint="eastAsia" w:ascii="宋体" w:hAnsi="宋体" w:cs="宋体"/>
          <w:snapToGrid w:val="0"/>
          <w:color w:val="000000" w:themeColor="text1"/>
          <w:kern w:val="0"/>
          <w:szCs w:val="21"/>
          <w:highlight w:val="none"/>
          <w14:textFill>
            <w14:solidFill>
              <w14:schemeClr w14:val="tx1"/>
            </w14:solidFill>
          </w14:textFill>
        </w:rPr>
        <w:t>4.1.1  竞选文件的密封见竞选人须知前附表。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竞选文件的封套上应写明的内容见竞选人须知前附表。</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59" w:name="_Toc224103346"/>
      <w:bookmarkStart w:id="360" w:name="_Toc509218739"/>
      <w:bookmarkStart w:id="361" w:name="_Toc287607775"/>
      <w:bookmarkStart w:id="362" w:name="_Toc11740"/>
      <w:bookmarkStart w:id="363" w:name="_Toc40569167"/>
      <w:bookmarkStart w:id="364" w:name="_Toc7699"/>
      <w:bookmarkStart w:id="365" w:name="_Toc26108"/>
      <w:bookmarkStart w:id="366" w:name="_Toc277082581"/>
      <w:bookmarkStart w:id="367" w:name="_Toc430530464"/>
      <w:bookmarkStart w:id="368" w:name="_Toc40569072"/>
      <w:bookmarkStart w:id="369" w:name="_Toc287620714"/>
      <w:r>
        <w:rPr>
          <w:rFonts w:hint="eastAsia" w:ascii="宋体" w:hAnsi="宋体" w:cs="宋体"/>
          <w:b w:val="0"/>
          <w:snapToGrid w:val="0"/>
          <w:color w:val="000000" w:themeColor="text1"/>
          <w:sz w:val="24"/>
          <w:szCs w:val="24"/>
          <w:highlight w:val="none"/>
          <w14:textFill>
            <w14:solidFill>
              <w14:schemeClr w14:val="tx1"/>
            </w14:solidFill>
          </w14:textFill>
        </w:rPr>
        <w:t>4.2  竞选文件的递交</w:t>
      </w:r>
      <w:bookmarkEnd w:id="358"/>
      <w:bookmarkEnd w:id="359"/>
      <w:bookmarkEnd w:id="360"/>
      <w:bookmarkEnd w:id="361"/>
      <w:bookmarkEnd w:id="362"/>
      <w:bookmarkEnd w:id="363"/>
      <w:bookmarkEnd w:id="364"/>
      <w:bookmarkEnd w:id="365"/>
      <w:bookmarkEnd w:id="366"/>
      <w:bookmarkEnd w:id="367"/>
      <w:bookmarkEnd w:id="368"/>
      <w:bookmarkEnd w:id="36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竞选人应在竞选人须知前附表第 2.2.2 项规定的竞选文件递交截止时间前递交竞选文件。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竞选人递交竞选文件的地点：见竞选人须知前附表。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除竞选人须知前附表另有规定外，竞选人所递交的竞选文件不予退还。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比选人收到竞选文件后，向竞选人出具签收凭证。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逾期送达的或者未送达指定地点的竞选文件，比选人不予受理。</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70" w:name="_Toc277082582"/>
      <w:bookmarkStart w:id="371" w:name="_Toc224103347"/>
      <w:bookmarkStart w:id="372" w:name="_Toc200513156"/>
      <w:bookmarkStart w:id="373" w:name="_Toc13850"/>
      <w:bookmarkStart w:id="374" w:name="_Toc30961"/>
      <w:bookmarkStart w:id="375" w:name="_Toc23344"/>
      <w:bookmarkStart w:id="376" w:name="_Toc287620715"/>
      <w:bookmarkStart w:id="377" w:name="_Toc40569168"/>
      <w:bookmarkStart w:id="378" w:name="_Toc40569073"/>
      <w:bookmarkStart w:id="379" w:name="_Toc509218740"/>
      <w:bookmarkStart w:id="380" w:name="_Toc430530465"/>
      <w:bookmarkStart w:id="381" w:name="_Toc287607776"/>
      <w:r>
        <w:rPr>
          <w:rFonts w:hint="eastAsia" w:ascii="宋体" w:hAnsi="宋体" w:cs="宋体"/>
          <w:b w:val="0"/>
          <w:snapToGrid w:val="0"/>
          <w:color w:val="000000" w:themeColor="text1"/>
          <w:sz w:val="24"/>
          <w:szCs w:val="24"/>
          <w:highlight w:val="none"/>
          <w14:textFill>
            <w14:solidFill>
              <w14:schemeClr w14:val="tx1"/>
            </w14:solidFill>
          </w14:textFill>
        </w:rPr>
        <w:t>4.3  竞选文件的修改与撤回</w:t>
      </w:r>
      <w:bookmarkEnd w:id="370"/>
      <w:bookmarkEnd w:id="371"/>
      <w:bookmarkEnd w:id="372"/>
      <w:bookmarkEnd w:id="373"/>
      <w:bookmarkEnd w:id="374"/>
      <w:bookmarkEnd w:id="375"/>
      <w:bookmarkEnd w:id="376"/>
      <w:bookmarkEnd w:id="377"/>
      <w:bookmarkEnd w:id="378"/>
      <w:bookmarkEnd w:id="379"/>
      <w:bookmarkEnd w:id="380"/>
      <w:bookmarkEnd w:id="38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在竞选人须知前附表第2.2.2项规定的竞选文件递交截止时间前，竞选人可以修改或撤回已递交的竞选文件，但应以书面形式通知比选人。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竞选人修改或撤回已递交竞选文件的书面通知应按照本章第3.7.3项的要求签字或盖章。比选人收到书面通知后，向竞选人出具签收凭证。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修改的内容为竞选文件的组成部分。修改的竞选文件应按照本章第3条、第4条规定进行编制、密封、标记和递交，并标明“修改”字样。</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82" w:name="_Toc287607777"/>
      <w:bookmarkStart w:id="383" w:name="_Toc18092"/>
      <w:bookmarkStart w:id="384" w:name="_Toc287620716"/>
      <w:bookmarkStart w:id="385" w:name="_Toc200513157"/>
      <w:bookmarkStart w:id="386" w:name="_Toc24445"/>
      <w:bookmarkStart w:id="387" w:name="_Toc430530466"/>
      <w:bookmarkStart w:id="388" w:name="_Toc509218741"/>
      <w:bookmarkStart w:id="389" w:name="_Toc277082583"/>
      <w:bookmarkStart w:id="390" w:name="_Toc7310"/>
      <w:bookmarkStart w:id="391" w:name="_Toc224103348"/>
      <w:r>
        <w:rPr>
          <w:rFonts w:hint="eastAsia" w:ascii="宋体" w:hAnsi="宋体" w:cs="宋体"/>
          <w:b w:val="0"/>
          <w:snapToGrid w:val="0"/>
          <w:color w:val="000000" w:themeColor="text1"/>
          <w:sz w:val="24"/>
          <w:szCs w:val="24"/>
          <w:highlight w:val="none"/>
          <w14:textFill>
            <w14:solidFill>
              <w14:schemeClr w14:val="tx1"/>
            </w14:solidFill>
          </w14:textFill>
        </w:rPr>
        <w:t>5.  开标</w:t>
      </w:r>
      <w:bookmarkEnd w:id="382"/>
      <w:bookmarkEnd w:id="383"/>
      <w:bookmarkEnd w:id="384"/>
      <w:bookmarkEnd w:id="385"/>
      <w:bookmarkEnd w:id="386"/>
      <w:bookmarkEnd w:id="387"/>
      <w:bookmarkEnd w:id="388"/>
      <w:bookmarkEnd w:id="389"/>
      <w:bookmarkEnd w:id="390"/>
      <w:bookmarkEnd w:id="391"/>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92" w:name="_Toc21177"/>
      <w:bookmarkStart w:id="393" w:name="_Toc277082584"/>
      <w:bookmarkStart w:id="394" w:name="_Toc40569170"/>
      <w:bookmarkStart w:id="395" w:name="_Toc21647"/>
      <w:bookmarkStart w:id="396" w:name="_Toc23360"/>
      <w:bookmarkStart w:id="397" w:name="_Toc287607778"/>
      <w:bookmarkStart w:id="398" w:name="_Toc200513158"/>
      <w:bookmarkStart w:id="399" w:name="_Toc430530467"/>
      <w:bookmarkStart w:id="400" w:name="_Toc224103349"/>
      <w:bookmarkStart w:id="401" w:name="_Toc287620717"/>
      <w:bookmarkStart w:id="402" w:name="_Toc40569075"/>
      <w:bookmarkStart w:id="403" w:name="_Toc509218742"/>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392"/>
      <w:bookmarkEnd w:id="393"/>
      <w:bookmarkEnd w:id="394"/>
      <w:bookmarkEnd w:id="395"/>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比选人在竞选人须知前附表第 2.2.2 项规定的竞选文件递交截止时间和竞选人须知前附表规定的地点公开开标，并邀请所有竞选人的法定代表人或其委托代理人准时参加。</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04" w:name="_Toc40569076"/>
      <w:bookmarkStart w:id="405" w:name="_Toc287620718"/>
      <w:bookmarkStart w:id="406" w:name="_Toc40569171"/>
      <w:bookmarkStart w:id="407" w:name="_Toc430530468"/>
      <w:bookmarkStart w:id="408" w:name="_Toc509218743"/>
      <w:bookmarkStart w:id="409" w:name="_Toc287607779"/>
      <w:bookmarkStart w:id="410" w:name="_Toc4086"/>
      <w:bookmarkStart w:id="411" w:name="_Toc277082585"/>
      <w:bookmarkStart w:id="412" w:name="_Toc200513159"/>
      <w:bookmarkStart w:id="413" w:name="_Toc9819"/>
      <w:bookmarkStart w:id="414" w:name="_Toc2116"/>
      <w:bookmarkStart w:id="415" w:name="_Toc224103350"/>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404"/>
      <w:bookmarkEnd w:id="405"/>
      <w:bookmarkEnd w:id="406"/>
      <w:bookmarkEnd w:id="407"/>
      <w:bookmarkEnd w:id="408"/>
      <w:bookmarkEnd w:id="409"/>
      <w:bookmarkEnd w:id="410"/>
      <w:bookmarkEnd w:id="411"/>
      <w:bookmarkEnd w:id="412"/>
      <w:bookmarkEnd w:id="413"/>
      <w:bookmarkEnd w:id="414"/>
      <w:bookmarkEnd w:id="415"/>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16" w:name="_Toc287607780"/>
      <w:bookmarkStart w:id="417" w:name="_Toc224103351"/>
      <w:bookmarkStart w:id="418" w:name="_Toc200513160"/>
      <w:bookmarkStart w:id="419" w:name="_Toc277082586"/>
      <w:bookmarkStart w:id="420" w:name="_Toc287620719"/>
      <w:r>
        <w:rPr>
          <w:rFonts w:hint="eastAsia" w:ascii="宋体" w:hAnsi="宋体" w:cs="宋体"/>
          <w:color w:val="000000" w:themeColor="text1"/>
          <w:szCs w:val="21"/>
          <w:highlight w:val="none"/>
          <w14:textFill>
            <w14:solidFill>
              <w14:schemeClr w14:val="tx1"/>
            </w14:solidFill>
          </w14:textFill>
        </w:rPr>
        <w:t>详见竞选人须知前附表5.2开标程序。</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21" w:name="_Toc29670"/>
      <w:bookmarkStart w:id="422" w:name="_Toc430530469"/>
      <w:bookmarkStart w:id="423" w:name="_Toc509218744"/>
      <w:bookmarkStart w:id="424" w:name="_Toc28222"/>
      <w:bookmarkStart w:id="425" w:name="_Toc20444"/>
      <w:r>
        <w:rPr>
          <w:rFonts w:hint="eastAsia" w:ascii="宋体" w:hAnsi="宋体" w:cs="宋体"/>
          <w:b w:val="0"/>
          <w:snapToGrid w:val="0"/>
          <w:color w:val="000000" w:themeColor="text1"/>
          <w:sz w:val="24"/>
          <w:szCs w:val="24"/>
          <w:highlight w:val="none"/>
          <w14:textFill>
            <w14:solidFill>
              <w14:schemeClr w14:val="tx1"/>
            </w14:solidFill>
          </w14:textFill>
        </w:rPr>
        <w:t xml:space="preserve">6.  </w:t>
      </w:r>
      <w:bookmarkEnd w:id="416"/>
      <w:bookmarkEnd w:id="417"/>
      <w:bookmarkEnd w:id="418"/>
      <w:bookmarkEnd w:id="419"/>
      <w:bookmarkEnd w:id="420"/>
      <w:bookmarkEnd w:id="421"/>
      <w:bookmarkEnd w:id="422"/>
      <w:bookmarkEnd w:id="423"/>
      <w:bookmarkEnd w:id="424"/>
      <w:bookmarkEnd w:id="425"/>
      <w:r>
        <w:rPr>
          <w:rFonts w:hint="eastAsia" w:ascii="宋体" w:hAnsi="宋体" w:cs="宋体"/>
          <w:b w:val="0"/>
          <w:snapToGrid w:val="0"/>
          <w:color w:val="000000" w:themeColor="text1"/>
          <w:sz w:val="24"/>
          <w:szCs w:val="24"/>
          <w:highlight w:val="none"/>
          <w14:textFill>
            <w14:solidFill>
              <w14:schemeClr w14:val="tx1"/>
            </w14:solidFill>
          </w14:textFill>
        </w:rPr>
        <w:t>评选</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26" w:name="_Toc11628"/>
      <w:bookmarkStart w:id="427" w:name="_Toc40569078"/>
      <w:bookmarkStart w:id="428" w:name="_Toc277082587"/>
      <w:bookmarkStart w:id="429" w:name="_Toc430530470"/>
      <w:bookmarkStart w:id="430" w:name="_Toc509218745"/>
      <w:bookmarkStart w:id="431" w:name="_Toc200513161"/>
      <w:bookmarkStart w:id="432" w:name="_Toc287620720"/>
      <w:bookmarkStart w:id="433" w:name="_Toc287607781"/>
      <w:bookmarkStart w:id="434" w:name="_Toc224103352"/>
      <w:bookmarkStart w:id="435" w:name="_Toc1171"/>
      <w:bookmarkStart w:id="436" w:name="_Toc40569173"/>
      <w:bookmarkStart w:id="437" w:name="_Toc8411"/>
      <w:r>
        <w:rPr>
          <w:rFonts w:hint="eastAsia" w:ascii="宋体" w:hAnsi="宋体" w:cs="宋体"/>
          <w:b w:val="0"/>
          <w:snapToGrid w:val="0"/>
          <w:color w:val="000000" w:themeColor="text1"/>
          <w:sz w:val="24"/>
          <w:szCs w:val="24"/>
          <w:highlight w:val="none"/>
          <w14:textFill>
            <w14:solidFill>
              <w14:schemeClr w14:val="tx1"/>
            </w14:solidFill>
          </w14:textFill>
        </w:rPr>
        <w:t>6.1  评选委员会</w:t>
      </w:r>
      <w:bookmarkEnd w:id="426"/>
      <w:bookmarkEnd w:id="427"/>
      <w:bookmarkEnd w:id="428"/>
      <w:bookmarkEnd w:id="429"/>
      <w:bookmarkEnd w:id="430"/>
      <w:bookmarkEnd w:id="431"/>
      <w:bookmarkEnd w:id="432"/>
      <w:bookmarkEnd w:id="433"/>
      <w:bookmarkEnd w:id="434"/>
      <w:bookmarkEnd w:id="435"/>
      <w:bookmarkEnd w:id="436"/>
      <w:bookmarkEnd w:id="437"/>
    </w:p>
    <w:p>
      <w:pPr>
        <w:autoSpaceDE w:val="0"/>
        <w:autoSpaceDN w:val="0"/>
        <w:adjustRightInd w:val="0"/>
        <w:snapToGrid w:val="0"/>
        <w:spacing w:line="360" w:lineRule="auto"/>
        <w:ind w:firstLine="420" w:firstLineChars="200"/>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评选由比选人依据法律法规和相关规范性文件组建的评选委员会负责。</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评选委员会成员有下列情形之一的，应当回避：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（1）竞选人或竞选人的主要负责人的近亲属；</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（3）与竞选人有利害关系，可能影响对投标公正评选的；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（4）曾因在招标、评选以及其他与招标投标有关活动中从事违法行为而受过行政处罚或刑事处罚的。</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38" w:name="_Toc40569079"/>
      <w:bookmarkStart w:id="439" w:name="_Toc19907"/>
      <w:bookmarkStart w:id="440" w:name="_Toc1737"/>
      <w:bookmarkStart w:id="441" w:name="_Toc40569174"/>
      <w:bookmarkStart w:id="442" w:name="_Toc277082588"/>
      <w:bookmarkStart w:id="443" w:name="_Toc509218746"/>
      <w:bookmarkStart w:id="444" w:name="_Toc430530471"/>
      <w:bookmarkStart w:id="445" w:name="_Toc224103353"/>
      <w:bookmarkStart w:id="446" w:name="_Toc5380"/>
      <w:bookmarkStart w:id="447" w:name="_Toc200513162"/>
      <w:bookmarkStart w:id="448" w:name="_Toc287620721"/>
      <w:bookmarkStart w:id="449" w:name="_Toc287607782"/>
      <w:r>
        <w:rPr>
          <w:rFonts w:hint="eastAsia" w:ascii="宋体" w:hAnsi="宋体" w:cs="宋体"/>
          <w:b w:val="0"/>
          <w:snapToGrid w:val="0"/>
          <w:color w:val="000000" w:themeColor="text1"/>
          <w:sz w:val="24"/>
          <w:szCs w:val="24"/>
          <w:highlight w:val="none"/>
          <w14:textFill>
            <w14:solidFill>
              <w14:schemeClr w14:val="tx1"/>
            </w14:solidFill>
          </w14:textFill>
        </w:rPr>
        <w:t>6.2  评选原则</w:t>
      </w:r>
      <w:bookmarkEnd w:id="438"/>
      <w:bookmarkEnd w:id="439"/>
      <w:bookmarkEnd w:id="440"/>
      <w:bookmarkEnd w:id="441"/>
      <w:bookmarkEnd w:id="442"/>
      <w:bookmarkEnd w:id="443"/>
      <w:bookmarkEnd w:id="444"/>
      <w:bookmarkEnd w:id="445"/>
      <w:bookmarkEnd w:id="446"/>
      <w:bookmarkEnd w:id="447"/>
      <w:bookmarkEnd w:id="448"/>
      <w:bookmarkEnd w:id="44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评选活动遵循公平、公正、科学和择优的原则。</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50" w:name="_Toc17901"/>
      <w:bookmarkStart w:id="451" w:name="_Toc224103354"/>
      <w:bookmarkStart w:id="452" w:name="_Toc40569080"/>
      <w:bookmarkStart w:id="453" w:name="_Toc32653"/>
      <w:bookmarkStart w:id="454" w:name="_Toc287620722"/>
      <w:bookmarkStart w:id="455" w:name="_Toc29814"/>
      <w:bookmarkStart w:id="456" w:name="_Toc200513163"/>
      <w:bookmarkStart w:id="457" w:name="_Toc277082589"/>
      <w:bookmarkStart w:id="458" w:name="_Toc40569175"/>
      <w:bookmarkStart w:id="459" w:name="_Toc430530472"/>
      <w:bookmarkStart w:id="460" w:name="_Toc287607783"/>
      <w:bookmarkStart w:id="461" w:name="_Toc509218747"/>
      <w:r>
        <w:rPr>
          <w:rFonts w:hint="eastAsia" w:ascii="宋体" w:hAnsi="宋体" w:cs="宋体"/>
          <w:b w:val="0"/>
          <w:snapToGrid w:val="0"/>
          <w:color w:val="000000" w:themeColor="text1"/>
          <w:sz w:val="24"/>
          <w:szCs w:val="24"/>
          <w:highlight w:val="none"/>
          <w14:textFill>
            <w14:solidFill>
              <w14:schemeClr w14:val="tx1"/>
            </w14:solidFill>
          </w14:textFill>
        </w:rPr>
        <w:t xml:space="preserve">6.3  </w:t>
      </w:r>
      <w:bookmarkEnd w:id="450"/>
      <w:bookmarkEnd w:id="451"/>
      <w:bookmarkEnd w:id="452"/>
      <w:bookmarkEnd w:id="453"/>
      <w:bookmarkEnd w:id="454"/>
      <w:bookmarkEnd w:id="455"/>
      <w:bookmarkEnd w:id="456"/>
      <w:bookmarkEnd w:id="457"/>
      <w:bookmarkEnd w:id="458"/>
      <w:bookmarkEnd w:id="459"/>
      <w:bookmarkEnd w:id="460"/>
      <w:bookmarkEnd w:id="461"/>
      <w:r>
        <w:rPr>
          <w:rFonts w:hint="eastAsia" w:ascii="宋体" w:hAnsi="宋体" w:cs="宋体"/>
          <w:b w:val="0"/>
          <w:snapToGrid w:val="0"/>
          <w:color w:val="000000" w:themeColor="text1"/>
          <w:sz w:val="24"/>
          <w:szCs w:val="24"/>
          <w:highlight w:val="none"/>
          <w14:textFill>
            <w14:solidFill>
              <w14:schemeClr w14:val="tx1"/>
            </w14:solidFill>
          </w14:textFill>
        </w:rPr>
        <w:t>评选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评选委员会按照第三章“评选办法”规定的方法、评选因素、标准和程序对竞选文件进行评选。第三章“评选办法”没有规定的方法、评选因素和标准，不得作为评选依据。</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62" w:name="_Toc287620723"/>
      <w:bookmarkStart w:id="463" w:name="_Toc27760"/>
      <w:bookmarkStart w:id="464" w:name="_Toc509218748"/>
      <w:bookmarkStart w:id="465" w:name="_Toc277082590"/>
      <w:bookmarkStart w:id="466" w:name="_Toc677"/>
      <w:bookmarkStart w:id="467" w:name="_Toc23357"/>
      <w:bookmarkStart w:id="468" w:name="_Toc224103355"/>
      <w:bookmarkStart w:id="469" w:name="_Toc430530473"/>
      <w:bookmarkStart w:id="470" w:name="_Toc287607784"/>
      <w:bookmarkStart w:id="471" w:name="_Toc200513164"/>
      <w:r>
        <w:rPr>
          <w:rFonts w:hint="eastAsia" w:ascii="宋体" w:hAnsi="宋体" w:cs="宋体"/>
          <w:b w:val="0"/>
          <w:snapToGrid w:val="0"/>
          <w:color w:val="000000" w:themeColor="text1"/>
          <w:sz w:val="24"/>
          <w:szCs w:val="24"/>
          <w:highlight w:val="none"/>
          <w14:textFill>
            <w14:solidFill>
              <w14:schemeClr w14:val="tx1"/>
            </w14:solidFill>
          </w14:textFill>
        </w:rPr>
        <w:t>7.  合同授予</w:t>
      </w:r>
      <w:bookmarkEnd w:id="462"/>
      <w:bookmarkEnd w:id="463"/>
      <w:bookmarkEnd w:id="464"/>
      <w:bookmarkEnd w:id="465"/>
      <w:bookmarkEnd w:id="466"/>
      <w:bookmarkEnd w:id="467"/>
      <w:bookmarkEnd w:id="468"/>
      <w:bookmarkEnd w:id="469"/>
      <w:bookmarkEnd w:id="470"/>
      <w:bookmarkEnd w:id="471"/>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72" w:name="_Toc287620724"/>
      <w:bookmarkStart w:id="473" w:name="_Toc287607785"/>
      <w:bookmarkStart w:id="474" w:name="_Toc224103356"/>
      <w:bookmarkStart w:id="475" w:name="_Toc14144"/>
      <w:bookmarkStart w:id="476" w:name="_Toc12616"/>
      <w:bookmarkStart w:id="477" w:name="_Toc12014"/>
      <w:bookmarkStart w:id="478" w:name="_Toc40569177"/>
      <w:bookmarkStart w:id="479" w:name="_Toc277082591"/>
      <w:bookmarkStart w:id="480" w:name="_Toc200513165"/>
      <w:bookmarkStart w:id="481" w:name="_Toc430530474"/>
      <w:bookmarkStart w:id="482" w:name="_Toc40569082"/>
      <w:bookmarkStart w:id="483" w:name="_Toc509218749"/>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472"/>
      <w:bookmarkEnd w:id="473"/>
      <w:bookmarkEnd w:id="474"/>
      <w:bookmarkEnd w:id="475"/>
      <w:bookmarkEnd w:id="476"/>
      <w:bookmarkEnd w:id="477"/>
      <w:bookmarkEnd w:id="478"/>
      <w:bookmarkEnd w:id="479"/>
      <w:bookmarkEnd w:id="480"/>
      <w:bookmarkEnd w:id="481"/>
      <w:bookmarkEnd w:id="482"/>
      <w:bookmarkEnd w:id="483"/>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评选委员会推荐中选候选人的人数见竞选人须知前附表。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84" w:name="_Toc40569178"/>
      <w:bookmarkStart w:id="485" w:name="_Toc430530475"/>
      <w:bookmarkStart w:id="486" w:name="_Toc40569083"/>
      <w:bookmarkStart w:id="487" w:name="_Toc509218750"/>
      <w:bookmarkStart w:id="488" w:name="_Toc23600"/>
      <w:bookmarkStart w:id="489" w:name="_Toc757"/>
      <w:bookmarkStart w:id="490" w:name="_Toc3480"/>
      <w:r>
        <w:rPr>
          <w:rFonts w:hint="eastAsia" w:ascii="宋体" w:hAnsi="宋体" w:cs="宋体"/>
          <w:b w:val="0"/>
          <w:snapToGrid w:val="0"/>
          <w:color w:val="000000" w:themeColor="text1"/>
          <w:sz w:val="24"/>
          <w:szCs w:val="24"/>
          <w:highlight w:val="none"/>
          <w14:textFill>
            <w14:solidFill>
              <w14:schemeClr w14:val="tx1"/>
            </w14:solidFill>
          </w14:textFill>
        </w:rPr>
        <w:t>7.2  中选公示及中选通知</w:t>
      </w:r>
      <w:bookmarkEnd w:id="484"/>
      <w:bookmarkEnd w:id="485"/>
      <w:bookmarkEnd w:id="486"/>
      <w:bookmarkEnd w:id="487"/>
      <w:bookmarkEnd w:id="488"/>
      <w:bookmarkEnd w:id="489"/>
      <w:bookmarkEnd w:id="49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详见竞选人须知前附表。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91" w:name="_Toc224103358"/>
      <w:bookmarkStart w:id="492" w:name="_Toc1444"/>
      <w:bookmarkStart w:id="493" w:name="_Toc31150"/>
      <w:bookmarkStart w:id="494" w:name="_Toc430530476"/>
      <w:bookmarkStart w:id="495" w:name="_Toc40569084"/>
      <w:bookmarkStart w:id="496" w:name="_Toc40569179"/>
      <w:bookmarkStart w:id="497" w:name="_Toc277082593"/>
      <w:bookmarkStart w:id="498" w:name="_Toc287607787"/>
      <w:bookmarkStart w:id="499" w:name="_Toc287620726"/>
      <w:bookmarkStart w:id="500" w:name="_Toc20679"/>
      <w:bookmarkStart w:id="501" w:name="_Toc509218751"/>
      <w:bookmarkStart w:id="502" w:name="_Toc200513167"/>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491"/>
      <w:bookmarkEnd w:id="492"/>
      <w:bookmarkEnd w:id="493"/>
      <w:bookmarkEnd w:id="494"/>
      <w:bookmarkEnd w:id="495"/>
      <w:bookmarkEnd w:id="496"/>
      <w:bookmarkEnd w:id="497"/>
      <w:bookmarkEnd w:id="498"/>
      <w:bookmarkEnd w:id="499"/>
      <w:bookmarkEnd w:id="500"/>
      <w:bookmarkEnd w:id="501"/>
      <w:bookmarkEnd w:id="502"/>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中选人不能按本章第 7.3.1 项要求提交履约担保的，视为放弃中选，其比选保证金不予退还，给比选人造成的损失超过比选保证金数额的，中选人还应当对超过部分予以赔偿。</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03" w:name="_Toc200513168"/>
      <w:bookmarkStart w:id="504" w:name="_Toc40569085"/>
      <w:bookmarkStart w:id="505" w:name="_Toc40569180"/>
      <w:bookmarkStart w:id="506" w:name="_Toc509218752"/>
      <w:bookmarkStart w:id="507" w:name="_Toc224103359"/>
      <w:bookmarkStart w:id="508" w:name="_Toc287620727"/>
      <w:bookmarkStart w:id="509" w:name="_Toc3209"/>
      <w:bookmarkStart w:id="510" w:name="_Toc430530477"/>
      <w:bookmarkStart w:id="511" w:name="_Toc287607788"/>
      <w:bookmarkStart w:id="512" w:name="_Toc277082594"/>
      <w:bookmarkStart w:id="513" w:name="_Toc1871"/>
      <w:bookmarkStart w:id="514" w:name="_Toc23731"/>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503"/>
      <w:bookmarkEnd w:id="504"/>
      <w:bookmarkEnd w:id="505"/>
      <w:bookmarkEnd w:id="506"/>
      <w:bookmarkEnd w:id="507"/>
      <w:bookmarkEnd w:id="508"/>
      <w:bookmarkEnd w:id="509"/>
      <w:bookmarkEnd w:id="510"/>
      <w:bookmarkEnd w:id="511"/>
      <w:bookmarkEnd w:id="512"/>
      <w:bookmarkEnd w:id="513"/>
      <w:bookmarkEnd w:id="514"/>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发出中选通知书后，比选人无正当理由拒签合同的，比选人向中选人退还比选保证金；给中选人造成损失的，还应当赔偿损失。</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15" w:name="_Toc200513169"/>
      <w:bookmarkStart w:id="516" w:name="_Toc224103360"/>
      <w:bookmarkStart w:id="517" w:name="_Toc32452"/>
      <w:bookmarkStart w:id="518" w:name="_Toc4906"/>
      <w:bookmarkStart w:id="519" w:name="_Toc509218753"/>
      <w:bookmarkStart w:id="520" w:name="_Toc277082595"/>
      <w:bookmarkStart w:id="521" w:name="_Toc287607789"/>
      <w:bookmarkStart w:id="522" w:name="_Toc430530478"/>
      <w:bookmarkStart w:id="523" w:name="_Toc287620728"/>
      <w:bookmarkStart w:id="524" w:name="_Toc387"/>
      <w:r>
        <w:rPr>
          <w:rFonts w:hint="eastAsia" w:ascii="宋体" w:hAnsi="宋体" w:cs="宋体"/>
          <w:b w:val="0"/>
          <w:snapToGrid w:val="0"/>
          <w:color w:val="000000" w:themeColor="text1"/>
          <w:sz w:val="24"/>
          <w:szCs w:val="24"/>
          <w:highlight w:val="none"/>
          <w14:textFill>
            <w14:solidFill>
              <w14:schemeClr w14:val="tx1"/>
            </w14:solidFill>
          </w14:textFill>
        </w:rPr>
        <w:t>8.  重新</w:t>
      </w:r>
      <w:bookmarkEnd w:id="515"/>
      <w:bookmarkEnd w:id="516"/>
      <w:bookmarkEnd w:id="517"/>
      <w:bookmarkEnd w:id="518"/>
      <w:bookmarkEnd w:id="519"/>
      <w:bookmarkEnd w:id="520"/>
      <w:bookmarkEnd w:id="521"/>
      <w:bookmarkEnd w:id="522"/>
      <w:bookmarkEnd w:id="523"/>
      <w:bookmarkEnd w:id="524"/>
      <w:r>
        <w:rPr>
          <w:rFonts w:hint="eastAsia" w:ascii="宋体" w:hAnsi="宋体" w:cs="宋体"/>
          <w:b w:val="0"/>
          <w:snapToGrid w:val="0"/>
          <w:color w:val="000000" w:themeColor="text1"/>
          <w:sz w:val="24"/>
          <w:szCs w:val="24"/>
          <w:highlight w:val="none"/>
          <w14:textFill>
            <w14:solidFill>
              <w14:schemeClr w14:val="tx1"/>
            </w14:solidFill>
          </w14:textFill>
        </w:rPr>
        <w:t>比选</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25" w:name="_Toc277082596"/>
      <w:bookmarkStart w:id="526" w:name="_Toc40569087"/>
      <w:bookmarkStart w:id="527" w:name="_Toc16710"/>
      <w:bookmarkStart w:id="528" w:name="_Toc287620729"/>
      <w:bookmarkStart w:id="529" w:name="_Toc509218754"/>
      <w:bookmarkStart w:id="530" w:name="_Toc200513170"/>
      <w:bookmarkStart w:id="531" w:name="_Toc287607790"/>
      <w:bookmarkStart w:id="532" w:name="_Toc224103361"/>
      <w:bookmarkStart w:id="533" w:name="_Toc23599"/>
      <w:bookmarkStart w:id="534" w:name="_Toc40569182"/>
      <w:bookmarkStart w:id="535" w:name="_Toc5411"/>
      <w:bookmarkStart w:id="536" w:name="_Toc430530479"/>
      <w:r>
        <w:rPr>
          <w:rFonts w:hint="eastAsia" w:ascii="宋体" w:hAnsi="宋体" w:cs="宋体"/>
          <w:b w:val="0"/>
          <w:snapToGrid w:val="0"/>
          <w:color w:val="000000" w:themeColor="text1"/>
          <w:sz w:val="24"/>
          <w:szCs w:val="24"/>
          <w:highlight w:val="none"/>
          <w14:textFill>
            <w14:solidFill>
              <w14:schemeClr w14:val="tx1"/>
            </w14:solidFill>
          </w14:textFill>
        </w:rPr>
        <w:t>8.1  重新</w:t>
      </w:r>
      <w:bookmarkEnd w:id="525"/>
      <w:bookmarkEnd w:id="526"/>
      <w:bookmarkEnd w:id="527"/>
      <w:bookmarkEnd w:id="528"/>
      <w:bookmarkEnd w:id="529"/>
      <w:bookmarkEnd w:id="530"/>
      <w:bookmarkEnd w:id="531"/>
      <w:bookmarkEnd w:id="532"/>
      <w:bookmarkEnd w:id="533"/>
      <w:bookmarkEnd w:id="534"/>
      <w:bookmarkEnd w:id="535"/>
      <w:bookmarkEnd w:id="536"/>
      <w:r>
        <w:rPr>
          <w:rFonts w:hint="eastAsia" w:ascii="宋体" w:hAnsi="宋体" w:cs="宋体"/>
          <w:b w:val="0"/>
          <w:snapToGrid w:val="0"/>
          <w:color w:val="000000" w:themeColor="text1"/>
          <w:sz w:val="24"/>
          <w:szCs w:val="24"/>
          <w:highlight w:val="none"/>
          <w14:textFill>
            <w14:solidFill>
              <w14:schemeClr w14:val="tx1"/>
            </w14:solidFill>
          </w14:textFill>
        </w:rPr>
        <w:t>比选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w:t>
      </w:r>
      <w:r>
        <w:rPr>
          <w:rFonts w:hint="eastAsia" w:ascii="宋体" w:hAnsi="宋体" w:cs="宋体"/>
          <w:snapToGrid w:val="0"/>
          <w:color w:val="000000" w:themeColor="text1"/>
          <w:kern w:val="0"/>
          <w:szCs w:val="21"/>
          <w:highlight w:val="none"/>
          <w14:textFill>
            <w14:solidFill>
              <w14:schemeClr w14:val="tx1"/>
            </w14:solidFill>
          </w14:textFill>
        </w:rPr>
        <w:t>有下列情形之一的，比选人将重新开展比选活动：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①竞选文件递交截止时间为止，竞选人少于3个的；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②经评选委员会评选后否决所有竞选人的；</w:t>
      </w:r>
    </w:p>
    <w:p>
      <w:pPr>
        <w:widowControl/>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pPr>
        <w:widowControl/>
        <w:spacing w:line="360" w:lineRule="auto"/>
        <w:ind w:firstLine="420" w:firstLineChars="200"/>
        <w:rPr>
          <w:rFonts w:ascii="宋体" w:hAnsi="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④法律法规规定的其他情形。</w:t>
      </w:r>
    </w:p>
    <w:p>
      <w:pPr>
        <w:widowControl/>
        <w:spacing w:line="360" w:lineRule="auto"/>
        <w:ind w:firstLine="420" w:firstLineChars="20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（2）若初次比选因故终止，第二次比选有效竞选人仍然少于三个的，按照原规定的程序比选和评审。</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37" w:name="_Toc224103363"/>
      <w:bookmarkStart w:id="538" w:name="_Toc30342"/>
      <w:bookmarkStart w:id="539" w:name="_Toc430530481"/>
      <w:bookmarkStart w:id="540" w:name="_Toc277082598"/>
      <w:bookmarkStart w:id="541" w:name="_Toc287607792"/>
      <w:bookmarkStart w:id="542" w:name="_Toc32459"/>
      <w:bookmarkStart w:id="543" w:name="_Toc200513172"/>
      <w:bookmarkStart w:id="544" w:name="_Toc509218756"/>
      <w:bookmarkStart w:id="545" w:name="_Toc287620731"/>
      <w:bookmarkStart w:id="546" w:name="_Toc7059"/>
      <w:r>
        <w:rPr>
          <w:rFonts w:hint="eastAsia" w:ascii="宋体" w:hAnsi="宋体" w:cs="宋体"/>
          <w:b w:val="0"/>
          <w:snapToGrid w:val="0"/>
          <w:color w:val="000000" w:themeColor="text1"/>
          <w:sz w:val="24"/>
          <w:szCs w:val="24"/>
          <w:highlight w:val="none"/>
          <w14:textFill>
            <w14:solidFill>
              <w14:schemeClr w14:val="tx1"/>
            </w14:solidFill>
          </w14:textFill>
        </w:rPr>
        <w:t>9.  纪律和监督</w:t>
      </w:r>
      <w:bookmarkEnd w:id="537"/>
      <w:bookmarkEnd w:id="538"/>
      <w:bookmarkEnd w:id="539"/>
      <w:bookmarkEnd w:id="540"/>
      <w:bookmarkEnd w:id="541"/>
      <w:bookmarkEnd w:id="542"/>
      <w:bookmarkEnd w:id="543"/>
      <w:bookmarkEnd w:id="544"/>
      <w:bookmarkEnd w:id="545"/>
      <w:bookmarkEnd w:id="546"/>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47" w:name="_Toc277082599"/>
      <w:bookmarkStart w:id="548" w:name="_Toc287607793"/>
      <w:bookmarkStart w:id="549" w:name="_Toc224103364"/>
      <w:bookmarkStart w:id="550" w:name="_Toc509218757"/>
      <w:bookmarkStart w:id="551" w:name="_Toc14823"/>
      <w:bookmarkStart w:id="552" w:name="_Toc40569185"/>
      <w:bookmarkStart w:id="553" w:name="_Toc20555"/>
      <w:bookmarkStart w:id="554" w:name="_Toc430530482"/>
      <w:bookmarkStart w:id="555" w:name="_Toc200513173"/>
      <w:bookmarkStart w:id="556" w:name="_Toc40569090"/>
      <w:bookmarkStart w:id="557" w:name="_Toc287620732"/>
      <w:bookmarkStart w:id="558" w:name="_Toc15838"/>
      <w:r>
        <w:rPr>
          <w:rFonts w:hint="eastAsia" w:ascii="宋体" w:hAnsi="宋体" w:cs="宋体"/>
          <w:b w:val="0"/>
          <w:snapToGrid w:val="0"/>
          <w:color w:val="000000" w:themeColor="text1"/>
          <w:sz w:val="24"/>
          <w:szCs w:val="24"/>
          <w:highlight w:val="none"/>
          <w14:textFill>
            <w14:solidFill>
              <w14:schemeClr w14:val="tx1"/>
            </w14:solidFill>
          </w14:textFill>
        </w:rPr>
        <w:t>9.1  对比选人的纪律要求</w:t>
      </w:r>
      <w:bookmarkEnd w:id="547"/>
      <w:bookmarkEnd w:id="548"/>
      <w:bookmarkEnd w:id="549"/>
      <w:bookmarkEnd w:id="550"/>
      <w:bookmarkEnd w:id="551"/>
      <w:bookmarkEnd w:id="552"/>
      <w:bookmarkEnd w:id="553"/>
      <w:bookmarkEnd w:id="554"/>
      <w:bookmarkEnd w:id="555"/>
      <w:bookmarkEnd w:id="556"/>
      <w:bookmarkEnd w:id="557"/>
      <w:bookmarkEnd w:id="558"/>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比选人不得泄漏比选活动中应当保密的情况和资料，不得与竞选人串通损害国家利 益、社会公共利益或者他人合法权益，</w:t>
      </w:r>
      <w:r>
        <w:rPr>
          <w:rFonts w:hint="eastAsia" w:ascii="宋体" w:hAnsi="宋体" w:cs="宋体"/>
          <w:color w:val="000000" w:themeColor="text1"/>
          <w:highlight w:val="none"/>
          <w14:textFill>
            <w14:solidFill>
              <w14:schemeClr w14:val="tx1"/>
            </w14:solidFill>
          </w14:textFill>
        </w:rPr>
        <w:t>禁止比选人与竞选人串通投标。</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有下列情形之一的，属于比选人与竞选人串通投标：</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（1）比选人在评选开始前开启竞选文件并将有关信息泄露给其他竞选人；</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（2）比选人直接或者间接向竞选人泄露标底、评选委员会成员等信息；</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（3）比选人明示或者暗示竞选人压低或者抬高竞选总报价；</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（4）比选人授意竞选人撤换、修改竞选文件；</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（5）比选人明示或者暗示竞选人为特定竞选人中选提供方便；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（6）比选人与竞选人为谋求特定竞选人中选而采取的其他串通行为。</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59" w:name="_Toc13914"/>
      <w:bookmarkStart w:id="560" w:name="_Toc430530483"/>
      <w:bookmarkStart w:id="561" w:name="_Toc200513174"/>
      <w:bookmarkStart w:id="562" w:name="_Toc287607794"/>
      <w:bookmarkStart w:id="563" w:name="_Toc224103365"/>
      <w:bookmarkStart w:id="564" w:name="_Toc1612"/>
      <w:bookmarkStart w:id="565" w:name="_Toc277082600"/>
      <w:bookmarkStart w:id="566" w:name="_Toc40569186"/>
      <w:bookmarkStart w:id="567" w:name="_Toc26842"/>
      <w:bookmarkStart w:id="568" w:name="_Toc509218758"/>
      <w:bookmarkStart w:id="569" w:name="_Toc287620733"/>
      <w:bookmarkStart w:id="570" w:name="_Toc40569091"/>
      <w:r>
        <w:rPr>
          <w:rFonts w:hint="eastAsia" w:ascii="宋体" w:hAnsi="宋体" w:cs="宋体"/>
          <w:b w:val="0"/>
          <w:snapToGrid w:val="0"/>
          <w:color w:val="000000" w:themeColor="text1"/>
          <w:sz w:val="24"/>
          <w:szCs w:val="24"/>
          <w:highlight w:val="none"/>
          <w14:textFill>
            <w14:solidFill>
              <w14:schemeClr w14:val="tx1"/>
            </w14:solidFill>
          </w14:textFill>
        </w:rPr>
        <w:t>9.2  对竞选人的纪律要求</w:t>
      </w:r>
      <w:bookmarkEnd w:id="559"/>
      <w:bookmarkEnd w:id="560"/>
      <w:bookmarkEnd w:id="561"/>
      <w:bookmarkEnd w:id="562"/>
      <w:bookmarkEnd w:id="563"/>
      <w:bookmarkEnd w:id="564"/>
      <w:bookmarkEnd w:id="565"/>
      <w:bookmarkEnd w:id="566"/>
      <w:bookmarkEnd w:id="567"/>
      <w:bookmarkEnd w:id="568"/>
      <w:bookmarkEnd w:id="569"/>
      <w:bookmarkEnd w:id="570"/>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000000" w:themeColor="text1"/>
          <w:highlight w:val="none"/>
          <w14:textFill>
            <w14:solidFill>
              <w14:schemeClr w14:val="tx1"/>
            </w14:solidFill>
          </w14:textFill>
        </w:rPr>
        <w:t>有下列情形之一的，属于竞选人相互串通投标：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（1）竞选人之间协商竞选总报价等竞选文件的实质性内容；</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（2）竞选人之间约定中选人；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（3）竞选人之间约定部分竞选人放弃投标或者中选；</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（4）属于同一集团、协会、商会等组织成员的竞选人按照该组织要求协同投标；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（5）竞选人之间为谋取中选或者排斥特定竞选人而采取的其他联合行动。</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有下列情形之一的，视为竞选人相互串通投标：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（1）不同竞选人的竞选文件由同一单位或者个人编制；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（2）不同竞选人委托同一单位或者个人办理投标事宜；</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（3）不同竞选人的竞选文件载明的项目管理成员为同一人；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（4）不同竞选人的竞选文件异常一致或者竞选总报价呈规律性差异；</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（5）不同竞选人的竞选文件相互混装；</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（6）不同竞选人的比选保证金从同一单位或者个人的账户转出。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（一）使用伪造、变造的许可证件；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（二）提供虚假的财务状况或者业绩；</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（四）提供虚假的信用状况；</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（五）其他弄虚作假的行为。</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71" w:name="_Toc509218759"/>
      <w:bookmarkStart w:id="572" w:name="_Toc15322"/>
      <w:bookmarkStart w:id="573" w:name="_Toc200513175"/>
      <w:bookmarkStart w:id="574" w:name="_Toc30347"/>
      <w:bookmarkStart w:id="575" w:name="_Toc287620734"/>
      <w:bookmarkStart w:id="576" w:name="_Toc3385"/>
      <w:bookmarkStart w:id="577" w:name="_Toc430530484"/>
      <w:bookmarkStart w:id="578" w:name="_Toc287607795"/>
      <w:bookmarkStart w:id="579" w:name="_Toc277082601"/>
      <w:bookmarkStart w:id="580" w:name="_Toc40569092"/>
      <w:bookmarkStart w:id="581" w:name="_Toc224103366"/>
      <w:bookmarkStart w:id="582" w:name="_Toc40569187"/>
      <w:r>
        <w:rPr>
          <w:rFonts w:hint="eastAsia" w:ascii="宋体" w:hAnsi="宋体" w:cs="宋体"/>
          <w:b w:val="0"/>
          <w:snapToGrid w:val="0"/>
          <w:color w:val="000000" w:themeColor="text1"/>
          <w:sz w:val="24"/>
          <w:szCs w:val="24"/>
          <w:highlight w:val="none"/>
          <w14:textFill>
            <w14:solidFill>
              <w14:schemeClr w14:val="tx1"/>
            </w14:solidFill>
          </w14:textFill>
        </w:rPr>
        <w:t>9.3  对评选委员会成员的纪律要求</w:t>
      </w:r>
      <w:bookmarkEnd w:id="571"/>
      <w:bookmarkEnd w:id="572"/>
      <w:bookmarkEnd w:id="573"/>
      <w:bookmarkEnd w:id="574"/>
      <w:bookmarkEnd w:id="575"/>
      <w:bookmarkEnd w:id="576"/>
      <w:bookmarkEnd w:id="577"/>
      <w:bookmarkEnd w:id="578"/>
      <w:bookmarkEnd w:id="579"/>
      <w:bookmarkEnd w:id="580"/>
      <w:bookmarkEnd w:id="581"/>
      <w:bookmarkEnd w:id="582"/>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83" w:name="_Toc200513176"/>
      <w:bookmarkStart w:id="584" w:name="_Toc430530485"/>
      <w:bookmarkStart w:id="585" w:name="_Toc40569093"/>
      <w:bookmarkStart w:id="586" w:name="_Toc224103367"/>
      <w:bookmarkStart w:id="587" w:name="_Toc14712"/>
      <w:bookmarkStart w:id="588" w:name="_Toc287607796"/>
      <w:bookmarkStart w:id="589" w:name="_Toc24901"/>
      <w:bookmarkStart w:id="590" w:name="_Toc40569188"/>
      <w:bookmarkStart w:id="591" w:name="_Toc287620735"/>
      <w:bookmarkStart w:id="592" w:name="_Toc19795"/>
      <w:bookmarkStart w:id="593" w:name="_Toc277082602"/>
      <w:bookmarkStart w:id="594" w:name="_Toc509218760"/>
      <w:r>
        <w:rPr>
          <w:rFonts w:hint="eastAsia" w:ascii="宋体" w:hAnsi="宋体" w:cs="宋体"/>
          <w:b w:val="0"/>
          <w:snapToGrid w:val="0"/>
          <w:color w:val="000000" w:themeColor="text1"/>
          <w:sz w:val="24"/>
          <w:szCs w:val="24"/>
          <w:highlight w:val="none"/>
          <w14:textFill>
            <w14:solidFill>
              <w14:schemeClr w14:val="tx1"/>
            </w14:solidFill>
          </w14:textFill>
        </w:rPr>
        <w:t>9.4  对与评选活动有关的工作人员的纪律要求</w:t>
      </w:r>
      <w:bookmarkEnd w:id="583"/>
      <w:bookmarkEnd w:id="584"/>
      <w:bookmarkEnd w:id="585"/>
      <w:bookmarkEnd w:id="586"/>
      <w:bookmarkEnd w:id="587"/>
      <w:bookmarkEnd w:id="588"/>
      <w:bookmarkEnd w:id="589"/>
      <w:bookmarkEnd w:id="590"/>
      <w:bookmarkEnd w:id="591"/>
      <w:bookmarkEnd w:id="592"/>
      <w:bookmarkEnd w:id="593"/>
      <w:bookmarkEnd w:id="59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95" w:name="_Toc40569094"/>
      <w:bookmarkStart w:id="596" w:name="_Toc277082603"/>
      <w:bookmarkStart w:id="597" w:name="_Toc7152"/>
      <w:bookmarkStart w:id="598" w:name="_Toc287607797"/>
      <w:bookmarkStart w:id="599" w:name="_Toc430530486"/>
      <w:bookmarkStart w:id="600" w:name="_Toc287620736"/>
      <w:bookmarkStart w:id="601" w:name="_Toc509218761"/>
      <w:bookmarkStart w:id="602" w:name="_Toc200513177"/>
      <w:bookmarkStart w:id="603" w:name="_Toc24405"/>
      <w:bookmarkStart w:id="604" w:name="_Toc224103368"/>
      <w:bookmarkStart w:id="605" w:name="_Toc40569189"/>
      <w:bookmarkStart w:id="606" w:name="_Toc9443"/>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595"/>
      <w:bookmarkEnd w:id="596"/>
      <w:bookmarkEnd w:id="597"/>
      <w:bookmarkEnd w:id="598"/>
      <w:bookmarkEnd w:id="599"/>
      <w:bookmarkEnd w:id="600"/>
      <w:bookmarkEnd w:id="601"/>
      <w:bookmarkEnd w:id="602"/>
      <w:bookmarkEnd w:id="603"/>
      <w:bookmarkEnd w:id="604"/>
      <w:bookmarkEnd w:id="605"/>
      <w:bookmarkEnd w:id="606"/>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竞选人和其他利害关系人认为本次比选活动违反法律、法规和规章规定的，有权向有关行政监督部门投诉。</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07" w:name="_Toc18945"/>
      <w:bookmarkStart w:id="608" w:name="_Toc287607798"/>
      <w:bookmarkStart w:id="609" w:name="_Toc200513178"/>
      <w:bookmarkStart w:id="610" w:name="_Toc509218762"/>
      <w:bookmarkStart w:id="611" w:name="_Toc277082604"/>
      <w:bookmarkStart w:id="612" w:name="_Toc224103369"/>
      <w:bookmarkStart w:id="613" w:name="_Toc430530487"/>
      <w:bookmarkStart w:id="614" w:name="_Toc6297"/>
      <w:bookmarkStart w:id="615" w:name="_Toc32650"/>
      <w:bookmarkStart w:id="616" w:name="_Toc287620737"/>
      <w:r>
        <w:rPr>
          <w:rFonts w:hint="eastAsia" w:ascii="宋体" w:hAnsi="宋体" w:cs="宋体"/>
          <w:b w:val="0"/>
          <w:snapToGrid w:val="0"/>
          <w:color w:val="000000" w:themeColor="text1"/>
          <w:sz w:val="24"/>
          <w:szCs w:val="24"/>
          <w:highlight w:val="none"/>
          <w14:textFill>
            <w14:solidFill>
              <w14:schemeClr w14:val="tx1"/>
            </w14:solidFill>
          </w14:textFill>
        </w:rPr>
        <w:t>10. 需要补充的其他内容</w:t>
      </w:r>
      <w:bookmarkEnd w:id="607"/>
      <w:bookmarkEnd w:id="608"/>
      <w:bookmarkEnd w:id="609"/>
      <w:bookmarkEnd w:id="610"/>
      <w:bookmarkEnd w:id="611"/>
      <w:bookmarkEnd w:id="612"/>
      <w:bookmarkEnd w:id="613"/>
      <w:bookmarkEnd w:id="614"/>
      <w:bookmarkEnd w:id="615"/>
      <w:bookmarkEnd w:id="616"/>
    </w:p>
    <w:p>
      <w:pPr>
        <w:pStyle w:val="4"/>
        <w:snapToGrid w:val="0"/>
        <w:spacing w:before="0" w:after="0" w:line="360" w:lineRule="auto"/>
        <w:ind w:firstLine="480" w:firstLineChars="200"/>
        <w:rPr>
          <w:rFonts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见竞选人须知前附表。</w:t>
      </w:r>
    </w:p>
    <w:p>
      <w:pPr>
        <w:widowControl/>
        <w:jc w:val="left"/>
        <w:rPr>
          <w:rFonts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附表一：报价记录表</w:t>
      </w: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spacing w:line="360" w:lineRule="auto"/>
        <w:rPr>
          <w:rFonts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w w:val="99"/>
          <w:kern w:val="0"/>
          <w:sz w:val="28"/>
          <w:szCs w:val="28"/>
          <w:highlight w:val="none"/>
          <w14:textFill>
            <w14:solidFill>
              <w14:schemeClr w14:val="tx1"/>
            </w14:solidFill>
          </w14:textFill>
        </w:rPr>
        <w:t>（项目名称）报价记录表</w:t>
      </w:r>
    </w:p>
    <w:p>
      <w:pPr>
        <w:tabs>
          <w:tab w:val="left" w:pos="2260"/>
          <w:tab w:val="left" w:pos="5060"/>
        </w:tabs>
        <w:autoSpaceDE w:val="0"/>
        <w:autoSpaceDN w:val="0"/>
        <w:adjustRightInd w:val="0"/>
        <w:snapToGrid w:val="0"/>
        <w:spacing w:line="360" w:lineRule="auto"/>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时间：年月日时分</w:t>
      </w:r>
    </w:p>
    <w:tbl>
      <w:tblPr>
        <w:tblStyle w:val="28"/>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628"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w:t>
            </w:r>
          </w:p>
        </w:tc>
        <w:tc>
          <w:tcPr>
            <w:tcW w:w="69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密封</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情况</w:t>
            </w:r>
          </w:p>
        </w:tc>
        <w:tc>
          <w:tcPr>
            <w:tcW w:w="800"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比选保</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证金</w:t>
            </w:r>
          </w:p>
        </w:tc>
        <w:tc>
          <w:tcPr>
            <w:tcW w:w="642" w:type="dxa"/>
            <w:tcBorders>
              <w:right w:val="single" w:color="auto" w:sz="4" w:space="0"/>
            </w:tcBorders>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报价</w:t>
            </w:r>
          </w:p>
        </w:tc>
        <w:tc>
          <w:tcPr>
            <w:tcW w:w="866" w:type="dxa"/>
            <w:tcBorders>
              <w:left w:val="single" w:color="auto" w:sz="4" w:space="0"/>
            </w:tcBorders>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质量目标</w:t>
            </w:r>
          </w:p>
        </w:tc>
        <w:tc>
          <w:tcPr>
            <w:tcW w:w="1079"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服务期</w:t>
            </w:r>
          </w:p>
        </w:tc>
        <w:tc>
          <w:tcPr>
            <w:tcW w:w="84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项目负责人</w:t>
            </w:r>
          </w:p>
        </w:tc>
        <w:tc>
          <w:tcPr>
            <w:tcW w:w="143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竞选人代表</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签名</w:t>
            </w:r>
          </w:p>
        </w:tc>
        <w:tc>
          <w:tcPr>
            <w:tcW w:w="143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pPr>
              <w:autoSpaceDE w:val="0"/>
              <w:autoSpaceDN w:val="0"/>
              <w:adjustRightInd w:val="0"/>
              <w:snapToGrid w:val="0"/>
              <w:spacing w:line="360" w:lineRule="auto"/>
              <w:jc w:val="center"/>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最高限价</w:t>
            </w:r>
          </w:p>
        </w:tc>
        <w:tc>
          <w:tcPr>
            <w:tcW w:w="4232" w:type="dxa"/>
            <w:gridSpan w:val="5"/>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bl>
    <w:p>
      <w:pPr>
        <w:tabs>
          <w:tab w:val="left" w:pos="2740"/>
          <w:tab w:val="left" w:pos="4940"/>
          <w:tab w:val="left" w:pos="7140"/>
        </w:tabs>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比选人代表：记录人： 监督人员：</w:t>
      </w:r>
    </w:p>
    <w:p>
      <w:pPr>
        <w:autoSpaceDE w:val="0"/>
        <w:autoSpaceDN w:val="0"/>
        <w:adjustRightInd w:val="0"/>
        <w:snapToGrid w:val="0"/>
        <w:spacing w:beforeLines="20" w:line="360" w:lineRule="auto"/>
        <w:jc w:val="right"/>
        <w:rPr>
          <w:rFonts w:ascii="宋体" w:hAnsi="宋体" w:cs="宋体"/>
          <w:snapToGrid w:val="0"/>
          <w:color w:val="000000" w:themeColor="text1"/>
          <w:kern w:val="0"/>
          <w:sz w:val="24"/>
          <w:highlight w:val="none"/>
          <w14:textFill>
            <w14:solidFill>
              <w14:schemeClr w14:val="tx1"/>
            </w14:solidFill>
          </w14:textFill>
        </w:rPr>
      </w:pPr>
    </w:p>
    <w:p>
      <w:pPr>
        <w:autoSpaceDE w:val="0"/>
        <w:autoSpaceDN w:val="0"/>
        <w:adjustRightInd w:val="0"/>
        <w:snapToGrid w:val="0"/>
        <w:spacing w:beforeLines="20" w:line="360" w:lineRule="auto"/>
        <w:jc w:val="righ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年月日</w:t>
      </w:r>
    </w:p>
    <w:p>
      <w:pPr>
        <w:widowControl/>
        <w:jc w:val="left"/>
        <w:rPr>
          <w:rFonts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附表二：问题澄清通知</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问题澄清通知</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ind w:firstLine="140" w:firstLineChars="50"/>
        <w:rPr>
          <w:rFonts w:ascii="宋体" w:hAnsi="宋体" w:cs="宋体"/>
          <w:snapToGrid w:val="0"/>
          <w:color w:val="000000" w:themeColor="text1"/>
          <w:kern w:val="0"/>
          <w:sz w:val="28"/>
          <w:szCs w:val="28"/>
          <w:highlight w:val="none"/>
          <w14:textFill>
            <w14:solidFill>
              <w14:schemeClr w14:val="tx1"/>
            </w14:solidFill>
          </w14:textFill>
        </w:rPr>
      </w:pPr>
    </w:p>
    <w:p>
      <w:pPr>
        <w:tabs>
          <w:tab w:val="left" w:pos="1580"/>
        </w:tabs>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（竞选人名称）：</w:t>
      </w:r>
    </w:p>
    <w:p>
      <w:pPr>
        <w:tabs>
          <w:tab w:val="left" w:pos="2320"/>
        </w:tabs>
        <w:autoSpaceDE w:val="0"/>
        <w:autoSpaceDN w:val="0"/>
        <w:adjustRightInd w:val="0"/>
        <w:snapToGrid w:val="0"/>
        <w:spacing w:line="360" w:lineRule="auto"/>
        <w:ind w:firstLine="212" w:firstLineChars="10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（项目名称）的评选委员会，对你方的竞选文件进行了仔细的审查，现需你方对下列问题以书面形式予以澄清：</w:t>
      </w:r>
    </w:p>
    <w:p>
      <w:pPr>
        <w:autoSpaceDE w:val="0"/>
        <w:autoSpaceDN w:val="0"/>
        <w:adjustRightInd w:val="0"/>
        <w:snapToGrid w:val="0"/>
        <w:spacing w:line="360" w:lineRule="auto"/>
        <w:jc w:val="left"/>
        <w:rPr>
          <w:rFonts w:ascii="宋体" w:hAnsi="宋体" w:cs="宋体"/>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jc w:val="left"/>
        <w:rPr>
          <w:rFonts w:ascii="宋体" w:hAnsi="宋体" w:cs="宋体"/>
          <w:snapToGrid w:val="0"/>
          <w:color w:val="000000" w:themeColor="text1"/>
          <w:kern w:val="0"/>
          <w:sz w:val="14"/>
          <w:szCs w:val="1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14"/>
          <w:szCs w:val="1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请将上述问题的澄清于年月日时前递交至（详细地址）或传真至（传真号码）。采用传真方式的，应在年月日时前将原件递交至</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（详细地址）。</w:t>
      </w: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p>
      <w:pPr>
        <w:tabs>
          <w:tab w:val="left" w:pos="6400"/>
        </w:tabs>
        <w:autoSpaceDE w:val="0"/>
        <w:autoSpaceDN w:val="0"/>
        <w:adjustRightInd w:val="0"/>
        <w:snapToGrid w:val="0"/>
        <w:spacing w:line="360" w:lineRule="auto"/>
        <w:jc w:val="righ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评选委员会：（签字）</w:t>
      </w:r>
    </w:p>
    <w:p>
      <w:pPr>
        <w:autoSpaceDE w:val="0"/>
        <w:autoSpaceDN w:val="0"/>
        <w:adjustRightInd w:val="0"/>
        <w:snapToGrid w:val="0"/>
        <w:spacing w:line="360" w:lineRule="auto"/>
        <w:ind w:firstLine="315" w:firstLineChars="150"/>
        <w:jc w:val="right"/>
        <w:rPr>
          <w:rFonts w:ascii="宋体" w:hAnsi="宋体" w:cs="宋体"/>
          <w:snapToGrid w:val="0"/>
          <w:color w:val="000000" w:themeColor="text1"/>
          <w:kern w:val="0"/>
          <w:szCs w:val="21"/>
          <w:highlight w:val="none"/>
          <w14:textFill>
            <w14:solidFill>
              <w14:schemeClr w14:val="tx1"/>
            </w14:solidFill>
          </w14:textFill>
        </w:rPr>
      </w:pPr>
    </w:p>
    <w:p>
      <w:pPr>
        <w:wordWrap w:val="0"/>
        <w:autoSpaceDE w:val="0"/>
        <w:autoSpaceDN w:val="0"/>
        <w:adjustRightInd w:val="0"/>
        <w:snapToGrid w:val="0"/>
        <w:spacing w:line="360" w:lineRule="auto"/>
        <w:ind w:firstLine="850" w:firstLineChars="405"/>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widowControl/>
        <w:jc w:val="left"/>
        <w:rPr>
          <w:rFonts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附表三：问题的澄清</w:t>
      </w:r>
    </w:p>
    <w:p>
      <w:pPr>
        <w:autoSpaceDE w:val="0"/>
        <w:autoSpaceDN w:val="0"/>
        <w:adjustRightInd w:val="0"/>
        <w:snapToGrid w:val="0"/>
        <w:spacing w:line="360" w:lineRule="auto"/>
        <w:jc w:val="left"/>
        <w:rPr>
          <w:rFonts w:ascii="宋体" w:hAnsi="宋体" w:cs="宋体"/>
          <w:b/>
          <w:snapToGrid w:val="0"/>
          <w:color w:val="000000" w:themeColor="text1"/>
          <w:kern w:val="0"/>
          <w:sz w:val="10"/>
          <w:szCs w:val="10"/>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问题的澄清</w:t>
      </w: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pPr>
        <w:autoSpaceDE w:val="0"/>
        <w:autoSpaceDN w:val="0"/>
        <w:adjustRightInd w:val="0"/>
        <w:snapToGri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p>
    <w:p>
      <w:pPr>
        <w:tabs>
          <w:tab w:val="left" w:pos="2415"/>
          <w:tab w:val="left" w:pos="3480"/>
          <w:tab w:val="left" w:pos="4200"/>
        </w:tabs>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（项目名称）评选委员会：</w:t>
      </w:r>
    </w:p>
    <w:p>
      <w:pPr>
        <w:tabs>
          <w:tab w:val="left" w:pos="2000"/>
          <w:tab w:val="left" w:pos="3480"/>
          <w:tab w:val="left" w:pos="4200"/>
        </w:tabs>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问题澄清通知（编号：</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）已收悉，现澄清如下：</w:t>
      </w: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2"/>
          <w:szCs w:val="22"/>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tabs>
          <w:tab w:val="left" w:pos="7035"/>
        </w:tabs>
        <w:autoSpaceDE w:val="0"/>
        <w:autoSpaceDN w:val="0"/>
        <w:adjustRightInd w:val="0"/>
        <w:snapToGrid w:val="0"/>
        <w:spacing w:line="360" w:lineRule="auto"/>
        <w:ind w:firstLine="2551" w:firstLineChars="1215"/>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竞选人：（盖单位公章） </w:t>
      </w:r>
    </w:p>
    <w:p>
      <w:pPr>
        <w:tabs>
          <w:tab w:val="left" w:pos="6620"/>
          <w:tab w:val="left" w:pos="7040"/>
        </w:tabs>
        <w:autoSpaceDE w:val="0"/>
        <w:autoSpaceDN w:val="0"/>
        <w:adjustRightInd w:val="0"/>
        <w:snapToGrid w:val="0"/>
        <w:spacing w:line="360" w:lineRule="auto"/>
        <w:ind w:firstLine="2551" w:firstLineChars="1215"/>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（签字或盖章）</w:t>
      </w:r>
    </w:p>
    <w:p>
      <w:pPr>
        <w:autoSpaceDE w:val="0"/>
        <w:autoSpaceDN w:val="0"/>
        <w:adjustRightInd w:val="0"/>
        <w:snapToGrid w:val="0"/>
        <w:spacing w:line="360" w:lineRule="auto"/>
        <w:jc w:val="right"/>
        <w:rPr>
          <w:rFonts w:ascii="宋体" w:hAnsi="宋体" w:cs="宋体"/>
          <w:snapToGrid w:val="0"/>
          <w:color w:val="000000" w:themeColor="text1"/>
          <w:kern w:val="0"/>
          <w:sz w:val="20"/>
          <w:szCs w:val="20"/>
          <w:highlight w:val="none"/>
          <w14:textFill>
            <w14:solidFill>
              <w14:schemeClr w14:val="tx1"/>
            </w14:solidFill>
          </w14:textFill>
        </w:rPr>
      </w:pPr>
    </w:p>
    <w:p>
      <w:pPr>
        <w:wordWrap w:val="0"/>
        <w:autoSpaceDE w:val="0"/>
        <w:autoSpaceDN w:val="0"/>
        <w:adjustRightInd w:val="0"/>
        <w:snapToGrid w:val="0"/>
        <w:spacing w:line="360" w:lineRule="auto"/>
        <w:ind w:firstLine="315" w:firstLineChars="150"/>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widowControl/>
        <w:jc w:val="left"/>
        <w:rPr>
          <w:rFonts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pPr>
        <w:autoSpaceDE w:val="0"/>
        <w:autoSpaceDN w:val="0"/>
        <w:adjustRightInd w:val="0"/>
        <w:snapToGrid w:val="0"/>
        <w:spacing w:line="360" w:lineRule="auto"/>
        <w:jc w:val="left"/>
        <w:outlineLvl w:val="2"/>
        <w:rPr>
          <w:rFonts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附表四：中选通知书</w:t>
      </w: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中选通知书</w:t>
      </w:r>
    </w:p>
    <w:p>
      <w:pPr>
        <w:autoSpaceDE w:val="0"/>
        <w:autoSpaceDN w:val="0"/>
        <w:adjustRightIn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spacing w:line="360" w:lineRule="auto"/>
        <w:rPr>
          <w:rFonts w:ascii="宋体" w:hAnsi="宋体" w:cs="宋体"/>
          <w:bCs/>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中选单位</w:t>
      </w:r>
      <w:r>
        <w:rPr>
          <w:rFonts w:hint="eastAsia" w:ascii="宋体" w:hAnsi="宋体" w:cs="宋体"/>
          <w:bCs/>
          <w:color w:val="000000" w:themeColor="text1"/>
          <w:kern w:val="0"/>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我单位拟建的 于年月日进行竞争性比选，经评选委员会评定，确定你单位为中选人，中选暂定总价为</w:t>
      </w:r>
      <w:r>
        <w:rPr>
          <w:rFonts w:hint="eastAsia" w:ascii="宋体" w:hAnsi="宋体" w:cs="宋体"/>
          <w:bCs/>
          <w:color w:val="000000" w:themeColor="text1"/>
          <w:kern w:val="0"/>
          <w:szCs w:val="21"/>
          <w:highlight w:val="none"/>
          <w14:textFill>
            <w14:solidFill>
              <w14:schemeClr w14:val="tx1"/>
            </w14:solidFill>
          </w14:textFill>
        </w:rPr>
        <w:t xml:space="preserve"> ，取费折扣比例为，</w:t>
      </w:r>
      <w:r>
        <w:rPr>
          <w:rFonts w:hint="eastAsia" w:ascii="宋体" w:hAnsi="宋体" w:cs="宋体"/>
          <w:color w:val="000000" w:themeColor="text1"/>
          <w:kern w:val="0"/>
          <w:szCs w:val="21"/>
          <w:highlight w:val="none"/>
          <w14:textFill>
            <w14:solidFill>
              <w14:schemeClr w14:val="tx1"/>
            </w14:solidFill>
          </w14:textFill>
        </w:rPr>
        <w:t>中选项目范围：，工程规模为 ，中选服务期，质量要求：。</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你单位收到中选通知书后，在 日内到我单位签订施工合同。</w:t>
      </w:r>
    </w:p>
    <w:p>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特此通知。</w:t>
      </w:r>
    </w:p>
    <w:p>
      <w:pPr>
        <w:spacing w:line="360" w:lineRule="auto"/>
        <w:rPr>
          <w:rFonts w:ascii="宋体" w:hAnsi="宋体" w:cs="宋体"/>
          <w:color w:val="000000" w:themeColor="text1"/>
          <w:kern w:val="0"/>
          <w:sz w:val="24"/>
          <w:highlight w:val="none"/>
          <w14:textFill>
            <w14:solidFill>
              <w14:schemeClr w14:val="tx1"/>
            </w14:solidFill>
          </w14:textFill>
        </w:rPr>
      </w:pPr>
    </w:p>
    <w:p>
      <w:pPr>
        <w:spacing w:line="360" w:lineRule="auto"/>
        <w:rPr>
          <w:rFonts w:ascii="宋体" w:hAnsi="宋体" w:cs="宋体"/>
          <w:color w:val="000000" w:themeColor="text1"/>
          <w:kern w:val="0"/>
          <w:sz w:val="24"/>
          <w:highlight w:val="none"/>
          <w14:textFill>
            <w14:solidFill>
              <w14:schemeClr w14:val="tx1"/>
            </w14:solidFill>
          </w14:textFill>
        </w:rPr>
      </w:pPr>
    </w:p>
    <w:p>
      <w:pPr>
        <w:spacing w:line="360" w:lineRule="auto"/>
        <w:rPr>
          <w:rFonts w:ascii="宋体" w:hAnsi="宋体" w:cs="宋体"/>
          <w:color w:val="000000" w:themeColor="text1"/>
          <w:kern w:val="0"/>
          <w:sz w:val="24"/>
          <w:highlight w:val="none"/>
          <w14:textFill>
            <w14:solidFill>
              <w14:schemeClr w14:val="tx1"/>
            </w14:solidFill>
          </w14:textFill>
        </w:rPr>
      </w:pP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比选代理机构：（</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 xml:space="preserve">）                                    </w:t>
      </w:r>
    </w:p>
    <w:p>
      <w:pPr>
        <w:spacing w:line="360" w:lineRule="auto"/>
        <w:ind w:firstLine="3780" w:firstLineChars="18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（签字或盖章）</w:t>
      </w:r>
    </w:p>
    <w:p>
      <w:pPr>
        <w:spacing w:line="360" w:lineRule="auto"/>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联系人</w:t>
      </w:r>
      <w:r>
        <w:rPr>
          <w:rFonts w:hint="eastAsia" w:ascii="宋体" w:hAnsi="宋体" w:cs="宋体"/>
          <w:snapToGrid w:val="0"/>
          <w:color w:val="000000" w:themeColor="text1"/>
          <w:kern w:val="0"/>
          <w:szCs w:val="21"/>
          <w:highlight w:val="none"/>
          <w14:textFill>
            <w14:solidFill>
              <w14:schemeClr w14:val="tx1"/>
            </w14:solidFill>
          </w14:textFill>
        </w:rPr>
        <w:t>：</w:t>
      </w: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联系电话</w:t>
      </w:r>
      <w:r>
        <w:rPr>
          <w:rFonts w:hint="eastAsia" w:ascii="宋体" w:hAnsi="宋体" w:cs="宋体"/>
          <w:snapToGrid w:val="0"/>
          <w:color w:val="000000" w:themeColor="text1"/>
          <w:kern w:val="0"/>
          <w:szCs w:val="21"/>
          <w:highlight w:val="none"/>
          <w14:textFill>
            <w14:solidFill>
              <w14:schemeClr w14:val="tx1"/>
            </w14:solidFill>
          </w14:textFill>
        </w:rPr>
        <w:t>：</w:t>
      </w:r>
    </w:p>
    <w:p>
      <w:pPr>
        <w:spacing w:line="360" w:lineRule="auto"/>
        <w:ind w:firstLine="3780" w:firstLineChars="18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签发日期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年月日</w:t>
      </w:r>
    </w:p>
    <w:p>
      <w:pPr>
        <w:spacing w:line="360" w:lineRule="auto"/>
        <w:ind w:firstLine="883"/>
        <w:jc w:val="center"/>
        <w:rPr>
          <w:rFonts w:ascii="宋体" w:hAnsi="宋体" w:cs="宋体"/>
          <w:color w:val="000000" w:themeColor="text1"/>
          <w:kern w:val="1"/>
          <w:highlight w:val="none"/>
          <w14:textFill>
            <w14:solidFill>
              <w14:schemeClr w14:val="tx1"/>
            </w14:solidFill>
          </w14:textFill>
        </w:rPr>
      </w:pPr>
      <w:bookmarkStart w:id="617" w:name="_Toc29866"/>
      <w:bookmarkStart w:id="618" w:name="_Toc21320"/>
    </w:p>
    <w:p>
      <w:pPr>
        <w:spacing w:line="360" w:lineRule="auto"/>
        <w:ind w:firstLine="883"/>
        <w:jc w:val="center"/>
        <w:rPr>
          <w:rFonts w:ascii="宋体" w:hAnsi="宋体" w:cs="宋体"/>
          <w:color w:val="000000" w:themeColor="text1"/>
          <w:kern w:val="1"/>
          <w:highlight w:val="none"/>
          <w14:textFill>
            <w14:solidFill>
              <w14:schemeClr w14:val="tx1"/>
            </w14:solidFill>
          </w14:textFill>
        </w:rPr>
      </w:pPr>
    </w:p>
    <w:p>
      <w:pPr>
        <w:rPr>
          <w:rFonts w:ascii="宋体" w:hAnsi="宋体" w:cs="宋体"/>
          <w:color w:val="000000" w:themeColor="text1"/>
          <w:kern w:val="1"/>
          <w:highlight w:val="none"/>
          <w14:textFill>
            <w14:solidFill>
              <w14:schemeClr w14:val="tx1"/>
            </w14:solidFill>
          </w14:textFill>
        </w:rPr>
      </w:pPr>
    </w:p>
    <w:p>
      <w:pPr>
        <w:spacing w:line="360" w:lineRule="auto"/>
        <w:jc w:val="center"/>
        <w:rPr>
          <w:rFonts w:ascii="宋体" w:hAnsi="宋体" w:cs="宋体"/>
          <w:color w:val="000000" w:themeColor="text1"/>
          <w:kern w:val="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s="宋体"/>
          <w:color w:val="000000" w:themeColor="text1"/>
          <w:kern w:val="1"/>
          <w:highlight w:val="none"/>
          <w14:textFill>
            <w14:solidFill>
              <w14:schemeClr w14:val="tx1"/>
            </w14:solidFill>
          </w14:textFill>
        </w:rPr>
      </w:pPr>
    </w:p>
    <w:p>
      <w:pPr>
        <w:pStyle w:val="8"/>
        <w:rPr>
          <w:rFonts w:ascii="宋体" w:hAnsi="宋体" w:cs="宋体"/>
          <w:color w:val="000000" w:themeColor="text1"/>
          <w:kern w:val="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kern w:val="1"/>
          <w:highlight w:val="none"/>
          <w14:textFill>
            <w14:solidFill>
              <w14:schemeClr w14:val="tx1"/>
            </w14:solidFill>
          </w14:textFill>
        </w:rPr>
      </w:pPr>
    </w:p>
    <w:p>
      <w:pPr>
        <w:pStyle w:val="8"/>
        <w:rPr>
          <w:rFonts w:ascii="宋体" w:hAnsi="宋体" w:cs="宋体"/>
          <w:color w:val="000000" w:themeColor="text1"/>
          <w:kern w:val="1"/>
          <w:highlight w:val="none"/>
          <w14:textFill>
            <w14:solidFill>
              <w14:schemeClr w14:val="tx1"/>
            </w14:solidFill>
          </w14:textFill>
        </w:rPr>
      </w:pPr>
    </w:p>
    <w:p>
      <w:pPr>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br w:type="page"/>
      </w:r>
    </w:p>
    <w:p>
      <w:pPr>
        <w:pStyle w:val="2"/>
        <w:spacing w:line="360" w:lineRule="auto"/>
        <w:jc w:val="center"/>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第三章  评选办法（综合评估法）</w:t>
      </w:r>
      <w:bookmarkEnd w:id="617"/>
      <w:bookmarkEnd w:id="618"/>
    </w:p>
    <w:p>
      <w:pPr>
        <w:pStyle w:val="3"/>
        <w:spacing w:before="100" w:after="100"/>
        <w:rPr>
          <w:rFonts w:ascii="宋体" w:hAnsi="宋体"/>
          <w:color w:val="000000" w:themeColor="text1"/>
          <w:highlight w:val="none"/>
          <w14:textFill>
            <w14:solidFill>
              <w14:schemeClr w14:val="tx1"/>
            </w14:solidFill>
          </w14:textFill>
        </w:rPr>
      </w:pPr>
      <w:bookmarkStart w:id="619" w:name="_Toc721"/>
      <w:bookmarkStart w:id="620" w:name="_Toc509218775"/>
      <w:bookmarkStart w:id="621" w:name="_Toc122515229"/>
      <w:bookmarkStart w:id="622" w:name="_Toc32462"/>
      <w:bookmarkStart w:id="623" w:name="_Toc29600"/>
      <w:r>
        <w:rPr>
          <w:rFonts w:hint="eastAsia" w:ascii="宋体" w:hAnsi="宋体"/>
          <w:color w:val="000000" w:themeColor="text1"/>
          <w:highlight w:val="none"/>
          <w14:textFill>
            <w14:solidFill>
              <w14:schemeClr w14:val="tx1"/>
            </w14:solidFill>
          </w14:textFill>
        </w:rPr>
        <w:t>评标办法前附表</w:t>
      </w:r>
      <w:bookmarkEnd w:id="619"/>
      <w:bookmarkEnd w:id="620"/>
      <w:bookmarkEnd w:id="621"/>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评标办法中的评审内容必须和竞选人须知中的对应内容一致，若竞选人须知中未作要求的内容，不得列入评标办法作为评定依据。</w:t>
      </w:r>
    </w:p>
    <w:tbl>
      <w:tblPr>
        <w:tblStyle w:val="28"/>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000000" w:themeColor="text1"/>
                <w:kern w:val="0"/>
                <w:highlight w:val="none"/>
                <w:u w:val="single"/>
                <w:lang w:val="en-US" w:eastAsia="zh-CN"/>
                <w14:textFill>
                  <w14:solidFill>
                    <w14:schemeClr w14:val="tx1"/>
                  </w14:solidFill>
                </w14:textFill>
              </w:rPr>
              <w:t>抽签</w:t>
            </w:r>
            <w:r>
              <w:rPr>
                <w:rFonts w:hint="eastAsia" w:ascii="宋体" w:hAnsi="宋体"/>
                <w:color w:val="000000" w:themeColor="text1"/>
                <w:kern w:val="0"/>
                <w:highlight w:val="none"/>
                <w14:textFill>
                  <w14:solidFill>
                    <w14:schemeClr w14:val="tx1"/>
                  </w14:solidFill>
                </w14:textFill>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财务</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比选截止日比选资格情况</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拟派项目人员</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竞选人名称</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竞选文件格式</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r>
              <w:rPr>
                <w:rFonts w:hint="eastAsia" w:ascii="宋体" w:hAnsi="宋体"/>
                <w:color w:val="000000" w:themeColor="text1"/>
                <w:kern w:val="0"/>
                <w:highlight w:val="none"/>
                <w14:textFill>
                  <w14:solidFill>
                    <w14:schemeClr w14:val="tx1"/>
                  </w14:solidFill>
                </w14:textFill>
              </w:rPr>
              <w:t>（不含竞选函部分）</w:t>
            </w:r>
            <w:r>
              <w:rPr>
                <w:rFonts w:ascii="宋体" w:hAnsi="宋体"/>
                <w:color w:val="000000" w:themeColor="text1"/>
                <w:kern w:val="0"/>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竞选文件的签署</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ascii="宋体" w:hAnsi="宋体"/>
                <w:color w:val="000000" w:themeColor="text1"/>
                <w:kern w:val="0"/>
                <w:highlight w:val="none"/>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格式（不含竞选函部分）要求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szCs w:val="21"/>
                <w:highlight w:val="none"/>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14:textFill>
                  <w14:solidFill>
                    <w14:schemeClr w14:val="tx1"/>
                  </w14:solidFill>
                </w14:textFill>
              </w:rPr>
              <w:t>或签章</w:t>
            </w:r>
            <w:r>
              <w:rPr>
                <w:rFonts w:hint="eastAsia" w:ascii="宋体" w:hAnsi="宋体"/>
                <w:color w:val="000000" w:themeColor="text1"/>
                <w:kern w:val="0"/>
                <w:highlight w:val="none"/>
                <w14:textFill>
                  <w14:solidFill>
                    <w14:schemeClr w14:val="tx1"/>
                  </w14:solidFill>
                </w14:textFill>
              </w:rPr>
              <w:t>均可。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备选投标方案</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除竞争性比选明确允许提交备选投标方案外，竞选人不得提交备选投标方案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top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pPr>
              <w:tabs>
                <w:tab w:val="left" w:pos="601"/>
                <w:tab w:val="left" w:pos="669"/>
              </w:tabs>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pPr>
              <w:spacing w:line="400" w:lineRule="exact"/>
              <w:jc w:val="center"/>
              <w:rPr>
                <w:rFonts w:ascii="宋体" w:hAnsi="宋体"/>
                <w:color w:val="000000" w:themeColor="text1"/>
                <w:highlight w:val="none"/>
                <w14:textFill>
                  <w14:solidFill>
                    <w14:schemeClr w14:val="tx1"/>
                  </w14:solidFill>
                </w14:textFill>
              </w:rPr>
            </w:pPr>
          </w:p>
        </w:tc>
        <w:tc>
          <w:tcPr>
            <w:tcW w:w="852" w:type="dxa"/>
            <w:vMerge w:val="continue"/>
          </w:tcPr>
          <w:p>
            <w:pPr>
              <w:spacing w:line="400" w:lineRule="exact"/>
              <w:jc w:val="center"/>
              <w:rPr>
                <w:rFonts w:ascii="宋体" w:hAnsi="宋体"/>
                <w:color w:val="000000" w:themeColor="text1"/>
                <w:highlight w:val="none"/>
                <w14:textFill>
                  <w14:solidFill>
                    <w14:schemeClr w14:val="tx1"/>
                  </w14:solidFill>
                </w14:textFill>
              </w:rPr>
            </w:pPr>
          </w:p>
        </w:tc>
        <w:tc>
          <w:tcPr>
            <w:tcW w:w="2492" w:type="dxa"/>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pPr>
              <w:spacing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符合第四章“合同条款及格式”规定，</w:t>
            </w:r>
            <w:r>
              <w:rPr>
                <w:rFonts w:hint="eastAsia" w:ascii="宋体" w:hAnsi="宋体"/>
                <w:color w:val="000000" w:themeColor="text1"/>
                <w:kern w:val="0"/>
                <w:highlight w:val="none"/>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不应附有</w:t>
            </w:r>
            <w:r>
              <w:rPr>
                <w:rFonts w:hint="eastAsia" w:ascii="宋体" w:hAnsi="宋体"/>
                <w:color w:val="000000" w:themeColor="text1"/>
                <w:kern w:val="0"/>
                <w:highlight w:val="none"/>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不能接受的条件。</w:t>
            </w:r>
            <w:r>
              <w:rPr>
                <w:rFonts w:hint="eastAsia" w:ascii="宋体" w:hAnsi="宋体" w:cs="宋体"/>
                <w:color w:val="000000" w:themeColor="text1"/>
                <w:kern w:val="0"/>
                <w:highlight w:val="none"/>
                <w14:textFill>
                  <w14:solidFill>
                    <w14:schemeClr w14:val="tx1"/>
                  </w14:solidFill>
                </w14:textFill>
              </w:rPr>
              <w:t>（由竞选人承诺，承诺书格式详见第六章竞选文件格式。）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pPr>
              <w:spacing w:line="400" w:lineRule="exact"/>
              <w:rPr>
                <w:rFonts w:ascii="宋体" w:hAnsi="宋体"/>
                <w:color w:val="000000" w:themeColor="text1"/>
                <w:highlight w:val="none"/>
                <w14:textFill>
                  <w14:solidFill>
                    <w14:schemeClr w14:val="tx1"/>
                  </w14:solidFill>
                </w14:textFill>
              </w:rPr>
            </w:pPr>
          </w:p>
        </w:tc>
        <w:tc>
          <w:tcPr>
            <w:tcW w:w="852" w:type="dxa"/>
            <w:vMerge w:val="continue"/>
          </w:tcPr>
          <w:p>
            <w:pPr>
              <w:spacing w:line="400" w:lineRule="exact"/>
              <w:rPr>
                <w:rFonts w:ascii="宋体" w:hAnsi="宋体"/>
                <w:color w:val="000000" w:themeColor="text1"/>
                <w:highlight w:val="none"/>
                <w14:textFill>
                  <w14:solidFill>
                    <w14:schemeClr w14:val="tx1"/>
                  </w14:solidFill>
                </w14:textFill>
              </w:rPr>
            </w:pPr>
          </w:p>
        </w:tc>
        <w:tc>
          <w:tcPr>
            <w:tcW w:w="2492" w:type="dxa"/>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pPr>
              <w:spacing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符合第二章“竞选人须知”第1.4.3项规定。</w:t>
            </w:r>
          </w:p>
          <w:p>
            <w:pPr>
              <w:spacing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pPr>
              <w:spacing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vAlign w:val="center"/>
          </w:tcPr>
          <w:p>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pPr>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hint="eastAsia" w:ascii="宋体" w:hAnsi="宋体"/>
                <w:color w:val="000000" w:themeColor="text1"/>
                <w:kern w:val="0"/>
                <w:highlight w:val="none"/>
                <w:u w:val="single"/>
                <w:lang w:val="en-US" w:eastAsia="zh-CN"/>
                <w14:textFill>
                  <w14:solidFill>
                    <w14:schemeClr w14:val="tx1"/>
                  </w14:solidFill>
                </w14:textFill>
              </w:rPr>
              <w:t>7</w:t>
            </w:r>
            <w:r>
              <w:rPr>
                <w:rFonts w:hint="eastAsia" w:ascii="宋体" w:hAnsi="宋体"/>
                <w:color w:val="000000" w:themeColor="text1"/>
                <w:kern w:val="0"/>
                <w:highlight w:val="none"/>
                <w:u w:val="single"/>
                <w14:textFill>
                  <w14:solidFill>
                    <w14:schemeClr w14:val="tx1"/>
                  </w14:solidFill>
                </w14:textFill>
              </w:rPr>
              <w:t>0</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；（服务方案）</w:t>
            </w:r>
          </w:p>
          <w:p>
            <w:pPr>
              <w:snapToGrid w:val="0"/>
              <w:spacing w:line="400" w:lineRule="exact"/>
              <w:ind w:firstLine="420" w:firstLineChars="200"/>
              <w:rPr>
                <w:rFonts w:ascii="宋体" w:hAnsi="宋体"/>
                <w:i/>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w:t>
            </w:r>
            <w:r>
              <w:rPr>
                <w:rFonts w:hint="eastAsia" w:ascii="宋体" w:hAnsi="宋体"/>
                <w:color w:val="000000" w:themeColor="text1"/>
                <w:kern w:val="0"/>
                <w:highlight w:val="none"/>
                <w:u w:val="single"/>
                <w14:textFill>
                  <w14:solidFill>
                    <w14:schemeClr w14:val="tx1"/>
                  </w14:solidFill>
                </w14:textFill>
              </w:rPr>
              <w:t xml:space="preserve">0 </w:t>
            </w:r>
            <w:r>
              <w:rPr>
                <w:rFonts w:hint="eastAsia" w:ascii="宋体" w:hAnsi="宋体"/>
                <w:color w:val="000000" w:themeColor="text1"/>
                <w:kern w:val="0"/>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vAlign w:val="center"/>
          </w:tcPr>
          <w:p>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评标基准价计算方法</w:t>
            </w:r>
          </w:p>
        </w:tc>
        <w:tc>
          <w:tcPr>
            <w:tcW w:w="5728" w:type="dxa"/>
            <w:vAlign w:val="center"/>
          </w:tcPr>
          <w:p>
            <w:pPr>
              <w:snapToGrid w:val="0"/>
              <w:spacing w:line="400" w:lineRule="exact"/>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所有通过初步评审</w:t>
            </w:r>
            <w:r>
              <w:rPr>
                <w:rFonts w:hint="eastAsia" w:ascii="宋体" w:hAnsi="宋体"/>
                <w:color w:val="000000" w:themeColor="text1"/>
                <w:highlight w:val="none"/>
                <w14:textFill>
                  <w14:solidFill>
                    <w14:schemeClr w14:val="tx1"/>
                  </w14:solidFill>
                </w14:textFill>
              </w:rPr>
              <w:t>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w:t>
            </w:r>
            <w:r>
              <w:rPr>
                <w:rFonts w:ascii="宋体" w:hAnsi="宋体"/>
                <w:color w:val="000000" w:themeColor="text1"/>
                <w:highlight w:val="none"/>
                <w14:textFill>
                  <w14:solidFill>
                    <w14:schemeClr w14:val="tx1"/>
                  </w14:solidFill>
                </w14:textFill>
              </w:rPr>
              <w:t>合格的竞选人的投标总报价中去掉六分之一（不能整除的按小数点前整数取整，不足六家报价则不去掉）的最低价和相同家数的最高价后</w:t>
            </w:r>
            <w:r>
              <w:rPr>
                <w:rFonts w:hint="eastAsia" w:ascii="宋体" w:hAnsi="宋体"/>
                <w:color w:val="000000" w:themeColor="text1"/>
                <w:highlight w:val="none"/>
                <w14:textFill>
                  <w14:solidFill>
                    <w14:schemeClr w14:val="tx1"/>
                  </w14:solidFill>
                </w14:textFill>
              </w:rPr>
              <w:t>计算出</w:t>
            </w:r>
            <w:r>
              <w:rPr>
                <w:rFonts w:ascii="宋体" w:hAnsi="宋体"/>
                <w:color w:val="000000" w:themeColor="text1"/>
                <w:highlight w:val="none"/>
                <w14:textFill>
                  <w14:solidFill>
                    <w14:schemeClr w14:val="tx1"/>
                  </w14:solidFill>
                </w14:textFill>
              </w:rPr>
              <w:t>的算术平均值</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即为本项目投标总报价的评标基准价</w:t>
            </w:r>
            <w:r>
              <w:rPr>
                <w:rFonts w:hint="eastAsia" w:ascii="宋体" w:hAnsi="宋体"/>
                <w:color w:val="000000" w:themeColor="text1"/>
                <w:highlight w:val="none"/>
                <w14:textFill>
                  <w14:solidFill>
                    <w14:schemeClr w14:val="tx1"/>
                  </w14:solidFill>
                </w14:textFill>
              </w:rPr>
              <w:t>。</w:t>
            </w:r>
          </w:p>
          <w:p>
            <w:pPr>
              <w:snapToGrid w:val="0"/>
              <w:spacing w:line="40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评标基准价计算的最终</w:t>
            </w:r>
            <w:r>
              <w:rPr>
                <w:rFonts w:ascii="宋体" w:hAnsi="宋体"/>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vAlign w:val="center"/>
          </w:tcPr>
          <w:p>
            <w:pPr>
              <w:tabs>
                <w:tab w:val="left" w:pos="1875"/>
              </w:tabs>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投标报价的偏差率计算公式</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100％×（竞选人报价</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评标基准价）／评标基准价</w:t>
            </w:r>
          </w:p>
          <w:p>
            <w:pPr>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bl>
    <w:p>
      <w:pPr>
        <w:rPr>
          <w:rFonts w:ascii="宋体" w:hAnsi="宋体"/>
          <w:color w:val="000000" w:themeColor="text1"/>
          <w:highlight w:val="none"/>
          <w14:textFill>
            <w14:solidFill>
              <w14:schemeClr w14:val="tx1"/>
            </w14:solidFill>
          </w14:textFill>
        </w:rPr>
      </w:pPr>
    </w:p>
    <w:tbl>
      <w:tblPr>
        <w:tblStyle w:val="28"/>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pPr>
              <w:pStyle w:val="8"/>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rFonts w:ascii="宋体" w:hAnsi="宋体"/>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tc>
        <w:tc>
          <w:tcPr>
            <w:tcW w:w="2587" w:type="dxa"/>
            <w:tcBorders>
              <w:bottom w:val="single" w:color="auto" w:sz="4" w:space="0"/>
            </w:tcBorders>
            <w:vAlign w:val="center"/>
          </w:tcPr>
          <w:p>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服务方案总体评审标准</w:t>
            </w:r>
          </w:p>
        </w:tc>
        <w:tc>
          <w:tcPr>
            <w:tcW w:w="5738" w:type="dxa"/>
            <w:vAlign w:val="center"/>
          </w:tcPr>
          <w:p>
            <w:pPr>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评委</w:t>
            </w:r>
            <w:r>
              <w:rPr>
                <w:rFonts w:hint="eastAsia" w:ascii="宋体" w:hAnsi="宋体"/>
                <w:snapToGrid w:val="0"/>
                <w:color w:val="000000" w:themeColor="text1"/>
                <w:kern w:val="0"/>
                <w:szCs w:val="21"/>
                <w:highlight w:val="none"/>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取算术平均值为该竞选人</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得分。</w:t>
            </w:r>
          </w:p>
          <w:p>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全过程造价控制咨询工作大纲（</w:t>
            </w:r>
            <w:r>
              <w:rPr>
                <w:rStyle w:val="55"/>
                <w:rFonts w:hint="eastAsia" w:ascii="宋体" w:hAnsi="宋体"/>
                <w:color w:val="000000" w:themeColor="text1"/>
                <w:szCs w:val="21"/>
                <w:highlight w:val="none"/>
                <w:lang w:val="en-US" w:eastAsia="zh-CN"/>
                <w14:textFill>
                  <w14:solidFill>
                    <w14:schemeClr w14:val="tx1"/>
                  </w14:solidFill>
                </w14:textFill>
              </w:rPr>
              <w:t>15</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编制要点：各有效竞选人针对本项目全过程造价服务大纲编制内容的总体思路、内容是否完善等；优得</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w:t>
            </w:r>
            <w:r>
              <w:rPr>
                <w:rStyle w:val="55"/>
                <w:rFonts w:hint="eastAsia" w:ascii="宋体" w:hAnsi="宋体"/>
                <w:color w:val="000000" w:themeColor="text1"/>
                <w:szCs w:val="21"/>
                <w:highlight w:val="none"/>
                <w14:textFill>
                  <w14:solidFill>
                    <w14:schemeClr w14:val="tx1"/>
                  </w14:solidFill>
                </w14:textFill>
              </w:rPr>
              <w:t>5分；良得</w:t>
            </w:r>
            <w:r>
              <w:rPr>
                <w:rStyle w:val="55"/>
                <w:rFonts w:hint="eastAsia" w:ascii="宋体" w:hAnsi="宋体"/>
                <w:color w:val="000000" w:themeColor="text1"/>
                <w:szCs w:val="21"/>
                <w:highlight w:val="none"/>
                <w:lang w:val="en-US" w:eastAsia="zh-CN"/>
                <w14:textFill>
                  <w14:solidFill>
                    <w14:schemeClr w14:val="tx1"/>
                  </w14:solidFill>
                </w14:textFill>
              </w:rPr>
              <w:t>5</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0-5</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全过程造价控制岗位职责和职业守则（</w:t>
            </w:r>
            <w:r>
              <w:rPr>
                <w:rStyle w:val="55"/>
                <w:rFonts w:hint="eastAsia" w:ascii="宋体" w:hAnsi="宋体"/>
                <w:color w:val="000000" w:themeColor="text1"/>
                <w:szCs w:val="21"/>
                <w:highlight w:val="none"/>
                <w:lang w:val="en-US" w:eastAsia="zh-CN"/>
                <w14:textFill>
                  <w14:solidFill>
                    <w14:schemeClr w14:val="tx1"/>
                  </w14:solidFill>
                </w14:textFill>
              </w:rPr>
              <w:t>15</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编制要点：各有效竞选人针对全过程造价控制咨询机构配置是否完整且合理，分工明确，全过程造价控制人员岗位职责及制度是否健全，专业人员是否配置合理，优得</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w:t>
            </w:r>
            <w:r>
              <w:rPr>
                <w:rStyle w:val="55"/>
                <w:rFonts w:hint="eastAsia" w:ascii="宋体" w:hAnsi="宋体"/>
                <w:color w:val="000000" w:themeColor="text1"/>
                <w:szCs w:val="21"/>
                <w:highlight w:val="none"/>
                <w14:textFill>
                  <w14:solidFill>
                    <w14:schemeClr w14:val="tx1"/>
                  </w14:solidFill>
                </w14:textFill>
              </w:rPr>
              <w:t>5分；良得</w:t>
            </w:r>
            <w:r>
              <w:rPr>
                <w:rStyle w:val="55"/>
                <w:rFonts w:hint="eastAsia" w:ascii="宋体" w:hAnsi="宋体"/>
                <w:color w:val="000000" w:themeColor="text1"/>
                <w:szCs w:val="21"/>
                <w:highlight w:val="none"/>
                <w:lang w:val="en-US" w:eastAsia="zh-CN"/>
                <w14:textFill>
                  <w14:solidFill>
                    <w14:schemeClr w14:val="tx1"/>
                  </w14:solidFill>
                </w14:textFill>
              </w:rPr>
              <w:t>5</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0-5</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全过程造价控制措施（含企业内部组织管理体系、对本工程全过程造价控制的重难点分析）（</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编制要点：各有效竞选人针对本工程全过程造价控制难点提出可行的措施，同时针对本工程分析重难点及合理化建议，提出问题的解决方法，以及企业内部组织管理体系等；优得</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分；良得</w:t>
            </w:r>
            <w:r>
              <w:rPr>
                <w:rStyle w:val="55"/>
                <w:rFonts w:hint="eastAsia" w:ascii="宋体" w:hAnsi="宋体"/>
                <w:color w:val="000000" w:themeColor="text1"/>
                <w:szCs w:val="21"/>
                <w:highlight w:val="none"/>
                <w:lang w:val="en-US" w:eastAsia="zh-CN"/>
                <w14:textFill>
                  <w14:solidFill>
                    <w14:schemeClr w14:val="tx1"/>
                  </w14:solidFill>
                </w14:textFill>
              </w:rPr>
              <w:t>3</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0-3</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工程投资的控制措施（</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编制要点：各有效竞选人针对本工程全过程造价</w:t>
            </w:r>
            <w:r>
              <w:rPr>
                <w:rStyle w:val="55"/>
                <w:rFonts w:ascii="宋体" w:hAnsi="宋体"/>
                <w:color w:val="000000" w:themeColor="text1"/>
                <w:szCs w:val="21"/>
                <w:highlight w:val="none"/>
                <w14:textFill>
                  <w14:solidFill>
                    <w14:schemeClr w14:val="tx1"/>
                  </w14:solidFill>
                </w14:textFill>
              </w:rPr>
              <w:t>控制措施</w:t>
            </w:r>
            <w:r>
              <w:rPr>
                <w:rStyle w:val="55"/>
                <w:rFonts w:hint="eastAsia" w:ascii="宋体" w:hAnsi="宋体"/>
                <w:color w:val="000000" w:themeColor="text1"/>
                <w:szCs w:val="21"/>
                <w:highlight w:val="none"/>
                <w14:textFill>
                  <w14:solidFill>
                    <w14:schemeClr w14:val="tx1"/>
                  </w14:solidFill>
                </w14:textFill>
              </w:rPr>
              <w:t>，合理管理、控制在施工过程中的投资，分析本项目的重要节点投资控制 、控制方法路线切实可行、理念思路清晰的；优得</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分；良得</w:t>
            </w:r>
            <w:r>
              <w:rPr>
                <w:rStyle w:val="55"/>
                <w:rFonts w:hint="eastAsia" w:ascii="宋体" w:hAnsi="宋体"/>
                <w:color w:val="000000" w:themeColor="text1"/>
                <w:szCs w:val="21"/>
                <w:highlight w:val="none"/>
                <w:lang w:val="en-US" w:eastAsia="zh-CN"/>
                <w14:textFill>
                  <w14:solidFill>
                    <w14:schemeClr w14:val="tx1"/>
                  </w14:solidFill>
                </w14:textFill>
              </w:rPr>
              <w:t>3</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0-3</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olor w:val="000000" w:themeColor="text1"/>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全过程造价控制进度控制的措施（</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编制要点：各有效竞选人针对本工程全过程造价</w:t>
            </w:r>
            <w:r>
              <w:rPr>
                <w:rStyle w:val="55"/>
                <w:rFonts w:ascii="宋体" w:hAnsi="宋体"/>
                <w:color w:val="000000" w:themeColor="text1"/>
                <w:szCs w:val="21"/>
                <w:highlight w:val="none"/>
                <w14:textFill>
                  <w14:solidFill>
                    <w14:schemeClr w14:val="tx1"/>
                  </w14:solidFill>
                </w14:textFill>
              </w:rPr>
              <w:t>控制</w:t>
            </w:r>
            <w:r>
              <w:rPr>
                <w:rStyle w:val="55"/>
                <w:rFonts w:hint="eastAsia" w:ascii="宋体" w:hAnsi="宋体"/>
                <w:color w:val="000000" w:themeColor="text1"/>
                <w:szCs w:val="21"/>
                <w:highlight w:val="none"/>
                <w14:textFill>
                  <w14:solidFill>
                    <w14:schemeClr w14:val="tx1"/>
                  </w14:solidFill>
                </w14:textFill>
              </w:rPr>
              <w:t>进度，合理管理造价在施工过程中的进度控制，拟定整个方案和计划安排合理可行的；优得</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分；良得</w:t>
            </w:r>
            <w:r>
              <w:rPr>
                <w:rStyle w:val="55"/>
                <w:rFonts w:hint="eastAsia" w:ascii="宋体" w:hAnsi="宋体"/>
                <w:color w:val="000000" w:themeColor="text1"/>
                <w:szCs w:val="21"/>
                <w:highlight w:val="none"/>
                <w:lang w:val="en-US" w:eastAsia="zh-CN"/>
                <w14:textFill>
                  <w14:solidFill>
                    <w14:schemeClr w14:val="tx1"/>
                  </w14:solidFill>
                </w14:textFill>
              </w:rPr>
              <w:t>3</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0-3</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tcBorders>
            <w:vAlign w:val="center"/>
          </w:tcPr>
          <w:p>
            <w:pPr>
              <w:tabs>
                <w:tab w:val="left" w:pos="1875"/>
              </w:tabs>
              <w:spacing w:line="400" w:lineRule="exact"/>
              <w:jc w:val="center"/>
              <w:rPr>
                <w:rFonts w:ascii="宋体" w:hAnsi="宋体"/>
                <w:color w:val="000000" w:themeColor="text1"/>
                <w:szCs w:val="21"/>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成本管控方案（</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380" w:lineRule="exact"/>
              <w:ind w:firstLine="420" w:firstLineChars="200"/>
              <w:jc w:val="left"/>
              <w:rPr>
                <w:rFonts w:ascii="宋体" w:hAnsi="宋体"/>
                <w:color w:val="000000" w:themeColor="text1"/>
                <w:highlight w:val="none"/>
                <w:u w:val="singl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编制要点：各有效竞选人针对本工程全过程造价</w:t>
            </w:r>
            <w:r>
              <w:rPr>
                <w:rStyle w:val="55"/>
                <w:rFonts w:ascii="宋体" w:hAnsi="宋体"/>
                <w:color w:val="000000" w:themeColor="text1"/>
                <w:szCs w:val="21"/>
                <w:highlight w:val="none"/>
                <w14:textFill>
                  <w14:solidFill>
                    <w14:schemeClr w14:val="tx1"/>
                  </w14:solidFill>
                </w14:textFill>
              </w:rPr>
              <w:t>成本管控方案</w:t>
            </w:r>
            <w:r>
              <w:rPr>
                <w:rStyle w:val="55"/>
                <w:rFonts w:hint="eastAsia" w:ascii="宋体" w:hAnsi="宋体"/>
                <w:color w:val="000000" w:themeColor="text1"/>
                <w:szCs w:val="21"/>
                <w:highlight w:val="none"/>
                <w14:textFill>
                  <w14:solidFill>
                    <w14:schemeClr w14:val="tx1"/>
                  </w14:solidFill>
                </w14:textFill>
              </w:rPr>
              <w:t>，提出合理化建议、拟定</w:t>
            </w:r>
            <w:r>
              <w:rPr>
                <w:rStyle w:val="55"/>
                <w:rFonts w:ascii="宋体" w:hAnsi="宋体"/>
                <w:color w:val="000000" w:themeColor="text1"/>
                <w:szCs w:val="21"/>
                <w:highlight w:val="none"/>
                <w14:textFill>
                  <w14:solidFill>
                    <w14:schemeClr w14:val="tx1"/>
                  </w14:solidFill>
                </w14:textFill>
              </w:rPr>
              <w:t>成本管控</w:t>
            </w:r>
            <w:r>
              <w:rPr>
                <w:rStyle w:val="55"/>
                <w:rFonts w:hint="eastAsia" w:ascii="宋体" w:hAnsi="宋体"/>
                <w:color w:val="000000" w:themeColor="text1"/>
                <w:szCs w:val="21"/>
                <w:highlight w:val="none"/>
                <w14:textFill>
                  <w14:solidFill>
                    <w14:schemeClr w14:val="tx1"/>
                  </w14:solidFill>
                </w14:textFill>
              </w:rPr>
              <w:t>的方案和切实可行的；优得</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分；良得</w:t>
            </w:r>
            <w:r>
              <w:rPr>
                <w:rStyle w:val="55"/>
                <w:rFonts w:hint="eastAsia" w:ascii="宋体" w:hAnsi="宋体"/>
                <w:color w:val="000000" w:themeColor="text1"/>
                <w:szCs w:val="21"/>
                <w:highlight w:val="none"/>
                <w:lang w:val="en-US" w:eastAsia="zh-CN"/>
                <w14:textFill>
                  <w14:solidFill>
                    <w14:schemeClr w14:val="tx1"/>
                  </w14:solidFill>
                </w14:textFill>
              </w:rPr>
              <w:t>3</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0-3</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.2.4（2）</w:t>
            </w:r>
          </w:p>
        </w:tc>
        <w:tc>
          <w:tcPr>
            <w:tcW w:w="852"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评分（</w:t>
            </w:r>
            <w:r>
              <w:rPr>
                <w:rFonts w:ascii="宋体" w:hAnsi="宋体"/>
                <w:color w:val="000000" w:themeColor="text1"/>
                <w:highlight w:val="none"/>
                <w14:textFill>
                  <w14:solidFill>
                    <w14:schemeClr w14:val="tx1"/>
                  </w14:solidFill>
                </w14:textFill>
              </w:rPr>
              <w:t>B</w:t>
            </w:r>
            <w:r>
              <w:rPr>
                <w:rFonts w:hint="eastAsia" w:ascii="宋体" w:hAnsi="宋体"/>
                <w:color w:val="000000" w:themeColor="text1"/>
                <w:highlight w:val="none"/>
                <w14:textFill>
                  <w14:solidFill>
                    <w14:schemeClr w14:val="tx1"/>
                  </w14:solidFill>
                </w14:textFill>
              </w:rPr>
              <w:t>）标准</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p>
        </w:tc>
        <w:tc>
          <w:tcPr>
            <w:tcW w:w="5738" w:type="dxa"/>
            <w:vAlign w:val="center"/>
          </w:tcPr>
          <w:p>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所有通过初步评审评审合格的比选申请人，比选申请报价得本附表第2.2.1项规定分值的满分</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3</w:t>
            </w:r>
            <w:r>
              <w:rPr>
                <w:rFonts w:hint="eastAsia" w:ascii="宋体" w:hAnsi="宋体" w:cs="宋体"/>
                <w:color w:val="000000" w:themeColor="text1"/>
                <w:kern w:val="0"/>
                <w:sz w:val="22"/>
                <w:szCs w:val="22"/>
                <w:highlight w:val="none"/>
                <w:u w:val="single"/>
                <w14:textFill>
                  <w14:solidFill>
                    <w14:schemeClr w14:val="tx1"/>
                  </w14:solidFill>
                </w14:textFill>
              </w:rPr>
              <w:t xml:space="preserve">0 </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sz w:val="22"/>
                <w:szCs w:val="22"/>
                <w:highlight w:val="none"/>
                <w14:textFill>
                  <w14:solidFill>
                    <w14:schemeClr w14:val="tx1"/>
                  </w14:solidFill>
                </w14:textFill>
              </w:rPr>
              <w:t>在此基础上，比选申请报价与评标基准价相比，每增加1%扣</w:t>
            </w:r>
            <w:r>
              <w:rPr>
                <w:rFonts w:hint="eastAsia" w:ascii="宋体" w:hAnsi="宋体" w:cs="宋体"/>
                <w:color w:val="000000" w:themeColor="text1"/>
                <w:sz w:val="22"/>
                <w:szCs w:val="22"/>
                <w:highlight w:val="none"/>
                <w:u w:val="single"/>
                <w14:textFill>
                  <w14:solidFill>
                    <w14:schemeClr w14:val="tx1"/>
                  </w14:solidFill>
                </w14:textFill>
              </w:rPr>
              <w:t>　0.</w:t>
            </w:r>
            <w:r>
              <w:rPr>
                <w:rFonts w:hint="eastAsia" w:ascii="宋体" w:hAnsi="宋体" w:cs="宋体"/>
                <w:color w:val="000000" w:themeColor="text1"/>
                <w:sz w:val="22"/>
                <w:szCs w:val="22"/>
                <w:highlight w:val="none"/>
                <w:u w:val="single"/>
                <w:lang w:val="en-US" w:eastAsia="zh-CN"/>
                <w14:textFill>
                  <w14:solidFill>
                    <w14:schemeClr w14:val="tx1"/>
                  </w14:solidFill>
                </w14:textFill>
              </w:rPr>
              <w:t>5</w:t>
            </w:r>
            <w:r>
              <w:rPr>
                <w:rFonts w:hint="eastAsia" w:ascii="宋体" w:hAnsi="宋体" w:cs="宋体"/>
                <w:color w:val="000000" w:themeColor="text1"/>
                <w:sz w:val="22"/>
                <w:szCs w:val="22"/>
                <w:highlight w:val="none"/>
                <w:u w:val="single"/>
                <w14:textFill>
                  <w14:solidFill>
                    <w14:schemeClr w14:val="tx1"/>
                  </w14:solidFill>
                </w14:textFill>
              </w:rPr>
              <w:t>　</w:t>
            </w:r>
            <w:r>
              <w:rPr>
                <w:rFonts w:hint="eastAsia" w:ascii="宋体" w:hAnsi="宋体" w:cs="宋体"/>
                <w:color w:val="000000" w:themeColor="text1"/>
                <w:sz w:val="22"/>
                <w:szCs w:val="22"/>
                <w:highlight w:val="none"/>
                <w14:textFill>
                  <w14:solidFill>
                    <w14:schemeClr w14:val="tx1"/>
                  </w14:solidFill>
                </w14:textFill>
              </w:rPr>
              <w:t>分，每减少1%扣</w:t>
            </w:r>
            <w:r>
              <w:rPr>
                <w:rFonts w:hint="eastAsia" w:ascii="宋体" w:hAnsi="宋体" w:cs="宋体"/>
                <w:color w:val="000000" w:themeColor="text1"/>
                <w:sz w:val="22"/>
                <w:szCs w:val="22"/>
                <w:highlight w:val="none"/>
                <w:u w:val="single"/>
                <w14:textFill>
                  <w14:solidFill>
                    <w14:schemeClr w14:val="tx1"/>
                  </w14:solidFill>
                </w14:textFill>
              </w:rPr>
              <w:t>　0.2</w:t>
            </w:r>
            <w:r>
              <w:rPr>
                <w:rFonts w:hint="eastAsia" w:ascii="宋体" w:hAnsi="宋体" w:cs="宋体"/>
                <w:color w:val="000000" w:themeColor="text1"/>
                <w:sz w:val="22"/>
                <w:szCs w:val="22"/>
                <w:highlight w:val="none"/>
                <w:u w:val="single"/>
                <w:lang w:val="en-US" w:eastAsia="zh-CN"/>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分，最多扣</w:t>
            </w:r>
            <w:r>
              <w:rPr>
                <w:rFonts w:hint="eastAsia" w:ascii="宋体" w:hAnsi="宋体" w:cs="宋体"/>
                <w:color w:val="000000" w:themeColor="text1"/>
                <w:sz w:val="22"/>
                <w:szCs w:val="22"/>
                <w:highlight w:val="none"/>
                <w:u w:val="single"/>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分。</w:t>
            </w:r>
          </w:p>
          <w:p>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按插入法计算得分。</w:t>
            </w:r>
          </w:p>
          <w:p>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未参与评标基准价计算的竞标报价，仍应参加计算相应分值。</w:t>
            </w:r>
          </w:p>
          <w:p>
            <w:pPr>
              <w:spacing w:line="400" w:lineRule="exact"/>
              <w:ind w:firstLine="44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比选申请报价最终结果取小数点后两位，第三位四舍五入。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38" w:type="dxa"/>
            <w:vAlign w:val="center"/>
          </w:tcPr>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1.按本章评标办法第3.1款进行初步评审。未通过初步评审或评标委员会认定为无效的竞选文件的不再进行后续评审。</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.经评审合格的竞选人按照本章第2.2.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.对技术部分、投标报价得分进行汇总，确定得分由高至低前三名竞选人为中标候选人。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p>
        </w:tc>
        <w:tc>
          <w:tcPr>
            <w:tcW w:w="5738" w:type="dxa"/>
            <w:vAlign w:val="center"/>
          </w:tcPr>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r>
              <w:rPr>
                <w:rFonts w:hint="eastAsia"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14:textFill>
                  <w14:solidFill>
                    <w14:schemeClr w14:val="tx1"/>
                  </w14:solidFill>
                </w14:textFill>
              </w:rPr>
              <w:t>B</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2587" w:type="dxa"/>
            <w:tcBorders>
              <w:top w:val="single" w:color="auto" w:sz="4" w:space="0"/>
            </w:tcBorders>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评标结果</w:t>
            </w:r>
          </w:p>
        </w:tc>
        <w:tc>
          <w:tcPr>
            <w:tcW w:w="5738" w:type="dxa"/>
            <w:vAlign w:val="center"/>
          </w:tcPr>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3.4.1</w:t>
            </w:r>
            <w:r>
              <w:rPr>
                <w:rFonts w:ascii="宋体" w:hAnsi="宋体"/>
                <w:color w:val="000000" w:themeColor="text1"/>
                <w:highlight w:val="none"/>
                <w14:textFill>
                  <w14:solidFill>
                    <w14:schemeClr w14:val="tx1"/>
                  </w14:solidFill>
                </w14:textFill>
              </w:rPr>
              <w:t>除第二章“竞选人须知”前附表授权直接确定中选人外，评标委员会按照得分由高到低的顺序推荐中标候选人，并标明排序。</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3.4.2 评标委员会完成评标后，应当向招标人提交书面评标报告和中标候选人名单。</w:t>
            </w:r>
          </w:p>
        </w:tc>
      </w:tr>
    </w:tbl>
    <w:p>
      <w:pPr>
        <w:pStyle w:val="3"/>
        <w:rPr>
          <w:rFonts w:ascii="宋体" w:hAnsi="宋体"/>
          <w:b w:val="0"/>
          <w:snapToGrid w:val="0"/>
          <w:color w:val="000000" w:themeColor="text1"/>
          <w:highlight w:val="none"/>
          <w14:textFill>
            <w14:solidFill>
              <w14:schemeClr w14:val="tx1"/>
            </w14:solidFill>
          </w14:textFill>
        </w:rPr>
      </w:pPr>
      <w:bookmarkStart w:id="624" w:name="_Toc509218776"/>
      <w:r>
        <w:rPr>
          <w:rFonts w:ascii="宋体" w:hAnsi="宋体"/>
          <w:b w:val="0"/>
          <w:snapToGrid w:val="0"/>
          <w:color w:val="000000" w:themeColor="text1"/>
          <w:highlight w:val="none"/>
          <w14:textFill>
            <w14:solidFill>
              <w14:schemeClr w14:val="tx1"/>
            </w14:solidFill>
          </w14:textFill>
        </w:rPr>
        <w:br w:type="page"/>
      </w:r>
      <w:bookmarkStart w:id="625" w:name="_Toc122515230"/>
      <w:bookmarkStart w:id="626" w:name="_Toc2468"/>
      <w:r>
        <w:rPr>
          <w:rFonts w:ascii="宋体" w:hAnsi="宋体"/>
          <w:b w:val="0"/>
          <w:snapToGrid w:val="0"/>
          <w:color w:val="000000" w:themeColor="text1"/>
          <w:highlight w:val="none"/>
          <w14:textFill>
            <w14:solidFill>
              <w14:schemeClr w14:val="tx1"/>
            </w14:solidFill>
          </w14:textFill>
        </w:rPr>
        <w:t>1.  评标方法</w:t>
      </w:r>
      <w:bookmarkEnd w:id="624"/>
      <w:bookmarkEnd w:id="625"/>
      <w:bookmarkEnd w:id="626"/>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评标委员会对满足竞争性比选实质性要求的竞选文件，按照本章第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或根据招标人授权直接确定中选人。综合评分相等时，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rFonts w:ascii="宋体" w:hAnsi="宋体"/>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pPr>
        <w:pStyle w:val="3"/>
        <w:rPr>
          <w:rFonts w:ascii="宋体" w:hAnsi="宋体"/>
          <w:b w:val="0"/>
          <w:snapToGrid w:val="0"/>
          <w:color w:val="000000" w:themeColor="text1"/>
          <w:highlight w:val="none"/>
          <w14:textFill>
            <w14:solidFill>
              <w14:schemeClr w14:val="tx1"/>
            </w14:solidFill>
          </w14:textFill>
        </w:rPr>
      </w:pPr>
      <w:bookmarkStart w:id="627" w:name="_Toc122515231"/>
      <w:bookmarkStart w:id="628" w:name="_Toc8451"/>
      <w:bookmarkStart w:id="629" w:name="_Toc509218777"/>
      <w:r>
        <w:rPr>
          <w:rFonts w:ascii="宋体" w:hAnsi="宋体"/>
          <w:b w:val="0"/>
          <w:snapToGrid w:val="0"/>
          <w:color w:val="000000" w:themeColor="text1"/>
          <w:highlight w:val="none"/>
          <w14:textFill>
            <w14:solidFill>
              <w14:schemeClr w14:val="tx1"/>
            </w14:solidFill>
          </w14:textFill>
        </w:rPr>
        <w:t>2.  评审标准</w:t>
      </w:r>
      <w:bookmarkEnd w:id="627"/>
      <w:bookmarkEnd w:id="628"/>
      <w:bookmarkEnd w:id="629"/>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30" w:name="_Toc509218778"/>
      <w:bookmarkStart w:id="631" w:name="_Toc11473"/>
      <w:bookmarkStart w:id="632" w:name="_Toc122515232"/>
      <w:r>
        <w:rPr>
          <w:rFonts w:ascii="宋体" w:hAnsi="宋体"/>
          <w:b w:val="0"/>
          <w:snapToGrid w:val="0"/>
          <w:color w:val="000000" w:themeColor="text1"/>
          <w:szCs w:val="24"/>
          <w:highlight w:val="none"/>
          <w14:textFill>
            <w14:solidFill>
              <w14:schemeClr w14:val="tx1"/>
            </w14:solidFill>
          </w14:textFill>
        </w:rPr>
        <w:t>2.1  初步评审标准</w:t>
      </w:r>
      <w:bookmarkEnd w:id="630"/>
      <w:bookmarkEnd w:id="631"/>
      <w:bookmarkEnd w:id="632"/>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  资格评审标准：见评标办法前附表（适用于未进行资格预审的）。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33" w:name="_Toc509218779"/>
      <w:bookmarkStart w:id="634" w:name="_Toc122515233"/>
      <w:bookmarkStart w:id="635" w:name="_Toc21330"/>
      <w:r>
        <w:rPr>
          <w:rFonts w:ascii="宋体" w:hAnsi="宋体"/>
          <w:b w:val="0"/>
          <w:snapToGrid w:val="0"/>
          <w:color w:val="000000" w:themeColor="text1"/>
          <w:szCs w:val="24"/>
          <w:highlight w:val="none"/>
          <w14:textFill>
            <w14:solidFill>
              <w14:schemeClr w14:val="tx1"/>
            </w14:solidFill>
          </w14:textFill>
        </w:rPr>
        <w:t>2.2  分值构成与</w:t>
      </w:r>
      <w:r>
        <w:rPr>
          <w:rFonts w:hint="eastAsia" w:ascii="宋体" w:hAnsi="宋体"/>
          <w:b w:val="0"/>
          <w:snapToGrid w:val="0"/>
          <w:color w:val="000000" w:themeColor="text1"/>
          <w:szCs w:val="24"/>
          <w:highlight w:val="none"/>
          <w14:textFill>
            <w14:solidFill>
              <w14:schemeClr w14:val="tx1"/>
            </w14:solidFill>
          </w14:textFill>
        </w:rPr>
        <w:t>评审</w:t>
      </w:r>
      <w:r>
        <w:rPr>
          <w:rFonts w:ascii="宋体" w:hAnsi="宋体"/>
          <w:b w:val="0"/>
          <w:snapToGrid w:val="0"/>
          <w:color w:val="000000" w:themeColor="text1"/>
          <w:szCs w:val="24"/>
          <w:highlight w:val="none"/>
          <w14:textFill>
            <w14:solidFill>
              <w14:schemeClr w14:val="tx1"/>
            </w14:solidFill>
          </w14:textFill>
        </w:rPr>
        <w:t>标准</w:t>
      </w:r>
      <w:bookmarkEnd w:id="633"/>
      <w:bookmarkEnd w:id="634"/>
      <w:bookmarkEnd w:id="635"/>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 投标报价的偏差率计算</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pPr>
        <w:pStyle w:val="3"/>
        <w:rPr>
          <w:rFonts w:ascii="宋体" w:hAnsi="宋体"/>
          <w:b w:val="0"/>
          <w:snapToGrid w:val="0"/>
          <w:color w:val="000000" w:themeColor="text1"/>
          <w:highlight w:val="none"/>
          <w14:textFill>
            <w14:solidFill>
              <w14:schemeClr w14:val="tx1"/>
            </w14:solidFill>
          </w14:textFill>
        </w:rPr>
      </w:pPr>
      <w:bookmarkStart w:id="636" w:name="_Toc765"/>
      <w:bookmarkStart w:id="637" w:name="_Toc122515234"/>
      <w:bookmarkStart w:id="638" w:name="_Toc509218780"/>
      <w:r>
        <w:rPr>
          <w:rFonts w:ascii="宋体" w:hAnsi="宋体"/>
          <w:b w:val="0"/>
          <w:snapToGrid w:val="0"/>
          <w:color w:val="000000" w:themeColor="text1"/>
          <w:highlight w:val="none"/>
          <w14:textFill>
            <w14:solidFill>
              <w14:schemeClr w14:val="tx1"/>
            </w14:solidFill>
          </w14:textFill>
        </w:rPr>
        <w:t>3.  评标程序</w:t>
      </w:r>
      <w:bookmarkEnd w:id="636"/>
      <w:bookmarkEnd w:id="637"/>
      <w:bookmarkEnd w:id="638"/>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39" w:name="_Toc509218781"/>
      <w:bookmarkStart w:id="640" w:name="_Toc18340"/>
      <w:bookmarkStart w:id="641" w:name="_Toc122515235"/>
      <w:r>
        <w:rPr>
          <w:rFonts w:ascii="宋体" w:hAnsi="宋体"/>
          <w:b w:val="0"/>
          <w:snapToGrid w:val="0"/>
          <w:color w:val="000000" w:themeColor="text1"/>
          <w:szCs w:val="24"/>
          <w:highlight w:val="none"/>
          <w14:textFill>
            <w14:solidFill>
              <w14:schemeClr w14:val="tx1"/>
            </w14:solidFill>
          </w14:textFill>
        </w:rPr>
        <w:t>3.1  初步评审</w:t>
      </w:r>
      <w:bookmarkEnd w:id="639"/>
      <w:bookmarkEnd w:id="640"/>
      <w:bookmarkEnd w:id="641"/>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款规定的标准对竞选文件进行初步评审。有一项不符合评审标准的，作否决投标处理。（适用于未进行资格预审的）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评标委员会依据本章第2.1.2项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  竞选人有以下情形之一的，其投标作否决投标处理：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投标报价有算术错误及其他错误的，评标委员会按以下原则要求竞选人对投标报价进行修正，并要求竞选人书面澄清确认。竞选人拒不澄清确认的，评标委员会应当否决其投标：</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（1）竞选文件中的大写金额与小写金额不一致的，以大写金额为准；</w:t>
      </w:r>
    </w:p>
    <w:p>
      <w:pPr>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642" w:name="_Toc509218782"/>
      <w:bookmarkStart w:id="643" w:name="_Toc1832"/>
      <w:r>
        <w:rPr>
          <w:rFonts w:hint="eastAsia" w:ascii="宋体" w:hAnsi="宋体"/>
          <w:color w:val="000000" w:themeColor="text1"/>
          <w:szCs w:val="21"/>
          <w:highlight w:val="none"/>
          <w14:textFill>
            <w14:solidFill>
              <w14:schemeClr w14:val="tx1"/>
            </w14:solidFill>
          </w14:textFill>
        </w:rPr>
        <w:t>（2）竞选文件中用数字表示的数额与用文字表示的数额不一致时，以文字数额为准；</w:t>
      </w:r>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44" w:name="_Toc122515236"/>
      <w:r>
        <w:rPr>
          <w:rFonts w:ascii="宋体" w:hAnsi="宋体"/>
          <w:b w:val="0"/>
          <w:snapToGrid w:val="0"/>
          <w:color w:val="000000" w:themeColor="text1"/>
          <w:szCs w:val="24"/>
          <w:highlight w:val="none"/>
          <w14:textFill>
            <w14:solidFill>
              <w14:schemeClr w14:val="tx1"/>
            </w14:solidFill>
          </w14:textFill>
        </w:rPr>
        <w:t>3.2  详细评审</w:t>
      </w:r>
      <w:bookmarkEnd w:id="642"/>
      <w:bookmarkEnd w:id="643"/>
      <w:bookmarkEnd w:id="644"/>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）按本章第 2.2.4（2）目规定的评审因素和分值对投标报价计算出得分 B；</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  竞选人得分=A</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w:t>
      </w:r>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45" w:name="_Toc18143"/>
      <w:bookmarkStart w:id="646" w:name="_Toc509218783"/>
      <w:bookmarkStart w:id="647" w:name="_Toc122515237"/>
      <w:r>
        <w:rPr>
          <w:rFonts w:ascii="宋体" w:hAnsi="宋体"/>
          <w:b w:val="0"/>
          <w:snapToGrid w:val="0"/>
          <w:color w:val="000000" w:themeColor="text1"/>
          <w:szCs w:val="24"/>
          <w:highlight w:val="none"/>
          <w14:textFill>
            <w14:solidFill>
              <w14:schemeClr w14:val="tx1"/>
            </w14:solidFill>
          </w14:textFill>
        </w:rPr>
        <w:t>3.3  竞选文件的澄清</w:t>
      </w:r>
      <w:bookmarkEnd w:id="645"/>
      <w:bookmarkEnd w:id="646"/>
      <w:bookmarkEnd w:id="647"/>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bookmarkStart w:id="648"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在评标过程中，评标委员会可以书面形式要求竞选人对所提交竞选文件中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含义不明确、对同类问题表述不一致或者有明显文字和计算错误的内容作必要的澄清、说明或补正。澄清、说明或补正应以书面方式进行。评标委员会不接受竞选人主动提出的澄清、说明或补正。</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澄清、说明或补正不得超出竞选文件的范围且不得改变竞选文件的实质性内容，并构成竞选文件的组成部分。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评标委员会对竞选人提交的澄清、说明或补正有疑问的，可以要求竞选人进一步澄清、说明或补正，直至满足评标委员会的要求。</w:t>
      </w:r>
      <w:bookmarkEnd w:id="648"/>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49" w:name="_Toc509218784"/>
      <w:bookmarkStart w:id="650" w:name="_Toc122515238"/>
      <w:bookmarkStart w:id="651" w:name="_Toc22756"/>
      <w:r>
        <w:rPr>
          <w:rFonts w:ascii="宋体" w:hAnsi="宋体"/>
          <w:b w:val="0"/>
          <w:snapToGrid w:val="0"/>
          <w:color w:val="000000" w:themeColor="text1"/>
          <w:szCs w:val="24"/>
          <w:highlight w:val="none"/>
          <w14:textFill>
            <w14:solidFill>
              <w14:schemeClr w14:val="tx1"/>
            </w14:solidFill>
          </w14:textFill>
        </w:rPr>
        <w:t>3.4  评标结果</w:t>
      </w:r>
      <w:bookmarkEnd w:id="649"/>
      <w:bookmarkEnd w:id="650"/>
      <w:bookmarkEnd w:id="651"/>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除第二章“竞选人须知”前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确定中选人外，评标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pPr>
        <w:autoSpaceDE w:val="0"/>
        <w:autoSpaceDN w:val="0"/>
        <w:adjustRightInd w:val="0"/>
        <w:snapToGrid w:val="0"/>
        <w:spacing w:line="360" w:lineRule="auto"/>
        <w:ind w:firstLine="424" w:firstLineChars="20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评标委员会完成评标后，应当向招标人提交书面评标报告和中标候选人名单。</w:t>
      </w:r>
    </w:p>
    <w:p>
      <w:pPr>
        <w:pStyle w:val="8"/>
        <w:rPr>
          <w:rFonts w:ascii="宋体" w:hAnsi="宋体"/>
          <w:color w:val="000000" w:themeColor="text1"/>
          <w:highlight w:val="none"/>
          <w14:textFill>
            <w14:solidFill>
              <w14:schemeClr w14:val="tx1"/>
            </w14:solidFill>
          </w14:textFill>
        </w:rPr>
      </w:pPr>
    </w:p>
    <w:p>
      <w:pPr>
        <w:spacing w:line="400" w:lineRule="atLeast"/>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kern w:val="0"/>
          <w:sz w:val="20"/>
          <w:szCs w:val="20"/>
          <w:highlight w:val="none"/>
          <w14:textFill>
            <w14:solidFill>
              <w14:schemeClr w14:val="tx1"/>
            </w14:solidFill>
          </w14:textFill>
        </w:rPr>
        <w:br w:type="page"/>
      </w:r>
      <w:r>
        <w:rPr>
          <w:rFonts w:hint="eastAsia" w:ascii="宋体" w:hAnsi="宋体"/>
          <w:color w:val="000000" w:themeColor="text1"/>
          <w:szCs w:val="20"/>
          <w:highlight w:val="none"/>
          <w14:textFill>
            <w14:solidFill>
              <w14:schemeClr w14:val="tx1"/>
            </w14:solidFill>
          </w14:textFill>
        </w:rPr>
        <w:t>附件A：否决竞选条件</w:t>
      </w:r>
    </w:p>
    <w:p>
      <w:pPr>
        <w:pStyle w:val="21"/>
        <w:spacing w:line="360" w:lineRule="auto"/>
        <w:rPr>
          <w:rFonts w:ascii="宋体" w:hAnsi="宋体"/>
          <w:color w:val="000000" w:themeColor="text1"/>
          <w:sz w:val="28"/>
          <w:szCs w:val="28"/>
          <w:highlight w:val="none"/>
          <w:lang w:eastAsia="zh-CN"/>
          <w14:textFill>
            <w14:solidFill>
              <w14:schemeClr w14:val="tx1"/>
            </w14:solidFill>
          </w14:textFill>
        </w:rPr>
      </w:pPr>
      <w:bookmarkStart w:id="652" w:name="招标文件03章02评标办法综合评估法02附件02"/>
      <w:bookmarkEnd w:id="652"/>
      <w:bookmarkStart w:id="653" w:name="招标文件04章合同条款及格式"/>
      <w:bookmarkEnd w:id="653"/>
      <w:bookmarkStart w:id="654" w:name="_Toc230410480"/>
      <w:bookmarkStart w:id="655" w:name="_Toc277082627"/>
      <w:r>
        <w:rPr>
          <w:rFonts w:hint="eastAsia" w:ascii="宋体" w:hAnsi="宋体"/>
          <w:color w:val="000000" w:themeColor="text1"/>
          <w:sz w:val="28"/>
          <w:szCs w:val="28"/>
          <w:highlight w:val="none"/>
          <w:lang w:eastAsia="zh-CN"/>
          <w14:textFill>
            <w14:solidFill>
              <w14:schemeClr w14:val="tx1"/>
            </w14:solidFill>
          </w14:textFill>
        </w:rPr>
        <w:t>附件A：综合评估法否决竞选情况一览表</w:t>
      </w:r>
      <w:bookmarkEnd w:id="654"/>
    </w:p>
    <w:p>
      <w:pPr>
        <w:pStyle w:val="21"/>
        <w:spacing w:line="360" w:lineRule="auto"/>
        <w:jc w:val="both"/>
        <w:rPr>
          <w:rFonts w:ascii="宋体" w:hAnsi="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一览表否决竞选条件之外的评选委员会不得判为重大偏差。</w:t>
      </w:r>
    </w:p>
    <w:tbl>
      <w:tblPr>
        <w:tblStyle w:val="28"/>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否决竞选条件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只要有一条不满足比选文件第二章竞选人须知前附表要求即为否决竞选。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各竞选人所填报的竞选报价不得超过最高限价，否则将作否决竞选处理。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初步评审</w:t>
            </w:r>
          </w:p>
        </w:tc>
        <w:tc>
          <w:tcPr>
            <w:tcW w:w="6376"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竞选人有以下情形之一的，</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委员会应当否决其竞选：</w:t>
            </w:r>
          </w:p>
          <w:p>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竞选文件没有对比选文件的实质性要求和条件作出响应，或者对比选文件的偏差超出比选文件规定的偏差范围；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竞选报价有算术错误的，评选委员会按以下原则对竞选报价进行修正，修正的价格经竞选人书面确认后具有约束力。竞选人不接受修正价格的，其竞选作无效竞选处理。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竞选人有以下情形之一的，其竞选作否决竞选处理：</w:t>
            </w:r>
          </w:p>
          <w:p>
            <w:pPr>
              <w:autoSpaceDE w:val="0"/>
              <w:autoSpaceDN w:val="0"/>
              <w:adjustRightInd w:val="0"/>
              <w:snapToGrid w:val="0"/>
              <w:spacing w:line="360" w:lineRule="auto"/>
              <w:ind w:firstLine="315" w:firstLineChars="15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hint="eastAsia" w:ascii="宋体" w:hAnsi="宋体" w:cs="MingLiU"/>
                <w:color w:val="000000" w:themeColor="text1"/>
                <w:kern w:val="0"/>
                <w:szCs w:val="21"/>
                <w:highlight w:val="none"/>
                <w14:textFill>
                  <w14:solidFill>
                    <w14:schemeClr w14:val="tx1"/>
                  </w14:solidFill>
                </w14:textFill>
              </w:rPr>
              <w:t>）第二</w:t>
            </w:r>
            <w:r>
              <w:rPr>
                <w:rFonts w:hint="eastAsia" w:ascii="宋体" w:hAnsi="宋体" w:cs="MingLiU"/>
                <w:color w:val="000000" w:themeColor="text1"/>
                <w:spacing w:val="-1"/>
                <w:kern w:val="0"/>
                <w:szCs w:val="21"/>
                <w:highlight w:val="none"/>
                <w14:textFill>
                  <w14:solidFill>
                    <w14:schemeClr w14:val="tx1"/>
                  </w14:solidFill>
                </w14:textFill>
              </w:rPr>
              <w:t>章</w:t>
            </w:r>
            <w:r>
              <w:rPr>
                <w:rFonts w:hint="eastAsia" w:ascii="宋体" w:hAnsi="宋体" w:cs="MingLiU"/>
                <w:color w:val="000000" w:themeColor="text1"/>
                <w:kern w:val="0"/>
                <w:szCs w:val="21"/>
                <w:highlight w:val="none"/>
                <w14:textFill>
                  <w14:solidFill>
                    <w14:schemeClr w14:val="tx1"/>
                  </w14:solidFill>
                </w14:textFill>
              </w:rPr>
              <w:t>“竞选人须知前附表”规定的任何一种情形的；</w:t>
            </w:r>
          </w:p>
          <w:p>
            <w:pPr>
              <w:autoSpaceDE w:val="0"/>
              <w:autoSpaceDN w:val="0"/>
              <w:adjustRightInd w:val="0"/>
              <w:snapToGrid w:val="0"/>
              <w:spacing w:line="360" w:lineRule="auto"/>
              <w:ind w:firstLine="315" w:firstLineChars="15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hint="eastAsia" w:ascii="宋体" w:hAnsi="宋体" w:cs="MingLiU"/>
                <w:color w:val="000000" w:themeColor="text1"/>
                <w:kern w:val="0"/>
                <w:szCs w:val="21"/>
                <w:highlight w:val="none"/>
                <w14:textFill>
                  <w14:solidFill>
                    <w14:schemeClr w14:val="tx1"/>
                  </w14:solidFill>
                </w14:textFill>
              </w:rPr>
              <w:t>）串通</w:t>
            </w:r>
            <w:r>
              <w:rPr>
                <w:rFonts w:hint="eastAsia" w:ascii="宋体" w:hAnsi="宋体" w:cs="MingLiU"/>
                <w:color w:val="000000" w:themeColor="text1"/>
                <w:spacing w:val="-1"/>
                <w:kern w:val="0"/>
                <w:szCs w:val="2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或弄虚作假或有其他违法行为的；</w:t>
            </w:r>
          </w:p>
          <w:p>
            <w:pPr>
              <w:spacing w:line="360" w:lineRule="auto"/>
              <w:ind w:firstLine="315" w:firstLineChars="15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3</w:t>
            </w:r>
            <w:r>
              <w:rPr>
                <w:rFonts w:hint="eastAsia" w:ascii="宋体" w:hAnsi="宋体" w:cs="MingLiU"/>
                <w:color w:val="000000" w:themeColor="text1"/>
                <w:kern w:val="0"/>
                <w:szCs w:val="21"/>
                <w:highlight w:val="none"/>
                <w14:textFill>
                  <w14:solidFill>
                    <w14:schemeClr w14:val="tx1"/>
                  </w14:solidFill>
                </w14:textFill>
              </w:rPr>
              <w:t>）不按</w:t>
            </w:r>
            <w:r>
              <w:rPr>
                <w:rFonts w:hint="eastAsia" w:ascii="宋体" w:hAnsi="宋体" w:cs="MingLiU"/>
                <w:color w:val="000000" w:themeColor="text1"/>
                <w:spacing w:val="-1"/>
                <w:kern w:val="0"/>
                <w:szCs w:val="21"/>
                <w:highlight w:val="none"/>
                <w14:textFill>
                  <w14:solidFill>
                    <w14:schemeClr w14:val="tx1"/>
                  </w14:solidFill>
                </w14:textFill>
              </w:rPr>
              <w:t>评选</w:t>
            </w:r>
            <w:r>
              <w:rPr>
                <w:rFonts w:hint="eastAsia" w:ascii="宋体" w:hAnsi="宋体" w:cs="MingLiU"/>
                <w:color w:val="000000" w:themeColor="text1"/>
                <w:kern w:val="0"/>
                <w:szCs w:val="21"/>
                <w:highlight w:val="none"/>
                <w14:textFill>
                  <w14:solidFill>
                    <w14:schemeClr w14:val="tx1"/>
                  </w14:solidFill>
                </w14:textFill>
              </w:rPr>
              <w:t>委员会要求澄清、说明或补正的。</w:t>
            </w:r>
          </w:p>
          <w:p>
            <w:pPr>
              <w:spacing w:line="360" w:lineRule="auto"/>
              <w:ind w:firstLine="315" w:firstLineChars="15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（4）恶意低价竞选的</w:t>
            </w:r>
          </w:p>
          <w:p>
            <w:pPr>
              <w:spacing w:line="360" w:lineRule="auto"/>
              <w:ind w:firstLine="315" w:firstLineChars="150"/>
              <w:rPr>
                <w:rFonts w:ascii="宋体" w:hAnsi="宋体"/>
                <w:color w:val="000000" w:themeColor="text1"/>
                <w:sz w:val="18"/>
                <w:szCs w:val="18"/>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，其竞选作否决竞选处理。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详细评审</w:t>
            </w:r>
          </w:p>
        </w:tc>
        <w:tc>
          <w:tcPr>
            <w:tcW w:w="63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ascii="宋体" w:hAnsi="宋体" w:cs="MingLiU"/>
                <w:color w:val="000000" w:themeColor="text1"/>
                <w:kern w:val="0"/>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，其竞选作否决竞选处理。</w:t>
            </w:r>
          </w:p>
        </w:tc>
      </w:tr>
      <w:bookmarkEnd w:id="655"/>
    </w:tbl>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第四章  合同条款及格式</w:t>
      </w:r>
    </w:p>
    <w:p>
      <w:pPr>
        <w:rPr>
          <w:rFonts w:ascii="宋体" w:hAnsi="宋体"/>
          <w:color w:val="000000" w:themeColor="text1"/>
          <w:highlight w:val="none"/>
          <w14:textFill>
            <w14:solidFill>
              <w14:schemeClr w14:val="tx1"/>
            </w14:solidFill>
          </w14:textFill>
        </w:rPr>
      </w:pPr>
    </w:p>
    <w:p>
      <w:pPr>
        <w:overflowPunct w:val="0"/>
        <w:autoSpaceDE w:val="0"/>
        <w:autoSpaceDN w:val="0"/>
        <w:adjustRightInd w:val="0"/>
        <w:snapToGrid w:val="0"/>
        <w:spacing w:line="720" w:lineRule="exact"/>
        <w:ind w:firstLine="2168" w:firstLineChars="300"/>
        <w:rPr>
          <w:rFonts w:ascii="宋体" w:hAnsi="宋体"/>
          <w:b/>
          <w:bCs/>
          <w:color w:val="000000" w:themeColor="text1"/>
          <w:sz w:val="72"/>
          <w:szCs w:val="72"/>
          <w:highlight w:val="none"/>
          <w14:textFill>
            <w14:solidFill>
              <w14:schemeClr w14:val="tx1"/>
            </w14:solidFill>
          </w14:textFill>
        </w:rPr>
      </w:pPr>
    </w:p>
    <w:p>
      <w:pPr>
        <w:pStyle w:val="13"/>
        <w:ind w:firstLine="6325" w:firstLineChars="1750"/>
        <w:rPr>
          <w:rFonts w:hAnsi="宋体"/>
          <w:b/>
          <w:color w:val="000000" w:themeColor="text1"/>
          <w:sz w:val="36"/>
          <w:szCs w:val="36"/>
          <w:highlight w:val="none"/>
          <w14:textFill>
            <w14:solidFill>
              <w14:schemeClr w14:val="tx1"/>
            </w14:solidFill>
          </w14:textFill>
        </w:rPr>
      </w:pPr>
      <w:bookmarkStart w:id="656" w:name="_Toc27983310"/>
      <w:bookmarkStart w:id="657" w:name="_Toc534185765"/>
      <w:bookmarkStart w:id="658" w:name="_Toc505679277"/>
      <w:bookmarkStart w:id="659" w:name="_Toc42694323"/>
      <w:bookmarkStart w:id="660" w:name="_Toc25082183"/>
      <w:bookmarkStart w:id="661" w:name="_Toc509218786"/>
      <w:r>
        <w:rPr>
          <w:rFonts w:hAnsi="宋体"/>
          <w:b/>
          <w:color w:val="000000" w:themeColor="text1"/>
          <w:sz w:val="36"/>
          <w:szCs w:val="36"/>
          <w:highlight w:val="none"/>
          <w14:textFill>
            <w14:solidFill>
              <w14:schemeClr w14:val="tx1"/>
            </w14:solidFill>
          </w14:textFill>
        </w:rPr>
        <w:br w:type="page"/>
      </w:r>
      <w:bookmarkEnd w:id="656"/>
      <w:bookmarkEnd w:id="657"/>
      <w:bookmarkEnd w:id="658"/>
      <w:bookmarkEnd w:id="659"/>
      <w:bookmarkEnd w:id="660"/>
      <w:bookmarkEnd w:id="661"/>
      <w:bookmarkStart w:id="662" w:name="_Toc351203494"/>
    </w:p>
    <w:bookmarkEnd w:id="622"/>
    <w:bookmarkEnd w:id="623"/>
    <w:bookmarkEnd w:id="662"/>
    <w:p>
      <w:pPr>
        <w:pStyle w:val="8"/>
        <w:rPr>
          <w:rFonts w:ascii="宋体" w:hAnsi="宋体"/>
          <w:color w:val="000000" w:themeColor="text1"/>
          <w:szCs w:val="21"/>
          <w:highlight w:val="none"/>
          <w14:textFill>
            <w14:solidFill>
              <w14:schemeClr w14:val="tx1"/>
            </w14:solidFill>
          </w14:textFill>
        </w:rPr>
      </w:pPr>
      <w:bookmarkStart w:id="663" w:name="baidusnap7"/>
      <w:bookmarkEnd w:id="663"/>
      <w:bookmarkStart w:id="664" w:name="招标文件06章图纸01"/>
      <w:bookmarkEnd w:id="664"/>
      <w:bookmarkStart w:id="665" w:name="_Toc30057"/>
      <w:bookmarkEnd w:id="665"/>
      <w:bookmarkStart w:id="666" w:name="baidusnap3"/>
      <w:bookmarkEnd w:id="666"/>
      <w:bookmarkStart w:id="667" w:name="招标文件06章图纸"/>
      <w:bookmarkEnd w:id="667"/>
      <w:bookmarkStart w:id="668" w:name="_Toc6677"/>
      <w:bookmarkStart w:id="669" w:name="_Toc7551"/>
      <w:bookmarkStart w:id="670" w:name="_Toc30930"/>
      <w:bookmarkStart w:id="671" w:name="_Toc287620804"/>
      <w:bookmarkStart w:id="672" w:name="_Toc430530520"/>
      <w:bookmarkStart w:id="673" w:name="_Toc296503025"/>
      <w:bookmarkStart w:id="674" w:name="_Toc296890982"/>
      <w:bookmarkStart w:id="675" w:name="_Toc351203480"/>
    </w:p>
    <w:p>
      <w:pPr>
        <w:wordWrap w:val="0"/>
        <w:ind w:right="1440" w:firstLine="720"/>
        <w:rPr>
          <w:color w:val="000000" w:themeColor="text1"/>
          <w:sz w:val="36"/>
          <w:szCs w:val="36"/>
          <w:u w:val="single"/>
          <w14:textFill>
            <w14:solidFill>
              <w14:schemeClr w14:val="tx1"/>
            </w14:solidFill>
          </w14:textFill>
        </w:rPr>
      </w:pPr>
      <w:r>
        <w:rPr>
          <w:rFonts w:hint="eastAsia"/>
          <w:color w:val="000000" w:themeColor="text1"/>
          <w:sz w:val="36"/>
          <w:szCs w:val="36"/>
          <w14:textFill>
            <w14:solidFill>
              <w14:schemeClr w14:val="tx1"/>
            </w14:solidFill>
          </w14:textFill>
        </w:rPr>
        <w:t>合同编号：</w:t>
      </w:r>
    </w:p>
    <w:p>
      <w:pPr>
        <w:ind w:firstLine="720"/>
        <w:jc w:val="center"/>
        <w:rPr>
          <w:color w:val="000000" w:themeColor="text1"/>
          <w:sz w:val="36"/>
          <w:szCs w:val="36"/>
          <w14:textFill>
            <w14:solidFill>
              <w14:schemeClr w14:val="tx1"/>
            </w14:solidFill>
          </w14:textFill>
        </w:rPr>
      </w:pPr>
    </w:p>
    <w:p>
      <w:pPr>
        <w:ind w:firstLine="1440"/>
        <w:jc w:val="center"/>
        <w:rPr>
          <w:color w:val="000000" w:themeColor="text1"/>
          <w:sz w:val="72"/>
          <w:szCs w:val="72"/>
          <w14:textFill>
            <w14:solidFill>
              <w14:schemeClr w14:val="tx1"/>
            </w14:solidFill>
          </w14:textFill>
        </w:rPr>
      </w:pPr>
    </w:p>
    <w:p>
      <w:pPr>
        <w:ind w:firstLine="1440"/>
        <w:jc w:val="center"/>
        <w:rPr>
          <w:color w:val="000000" w:themeColor="text1"/>
          <w:sz w:val="72"/>
          <w:szCs w:val="72"/>
          <w14:textFill>
            <w14:solidFill>
              <w14:schemeClr w14:val="tx1"/>
            </w14:solidFill>
          </w14:textFill>
        </w:rPr>
      </w:pPr>
    </w:p>
    <w:p>
      <w:pPr>
        <w:ind w:firstLine="1440"/>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建设工程造价咨询合同</w:t>
      </w:r>
    </w:p>
    <w:p>
      <w:pPr>
        <w:ind w:firstLine="880"/>
        <w:jc w:val="center"/>
        <w:rPr>
          <w:color w:val="000000" w:themeColor="text1"/>
          <w:sz w:val="44"/>
          <w:szCs w:val="44"/>
          <w14:textFill>
            <w14:solidFill>
              <w14:schemeClr w14:val="tx1"/>
            </w14:solidFill>
          </w14:textFill>
        </w:rPr>
      </w:pPr>
    </w:p>
    <w:p>
      <w:pPr>
        <w:ind w:firstLine="880"/>
        <w:jc w:val="center"/>
        <w:rPr>
          <w:color w:val="000000" w:themeColor="text1"/>
          <w:sz w:val="44"/>
          <w:szCs w:val="44"/>
          <w14:textFill>
            <w14:solidFill>
              <w14:schemeClr w14:val="tx1"/>
            </w14:solidFill>
          </w14:textFill>
        </w:rPr>
      </w:pPr>
    </w:p>
    <w:p>
      <w:pPr>
        <w:ind w:firstLine="880"/>
        <w:jc w:val="center"/>
        <w:rPr>
          <w:color w:val="000000" w:themeColor="text1"/>
          <w:sz w:val="44"/>
          <w:szCs w:val="44"/>
          <w14:textFill>
            <w14:solidFill>
              <w14:schemeClr w14:val="tx1"/>
            </w14:solidFill>
          </w14:textFill>
        </w:rPr>
      </w:pPr>
    </w:p>
    <w:p>
      <w:pPr>
        <w:ind w:firstLine="880"/>
        <w:jc w:val="center"/>
        <w:rPr>
          <w:color w:val="000000" w:themeColor="text1"/>
          <w:sz w:val="44"/>
          <w:szCs w:val="44"/>
          <w14:textFill>
            <w14:solidFill>
              <w14:schemeClr w14:val="tx1"/>
            </w14:solidFill>
          </w14:textFill>
        </w:rPr>
      </w:pPr>
    </w:p>
    <w:p>
      <w:pPr>
        <w:ind w:firstLine="880"/>
        <w:jc w:val="center"/>
        <w:rPr>
          <w:color w:val="000000" w:themeColor="text1"/>
          <w:sz w:val="44"/>
          <w:szCs w:val="44"/>
          <w14:textFill>
            <w14:solidFill>
              <w14:schemeClr w14:val="tx1"/>
            </w14:solidFill>
          </w14:textFill>
        </w:rPr>
      </w:pPr>
    </w:p>
    <w:p>
      <w:pPr>
        <w:ind w:firstLine="880"/>
        <w:jc w:val="center"/>
        <w:rPr>
          <w:color w:val="000000" w:themeColor="text1"/>
          <w:sz w:val="44"/>
          <w:szCs w:val="44"/>
          <w14:textFill>
            <w14:solidFill>
              <w14:schemeClr w14:val="tx1"/>
            </w14:solidFill>
          </w14:textFill>
        </w:rPr>
      </w:pPr>
    </w:p>
    <w:p>
      <w:pPr>
        <w:pStyle w:val="13"/>
        <w:tabs>
          <w:tab w:val="left" w:pos="0"/>
          <w:tab w:val="left" w:pos="6300"/>
        </w:tabs>
        <w:spacing w:line="800" w:lineRule="exact"/>
        <w:ind w:right="-414" w:rightChars="-197" w:firstLine="255" w:firstLineChars="71"/>
        <w:rPr>
          <w:rFonts w:ascii="宋体" w:eastAsia="宋体" w:cs="宋体"/>
          <w:color w:val="000000" w:themeColor="text1"/>
          <w:sz w:val="36"/>
          <w:szCs w:val="36"/>
          <w:u w:val="single"/>
          <w:lang w:eastAsia="zh-CN"/>
          <w14:textFill>
            <w14:solidFill>
              <w14:schemeClr w14:val="tx1"/>
            </w14:solidFill>
          </w14:textFill>
        </w:rPr>
      </w:pPr>
      <w:r>
        <w:rPr>
          <w:rFonts w:hint="eastAsia" w:ascii="宋体" w:eastAsia="宋体" w:cs="宋体"/>
          <w:color w:val="000000" w:themeColor="text1"/>
          <w:sz w:val="36"/>
          <w:szCs w:val="36"/>
          <w:lang w:eastAsia="zh-CN"/>
          <w14:textFill>
            <w14:solidFill>
              <w14:schemeClr w14:val="tx1"/>
            </w14:solidFill>
          </w14:textFill>
        </w:rPr>
        <w:t>项目名称：</w:t>
      </w:r>
      <w:r>
        <w:rPr>
          <w:rFonts w:ascii="宋体" w:eastAsia="宋体" w:cs="宋体"/>
          <w:color w:val="000000" w:themeColor="text1"/>
          <w:sz w:val="36"/>
          <w:szCs w:val="36"/>
          <w:u w:val="single"/>
          <w:lang w:eastAsia="zh-CN"/>
          <w14:textFill>
            <w14:solidFill>
              <w14:schemeClr w14:val="tx1"/>
            </w14:solidFill>
          </w14:textFill>
        </w:rPr>
        <w:t xml:space="preserve">                            </w:t>
      </w:r>
    </w:p>
    <w:p>
      <w:pPr>
        <w:pStyle w:val="13"/>
        <w:tabs>
          <w:tab w:val="left" w:pos="1575"/>
        </w:tabs>
        <w:spacing w:line="800" w:lineRule="exact"/>
        <w:ind w:right="-414" w:rightChars="-197" w:firstLine="255" w:firstLineChars="71"/>
        <w:rPr>
          <w:rFonts w:ascii="宋体" w:eastAsia="宋体" w:cs="宋体"/>
          <w:color w:val="000000" w:themeColor="text1"/>
          <w:sz w:val="36"/>
          <w:szCs w:val="36"/>
          <w:u w:val="single"/>
          <w:lang w:eastAsia="zh-CN"/>
          <w14:textFill>
            <w14:solidFill>
              <w14:schemeClr w14:val="tx1"/>
            </w14:solidFill>
          </w14:textFill>
        </w:rPr>
      </w:pPr>
      <w:r>
        <w:rPr>
          <w:rFonts w:hint="eastAsia" w:ascii="宋体" w:eastAsia="宋体" w:cs="宋体"/>
          <w:color w:val="000000" w:themeColor="text1"/>
          <w:sz w:val="36"/>
          <w:szCs w:val="36"/>
          <w:lang w:eastAsia="zh-CN"/>
          <w14:textFill>
            <w14:solidFill>
              <w14:schemeClr w14:val="tx1"/>
            </w14:solidFill>
          </w14:textFill>
        </w:rPr>
        <w:t>委</w:t>
      </w:r>
      <w:r>
        <w:rPr>
          <w:rFonts w:ascii="宋体" w:eastAsia="宋体" w:cs="宋体"/>
          <w:color w:val="000000" w:themeColor="text1"/>
          <w:sz w:val="36"/>
          <w:szCs w:val="36"/>
          <w:lang w:eastAsia="zh-CN"/>
          <w14:textFill>
            <w14:solidFill>
              <w14:schemeClr w14:val="tx1"/>
            </w14:solidFill>
          </w14:textFill>
        </w:rPr>
        <w:t xml:space="preserve"> </w:t>
      </w:r>
      <w:r>
        <w:rPr>
          <w:rFonts w:hint="eastAsia" w:ascii="宋体" w:eastAsia="宋体" w:cs="宋体"/>
          <w:color w:val="000000" w:themeColor="text1"/>
          <w:sz w:val="36"/>
          <w:szCs w:val="36"/>
          <w:lang w:eastAsia="zh-CN"/>
          <w14:textFill>
            <w14:solidFill>
              <w14:schemeClr w14:val="tx1"/>
            </w14:solidFill>
          </w14:textFill>
        </w:rPr>
        <w:t>托</w:t>
      </w:r>
      <w:r>
        <w:rPr>
          <w:rFonts w:ascii="宋体" w:eastAsia="宋体" w:cs="宋体"/>
          <w:color w:val="000000" w:themeColor="text1"/>
          <w:sz w:val="36"/>
          <w:szCs w:val="36"/>
          <w:lang w:eastAsia="zh-CN"/>
          <w14:textFill>
            <w14:solidFill>
              <w14:schemeClr w14:val="tx1"/>
            </w14:solidFill>
          </w14:textFill>
        </w:rPr>
        <w:t xml:space="preserve"> </w:t>
      </w:r>
      <w:r>
        <w:rPr>
          <w:rFonts w:hint="eastAsia" w:ascii="宋体" w:eastAsia="宋体" w:cs="宋体"/>
          <w:color w:val="000000" w:themeColor="text1"/>
          <w:sz w:val="36"/>
          <w:szCs w:val="36"/>
          <w:lang w:eastAsia="zh-CN"/>
          <w14:textFill>
            <w14:solidFill>
              <w14:schemeClr w14:val="tx1"/>
            </w14:solidFill>
          </w14:textFill>
        </w:rPr>
        <w:t>人：</w:t>
      </w:r>
      <w:r>
        <w:rPr>
          <w:rFonts w:ascii="宋体" w:eastAsia="宋体" w:cs="宋体"/>
          <w:color w:val="000000" w:themeColor="text1"/>
          <w:sz w:val="36"/>
          <w:szCs w:val="36"/>
          <w:u w:val="single"/>
          <w:lang w:eastAsia="zh-CN"/>
          <w14:textFill>
            <w14:solidFill>
              <w14:schemeClr w14:val="tx1"/>
            </w14:solidFill>
          </w14:textFill>
        </w:rPr>
        <w:t xml:space="preserve">                            </w:t>
      </w:r>
    </w:p>
    <w:p>
      <w:pPr>
        <w:pStyle w:val="13"/>
        <w:tabs>
          <w:tab w:val="left" w:pos="1470"/>
        </w:tabs>
        <w:spacing w:line="800" w:lineRule="exact"/>
        <w:ind w:right="-414" w:rightChars="-197" w:firstLine="255" w:firstLineChars="71"/>
        <w:rPr>
          <w:rFonts w:ascii="宋体" w:eastAsia="宋体" w:cs="宋体"/>
          <w:color w:val="000000" w:themeColor="text1"/>
          <w:sz w:val="36"/>
          <w:szCs w:val="36"/>
          <w:u w:val="single"/>
          <w:lang w:eastAsia="zh-CN"/>
          <w14:textFill>
            <w14:solidFill>
              <w14:schemeClr w14:val="tx1"/>
            </w14:solidFill>
          </w14:textFill>
        </w:rPr>
      </w:pPr>
      <w:r>
        <w:rPr>
          <w:rFonts w:hint="eastAsia" w:ascii="宋体" w:eastAsia="宋体" w:cs="宋体"/>
          <w:color w:val="000000" w:themeColor="text1"/>
          <w:sz w:val="36"/>
          <w:szCs w:val="36"/>
          <w:lang w:eastAsia="zh-CN"/>
          <w14:textFill>
            <w14:solidFill>
              <w14:schemeClr w14:val="tx1"/>
            </w14:solidFill>
          </w14:textFill>
        </w:rPr>
        <w:t>咨 询 人：</w:t>
      </w:r>
      <w:r>
        <w:rPr>
          <w:rFonts w:ascii="宋体" w:eastAsia="宋体" w:cs="宋体"/>
          <w:color w:val="000000" w:themeColor="text1"/>
          <w:sz w:val="36"/>
          <w:szCs w:val="36"/>
          <w:u w:val="single"/>
          <w:lang w:eastAsia="zh-CN"/>
          <w14:textFill>
            <w14:solidFill>
              <w14:schemeClr w14:val="tx1"/>
            </w14:solidFill>
          </w14:textFill>
        </w:rPr>
        <w:t xml:space="preserve">                            </w:t>
      </w:r>
    </w:p>
    <w:p>
      <w:pPr>
        <w:pStyle w:val="13"/>
        <w:tabs>
          <w:tab w:val="left" w:pos="1575"/>
        </w:tabs>
        <w:spacing w:line="800" w:lineRule="exact"/>
        <w:ind w:right="-414" w:rightChars="-197" w:firstLine="255" w:firstLineChars="71"/>
        <w:rPr>
          <w:rFonts w:ascii="宋体" w:eastAsia="宋体" w:cs="宋体"/>
          <w:color w:val="000000" w:themeColor="text1"/>
          <w:sz w:val="36"/>
          <w:szCs w:val="36"/>
          <w:lang w:eastAsia="zh-CN"/>
          <w14:textFill>
            <w14:solidFill>
              <w14:schemeClr w14:val="tx1"/>
            </w14:solidFill>
          </w14:textFill>
        </w:rPr>
      </w:pPr>
      <w:r>
        <w:rPr>
          <w:rFonts w:hint="eastAsia" w:ascii="宋体" w:eastAsia="宋体" w:cs="宋体"/>
          <w:color w:val="000000" w:themeColor="text1"/>
          <w:sz w:val="36"/>
          <w:szCs w:val="36"/>
          <w:lang w:eastAsia="zh-CN"/>
          <w14:textFill>
            <w14:solidFill>
              <w14:schemeClr w14:val="tx1"/>
            </w14:solidFill>
          </w14:textFill>
        </w:rPr>
        <w:t>日</w:t>
      </w:r>
      <w:r>
        <w:rPr>
          <w:rFonts w:ascii="宋体" w:eastAsia="宋体" w:cs="宋体"/>
          <w:color w:val="000000" w:themeColor="text1"/>
          <w:sz w:val="36"/>
          <w:szCs w:val="36"/>
          <w:lang w:eastAsia="zh-CN"/>
          <w14:textFill>
            <w14:solidFill>
              <w14:schemeClr w14:val="tx1"/>
            </w14:solidFill>
          </w14:textFill>
        </w:rPr>
        <w:t xml:space="preserve">    </w:t>
      </w:r>
      <w:r>
        <w:rPr>
          <w:rFonts w:hint="eastAsia" w:ascii="宋体" w:eastAsia="宋体" w:cs="宋体"/>
          <w:color w:val="000000" w:themeColor="text1"/>
          <w:sz w:val="36"/>
          <w:szCs w:val="36"/>
          <w:lang w:eastAsia="zh-CN"/>
          <w14:textFill>
            <w14:solidFill>
              <w14:schemeClr w14:val="tx1"/>
            </w14:solidFill>
          </w14:textFill>
        </w:rPr>
        <w:t>期：</w:t>
      </w:r>
      <w:r>
        <w:rPr>
          <w:rFonts w:ascii="宋体" w:eastAsia="宋体" w:cs="宋体"/>
          <w:color w:val="000000" w:themeColor="text1"/>
          <w:sz w:val="36"/>
          <w:szCs w:val="36"/>
          <w:u w:val="single"/>
          <w:lang w:eastAsia="zh-CN"/>
          <w14:textFill>
            <w14:solidFill>
              <w14:schemeClr w14:val="tx1"/>
            </w14:solidFill>
          </w14:textFill>
        </w:rPr>
        <w:t xml:space="preserve">     </w:t>
      </w:r>
      <w:r>
        <w:rPr>
          <w:rFonts w:hint="eastAsia" w:ascii="宋体" w:eastAsia="宋体" w:cs="宋体"/>
          <w:color w:val="000000" w:themeColor="text1"/>
          <w:sz w:val="36"/>
          <w:szCs w:val="36"/>
          <w:lang w:eastAsia="zh-CN"/>
          <w14:textFill>
            <w14:solidFill>
              <w14:schemeClr w14:val="tx1"/>
            </w14:solidFill>
          </w14:textFill>
        </w:rPr>
        <w:t>年</w:t>
      </w:r>
      <w:r>
        <w:rPr>
          <w:rFonts w:ascii="宋体" w:eastAsia="宋体" w:cs="宋体"/>
          <w:color w:val="000000" w:themeColor="text1"/>
          <w:sz w:val="36"/>
          <w:szCs w:val="36"/>
          <w:u w:val="single"/>
          <w:lang w:eastAsia="zh-CN"/>
          <w14:textFill>
            <w14:solidFill>
              <w14:schemeClr w14:val="tx1"/>
            </w14:solidFill>
          </w14:textFill>
        </w:rPr>
        <w:t xml:space="preserve">    </w:t>
      </w:r>
      <w:r>
        <w:rPr>
          <w:rFonts w:hint="eastAsia" w:ascii="宋体" w:eastAsia="宋体" w:cs="宋体"/>
          <w:color w:val="000000" w:themeColor="text1"/>
          <w:sz w:val="36"/>
          <w:szCs w:val="36"/>
          <w:lang w:eastAsia="zh-CN"/>
          <w14:textFill>
            <w14:solidFill>
              <w14:schemeClr w14:val="tx1"/>
            </w14:solidFill>
          </w14:textFill>
        </w:rPr>
        <w:t>月</w:t>
      </w:r>
      <w:r>
        <w:rPr>
          <w:rFonts w:ascii="宋体" w:eastAsia="宋体" w:cs="宋体"/>
          <w:color w:val="000000" w:themeColor="text1"/>
          <w:sz w:val="36"/>
          <w:szCs w:val="36"/>
          <w:u w:val="single"/>
          <w:lang w:eastAsia="zh-CN"/>
          <w14:textFill>
            <w14:solidFill>
              <w14:schemeClr w14:val="tx1"/>
            </w14:solidFill>
          </w14:textFill>
        </w:rPr>
        <w:t xml:space="preserve">     </w:t>
      </w:r>
      <w:r>
        <w:rPr>
          <w:rFonts w:hint="eastAsia" w:ascii="宋体" w:eastAsia="宋体" w:cs="宋体"/>
          <w:color w:val="000000" w:themeColor="text1"/>
          <w:sz w:val="36"/>
          <w:szCs w:val="36"/>
          <w:lang w:eastAsia="zh-CN"/>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880"/>
        <w:jc w:val="center"/>
        <w:rPr>
          <w:rFonts w:asciiTheme="minorEastAsia" w:hAnsiTheme="minorEastAsia"/>
          <w:color w:val="000000" w:themeColor="text1"/>
          <w:sz w:val="44"/>
          <w:szCs w:val="44"/>
          <w14:textFill>
            <w14:solidFill>
              <w14:schemeClr w14:val="tx1"/>
            </w14:solidFill>
          </w14:textFill>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000000" w:themeColor="text1"/>
          <w14:textFill>
            <w14:solidFill>
              <w14:schemeClr w14:val="tx1"/>
            </w14:solidFill>
          </w14:textFill>
        </w:rPr>
        <w:id w:val="147476762"/>
        <w:docPartObj>
          <w:docPartGallery w:val="Table of Contents"/>
          <w:docPartUnique/>
        </w:docPartObj>
      </w:sdtPr>
      <w:sdtEndPr>
        <w:rPr>
          <w:rFonts w:ascii="宋体" w:hAnsi="宋体" w:eastAsia="宋体"/>
          <w:color w:val="000000" w:themeColor="text1"/>
          <w:sz w:val="24"/>
          <w:szCs w:val="24"/>
          <w14:textFill>
            <w14:solidFill>
              <w14:schemeClr w14:val="tx1"/>
            </w14:solidFill>
          </w14:textFill>
        </w:rPr>
      </w:sdtEndPr>
      <w:sdtContent>
        <w:p>
          <w:pPr>
            <w:jc w:val="center"/>
            <w:rPr>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目录</w:t>
          </w:r>
        </w:p>
        <w:p>
          <w:pPr>
            <w:pStyle w:val="19"/>
            <w:tabs>
              <w:tab w:val="right" w:leader="dot" w:pos="8720"/>
            </w:tabs>
            <w:rPr>
              <w:color w:val="000000" w:themeColor="text1"/>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TOC \o "1-3" \h \u </w:instrText>
          </w:r>
          <w:r>
            <w:rPr>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"_Toc76398630" </w:instrText>
          </w:r>
          <w:r>
            <w:rPr>
              <w:color w:val="000000" w:themeColor="text1"/>
              <w14:textFill>
                <w14:solidFill>
                  <w14:schemeClr w14:val="tx1"/>
                </w14:solidFill>
              </w14:textFill>
            </w:rPr>
            <w:fldChar w:fldCharType="separate"/>
          </w:r>
          <w:r>
            <w:rPr>
              <w:rStyle w:val="38"/>
              <w:rFonts w:hint="eastAsia"/>
              <w:b/>
              <w:color w:val="000000" w:themeColor="text1"/>
              <w14:textFill>
                <w14:solidFill>
                  <w14:schemeClr w14:val="tx1"/>
                </w14:solidFill>
              </w14:textFill>
            </w:rPr>
            <w:t>第一部分协议书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"_Toc76398631"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一、工程概况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"_Toc76398632"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二、服务范围及工作内容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"_Toc76398633"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三、服务期限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"_Toc76398634"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四、质量标准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"_Toc76398635"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五、酬金或计取方式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"_Toc76398636"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六、合同文件的构成本协议书与下列文件一起构成合同文件</w:t>
          </w:r>
          <w:r>
            <w:rPr>
              <w:rStyle w:val="38"/>
              <w:rFonts w:asciiTheme="minorEastAsia" w:hAnsiTheme="minorEastAsia"/>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"_Toc76398637"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七、词语定义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"_Toc76398638"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八、合同订立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"_Toc76398639"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九、合同生效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"_Toc76398640" </w:instrText>
          </w:r>
          <w:r>
            <w:rPr>
              <w:color w:val="000000" w:themeColor="text1"/>
              <w14:textFill>
                <w14:solidFill>
                  <w14:schemeClr w14:val="tx1"/>
                </w14:solidFill>
              </w14:textFill>
            </w:rPr>
            <w:fldChar w:fldCharType="separate"/>
          </w:r>
          <w:r>
            <w:rPr>
              <w:rStyle w:val="38"/>
              <w:rFonts w:hint="eastAsia" w:asciiTheme="minorEastAsia" w:hAnsiTheme="minorEastAsia"/>
              <w:color w:val="000000" w:themeColor="text1"/>
              <w14:textFill>
                <w14:solidFill>
                  <w14:schemeClr w14:val="tx1"/>
                </w14:solidFill>
              </w14:textFill>
            </w:rPr>
            <w:t>十、合同份数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"_Toc76398641" </w:instrText>
          </w:r>
          <w:r>
            <w:rPr>
              <w:color w:val="000000" w:themeColor="text1"/>
              <w14:textFill>
                <w14:solidFill>
                  <w14:schemeClr w14:val="tx1"/>
                </w14:solidFill>
              </w14:textFill>
            </w:rPr>
            <w:fldChar w:fldCharType="separate"/>
          </w:r>
          <w:r>
            <w:rPr>
              <w:rStyle w:val="38"/>
              <w:rFonts w:hint="eastAsia" w:asciiTheme="minorEastAsia" w:hAnsiTheme="minorEastAsia"/>
              <w:b/>
              <w:color w:val="000000" w:themeColor="text1"/>
              <w14:textFill>
                <w14:solidFill>
                  <w14:schemeClr w14:val="tx1"/>
                </w14:solidFill>
              </w14:textFill>
            </w:rPr>
            <w:t>第二部分通用条件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"_Toc76398642"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1.</w:t>
          </w:r>
          <w:r>
            <w:rPr>
              <w:rStyle w:val="38"/>
              <w:rFonts w:hint="eastAsia" w:asciiTheme="minorEastAsia" w:hAnsiTheme="minorEastAsia"/>
              <w:color w:val="000000" w:themeColor="text1"/>
              <w14:textFill>
                <w14:solidFill>
                  <w14:schemeClr w14:val="tx1"/>
                </w14:solidFill>
              </w14:textFill>
            </w:rPr>
            <w:t>词语定义、语言、解释顺序与适用法律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"_Toc76398643"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1.1 </w:t>
          </w:r>
          <w:r>
            <w:rPr>
              <w:rStyle w:val="38"/>
              <w:rFonts w:hint="eastAsia" w:asciiTheme="minorEastAsia" w:hAnsiTheme="minorEastAsia"/>
              <w:color w:val="000000" w:themeColor="text1"/>
              <w14:textFill>
                <w14:solidFill>
                  <w14:schemeClr w14:val="tx1"/>
                </w14:solidFill>
              </w14:textFill>
            </w:rPr>
            <w:t>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"_Toc76398644"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1.2 </w:t>
          </w:r>
          <w:r>
            <w:rPr>
              <w:rStyle w:val="38"/>
              <w:rFonts w:hint="eastAsia" w:asciiTheme="minorEastAsia" w:hAnsiTheme="minorEastAsia"/>
              <w:color w:val="000000" w:themeColor="text1"/>
              <w14:textFill>
                <w14:solidFill>
                  <w14:schemeClr w14:val="tx1"/>
                </w14:solidFill>
              </w14:textFill>
            </w:rPr>
            <w:t>语言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"_Toc76398645"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1.3 </w:t>
          </w:r>
          <w:r>
            <w:rPr>
              <w:rStyle w:val="38"/>
              <w:rFonts w:hint="eastAsia" w:asciiTheme="minorEastAsia" w:hAnsiTheme="minorEastAsia"/>
              <w:color w:val="000000" w:themeColor="text1"/>
              <w14:textFill>
                <w14:solidFill>
                  <w14:schemeClr w14:val="tx1"/>
                </w14:solidFill>
              </w14:textFill>
            </w:rPr>
            <w:t>合同文件的优先顺序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"_Toc76398646"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1.4 </w:t>
          </w:r>
          <w:r>
            <w:rPr>
              <w:rStyle w:val="38"/>
              <w:rFonts w:hint="eastAsia" w:asciiTheme="minorEastAsia" w:hAnsiTheme="minorEastAsia"/>
              <w:color w:val="000000" w:themeColor="text1"/>
              <w14:textFill>
                <w14:solidFill>
                  <w14:schemeClr w14:val="tx1"/>
                </w14:solidFill>
              </w14:textFill>
            </w:rPr>
            <w:t>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"_Toc76398647"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2.</w:t>
          </w:r>
          <w:r>
            <w:rPr>
              <w:rStyle w:val="38"/>
              <w:rFonts w:hint="eastAsia" w:asciiTheme="minorEastAsia" w:hAnsiTheme="minorEastAsia"/>
              <w:color w:val="000000" w:themeColor="text1"/>
              <w14:textFill>
                <w14:solidFill>
                  <w14:schemeClr w14:val="tx1"/>
                </w14:solidFill>
              </w14:textFill>
            </w:rPr>
            <w:t>委托人的义务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"_Toc76398648"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2.1 </w:t>
          </w:r>
          <w:r>
            <w:rPr>
              <w:rStyle w:val="38"/>
              <w:rFonts w:hint="eastAsia" w:asciiTheme="minorEastAsia" w:hAnsiTheme="minorEastAsia"/>
              <w:color w:val="000000" w:themeColor="text1"/>
              <w14:textFill>
                <w14:solidFill>
                  <w14:schemeClr w14:val="tx1"/>
                </w14:solidFill>
              </w14:textFill>
            </w:rPr>
            <w:t>提供资料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"_Toc76398649"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2.2 </w:t>
          </w:r>
          <w:r>
            <w:rPr>
              <w:rStyle w:val="38"/>
              <w:rFonts w:hint="eastAsia" w:asciiTheme="minorEastAsia" w:hAnsiTheme="minorEastAsia"/>
              <w:color w:val="000000" w:themeColor="text1"/>
              <w14:textFill>
                <w14:solidFill>
                  <w14:schemeClr w14:val="tx1"/>
                </w14:solidFill>
              </w14:textFill>
            </w:rPr>
            <w:t>提供工作条件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"_Toc76398650"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2.3 </w:t>
          </w:r>
          <w:r>
            <w:rPr>
              <w:rStyle w:val="38"/>
              <w:rFonts w:hint="eastAsia" w:asciiTheme="minorEastAsia" w:hAnsiTheme="minorEastAsia"/>
              <w:color w:val="000000" w:themeColor="text1"/>
              <w14:textFill>
                <w14:solidFill>
                  <w14:schemeClr w14:val="tx1"/>
                </w14:solidFill>
              </w14:textFill>
            </w:rPr>
            <w:t>合理工作时限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"_Toc76398651"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2.4 </w:t>
          </w:r>
          <w:r>
            <w:rPr>
              <w:rStyle w:val="38"/>
              <w:rFonts w:hint="eastAsia" w:asciiTheme="minorEastAsia" w:hAnsiTheme="minorEastAsia"/>
              <w:color w:val="000000" w:themeColor="text1"/>
              <w14:textFill>
                <w14:solidFill>
                  <w14:schemeClr w14:val="tx1"/>
                </w14:solidFill>
              </w14:textFill>
            </w:rPr>
            <w:t>委托人代表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"_Toc76398652"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2.5 </w:t>
          </w:r>
          <w:r>
            <w:rPr>
              <w:rStyle w:val="38"/>
              <w:rFonts w:hint="eastAsia" w:asciiTheme="minorEastAsia" w:hAnsiTheme="minorEastAsia"/>
              <w:color w:val="000000" w:themeColor="text1"/>
              <w14:textFill>
                <w14:solidFill>
                  <w14:schemeClr w14:val="tx1"/>
                </w14:solidFill>
              </w14:textFill>
            </w:rPr>
            <w:t>答复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"_Toc76398653"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2.6 </w:t>
          </w:r>
          <w:r>
            <w:rPr>
              <w:rStyle w:val="38"/>
              <w:rFonts w:hint="eastAsia" w:asciiTheme="minorEastAsia" w:hAnsiTheme="minorEastAsia"/>
              <w:color w:val="000000" w:themeColor="text1"/>
              <w14:textFill>
                <w14:solidFill>
                  <w14:schemeClr w14:val="tx1"/>
                </w14:solidFill>
              </w14:textFill>
            </w:rPr>
            <w:t>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"_Toc76398654"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3.</w:t>
          </w:r>
          <w:r>
            <w:rPr>
              <w:rStyle w:val="38"/>
              <w:rFonts w:hint="eastAsia" w:asciiTheme="minorEastAsia" w:hAnsiTheme="minorEastAsia"/>
              <w:color w:val="000000" w:themeColor="text1"/>
              <w14:textFill>
                <w14:solidFill>
                  <w14:schemeClr w14:val="tx1"/>
                </w14:solidFill>
              </w14:textFill>
            </w:rPr>
            <w:t>咨询人的义务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"_Toc76398655"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3.1 </w:t>
          </w:r>
          <w:r>
            <w:rPr>
              <w:rStyle w:val="38"/>
              <w:rFonts w:hint="eastAsia" w:asciiTheme="minorEastAsia" w:hAnsiTheme="minorEastAsia"/>
              <w:color w:val="000000" w:themeColor="text1"/>
              <w14:textFill>
                <w14:solidFill>
                  <w14:schemeClr w14:val="tx1"/>
                </w14:solidFill>
              </w14:textFill>
            </w:rPr>
            <w:t>项目咨询团队及人员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"_Toc76398656"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3.2 </w:t>
          </w:r>
          <w:r>
            <w:rPr>
              <w:rStyle w:val="38"/>
              <w:rFonts w:hint="eastAsia" w:asciiTheme="minorEastAsia" w:hAnsiTheme="minorEastAsia"/>
              <w:color w:val="000000" w:themeColor="text1"/>
              <w14:textFill>
                <w14:solidFill>
                  <w14:schemeClr w14:val="tx1"/>
                </w14:solidFill>
              </w14:textFill>
            </w:rPr>
            <w:t>咨询人的工作要求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"_Toc76398657"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3.3 </w:t>
          </w:r>
          <w:r>
            <w:rPr>
              <w:rStyle w:val="38"/>
              <w:rFonts w:hint="eastAsia" w:asciiTheme="minorEastAsia" w:hAnsiTheme="minorEastAsia"/>
              <w:color w:val="000000" w:themeColor="text1"/>
              <w14:textFill>
                <w14:solidFill>
                  <w14:schemeClr w14:val="tx1"/>
                </w14:solidFill>
              </w14:textFill>
            </w:rPr>
            <w:t>咨询人的工作依据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"_Toc76398658"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3.4 </w:t>
          </w:r>
          <w:r>
            <w:rPr>
              <w:rStyle w:val="38"/>
              <w:rFonts w:hint="eastAsia" w:asciiTheme="minorEastAsia" w:hAnsiTheme="minorEastAsia"/>
              <w:color w:val="000000" w:themeColor="text1"/>
              <w14:textFill>
                <w14:solidFill>
                  <w14:schemeClr w14:val="tx1"/>
                </w14:solidFill>
              </w14:textFill>
            </w:rPr>
            <w:t>使用委托人房屋及设备的返还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"_Toc76398659"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4.</w:t>
          </w:r>
          <w:r>
            <w:rPr>
              <w:rStyle w:val="38"/>
              <w:rFonts w:hint="eastAsia" w:asciiTheme="minorEastAsia" w:hAnsiTheme="minorEastAsia"/>
              <w:color w:val="000000" w:themeColor="text1"/>
              <w14:textFill>
                <w14:solidFill>
                  <w14:schemeClr w14:val="tx1"/>
                </w14:solidFill>
              </w14:textFill>
            </w:rPr>
            <w:t>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"_Toc76398660"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4.1 </w:t>
          </w:r>
          <w:r>
            <w:rPr>
              <w:rStyle w:val="38"/>
              <w:rFonts w:hint="eastAsia" w:asciiTheme="minorEastAsia" w:hAnsiTheme="minorEastAsia"/>
              <w:color w:val="000000" w:themeColor="text1"/>
              <w14:textFill>
                <w14:solidFill>
                  <w14:schemeClr w14:val="tx1"/>
                </w14:solidFill>
              </w14:textFill>
            </w:rPr>
            <w:t>委托人的违约责任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"_Toc76398661"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4.2 </w:t>
          </w:r>
          <w:r>
            <w:rPr>
              <w:rStyle w:val="38"/>
              <w:rFonts w:hint="eastAsia" w:asciiTheme="minorEastAsia" w:hAnsiTheme="minorEastAsia"/>
              <w:color w:val="000000" w:themeColor="text1"/>
              <w14:textFill>
                <w14:solidFill>
                  <w14:schemeClr w14:val="tx1"/>
                </w14:solidFill>
              </w14:textFill>
            </w:rPr>
            <w:t>咨询人的违约责任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"_Toc76398662"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5.</w:t>
          </w:r>
          <w:r>
            <w:rPr>
              <w:rStyle w:val="38"/>
              <w:rFonts w:hint="eastAsia" w:asciiTheme="minorEastAsia" w:hAnsiTheme="minorEastAsia"/>
              <w:color w:val="000000" w:themeColor="text1"/>
              <w14:textFill>
                <w14:solidFill>
                  <w14:schemeClr w14:val="tx1"/>
                </w14:solidFill>
              </w14:textFill>
            </w:rPr>
            <w:t>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"_Toc76398663"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5.1 </w:t>
          </w:r>
          <w:r>
            <w:rPr>
              <w:rStyle w:val="38"/>
              <w:rFonts w:hint="eastAsia" w:asciiTheme="minorEastAsia" w:hAnsiTheme="minorEastAsia"/>
              <w:color w:val="000000" w:themeColor="text1"/>
              <w14:textFill>
                <w14:solidFill>
                  <w14:schemeClr w14:val="tx1"/>
                </w14:solidFill>
              </w14:textFill>
            </w:rPr>
            <w:t>支付货币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"_Toc76398664"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5.2 </w:t>
          </w:r>
          <w:r>
            <w:rPr>
              <w:rStyle w:val="38"/>
              <w:rFonts w:hint="eastAsia" w:asciiTheme="minorEastAsia" w:hAnsiTheme="minorEastAsia"/>
              <w:color w:val="000000" w:themeColor="text1"/>
              <w14:textFill>
                <w14:solidFill>
                  <w14:schemeClr w14:val="tx1"/>
                </w14:solidFill>
              </w14:textFill>
            </w:rPr>
            <w:t>支付申请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"_Toc76398665"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5.3 </w:t>
          </w:r>
          <w:r>
            <w:rPr>
              <w:rStyle w:val="38"/>
              <w:rFonts w:hint="eastAsia" w:asciiTheme="minorEastAsia" w:hAnsiTheme="minorEastAsia"/>
              <w:color w:val="000000" w:themeColor="text1"/>
              <w14:textFill>
                <w14:solidFill>
                  <w14:schemeClr w14:val="tx1"/>
                </w14:solidFill>
              </w14:textFill>
            </w:rPr>
            <w:t>支付酬金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"_Toc76398666"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5.4 </w:t>
          </w:r>
          <w:r>
            <w:rPr>
              <w:rStyle w:val="38"/>
              <w:rFonts w:hint="eastAsia" w:asciiTheme="minorEastAsia" w:hAnsiTheme="minorEastAsia"/>
              <w:color w:val="000000" w:themeColor="text1"/>
              <w14:textFill>
                <w14:solidFill>
                  <w14:schemeClr w14:val="tx1"/>
                </w14:solidFill>
              </w14:textFill>
            </w:rPr>
            <w:t>有异议部分的支付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"_Toc76398667"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6.</w:t>
          </w:r>
          <w:r>
            <w:rPr>
              <w:rStyle w:val="38"/>
              <w:rFonts w:hint="eastAsia" w:asciiTheme="minorEastAsia" w:hAnsiTheme="minorEastAsia"/>
              <w:color w:val="000000" w:themeColor="text1"/>
              <w14:textFill>
                <w14:solidFill>
                  <w14:schemeClr w14:val="tx1"/>
                </w14:solidFill>
              </w14:textFill>
            </w:rPr>
            <w:t>合同变更、解除与终止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"_Toc76398668"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6.1 </w:t>
          </w:r>
          <w:r>
            <w:rPr>
              <w:rStyle w:val="38"/>
              <w:rFonts w:hint="eastAsia" w:asciiTheme="minorEastAsia" w:hAnsiTheme="minorEastAsia"/>
              <w:color w:val="000000" w:themeColor="text1"/>
              <w14:textFill>
                <w14:solidFill>
                  <w14:schemeClr w14:val="tx1"/>
                </w14:solidFill>
              </w14:textFill>
            </w:rPr>
            <w:t>合同变更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"_Toc76398669"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6.2 </w:t>
          </w:r>
          <w:r>
            <w:rPr>
              <w:rStyle w:val="38"/>
              <w:rFonts w:hint="eastAsia" w:asciiTheme="minorEastAsia" w:hAnsiTheme="minorEastAsia"/>
              <w:color w:val="000000" w:themeColor="text1"/>
              <w14:textFill>
                <w14:solidFill>
                  <w14:schemeClr w14:val="tx1"/>
                </w14:solidFill>
              </w14:textFill>
            </w:rPr>
            <w:t>合同解除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"_Toc76398670"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6.3 </w:t>
          </w:r>
          <w:r>
            <w:rPr>
              <w:rStyle w:val="38"/>
              <w:rFonts w:hint="eastAsia" w:asciiTheme="minorEastAsia" w:hAnsiTheme="minorEastAsia"/>
              <w:color w:val="000000" w:themeColor="text1"/>
              <w14:textFill>
                <w14:solidFill>
                  <w14:schemeClr w14:val="tx1"/>
                </w14:solidFill>
              </w14:textFill>
            </w:rPr>
            <w:t>合同终止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"_Toc76398671"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7.</w:t>
          </w:r>
          <w:r>
            <w:rPr>
              <w:rStyle w:val="38"/>
              <w:rFonts w:hint="eastAsia" w:asciiTheme="minorEastAsia" w:hAnsiTheme="minorEastAsia"/>
              <w:color w:val="000000" w:themeColor="text1"/>
              <w14:textFill>
                <w14:solidFill>
                  <w14:schemeClr w14:val="tx1"/>
                </w14:solidFill>
              </w14:textFill>
            </w:rPr>
            <w:t>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"_Toc76398672"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7.1 </w:t>
          </w:r>
          <w:r>
            <w:rPr>
              <w:rStyle w:val="38"/>
              <w:rFonts w:hint="eastAsia" w:asciiTheme="minorEastAsia" w:hAnsiTheme="minorEastAsia"/>
              <w:color w:val="000000" w:themeColor="text1"/>
              <w14:textFill>
                <w14:solidFill>
                  <w14:schemeClr w14:val="tx1"/>
                </w14:solidFill>
              </w14:textFill>
            </w:rPr>
            <w:t>协商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"_Toc76398673"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7.2 </w:t>
          </w:r>
          <w:r>
            <w:rPr>
              <w:rStyle w:val="38"/>
              <w:rFonts w:hint="eastAsia" w:asciiTheme="minorEastAsia" w:hAnsiTheme="minorEastAsia"/>
              <w:color w:val="000000" w:themeColor="text1"/>
              <w14:textFill>
                <w14:solidFill>
                  <w14:schemeClr w14:val="tx1"/>
                </w14:solidFill>
              </w14:textFill>
            </w:rPr>
            <w:t>调解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"_Toc76398674"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7.3 </w:t>
          </w:r>
          <w:r>
            <w:rPr>
              <w:rStyle w:val="38"/>
              <w:rFonts w:hint="eastAsia" w:asciiTheme="minorEastAsia" w:hAnsiTheme="minorEastAsia"/>
              <w:color w:val="000000" w:themeColor="text1"/>
              <w14:textFill>
                <w14:solidFill>
                  <w14:schemeClr w14:val="tx1"/>
                </w14:solidFill>
              </w14:textFill>
            </w:rPr>
            <w:t>仲裁或诉讼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"_Toc76398675"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8.</w:t>
          </w:r>
          <w:r>
            <w:rPr>
              <w:rStyle w:val="38"/>
              <w:rFonts w:hint="eastAsia" w:asciiTheme="minorEastAsia" w:hAnsiTheme="minorEastAsia"/>
              <w:color w:val="000000" w:themeColor="text1"/>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"_Toc76398676"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8.1 </w:t>
          </w:r>
          <w:r>
            <w:rPr>
              <w:rStyle w:val="38"/>
              <w:rFonts w:hint="eastAsia" w:asciiTheme="minorEastAsia" w:hAnsiTheme="minorEastAsia"/>
              <w:color w:val="000000" w:themeColor="text1"/>
              <w14:textFill>
                <w14:solidFill>
                  <w14:schemeClr w14:val="tx1"/>
                </w14:solidFill>
              </w14:textFill>
            </w:rPr>
            <w:t>考察及相关费用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"_Toc76398677"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8.2 </w:t>
          </w:r>
          <w:r>
            <w:rPr>
              <w:rStyle w:val="38"/>
              <w:rFonts w:hint="eastAsia" w:asciiTheme="minorEastAsia" w:hAnsiTheme="minorEastAsia"/>
              <w:color w:val="000000" w:themeColor="text1"/>
              <w14:textFill>
                <w14:solidFill>
                  <w14:schemeClr w14:val="tx1"/>
                </w14:solidFill>
              </w14:textFill>
            </w:rPr>
            <w:t>奖励</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"_Toc76398678"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8.3 </w:t>
          </w:r>
          <w:r>
            <w:rPr>
              <w:rStyle w:val="38"/>
              <w:rFonts w:hint="eastAsia" w:asciiTheme="minorEastAsia" w:hAnsiTheme="minorEastAsia"/>
              <w:color w:val="000000" w:themeColor="text1"/>
              <w14:textFill>
                <w14:solidFill>
                  <w14:schemeClr w14:val="tx1"/>
                </w14:solidFill>
              </w14:textFill>
            </w:rPr>
            <w:t>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"_Toc76398679"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8.4 </w:t>
          </w:r>
          <w:r>
            <w:rPr>
              <w:rStyle w:val="38"/>
              <w:rFonts w:hint="eastAsia" w:asciiTheme="minorEastAsia" w:hAnsiTheme="minorEastAsia"/>
              <w:color w:val="000000" w:themeColor="text1"/>
              <w14:textFill>
                <w14:solidFill>
                  <w14:schemeClr w14:val="tx1"/>
                </w14:solidFill>
              </w14:textFill>
            </w:rPr>
            <w:t>联络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"_Toc76398680"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8.5 </w:t>
          </w:r>
          <w:r>
            <w:rPr>
              <w:rStyle w:val="38"/>
              <w:rFonts w:hint="eastAsia" w:asciiTheme="minorEastAsia" w:hAnsiTheme="minorEastAsia"/>
              <w:color w:val="000000" w:themeColor="text1"/>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"_Toc76398681" </w:instrText>
          </w:r>
          <w:r>
            <w:rPr>
              <w:color w:val="000000" w:themeColor="text1"/>
              <w14:textFill>
                <w14:solidFill>
                  <w14:schemeClr w14:val="tx1"/>
                </w14:solidFill>
              </w14:textFill>
            </w:rPr>
            <w:fldChar w:fldCharType="separate"/>
          </w:r>
          <w:r>
            <w:rPr>
              <w:rStyle w:val="38"/>
              <w:rFonts w:hint="eastAsia" w:asciiTheme="minorEastAsia" w:hAnsiTheme="minorEastAsia"/>
              <w:b/>
              <w:color w:val="000000" w:themeColor="text1"/>
              <w14:textFill>
                <w14:solidFill>
                  <w14:schemeClr w14:val="tx1"/>
                </w14:solidFill>
              </w14:textFill>
            </w:rPr>
            <w:t>第三部分专用条件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"_Toc76398682"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1.</w:t>
          </w:r>
          <w:r>
            <w:rPr>
              <w:rStyle w:val="38"/>
              <w:rFonts w:hint="eastAsia" w:asciiTheme="minorEastAsia" w:hAnsiTheme="minorEastAsia"/>
              <w:color w:val="000000" w:themeColor="text1"/>
              <w14:textFill>
                <w14:solidFill>
                  <w14:schemeClr w14:val="tx1"/>
                </w14:solidFill>
              </w14:textFill>
            </w:rPr>
            <w:t>词语定义、语言、解释顺序与适用法律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"_Toc76398683"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1.2 </w:t>
          </w:r>
          <w:r>
            <w:rPr>
              <w:rStyle w:val="38"/>
              <w:rFonts w:hint="eastAsia" w:asciiTheme="minorEastAsia" w:hAnsiTheme="minorEastAsia"/>
              <w:color w:val="000000" w:themeColor="text1"/>
              <w14:textFill>
                <w14:solidFill>
                  <w14:schemeClr w14:val="tx1"/>
                </w14:solidFill>
              </w14:textFill>
            </w:rPr>
            <w:t>语言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"_Toc76398684"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1.3 </w:t>
          </w:r>
          <w:r>
            <w:rPr>
              <w:rStyle w:val="38"/>
              <w:rFonts w:hint="eastAsia" w:asciiTheme="minorEastAsia" w:hAnsiTheme="minorEastAsia"/>
              <w:color w:val="000000" w:themeColor="text1"/>
              <w14:textFill>
                <w14:solidFill>
                  <w14:schemeClr w14:val="tx1"/>
                </w14:solidFill>
              </w14:textFill>
            </w:rPr>
            <w:t>合同文件的优先顺序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"_Toc76398685"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1.4 </w:t>
          </w:r>
          <w:r>
            <w:rPr>
              <w:rStyle w:val="38"/>
              <w:rFonts w:hint="eastAsia" w:asciiTheme="minorEastAsia" w:hAnsiTheme="minorEastAsia"/>
              <w:color w:val="000000" w:themeColor="text1"/>
              <w14:textFill>
                <w14:solidFill>
                  <w14:schemeClr w14:val="tx1"/>
                </w14:solidFill>
              </w14:textFill>
            </w:rPr>
            <w:t>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"_Toc76398686"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2.</w:t>
          </w:r>
          <w:r>
            <w:rPr>
              <w:rStyle w:val="38"/>
              <w:rFonts w:hint="eastAsia" w:asciiTheme="minorEastAsia" w:hAnsiTheme="minorEastAsia"/>
              <w:color w:val="000000" w:themeColor="text1"/>
              <w14:textFill>
                <w14:solidFill>
                  <w14:schemeClr w14:val="tx1"/>
                </w14:solidFill>
              </w14:textFill>
            </w:rPr>
            <w:t>委托人的义务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"_Toc76398687"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2.1 </w:t>
          </w:r>
          <w:r>
            <w:rPr>
              <w:rStyle w:val="38"/>
              <w:rFonts w:hint="eastAsia" w:asciiTheme="minorEastAsia" w:hAnsiTheme="minorEastAsia"/>
              <w:color w:val="000000" w:themeColor="text1"/>
              <w14:textFill>
                <w14:solidFill>
                  <w14:schemeClr w14:val="tx1"/>
                </w14:solidFill>
              </w14:textFill>
            </w:rPr>
            <w:t>提供资料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"_Toc76398688"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2.2 </w:t>
          </w:r>
          <w:r>
            <w:rPr>
              <w:rStyle w:val="38"/>
              <w:rFonts w:hint="eastAsia" w:asciiTheme="minorEastAsia" w:hAnsiTheme="minorEastAsia"/>
              <w:color w:val="000000" w:themeColor="text1"/>
              <w14:textFill>
                <w14:solidFill>
                  <w14:schemeClr w14:val="tx1"/>
                </w14:solidFill>
              </w14:textFill>
            </w:rPr>
            <w:t>提供工作条件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"_Toc76398689"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2.4 </w:t>
          </w:r>
          <w:r>
            <w:rPr>
              <w:rStyle w:val="38"/>
              <w:rFonts w:hint="eastAsia" w:asciiTheme="minorEastAsia" w:hAnsiTheme="minorEastAsia"/>
              <w:color w:val="000000" w:themeColor="text1"/>
              <w14:textFill>
                <w14:solidFill>
                  <w14:schemeClr w14:val="tx1"/>
                </w14:solidFill>
              </w14:textFill>
            </w:rPr>
            <w:t>委托人代表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"_Toc76398690"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2.5 </w:t>
          </w:r>
          <w:r>
            <w:rPr>
              <w:rStyle w:val="38"/>
              <w:rFonts w:hint="eastAsia" w:asciiTheme="minorEastAsia" w:hAnsiTheme="minorEastAsia"/>
              <w:color w:val="000000" w:themeColor="text1"/>
              <w14:textFill>
                <w14:solidFill>
                  <w14:schemeClr w14:val="tx1"/>
                </w14:solidFill>
              </w14:textFill>
            </w:rPr>
            <w:t>答复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"_Toc76398691"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3.</w:t>
          </w:r>
          <w:r>
            <w:rPr>
              <w:rStyle w:val="38"/>
              <w:rFonts w:hint="eastAsia" w:asciiTheme="minorEastAsia" w:hAnsiTheme="minorEastAsia"/>
              <w:color w:val="000000" w:themeColor="text1"/>
              <w14:textFill>
                <w14:solidFill>
                  <w14:schemeClr w14:val="tx1"/>
                </w14:solidFill>
              </w14:textFill>
            </w:rPr>
            <w:t>咨询人的义务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"_Toc76398692"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3.1 </w:t>
          </w:r>
          <w:r>
            <w:rPr>
              <w:rStyle w:val="38"/>
              <w:rFonts w:hint="eastAsia" w:asciiTheme="minorEastAsia" w:hAnsiTheme="minorEastAsia"/>
              <w:color w:val="000000" w:themeColor="text1"/>
              <w14:textFill>
                <w14:solidFill>
                  <w14:schemeClr w14:val="tx1"/>
                </w14:solidFill>
              </w14:textFill>
            </w:rPr>
            <w:t>项目咨询团队及人员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"_Toc76398693"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3.2 </w:t>
          </w:r>
          <w:r>
            <w:rPr>
              <w:rStyle w:val="38"/>
              <w:rFonts w:hint="eastAsia" w:asciiTheme="minorEastAsia" w:hAnsiTheme="minorEastAsia"/>
              <w:color w:val="000000" w:themeColor="text1"/>
              <w14:textFill>
                <w14:solidFill>
                  <w14:schemeClr w14:val="tx1"/>
                </w14:solidFill>
              </w14:textFill>
            </w:rPr>
            <w:t>咨询人的工作要求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"_Toc76398694"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3.3 </w:t>
          </w:r>
          <w:r>
            <w:rPr>
              <w:rStyle w:val="38"/>
              <w:rFonts w:hint="eastAsia" w:asciiTheme="minorEastAsia" w:hAnsiTheme="minorEastAsia"/>
              <w:color w:val="000000" w:themeColor="text1"/>
              <w14:textFill>
                <w14:solidFill>
                  <w14:schemeClr w14:val="tx1"/>
                </w14:solidFill>
              </w14:textFill>
            </w:rPr>
            <w:t>咨询人的工作依据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"_Toc76398695"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3.4 </w:t>
          </w:r>
          <w:r>
            <w:rPr>
              <w:rStyle w:val="38"/>
              <w:rFonts w:hint="eastAsia" w:asciiTheme="minorEastAsia" w:hAnsiTheme="minorEastAsia"/>
              <w:color w:val="000000" w:themeColor="text1"/>
              <w14:textFill>
                <w14:solidFill>
                  <w14:schemeClr w14:val="tx1"/>
                </w14:solidFill>
              </w14:textFill>
            </w:rPr>
            <w:t>使用委托人房屋及设备的返还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"_Toc76398696"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4. </w:t>
          </w:r>
          <w:r>
            <w:rPr>
              <w:rStyle w:val="38"/>
              <w:rFonts w:hint="eastAsia" w:asciiTheme="minorEastAsia" w:hAnsiTheme="minorEastAsia"/>
              <w:color w:val="000000" w:themeColor="text1"/>
              <w14:textFill>
                <w14:solidFill>
                  <w14:schemeClr w14:val="tx1"/>
                </w14:solidFill>
              </w14:textFill>
            </w:rPr>
            <w:t>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"_Toc76398697"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4.1 </w:t>
          </w:r>
          <w:r>
            <w:rPr>
              <w:rStyle w:val="38"/>
              <w:rFonts w:hint="eastAsia" w:asciiTheme="minorEastAsia" w:hAnsiTheme="minorEastAsia"/>
              <w:color w:val="000000" w:themeColor="text1"/>
              <w14:textFill>
                <w14:solidFill>
                  <w14:schemeClr w14:val="tx1"/>
                </w14:solidFill>
              </w14:textFill>
            </w:rPr>
            <w:t>委托人的违约责任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"_Toc76398698"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4.2 </w:t>
          </w:r>
          <w:r>
            <w:rPr>
              <w:rStyle w:val="38"/>
              <w:rFonts w:hint="eastAsia" w:asciiTheme="minorEastAsia" w:hAnsiTheme="minorEastAsia"/>
              <w:color w:val="000000" w:themeColor="text1"/>
              <w14:textFill>
                <w14:solidFill>
                  <w14:schemeClr w14:val="tx1"/>
                </w14:solidFill>
              </w14:textFill>
            </w:rPr>
            <w:t>咨询人的违约责任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"_Toc76398699"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5. </w:t>
          </w:r>
          <w:r>
            <w:rPr>
              <w:rStyle w:val="38"/>
              <w:rFonts w:hint="eastAsia" w:asciiTheme="minorEastAsia" w:hAnsiTheme="minorEastAsia"/>
              <w:color w:val="000000" w:themeColor="text1"/>
              <w14:textFill>
                <w14:solidFill>
                  <w14:schemeClr w14:val="tx1"/>
                </w14:solidFill>
              </w14:textFill>
            </w:rPr>
            <w:t>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_Toc76398699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"_Toc76398700"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5.1 </w:t>
          </w:r>
          <w:r>
            <w:rPr>
              <w:rStyle w:val="38"/>
              <w:rFonts w:hint="eastAsia" w:asciiTheme="minorEastAsia" w:hAnsiTheme="minorEastAsia"/>
              <w:color w:val="000000" w:themeColor="text1"/>
              <w14:textFill>
                <w14:solidFill>
                  <w14:schemeClr w14:val="tx1"/>
                </w14:solidFill>
              </w14:textFill>
            </w:rPr>
            <w:t>支付货币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"_Toc76398701"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5.2 </w:t>
          </w:r>
          <w:r>
            <w:rPr>
              <w:rStyle w:val="38"/>
              <w:rFonts w:hint="eastAsia" w:asciiTheme="minorEastAsia" w:hAnsiTheme="minorEastAsia"/>
              <w:color w:val="000000" w:themeColor="text1"/>
              <w14:textFill>
                <w14:solidFill>
                  <w14:schemeClr w14:val="tx1"/>
                </w14:solidFill>
              </w14:textFill>
            </w:rPr>
            <w:t>支付申请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"_Toc76398702"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5.3 </w:t>
          </w:r>
          <w:r>
            <w:rPr>
              <w:rStyle w:val="38"/>
              <w:rFonts w:hint="eastAsia" w:asciiTheme="minorEastAsia" w:hAnsiTheme="minorEastAsia"/>
              <w:color w:val="000000" w:themeColor="text1"/>
              <w14:textFill>
                <w14:solidFill>
                  <w14:schemeClr w14:val="tx1"/>
                </w14:solidFill>
              </w14:textFill>
            </w:rPr>
            <w:t>支付酬金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"_Toc76398703"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6. </w:t>
          </w:r>
          <w:r>
            <w:rPr>
              <w:rStyle w:val="38"/>
              <w:rFonts w:hint="eastAsia" w:asciiTheme="minorEastAsia" w:hAnsiTheme="minorEastAsia"/>
              <w:color w:val="000000" w:themeColor="text1"/>
              <w14:textFill>
                <w14:solidFill>
                  <w14:schemeClr w14:val="tx1"/>
                </w14:solidFill>
              </w14:textFill>
            </w:rPr>
            <w:t>合同变更、解除与终止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"_Toc76398704"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6.1 </w:t>
          </w:r>
          <w:r>
            <w:rPr>
              <w:rStyle w:val="38"/>
              <w:rFonts w:hint="eastAsia" w:asciiTheme="minorEastAsia" w:hAnsiTheme="minorEastAsia"/>
              <w:color w:val="000000" w:themeColor="text1"/>
              <w14:textFill>
                <w14:solidFill>
                  <w14:schemeClr w14:val="tx1"/>
                </w14:solidFill>
              </w14:textFill>
            </w:rPr>
            <w:t>合同变更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"_Toc76398705"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6.2 </w:t>
          </w:r>
          <w:r>
            <w:rPr>
              <w:rStyle w:val="38"/>
              <w:rFonts w:hint="eastAsia" w:asciiTheme="minorEastAsia" w:hAnsiTheme="minorEastAsia"/>
              <w:color w:val="000000" w:themeColor="text1"/>
              <w14:textFill>
                <w14:solidFill>
                  <w14:schemeClr w14:val="tx1"/>
                </w14:solidFill>
              </w14:textFill>
            </w:rPr>
            <w:t>合同解除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"_Toc76398706"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7. </w:t>
          </w:r>
          <w:r>
            <w:rPr>
              <w:rStyle w:val="38"/>
              <w:rFonts w:hint="eastAsia" w:asciiTheme="minorEastAsia" w:hAnsiTheme="minorEastAsia"/>
              <w:color w:val="000000" w:themeColor="text1"/>
              <w14:textFill>
                <w14:solidFill>
                  <w14:schemeClr w14:val="tx1"/>
                </w14:solidFill>
              </w14:textFill>
            </w:rPr>
            <w:t>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"_Toc76398707"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7.2 </w:t>
          </w:r>
          <w:r>
            <w:rPr>
              <w:rStyle w:val="38"/>
              <w:rFonts w:hint="eastAsia" w:asciiTheme="minorEastAsia" w:hAnsiTheme="minorEastAsia"/>
              <w:color w:val="000000" w:themeColor="text1"/>
              <w14:textFill>
                <w14:solidFill>
                  <w14:schemeClr w14:val="tx1"/>
                </w14:solidFill>
              </w14:textFill>
            </w:rPr>
            <w:t>调解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"_Toc76398708"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7.3 </w:t>
          </w:r>
          <w:r>
            <w:rPr>
              <w:rStyle w:val="38"/>
              <w:rFonts w:hint="eastAsia" w:asciiTheme="minorEastAsia" w:hAnsiTheme="minorEastAsia"/>
              <w:color w:val="000000" w:themeColor="text1"/>
              <w14:textFill>
                <w14:solidFill>
                  <w14:schemeClr w14:val="tx1"/>
                </w14:solidFill>
              </w14:textFill>
            </w:rPr>
            <w:t>仲裁或诉讼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"_Toc76398709"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 </w:t>
          </w:r>
          <w:r>
            <w:rPr>
              <w:rStyle w:val="38"/>
              <w:rFonts w:hint="eastAsia" w:asciiTheme="minorEastAsia" w:hAnsiTheme="minorEastAsia"/>
              <w:color w:val="000000" w:themeColor="text1"/>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"_Toc76398710"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8.1 </w:t>
          </w:r>
          <w:r>
            <w:rPr>
              <w:rStyle w:val="38"/>
              <w:rFonts w:hint="eastAsia" w:asciiTheme="minorEastAsia" w:hAnsiTheme="minorEastAsia"/>
              <w:color w:val="000000" w:themeColor="text1"/>
              <w14:textFill>
                <w14:solidFill>
                  <w14:schemeClr w14:val="tx1"/>
                </w14:solidFill>
              </w14:textFill>
            </w:rPr>
            <w:t>考察及相关费用咨询人经委托人同意进行考察发生的费用由</w:t>
          </w:r>
          <w:r>
            <w:rPr>
              <w:rStyle w:val="38"/>
              <w:rFonts w:asciiTheme="minorEastAsia" w:hAnsiTheme="minorEastAsia"/>
              <w:color w:val="000000" w:themeColor="text1"/>
              <w14:textFill>
                <w14:solidFill>
                  <w14:schemeClr w14:val="tx1"/>
                </w14:solidFill>
              </w14:textFill>
            </w:rPr>
            <w:t xml:space="preserve">  /  </w:t>
          </w:r>
          <w:r>
            <w:rPr>
              <w:rStyle w:val="38"/>
              <w:rFonts w:hint="eastAsia" w:asciiTheme="minorEastAsia" w:hAnsiTheme="minorEastAsia"/>
              <w:color w:val="000000" w:themeColor="text1"/>
              <w14:textFill>
                <w14:solidFill>
                  <w14:schemeClr w14:val="tx1"/>
                </w14:solidFill>
              </w14:textFill>
            </w:rPr>
            <w:t>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"_Toc76398711"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8.2 </w:t>
          </w:r>
          <w:r>
            <w:rPr>
              <w:rStyle w:val="38"/>
              <w:rFonts w:hint="eastAsia" w:asciiTheme="minorEastAsia" w:hAnsiTheme="minorEastAsia"/>
              <w:color w:val="000000" w:themeColor="text1"/>
              <w14:textFill>
                <w14:solidFill>
                  <w14:schemeClr w14:val="tx1"/>
                </w14:solidFill>
              </w14:textFill>
            </w:rPr>
            <w:t>奖励</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"_Toc76398712"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8.3 </w:t>
          </w:r>
          <w:r>
            <w:rPr>
              <w:rStyle w:val="38"/>
              <w:rFonts w:hint="eastAsia" w:asciiTheme="minorEastAsia" w:hAnsiTheme="minorEastAsia"/>
              <w:color w:val="000000" w:themeColor="text1"/>
              <w14:textFill>
                <w14:solidFill>
                  <w14:schemeClr w14:val="tx1"/>
                </w14:solidFill>
              </w14:textFill>
            </w:rPr>
            <w:t>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"_Toc76398713"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8.4 </w:t>
          </w:r>
          <w:r>
            <w:rPr>
              <w:rStyle w:val="38"/>
              <w:rFonts w:hint="eastAsia" w:asciiTheme="minorEastAsia" w:hAnsiTheme="minorEastAsia"/>
              <w:color w:val="000000" w:themeColor="text1"/>
              <w14:textFill>
                <w14:solidFill>
                  <w14:schemeClr w14:val="tx1"/>
                </w14:solidFill>
              </w14:textFill>
            </w:rPr>
            <w:t>联络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"_Toc76398714"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 xml:space="preserve">8.5 </w:t>
          </w:r>
          <w:r>
            <w:rPr>
              <w:rStyle w:val="38"/>
              <w:rFonts w:hint="eastAsia" w:asciiTheme="minorEastAsia" w:hAnsiTheme="minorEastAsia"/>
              <w:color w:val="000000" w:themeColor="text1"/>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"_Toc76398715" </w:instrText>
          </w:r>
          <w:r>
            <w:rPr>
              <w:color w:val="000000" w:themeColor="text1"/>
              <w14:textFill>
                <w14:solidFill>
                  <w14:schemeClr w14:val="tx1"/>
                </w14:solidFill>
              </w14:textFill>
            </w:rPr>
            <w:fldChar w:fldCharType="separate"/>
          </w:r>
          <w:r>
            <w:rPr>
              <w:rStyle w:val="38"/>
              <w:rFonts w:asciiTheme="minorEastAsia" w:hAnsiTheme="minorEastAsia"/>
              <w:color w:val="000000" w:themeColor="text1"/>
              <w14:textFill>
                <w14:solidFill>
                  <w14:schemeClr w14:val="tx1"/>
                </w14:solidFill>
              </w14:textFill>
            </w:rPr>
            <w:t>9.</w:t>
          </w:r>
          <w:r>
            <w:rPr>
              <w:rStyle w:val="38"/>
              <w:rFonts w:hint="eastAsia" w:asciiTheme="minorEastAsia" w:hAnsiTheme="minorEastAsia"/>
              <w:color w:val="000000" w:themeColor="text1"/>
              <w14:textFill>
                <w14:solidFill>
                  <w14:schemeClr w14:val="tx1"/>
                </w14:solidFill>
              </w14:textFill>
            </w:rPr>
            <w:t>补充条款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"_Toc76398716" </w:instrText>
          </w:r>
          <w:r>
            <w:rPr>
              <w:color w:val="000000" w:themeColor="text1"/>
              <w14:textFill>
                <w14:solidFill>
                  <w14:schemeClr w14:val="tx1"/>
                </w14:solidFill>
              </w14:textFill>
            </w:rPr>
            <w:fldChar w:fldCharType="separate"/>
          </w:r>
          <w:r>
            <w:rPr>
              <w:rStyle w:val="38"/>
              <w:rFonts w:hint="eastAsia"/>
              <w:color w:val="000000" w:themeColor="text1"/>
              <w14:textFill>
                <w14:solidFill>
                  <w14:schemeClr w14:val="tx1"/>
                </w14:solidFill>
              </w14:textFill>
            </w:rPr>
            <w:t>附录</w:t>
          </w:r>
          <w:r>
            <w:rPr>
              <w:rStyle w:val="38"/>
              <w:color w:val="000000" w:themeColor="text1"/>
              <w14:textFill>
                <w14:solidFill>
                  <w14:schemeClr w14:val="tx1"/>
                </w14:solidFill>
              </w14:textFill>
            </w:rPr>
            <w:t xml:space="preserve"> A</w:t>
          </w:r>
          <w:r>
            <w:rPr>
              <w:rFonts w:hint="eastAsia"/>
              <w:color w:val="000000" w:themeColor="text1"/>
              <w14:textFill>
                <w14:solidFill>
                  <w14:schemeClr w14:val="tx1"/>
                </w14:solidFill>
              </w14:textFill>
            </w:rPr>
            <w:t>咨询人人员配置一览表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"_Toc76398717" </w:instrText>
          </w:r>
          <w:r>
            <w:rPr>
              <w:color w:val="000000" w:themeColor="text1"/>
              <w14:textFill>
                <w14:solidFill>
                  <w14:schemeClr w14:val="tx1"/>
                </w14:solidFill>
              </w14:textFill>
            </w:rPr>
            <w:fldChar w:fldCharType="separate"/>
          </w:r>
          <w:r>
            <w:rPr>
              <w:rStyle w:val="38"/>
              <w:rFonts w:hint="eastAsia"/>
              <w:color w:val="000000" w:themeColor="text1"/>
              <w14:textFill>
                <w14:solidFill>
                  <w14:schemeClr w14:val="tx1"/>
                </w14:solidFill>
              </w14:textFill>
            </w:rPr>
            <w:t>附录</w:t>
          </w:r>
          <w:r>
            <w:rPr>
              <w:rStyle w:val="38"/>
              <w:color w:val="000000" w:themeColor="text1"/>
              <w14:textFill>
                <w14:solidFill>
                  <w14:schemeClr w14:val="tx1"/>
                </w14:solidFill>
              </w14:textFill>
            </w:rPr>
            <w:t xml:space="preserve"> B </w:t>
          </w:r>
          <w:r>
            <w:rPr>
              <w:rStyle w:val="38"/>
              <w:rFonts w:hint="eastAsia"/>
              <w:color w:val="000000" w:themeColor="text1"/>
              <w14:textFill>
                <w14:solidFill>
                  <w14:schemeClr w14:val="tx1"/>
                </w14:solidFill>
              </w14:textFill>
            </w:rPr>
            <w:t>咨询人提交成果文件一览表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720"/>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"_Toc76398718" </w:instrText>
          </w:r>
          <w:r>
            <w:rPr>
              <w:color w:val="000000" w:themeColor="text1"/>
              <w14:textFill>
                <w14:solidFill>
                  <w14:schemeClr w14:val="tx1"/>
                </w14:solidFill>
              </w14:textFill>
            </w:rPr>
            <w:fldChar w:fldCharType="separate"/>
          </w:r>
          <w:r>
            <w:rPr>
              <w:rStyle w:val="38"/>
              <w:rFonts w:hint="eastAsia"/>
              <w:color w:val="000000" w:themeColor="text1"/>
              <w14:textFill>
                <w14:solidFill>
                  <w14:schemeClr w14:val="tx1"/>
                </w14:solidFill>
              </w14:textFill>
            </w:rPr>
            <w:t>附录</w:t>
          </w:r>
          <w:r>
            <w:rPr>
              <w:rStyle w:val="38"/>
              <w:color w:val="000000" w:themeColor="text1"/>
              <w14:textFill>
                <w14:solidFill>
                  <w14:schemeClr w14:val="tx1"/>
                </w14:solidFill>
              </w14:textFill>
            </w:rPr>
            <w:t xml:space="preserve"> C</w:t>
          </w:r>
          <w:r>
            <w:rPr>
              <w:rStyle w:val="38"/>
              <w:rFonts w:hint="eastAsia"/>
              <w:color w:val="000000" w:themeColor="text1"/>
              <w14:textFill>
                <w14:solidFill>
                  <w14:schemeClr w14:val="tx1"/>
                </w14:solidFill>
              </w14:textFill>
            </w:rPr>
            <w:t>委托人提供资料一览表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_Toc76398718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sdtContent>
    </w:sdt>
    <w:p>
      <w:pPr>
        <w:spacing w:line="360" w:lineRule="auto"/>
        <w:ind w:firstLine="643"/>
        <w:jc w:val="center"/>
        <w:outlineLvl w:val="0"/>
        <w:rPr>
          <w:rFonts w:hint="eastAsia"/>
          <w:b/>
          <w:color w:val="000000" w:themeColor="text1"/>
          <w:sz w:val="32"/>
          <w:szCs w:val="32"/>
          <w14:textFill>
            <w14:solidFill>
              <w14:schemeClr w14:val="tx1"/>
            </w14:solidFill>
          </w14:textFill>
        </w:rPr>
      </w:pPr>
      <w:bookmarkStart w:id="676" w:name="_Toc76398630"/>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rFonts w:hint="eastAsia"/>
          <w:b/>
          <w:color w:val="000000" w:themeColor="text1"/>
          <w:sz w:val="32"/>
          <w:szCs w:val="32"/>
          <w14:textFill>
            <w14:solidFill>
              <w14:schemeClr w14:val="tx1"/>
            </w14:solidFill>
          </w14:textFill>
        </w:rPr>
      </w:pPr>
    </w:p>
    <w:p>
      <w:pPr>
        <w:spacing w:line="360" w:lineRule="auto"/>
        <w:jc w:val="both"/>
        <w:outlineLvl w:val="0"/>
        <w:rPr>
          <w:rFonts w:hint="eastAsia"/>
          <w:b/>
          <w:color w:val="000000" w:themeColor="text1"/>
          <w:sz w:val="32"/>
          <w:szCs w:val="32"/>
          <w14:textFill>
            <w14:solidFill>
              <w14:schemeClr w14:val="tx1"/>
            </w14:solidFill>
          </w14:textFill>
        </w:rPr>
      </w:pPr>
    </w:p>
    <w:p>
      <w:pPr>
        <w:spacing w:line="360" w:lineRule="auto"/>
        <w:ind w:firstLine="643"/>
        <w:jc w:val="center"/>
        <w:outlineLvl w:val="0"/>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第一部分 协议书</w:t>
      </w:r>
      <w:bookmarkEnd w:id="676"/>
    </w:p>
    <w:p>
      <w:pPr>
        <w:spacing w:line="360" w:lineRule="auto"/>
        <w:ind w:firstLine="480" w:firstLineChars="200"/>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委托人（全称）：</w:t>
      </w:r>
      <w:r>
        <w:rPr>
          <w:rFonts w:hint="eastAsia" w:asciiTheme="minorEastAsia" w:hAnsiTheme="minorEastAsia"/>
          <w:color w:val="000000" w:themeColor="text1"/>
          <w:sz w:val="24"/>
          <w:szCs w:val="24"/>
          <w:u w:val="single"/>
          <w14:textFill>
            <w14:solidFill>
              <w14:schemeClr w14:val="tx1"/>
            </w14:solidFill>
          </w14:textFill>
        </w:rPr>
        <w:t xml:space="preserve">                     </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咨询人（全称）：</w:t>
      </w:r>
      <w:r>
        <w:rPr>
          <w:rFonts w:hint="eastAsia" w:asciiTheme="minorEastAsia" w:hAnsiTheme="minorEastAsia"/>
          <w:color w:val="000000" w:themeColor="text1"/>
          <w:sz w:val="24"/>
          <w:szCs w:val="24"/>
          <w:u w:val="single"/>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根据《中华人民共和国民法典》及其他有关法律、法规，遵循平等、自愿、公平和诚实信用的原则，双方就下述建设工程委托造价咨询与其他服务事项协商一致，订立本合同。</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77" w:name="_Toc76398631"/>
      <w:r>
        <w:rPr>
          <w:rFonts w:hint="eastAsia" w:asciiTheme="minorEastAsia" w:hAnsiTheme="minorEastAsia"/>
          <w:color w:val="000000" w:themeColor="text1"/>
          <w:sz w:val="24"/>
          <w:szCs w:val="24"/>
          <w14:textFill>
            <w14:solidFill>
              <w14:schemeClr w14:val="tx1"/>
            </w14:solidFill>
          </w14:textFill>
        </w:rPr>
        <w:t>一、工程概况</w:t>
      </w:r>
      <w:bookmarkEnd w:id="677"/>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1.工程名称：</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2.工程地点：</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宋体" w:hAnsi="宋体"/>
          <w:snapToGrid w:val="0"/>
          <w:color w:val="000000" w:themeColor="text1"/>
          <w:kern w:val="0"/>
          <w:sz w:val="24"/>
          <w14:textFill>
            <w14:solidFill>
              <w14:schemeClr w14:val="tx1"/>
            </w14:solidFill>
          </w14:textFill>
        </w:rPr>
        <w:t xml:space="preserve">                         </w:t>
      </w:r>
    </w:p>
    <w:p>
      <w:pPr>
        <w:adjustRightInd w:val="0"/>
        <w:snapToGrid w:val="0"/>
        <w:spacing w:line="360" w:lineRule="auto"/>
        <w:ind w:firstLine="475" w:firstLineChars="198"/>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3.工程规模：</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宋体" w:hAnsi="宋体"/>
          <w:snapToGrid w:val="0"/>
          <w:color w:val="000000" w:themeColor="text1"/>
          <w:kern w:val="0"/>
          <w:sz w:val="24"/>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4.投资金额：</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万元。</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5.资金来源：</w:t>
      </w:r>
      <w:r>
        <w:rPr>
          <w:rFonts w:hint="eastAsia" w:asciiTheme="minorEastAsia" w:hAnsiTheme="minorEastAsia"/>
          <w:color w:val="000000" w:themeColor="text1"/>
          <w:sz w:val="24"/>
          <w:szCs w:val="24"/>
          <w:u w:val="single"/>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6.建设工期或周期：</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日历天。</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7.其他：</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78" w:name="_Toc76398632"/>
      <w:r>
        <w:rPr>
          <w:rFonts w:hint="eastAsia" w:asciiTheme="minorEastAsia" w:hAnsiTheme="minorEastAsia"/>
          <w:color w:val="000000" w:themeColor="text1"/>
          <w:sz w:val="24"/>
          <w:szCs w:val="24"/>
          <w14:textFill>
            <w14:solidFill>
              <w14:schemeClr w14:val="tx1"/>
            </w14:solidFill>
          </w14:textFill>
        </w:rPr>
        <w:t>二、服务范围及工作内容</w:t>
      </w:r>
      <w:bookmarkEnd w:id="678"/>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双方约定的服务范围及工作内容：</w:t>
      </w:r>
      <w:r>
        <w:rPr>
          <w:rFonts w:hint="eastAsia" w:asciiTheme="minorEastAsia" w:hAnsiTheme="minorEastAsia"/>
          <w:color w:val="000000" w:themeColor="text1"/>
          <w:sz w:val="24"/>
          <w:szCs w:val="24"/>
          <w:u w:val="single"/>
          <w14:textFill>
            <w14:solidFill>
              <w14:schemeClr w14:val="tx1"/>
            </w14:solidFill>
          </w14:textFill>
        </w:rPr>
        <w:t>根据委托项目有关资料，依据国家及行业现行规定、规范、设计图纸、合同等资料文件完成本项目的</w:t>
      </w:r>
      <w:r>
        <w:rPr>
          <w:rFonts w:hint="eastAsia" w:asciiTheme="minorEastAsia" w:hAnsiTheme="minorEastAsia"/>
          <w:color w:val="000000" w:themeColor="text1"/>
          <w:sz w:val="24"/>
          <w:szCs w:val="24"/>
          <w:u w:val="single"/>
          <w14:textFill>
            <w14:solidFill>
              <w14:schemeClr w14:val="tx1"/>
            </w14:solidFill>
          </w14:textFill>
        </w:rPr>
        <w:t>施工阶段工程造价全过程控制服务</w:t>
      </w:r>
      <w:r>
        <w:rPr>
          <w:rFonts w:hint="eastAsia" w:asciiTheme="minorEastAsia" w:hAnsiTheme="minorEastAsia"/>
          <w:color w:val="000000" w:themeColor="text1"/>
          <w:sz w:val="24"/>
          <w:szCs w:val="24"/>
          <w:u w:val="single"/>
          <w14:textFill>
            <w14:solidFill>
              <w14:schemeClr w14:val="tx1"/>
            </w14:solidFill>
          </w14:textFill>
        </w:rPr>
        <w:t>。内容包括但不限于完成：</w:t>
      </w:r>
    </w:p>
    <w:p>
      <w:pPr>
        <w:spacing w:line="360" w:lineRule="auto"/>
        <w:ind w:firstLine="480" w:firstLineChars="200"/>
        <w:outlineLvl w:val="0"/>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A</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施工阶段工程造价全过程控制：</w:t>
      </w:r>
      <w:r>
        <w:rPr>
          <w:rFonts w:hint="eastAsia" w:asciiTheme="minorEastAsia" w:hAnsiTheme="minorEastAsia"/>
          <w:color w:val="000000" w:themeColor="text1"/>
          <w:sz w:val="24"/>
          <w:szCs w:val="24"/>
          <w:u w:val="single"/>
          <w14:textFill>
            <w14:solidFill>
              <w14:schemeClr w14:val="tx1"/>
            </w14:solidFill>
          </w14:textFill>
        </w:rPr>
        <w:t>编制工程造价咨询（计划）方案，编制工程造价报表包括跟踪审核、月报、季报和年报，每周书面汇报施工投资进度进展情况；工程洽谈、施工方案的经济评价、进行投资分析、风险控制、提出合理化方案建议；设计变更的经济分析、造价测算、招标采购项目限价编制；参与施工阶段的现场计量、现场签证、新增项目的价格审核及评价、建筑安装材料设备认（审）价；工程进度款审核、提供工程索赔和反索赔咨询；办理工程结算，结算办理原则上应钻芯取样，结合现场实施情况出具结算审核报告；提供编制审核依据及对工程造价进行全过程控制的工作总结和有关工程造价的相关信息；根据结算审核报告分析工程经济指标和进行后评估分析；建立相应的台账、有关工程造价信息及法规等咨询、完工后结算审核等与造价控制有关的其他服务工作及配合项目审计。接受造价方面的口头咨询和委托人要求咨询的其它事项。</w:t>
      </w:r>
    </w:p>
    <w:p>
      <w:pPr>
        <w:spacing w:line="360" w:lineRule="auto"/>
        <w:ind w:firstLine="480" w:firstLineChars="200"/>
        <w:outlineLvl w:val="0"/>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B</w:t>
      </w:r>
      <w:r>
        <w:rPr>
          <w:rFonts w:hint="eastAsia" w:asciiTheme="minorEastAsia" w:hAnsiTheme="minorEastAsia"/>
          <w:color w:val="000000" w:themeColor="text1"/>
          <w:sz w:val="24"/>
          <w:szCs w:val="24"/>
          <w14:textFill>
            <w14:solidFill>
              <w14:schemeClr w14:val="tx1"/>
            </w14:solidFill>
          </w14:textFill>
        </w:rPr>
        <w:t>：施工阶段工程造价全过程控制合同范围内应完成的其他工作：工程建设其他费结算审核（如有）</w:t>
      </w:r>
      <w:r>
        <w:rPr>
          <w:rFonts w:hint="eastAsia" w:asciiTheme="minorEastAsia" w:hAnsiTheme="minorEastAsia"/>
          <w:color w:val="000000" w:themeColor="text1"/>
          <w:sz w:val="24"/>
          <w:szCs w:val="24"/>
          <w:u w:val="single"/>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u w:val="single"/>
          <w14:textFill>
            <w14:solidFill>
              <w14:schemeClr w14:val="tx1"/>
            </w14:solidFill>
          </w14:textFill>
        </w:rPr>
        <w:t>咨询服务单位应熟悉并按照区城建集团相关制度执行，包含但不限于《重庆市南岸区城市建设发展（集团）有限公司认质核价实施细则》、《工程变更管理办法》、《预算编制（审核）工作须知》、《施工阶段全过程咨询工作须知》</w:t>
      </w:r>
      <w:r>
        <w:rPr>
          <w:rFonts w:hint="eastAsia" w:asciiTheme="minorEastAsia" w:hAnsiTheme="minorEastAsia"/>
          <w:color w:val="000000" w:themeColor="text1"/>
          <w:sz w:val="24"/>
          <w:szCs w:val="24"/>
          <w:u w:val="single"/>
          <w14:textFill>
            <w14:solidFill>
              <w14:schemeClr w14:val="tx1"/>
            </w14:solidFill>
          </w14:textFill>
        </w:rPr>
        <w:t>。</w:t>
      </w:r>
    </w:p>
    <w:p>
      <w:pPr>
        <w:spacing w:line="360" w:lineRule="auto"/>
        <w:ind w:firstLine="482" w:firstLineChars="200"/>
        <w:outlineLvl w:val="0"/>
        <w:rPr>
          <w:b/>
          <w:bCs/>
          <w:color w:val="000000" w:themeColor="text1"/>
          <w14:textFill>
            <w14:solidFill>
              <w14:schemeClr w14:val="tx1"/>
            </w14:solidFill>
          </w14:textFill>
        </w:rPr>
      </w:pPr>
      <w:r>
        <w:rPr>
          <w:rFonts w:asciiTheme="minorEastAsia" w:hAnsiTheme="minorEastAsia"/>
          <w:b/>
          <w:bCs/>
          <w:color w:val="000000" w:themeColor="text1"/>
          <w:sz w:val="24"/>
          <w:szCs w:val="24"/>
          <w:u w:val="single"/>
          <w14:textFill>
            <w14:solidFill>
              <w14:schemeClr w14:val="tx1"/>
            </w14:solidFill>
          </w14:textFill>
        </w:rPr>
        <w:t>注：若需委托人给咨询人提供工作条件，产生的费用由咨询人承担，委托人与第三方另有约定按照约定执行。</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79" w:name="_Toc76398633"/>
      <w:r>
        <w:rPr>
          <w:rFonts w:hint="eastAsia" w:asciiTheme="minorEastAsia" w:hAnsiTheme="minorEastAsia"/>
          <w:color w:val="000000" w:themeColor="text1"/>
          <w:sz w:val="24"/>
          <w:szCs w:val="24"/>
          <w14:textFill>
            <w14:solidFill>
              <w14:schemeClr w14:val="tx1"/>
            </w14:solidFill>
          </w14:textFill>
        </w:rPr>
        <w:t>三、服务期限</w:t>
      </w:r>
      <w:bookmarkEnd w:id="679"/>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本合同约定的建设工程造价咨询服务自</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日开始实施，暂定至</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日终结。</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80" w:name="_Toc76398634"/>
      <w:r>
        <w:rPr>
          <w:rFonts w:hint="eastAsia" w:asciiTheme="minorEastAsia" w:hAnsiTheme="minorEastAsia"/>
          <w:color w:val="000000" w:themeColor="text1"/>
          <w:sz w:val="24"/>
          <w:szCs w:val="24"/>
          <w14:textFill>
            <w14:solidFill>
              <w14:schemeClr w14:val="tx1"/>
            </w14:solidFill>
          </w14:textFill>
        </w:rPr>
        <w:t>四、质量标准</w:t>
      </w:r>
      <w:bookmarkEnd w:id="680"/>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工程造价咨询成果文件应符合：</w:t>
      </w:r>
      <w:r>
        <w:rPr>
          <w:rFonts w:hint="eastAsia" w:asciiTheme="minorEastAsia" w:hAnsiTheme="minorEastAsia"/>
          <w:color w:val="000000" w:themeColor="text1"/>
          <w:sz w:val="24"/>
          <w:szCs w:val="24"/>
          <w:u w:val="single"/>
          <w14:textFill>
            <w14:solidFill>
              <w14:schemeClr w14:val="tx1"/>
            </w14:solidFill>
          </w14:textFill>
        </w:rPr>
        <w:t>《建设工程造价咨询成果文件质量标准》</w:t>
      </w:r>
      <w:r>
        <w:rPr>
          <w:rFonts w:asciiTheme="minorEastAsia" w:hAnsiTheme="minorEastAsia"/>
          <w:color w:val="000000" w:themeColor="text1"/>
          <w:sz w:val="24"/>
          <w:szCs w:val="24"/>
          <w:u w:val="single"/>
          <w14:textFill>
            <w14:solidFill>
              <w14:schemeClr w14:val="tx1"/>
            </w14:solidFill>
          </w14:textFill>
        </w:rPr>
        <w:t>CECA/GC7-2012</w:t>
      </w:r>
      <w:r>
        <w:rPr>
          <w:rFonts w:hint="eastAsia" w:asciiTheme="minorEastAsia" w:hAnsiTheme="minorEastAsia"/>
          <w:color w:val="000000" w:themeColor="text1"/>
          <w:sz w:val="24"/>
          <w:szCs w:val="24"/>
          <w:u w:val="single"/>
          <w14:textFill>
            <w14:solidFill>
              <w14:schemeClr w14:val="tx1"/>
            </w14:solidFill>
          </w14:textFill>
        </w:rPr>
        <w:t>；《建设工程招标控制价编审规程》</w:t>
      </w:r>
      <w:r>
        <w:rPr>
          <w:rFonts w:asciiTheme="minorEastAsia" w:hAnsiTheme="minorEastAsia"/>
          <w:color w:val="000000" w:themeColor="text1"/>
          <w:sz w:val="24"/>
          <w:szCs w:val="24"/>
          <w:u w:val="single"/>
          <w14:textFill>
            <w14:solidFill>
              <w14:schemeClr w14:val="tx1"/>
            </w14:solidFill>
          </w14:textFill>
        </w:rPr>
        <w:t>CECA/GC6-2011；《建设项目施工图预算编审规程》CECA／GC 5—2010</w:t>
      </w:r>
      <w:r>
        <w:rPr>
          <w:rFonts w:hint="eastAsia" w:asciiTheme="minorEastAsia" w:hAnsiTheme="minorEastAsia"/>
          <w:color w:val="000000" w:themeColor="text1"/>
          <w:sz w:val="24"/>
          <w:szCs w:val="24"/>
          <w:u w:val="single"/>
          <w14:textFill>
            <w14:solidFill>
              <w14:schemeClr w14:val="tx1"/>
            </w14:solidFill>
          </w14:textFill>
        </w:rPr>
        <w:t>文</w:t>
      </w:r>
      <w:r>
        <w:rPr>
          <w:rFonts w:hint="eastAsia" w:asciiTheme="minorEastAsia" w:hAnsiTheme="minorEastAsia"/>
          <w:color w:val="000000" w:themeColor="text1"/>
          <w:sz w:val="24"/>
          <w:szCs w:val="24"/>
          <w:u w:val="single"/>
          <w14:textFill>
            <w14:solidFill>
              <w14:schemeClr w14:val="tx1"/>
            </w14:solidFill>
          </w14:textFill>
        </w:rPr>
        <w:t>件、</w:t>
      </w:r>
      <w:r>
        <w:rPr>
          <w:rFonts w:hint="eastAsia" w:asciiTheme="minorEastAsia" w:hAnsiTheme="minorEastAsia"/>
          <w:color w:val="000000" w:themeColor="text1"/>
          <w:sz w:val="24"/>
          <w:szCs w:val="24"/>
          <w:u w:val="single"/>
          <w14:textFill>
            <w14:solidFill>
              <w14:schemeClr w14:val="tx1"/>
            </w14:solidFill>
          </w14:textFill>
        </w:rPr>
        <w:t>渝建发〔</w:t>
      </w:r>
      <w:r>
        <w:rPr>
          <w:rFonts w:asciiTheme="minorEastAsia" w:hAnsiTheme="minorEastAsia"/>
          <w:color w:val="000000" w:themeColor="text1"/>
          <w:sz w:val="24"/>
          <w:szCs w:val="24"/>
          <w:u w:val="single"/>
          <w14:textFill>
            <w14:solidFill>
              <w14:schemeClr w14:val="tx1"/>
            </w14:solidFill>
          </w14:textFill>
        </w:rPr>
        <w:t>2016〕67号《重庆市国有资金投资建设工程施工招标控制价编制与确定程序的规定》</w:t>
      </w:r>
      <w:r>
        <w:rPr>
          <w:rFonts w:hint="eastAsia" w:asciiTheme="minorEastAsia" w:hAnsiTheme="minorEastAsia"/>
          <w:color w:val="000000" w:themeColor="text1"/>
          <w:sz w:val="24"/>
          <w:szCs w:val="24"/>
          <w:u w:val="single"/>
          <w14:textFill>
            <w14:solidFill>
              <w14:schemeClr w14:val="tx1"/>
            </w14:solidFill>
          </w14:textFill>
        </w:rPr>
        <w:t>规定</w:t>
      </w:r>
      <w:r>
        <w:rPr>
          <w:rFonts w:hint="eastAsia" w:asciiTheme="minorEastAsia" w:hAnsiTheme="minorEastAsia"/>
          <w:color w:val="000000" w:themeColor="text1"/>
          <w:sz w:val="24"/>
          <w:szCs w:val="24"/>
          <w:u w:val="single"/>
          <w14:textFill>
            <w14:solidFill>
              <w14:schemeClr w14:val="tx1"/>
            </w14:solidFill>
          </w14:textFill>
        </w:rPr>
        <w:t>及委托人的要求。</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81" w:name="_Toc76398635"/>
      <w:r>
        <w:rPr>
          <w:rFonts w:hint="eastAsia" w:asciiTheme="minorEastAsia" w:hAnsiTheme="minorEastAsia"/>
          <w:color w:val="000000" w:themeColor="text1"/>
          <w:sz w:val="24"/>
          <w:szCs w:val="24"/>
          <w14:textFill>
            <w14:solidFill>
              <w14:schemeClr w14:val="tx1"/>
            </w14:solidFill>
          </w14:textFill>
        </w:rPr>
        <w:t>五、酬金或计取方式</w:t>
      </w:r>
      <w:bookmarkEnd w:id="681"/>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1.签约酬金：</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元（大写：          ）；中标费率/签约费率：     %，税率：     %。</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2.计取方式：</w:t>
      </w:r>
      <w:r>
        <w:rPr>
          <w:rFonts w:hint="eastAsia" w:asciiTheme="minorEastAsia" w:hAnsiTheme="minorEastAsia"/>
          <w:color w:val="000000" w:themeColor="text1"/>
          <w:sz w:val="24"/>
          <w:szCs w:val="24"/>
          <w:u w:val="single"/>
          <w14:textFill>
            <w14:solidFill>
              <w14:schemeClr w14:val="tx1"/>
            </w14:solidFill>
          </w14:textFill>
        </w:rPr>
        <w:t>固定酬金/固定费率</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highlight w:val="yellow"/>
          <w:u w:val="single"/>
          <w14:textFill>
            <w14:solidFill>
              <w14:schemeClr w14:val="tx1"/>
            </w14:solidFill>
          </w14:textFill>
        </w:rPr>
        <w:t>（本条固定费率合同使用）</w:t>
      </w:r>
      <w:r>
        <w:rPr>
          <w:rFonts w:asciiTheme="minorEastAsia" w:hAnsiTheme="minorEastAsia"/>
          <w:color w:val="000000" w:themeColor="text1"/>
          <w:sz w:val="24"/>
          <w:szCs w:val="24"/>
          <w14:textFill>
            <w14:solidFill>
              <w14:schemeClr w14:val="tx1"/>
            </w14:solidFill>
          </w14:textFill>
        </w:rPr>
        <w:t>完成本合同</w:t>
      </w:r>
      <w:r>
        <w:rPr>
          <w:rFonts w:hint="eastAsia" w:asciiTheme="minorEastAsia" w:hAnsiTheme="minorEastAsia"/>
          <w:color w:val="000000" w:themeColor="text1"/>
          <w:sz w:val="24"/>
          <w:szCs w:val="24"/>
          <w14:textFill>
            <w14:solidFill>
              <w14:schemeClr w14:val="tx1"/>
            </w14:solidFill>
          </w14:textFill>
        </w:rPr>
        <w:t>服务范围及工作内容，</w:t>
      </w:r>
      <w:r>
        <w:rPr>
          <w:rFonts w:asciiTheme="minorEastAsia" w:hAnsiTheme="minorEastAsia"/>
          <w:color w:val="000000" w:themeColor="text1"/>
          <w:sz w:val="24"/>
          <w:szCs w:val="24"/>
          <w14:textFill>
            <w14:solidFill>
              <w14:schemeClr w14:val="tx1"/>
            </w14:solidFill>
          </w14:textFill>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000000" w:themeColor="text1"/>
          <w:sz w:val="24"/>
          <w:szCs w:val="24"/>
          <w14:textFill>
            <w14:solidFill>
              <w14:schemeClr w14:val="tx1"/>
            </w14:solidFill>
          </w14:textFill>
        </w:rPr>
        <w:t>签约</w:t>
      </w:r>
      <w:r>
        <w:rPr>
          <w:rFonts w:asciiTheme="minorEastAsia" w:hAnsiTheme="minorEastAsia"/>
          <w:color w:val="000000" w:themeColor="text1"/>
          <w:sz w:val="24"/>
          <w:szCs w:val="24"/>
          <w14:textFill>
            <w14:solidFill>
              <w14:schemeClr w14:val="tx1"/>
            </w14:solidFill>
          </w14:textFill>
        </w:rPr>
        <w:t>金额</w:t>
      </w:r>
      <w:r>
        <w:rPr>
          <w:rFonts w:hint="eastAsia" w:asciiTheme="minorEastAsia" w:hAnsiTheme="minorEastAsia"/>
          <w:color w:val="000000" w:themeColor="text1"/>
          <w:sz w:val="24"/>
          <w:szCs w:val="24"/>
          <w14:textFill>
            <w14:solidFill>
              <w14:schemeClr w14:val="tx1"/>
            </w14:solidFill>
          </w14:textFill>
        </w:rPr>
        <w:t>。</w:t>
      </w:r>
    </w:p>
    <w:p>
      <w:pPr>
        <w:pStyle w:val="8"/>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施工阶段工程造价全过程控制（含出具结算审核报告）：</w:t>
      </w:r>
      <w:r>
        <w:rPr>
          <w:rFonts w:hint="eastAsia" w:asciiTheme="minorEastAsia" w:hAnsiTheme="minorEastAsia"/>
          <w:color w:val="000000" w:themeColor="text1"/>
          <w:sz w:val="24"/>
          <w14:textFill>
            <w14:solidFill>
              <w14:schemeClr w14:val="tx1"/>
            </w14:solidFill>
          </w14:textFill>
        </w:rPr>
        <w:t>以最终审定的建安工程费金额为基数</w:t>
      </w:r>
      <w:r>
        <w:rPr>
          <w:rFonts w:hint="eastAsia" w:asciiTheme="minorEastAsia" w:hAnsiTheme="minorEastAsia" w:eastAsiaTheme="minorEastAsia"/>
          <w:color w:val="000000" w:themeColor="text1"/>
          <w:sz w:val="24"/>
          <w14:textFill>
            <w14:solidFill>
              <w14:schemeClr w14:val="tx1"/>
            </w14:solidFill>
          </w14:textFill>
        </w:rPr>
        <w:t>乘以</w:t>
      </w:r>
      <w:r>
        <w:rPr>
          <w:rFonts w:hint="eastAsia" w:asciiTheme="minorEastAsia" w:hAnsiTheme="minorEastAsia"/>
          <w:color w:val="000000" w:themeColor="text1"/>
          <w:sz w:val="24"/>
          <w14:textFill>
            <w14:solidFill>
              <w14:schemeClr w14:val="tx1"/>
            </w14:solidFill>
          </w14:textFill>
        </w:rPr>
        <w:t>中标费率/签约费率</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计算，</w:t>
      </w:r>
      <w:r>
        <w:rPr>
          <w:rFonts w:hint="eastAsia" w:asciiTheme="minorEastAsia" w:hAnsiTheme="minorEastAsia" w:eastAsiaTheme="minorEastAsia"/>
          <w:color w:val="000000" w:themeColor="text1"/>
          <w:sz w:val="24"/>
          <w14:textFill>
            <w14:solidFill>
              <w14:schemeClr w14:val="tx1"/>
            </w14:solidFill>
          </w14:textFill>
        </w:rPr>
        <w:t>暂定金额为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元；</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82" w:name="_Toc76398636"/>
      <w:r>
        <w:rPr>
          <w:rFonts w:hint="eastAsia" w:asciiTheme="minorEastAsia" w:hAnsiTheme="minorEastAsia"/>
          <w:color w:val="000000" w:themeColor="text1"/>
          <w:sz w:val="24"/>
          <w:szCs w:val="24"/>
          <w14:textFill>
            <w14:solidFill>
              <w14:schemeClr w14:val="tx1"/>
            </w14:solidFill>
          </w14:textFill>
        </w:rPr>
        <w:t>六、合同文件的构成本协议书与下列文件一起构成合同文件:</w:t>
      </w:r>
      <w:bookmarkEnd w:id="682"/>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1.本合同协议书；</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2.招标文件或比选文件（包括但不限于本工程的招标或比选文件、图纸、其他技术资料及招标人发出的对招标或比选文件所作的澄清、修改、补遗等资料）（若有）；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3.中标通知书或委托书（如果有）；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4.投标函及投标函附录或造价咨询服务建议书（如果有）；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5.专用条件及附录；</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6.通用条件；</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7.投标文件（如果有）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8.其他合同文件。</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83" w:name="_Toc76398637"/>
      <w:r>
        <w:rPr>
          <w:rFonts w:hint="eastAsia" w:asciiTheme="minorEastAsia" w:hAnsiTheme="minorEastAsia"/>
          <w:color w:val="000000" w:themeColor="text1"/>
          <w:sz w:val="24"/>
          <w:szCs w:val="24"/>
          <w14:textFill>
            <w14:solidFill>
              <w14:schemeClr w14:val="tx1"/>
            </w14:solidFill>
          </w14:textFill>
        </w:rPr>
        <w:t>七、词语定义</w:t>
      </w:r>
      <w:bookmarkEnd w:id="683"/>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协议书中相关词语的含义与通用条件中的定义与解释相同。</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84" w:name="_Toc76398638"/>
      <w:r>
        <w:rPr>
          <w:rFonts w:hint="eastAsia" w:asciiTheme="minorEastAsia" w:hAnsiTheme="minorEastAsia"/>
          <w:color w:val="000000" w:themeColor="text1"/>
          <w:sz w:val="24"/>
          <w:szCs w:val="24"/>
          <w14:textFill>
            <w14:solidFill>
              <w14:schemeClr w14:val="tx1"/>
            </w14:solidFill>
          </w14:textFill>
        </w:rPr>
        <w:t>八、其他</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九合同订立</w:t>
      </w:r>
      <w:bookmarkEnd w:id="684"/>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订立地点：</w:t>
      </w:r>
      <w:r>
        <w:rPr>
          <w:rFonts w:hint="eastAsia" w:asciiTheme="minorEastAsia" w:hAnsiTheme="minorEastAsia"/>
          <w:color w:val="000000" w:themeColor="text1"/>
          <w:sz w:val="24"/>
          <w:szCs w:val="24"/>
          <w:u w:val="single"/>
          <w14:textFill>
            <w14:solidFill>
              <w14:schemeClr w14:val="tx1"/>
            </w14:solidFill>
          </w14:textFill>
        </w:rPr>
        <w:t xml:space="preserve"> 重庆市南岸区行政服务中心B区3号楼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85" w:name="_Toc76398639"/>
      <w:r>
        <w:rPr>
          <w:rFonts w:hint="eastAsia" w:asciiTheme="minorEastAsia" w:hAnsiTheme="minorEastAsia"/>
          <w:color w:val="000000" w:themeColor="text1"/>
          <w:sz w:val="24"/>
          <w:szCs w:val="24"/>
          <w14:textFill>
            <w14:solidFill>
              <w14:schemeClr w14:val="tx1"/>
            </w14:solidFill>
          </w14:textFill>
        </w:rPr>
        <w:t>十、合同生效</w:t>
      </w:r>
      <w:bookmarkEnd w:id="685"/>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本合同自</w:t>
      </w:r>
      <w:r>
        <w:rPr>
          <w:rFonts w:hint="eastAsia" w:asciiTheme="minorEastAsia" w:hAnsiTheme="minorEastAsia"/>
          <w:color w:val="000000" w:themeColor="text1"/>
          <w:sz w:val="24"/>
          <w:szCs w:val="24"/>
          <w:u w:val="single"/>
          <w14:textFill>
            <w14:solidFill>
              <w14:schemeClr w14:val="tx1"/>
            </w14:solidFill>
          </w14:textFill>
        </w:rPr>
        <w:t>盖章完成之日</w:t>
      </w:r>
      <w:r>
        <w:rPr>
          <w:rFonts w:hint="eastAsia" w:asciiTheme="minorEastAsia" w:hAnsiTheme="minorEastAsia"/>
          <w:color w:val="000000" w:themeColor="text1"/>
          <w:sz w:val="24"/>
          <w:szCs w:val="24"/>
          <w:u w:val="single"/>
          <w14:textFill>
            <w14:solidFill>
              <w14:schemeClr w14:val="tx1"/>
            </w14:solidFill>
          </w14:textFill>
        </w:rPr>
        <w:t>起</w:t>
      </w:r>
      <w:r>
        <w:rPr>
          <w:rFonts w:hint="eastAsia" w:asciiTheme="minorEastAsia" w:hAnsiTheme="minorEastAsia"/>
          <w:color w:val="000000" w:themeColor="text1"/>
          <w:sz w:val="24"/>
          <w:szCs w:val="24"/>
          <w14:textFill>
            <w14:solidFill>
              <w14:schemeClr w14:val="tx1"/>
            </w14:solidFill>
          </w14:textFill>
        </w:rPr>
        <w:t>生效。</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86" w:name="_Toc76398640"/>
      <w:r>
        <w:rPr>
          <w:rFonts w:hint="eastAsia" w:asciiTheme="minorEastAsia" w:hAnsiTheme="minorEastAsia"/>
          <w:color w:val="000000" w:themeColor="text1"/>
          <w:sz w:val="24"/>
          <w:szCs w:val="24"/>
          <w14:textFill>
            <w14:solidFill>
              <w14:schemeClr w14:val="tx1"/>
            </w14:solidFill>
          </w14:textFill>
        </w:rPr>
        <w:t>十、合同份数</w:t>
      </w:r>
      <w:bookmarkEnd w:id="686"/>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本合同一式</w:t>
      </w:r>
      <w:r>
        <w:rPr>
          <w:rFonts w:hint="eastAsia" w:asciiTheme="minorEastAsia" w:hAnsiTheme="minorEastAsia"/>
          <w:color w:val="000000" w:themeColor="text1"/>
          <w:sz w:val="24"/>
          <w:szCs w:val="24"/>
          <w:u w:val="single"/>
          <w14:textFill>
            <w14:solidFill>
              <w14:schemeClr w14:val="tx1"/>
            </w14:solidFill>
          </w14:textFill>
        </w:rPr>
        <w:t>陆</w:t>
      </w:r>
      <w:r>
        <w:rPr>
          <w:rFonts w:hint="eastAsia" w:asciiTheme="minorEastAsia" w:hAnsiTheme="minorEastAsia"/>
          <w:color w:val="000000" w:themeColor="text1"/>
          <w:sz w:val="24"/>
          <w:szCs w:val="24"/>
          <w14:textFill>
            <w14:solidFill>
              <w14:schemeClr w14:val="tx1"/>
            </w14:solidFill>
          </w14:textFill>
        </w:rPr>
        <w:t>份，具有同等法律效力，双方各持叁份。</w:t>
      </w:r>
      <w:r>
        <w:rPr>
          <w:rFonts w:hint="eastAsia" w:asciiTheme="minorEastAsia" w:hAnsiTheme="minorEastAsia"/>
          <w:color w:val="000000" w:themeColor="text1"/>
          <w:sz w:val="24"/>
          <w:szCs w:val="24"/>
          <w:lang w:val="zh-CN"/>
          <w14:textFill>
            <w14:solidFill>
              <w14:schemeClr w14:val="tx1"/>
            </w14:solidFill>
          </w14:textFill>
        </w:rPr>
        <w:t>本合同正文若出现手写内容，手写内容未经双方盖章确认则无效。本合同载明的</w:t>
      </w:r>
      <w:r>
        <w:rPr>
          <w:rFonts w:hint="eastAsia" w:asciiTheme="minorEastAsia" w:hAnsiTheme="minorEastAsia"/>
          <w:color w:val="000000" w:themeColor="text1"/>
          <w:sz w:val="24"/>
          <w:szCs w:val="24"/>
          <w14:textFill>
            <w14:solidFill>
              <w14:schemeClr w14:val="tx1"/>
            </w14:solidFill>
          </w14:textFill>
        </w:rPr>
        <w:t>委托代理人</w:t>
      </w:r>
      <w:r>
        <w:rPr>
          <w:rFonts w:hint="eastAsia" w:asciiTheme="minorEastAsia" w:hAnsiTheme="minorEastAsia"/>
          <w:color w:val="000000" w:themeColor="text1"/>
          <w:sz w:val="24"/>
          <w:szCs w:val="24"/>
          <w:lang w:val="zh-CN"/>
          <w14:textFill>
            <w14:solidFill>
              <w14:schemeClr w14:val="tx1"/>
            </w14:solidFill>
          </w14:textFill>
        </w:rPr>
        <w:t>未经书面授权，仅代表在本合同签名，其他单方承诺和认可内容无效。</w:t>
      </w:r>
    </w:p>
    <w:p>
      <w:pPr>
        <w:spacing w:line="360" w:lineRule="auto"/>
        <w:ind w:left="5280" w:hanging="5280" w:hangingChars="2200"/>
        <w:rPr>
          <w:rFonts w:asciiTheme="minorEastAsia" w:hAnsiTheme="minorEastAsia"/>
          <w:color w:val="000000" w:themeColor="text1"/>
          <w:sz w:val="24"/>
          <w:szCs w:val="24"/>
          <w14:textFill>
            <w14:solidFill>
              <w14:schemeClr w14:val="tx1"/>
            </w14:solidFill>
          </w14:textFill>
        </w:rPr>
      </w:pPr>
    </w:p>
    <w:tbl>
      <w:tblPr>
        <w:tblStyle w:val="28"/>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tblPrEx>
          <w:tblCellMar>
            <w:top w:w="0" w:type="dxa"/>
            <w:left w:w="108" w:type="dxa"/>
            <w:bottom w:w="0" w:type="dxa"/>
            <w:right w:w="108" w:type="dxa"/>
          </w:tblCellMar>
        </w:tblPrEx>
        <w:trPr>
          <w:trHeight w:val="884" w:hRule="atLeast"/>
        </w:trPr>
        <w:tc>
          <w:tcPr>
            <w:tcW w:w="4752" w:type="dxa"/>
          </w:tcPr>
          <w:p>
            <w:pPr>
              <w:spacing w:line="560" w:lineRule="exact"/>
              <w:ind w:left="1010" w:hanging="1010" w:hangingChars="421"/>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甲</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方：</w:t>
            </w:r>
            <w:r>
              <w:rPr>
                <w:rFonts w:asciiTheme="minorEastAsia" w:hAnsiTheme="minorEastAsia"/>
                <w:color w:val="000000" w:themeColor="text1"/>
                <w:sz w:val="24"/>
                <w:szCs w:val="24"/>
                <w14:textFill>
                  <w14:solidFill>
                    <w14:schemeClr w14:val="tx1"/>
                  </w14:solidFill>
                </w14:textFill>
              </w:rPr>
              <w:t xml:space="preserve"> </w:t>
            </w:r>
          </w:p>
        </w:tc>
        <w:tc>
          <w:tcPr>
            <w:tcW w:w="4599" w:type="dxa"/>
          </w:tcPr>
          <w:p>
            <w:pPr>
              <w:spacing w:line="560" w:lineRule="exact"/>
              <w:ind w:left="1200" w:hanging="12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乙</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方：</w:t>
            </w:r>
            <w:r>
              <w:rPr>
                <w:rFonts w:asciiTheme="minorEastAsia" w:hAnsiTheme="minorEastAsia"/>
                <w:color w:val="000000" w:themeColor="text1"/>
                <w:sz w:val="24"/>
                <w:szCs w:val="24"/>
                <w14:textFill>
                  <w14:solidFill>
                    <w14:schemeClr w14:val="tx1"/>
                  </w14:solidFill>
                </w14:textFill>
              </w:rPr>
              <w:t xml:space="preserve"> </w:t>
            </w:r>
          </w:p>
        </w:tc>
      </w:tr>
      <w:tr>
        <w:tblPrEx>
          <w:tblCellMar>
            <w:top w:w="0" w:type="dxa"/>
            <w:left w:w="108" w:type="dxa"/>
            <w:bottom w:w="0" w:type="dxa"/>
            <w:right w:w="108" w:type="dxa"/>
          </w:tblCellMar>
        </w:tblPrEx>
        <w:tc>
          <w:tcPr>
            <w:tcW w:w="4752" w:type="dxa"/>
          </w:tcPr>
          <w:p>
            <w:pPr>
              <w:spacing w:line="560" w:lineRule="exact"/>
              <w:ind w:left="1200" w:hanging="12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w:t>
            </w:r>
          </w:p>
          <w:p>
            <w:pPr>
              <w:spacing w:line="560" w:lineRule="exact"/>
              <w:ind w:left="1200" w:hanging="12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或</w:t>
            </w:r>
          </w:p>
          <w:p>
            <w:pPr>
              <w:spacing w:line="560" w:lineRule="exact"/>
              <w:ind w:left="1200" w:hanging="12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委托代理人：</w:t>
            </w:r>
          </w:p>
        </w:tc>
        <w:tc>
          <w:tcPr>
            <w:tcW w:w="4599" w:type="dxa"/>
          </w:tcPr>
          <w:p>
            <w:pPr>
              <w:spacing w:line="560" w:lineRule="exact"/>
              <w:ind w:left="1200" w:hanging="12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w:t>
            </w:r>
          </w:p>
          <w:p>
            <w:pPr>
              <w:spacing w:line="560" w:lineRule="exact"/>
              <w:ind w:left="1200" w:hanging="12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或</w:t>
            </w:r>
          </w:p>
          <w:p>
            <w:pPr>
              <w:spacing w:line="560" w:lineRule="exact"/>
              <w:ind w:left="1200" w:hanging="12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委托代理人： </w:t>
            </w:r>
          </w:p>
        </w:tc>
      </w:tr>
      <w:tr>
        <w:tblPrEx>
          <w:tblCellMar>
            <w:top w:w="0" w:type="dxa"/>
            <w:left w:w="108" w:type="dxa"/>
            <w:bottom w:w="0" w:type="dxa"/>
            <w:right w:w="108" w:type="dxa"/>
          </w:tblCellMar>
        </w:tblPrEx>
        <w:trPr>
          <w:trHeight w:val="1834" w:hRule="atLeast"/>
        </w:trPr>
        <w:tc>
          <w:tcPr>
            <w:tcW w:w="4752" w:type="dxa"/>
            <w:vAlign w:val="center"/>
          </w:tcPr>
          <w:p>
            <w:pPr>
              <w:spacing w:line="560" w:lineRule="exact"/>
              <w:ind w:left="1000" w:hanging="1000" w:hangingChars="5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pacing w:val="-20"/>
                <w:sz w:val="24"/>
                <w:szCs w:val="24"/>
                <w14:textFill>
                  <w14:solidFill>
                    <w14:schemeClr w14:val="tx1"/>
                  </w14:solidFill>
                </w14:textFill>
              </w:rPr>
              <w:t>统</w:t>
            </w:r>
            <w:r>
              <w:rPr>
                <w:rFonts w:hint="eastAsia" w:asciiTheme="minorEastAsia" w:hAnsiTheme="minorEastAsia"/>
                <w:color w:val="000000" w:themeColor="text1"/>
                <w:spacing w:val="-18"/>
                <w:sz w:val="24"/>
                <w:szCs w:val="24"/>
                <w14:textFill>
                  <w14:solidFill>
                    <w14:schemeClr w14:val="tx1"/>
                  </w14:solidFill>
                </w14:textFill>
              </w:rPr>
              <w:t>一社会信用代码：</w:t>
            </w:r>
          </w:p>
        </w:tc>
        <w:tc>
          <w:tcPr>
            <w:tcW w:w="4599" w:type="dxa"/>
          </w:tcPr>
          <w:p>
            <w:pPr>
              <w:spacing w:before="156" w:beforeLines="50" w:line="560" w:lineRule="exact"/>
              <w:ind w:left="1000" w:hanging="10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pacing w:val="-20"/>
                <w:sz w:val="24"/>
                <w:szCs w:val="24"/>
                <w14:textFill>
                  <w14:solidFill>
                    <w14:schemeClr w14:val="tx1"/>
                  </w14:solidFill>
                </w14:textFill>
              </w:rPr>
              <w:t>统</w:t>
            </w:r>
            <w:r>
              <w:rPr>
                <w:rFonts w:hint="eastAsia" w:asciiTheme="minorEastAsia" w:hAnsiTheme="minorEastAsia"/>
                <w:color w:val="000000" w:themeColor="text1"/>
                <w:spacing w:val="-18"/>
                <w:sz w:val="24"/>
                <w:szCs w:val="24"/>
                <w14:textFill>
                  <w14:solidFill>
                    <w14:schemeClr w14:val="tx1"/>
                  </w14:solidFill>
                </w14:textFill>
              </w:rPr>
              <w:t>一社会信用代码：</w:t>
            </w:r>
          </w:p>
          <w:p>
            <w:pPr>
              <w:spacing w:line="560" w:lineRule="exact"/>
              <w:ind w:left="1200" w:hanging="1200" w:hangingChars="5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开</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户</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行：</w:t>
            </w:r>
          </w:p>
          <w:p>
            <w:pPr>
              <w:spacing w:line="560" w:lineRule="exact"/>
              <w:ind w:left="1200" w:hanging="1200" w:hangingChars="5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账    号：</w:t>
            </w:r>
            <w:r>
              <w:rPr>
                <w:rFonts w:asciiTheme="minorEastAsia" w:hAnsiTheme="minorEastAsia"/>
                <w:color w:val="000000" w:themeColor="text1"/>
                <w:sz w:val="24"/>
                <w:szCs w:val="24"/>
                <w14:textFill>
                  <w14:solidFill>
                    <w14:schemeClr w14:val="tx1"/>
                  </w14:solidFill>
                </w14:textFill>
              </w:rPr>
              <w:t xml:space="preserve"> </w:t>
            </w:r>
          </w:p>
        </w:tc>
      </w:tr>
      <w:tr>
        <w:tblPrEx>
          <w:tblCellMar>
            <w:top w:w="0" w:type="dxa"/>
            <w:left w:w="108" w:type="dxa"/>
            <w:bottom w:w="0" w:type="dxa"/>
            <w:right w:w="108" w:type="dxa"/>
          </w:tblCellMar>
        </w:tblPrEx>
        <w:trPr>
          <w:trHeight w:val="1120" w:hRule="atLeast"/>
        </w:trPr>
        <w:tc>
          <w:tcPr>
            <w:tcW w:w="4752" w:type="dxa"/>
          </w:tcPr>
          <w:p>
            <w:pPr>
              <w:spacing w:line="560" w:lineRule="exact"/>
              <w:ind w:left="1200" w:hanging="1200" w:hangingChars="5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经办人：</w:t>
            </w:r>
          </w:p>
        </w:tc>
        <w:tc>
          <w:tcPr>
            <w:tcW w:w="4599" w:type="dxa"/>
          </w:tcPr>
          <w:p>
            <w:pPr>
              <w:spacing w:line="560" w:lineRule="exact"/>
              <w:ind w:left="1200" w:hanging="1200" w:hangingChars="5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经办人：         </w:t>
            </w:r>
          </w:p>
        </w:tc>
      </w:tr>
      <w:tr>
        <w:tblPrEx>
          <w:tblCellMar>
            <w:top w:w="0" w:type="dxa"/>
            <w:left w:w="108" w:type="dxa"/>
            <w:bottom w:w="0" w:type="dxa"/>
            <w:right w:w="108" w:type="dxa"/>
          </w:tblCellMar>
        </w:tblPrEx>
        <w:trPr>
          <w:trHeight w:val="572" w:hRule="atLeast"/>
        </w:trPr>
        <w:tc>
          <w:tcPr>
            <w:tcW w:w="4752" w:type="dxa"/>
          </w:tcPr>
          <w:p>
            <w:pPr>
              <w:spacing w:line="560" w:lineRule="exact"/>
              <w:ind w:left="1200" w:hanging="1200" w:hangingChars="5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地    址： </w:t>
            </w:r>
          </w:p>
        </w:tc>
        <w:tc>
          <w:tcPr>
            <w:tcW w:w="4599" w:type="dxa"/>
          </w:tcPr>
          <w:p>
            <w:pPr>
              <w:spacing w:line="560" w:lineRule="exact"/>
              <w:ind w:left="1183" w:hanging="1183" w:hangingChars="493"/>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址：</w:t>
            </w:r>
            <w:r>
              <w:rPr>
                <w:rFonts w:asciiTheme="minorEastAsia" w:hAnsiTheme="minorEastAsia"/>
                <w:color w:val="000000" w:themeColor="text1"/>
                <w:sz w:val="24"/>
                <w:szCs w:val="24"/>
                <w14:textFill>
                  <w14:solidFill>
                    <w14:schemeClr w14:val="tx1"/>
                  </w14:solidFill>
                </w14:textFill>
              </w:rPr>
              <w:t xml:space="preserve"> </w:t>
            </w:r>
          </w:p>
        </w:tc>
      </w:tr>
    </w:tbl>
    <w:p>
      <w:pPr>
        <w:pStyle w:val="4"/>
        <w:ind w:firstLine="723"/>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ind w:firstLine="643"/>
        <w:jc w:val="center"/>
        <w:rPr>
          <w:rFonts w:asciiTheme="minorEastAsia" w:hAnsiTheme="minorEastAsia"/>
          <w:b/>
          <w:color w:val="000000" w:themeColor="text1"/>
          <w:sz w:val="32"/>
          <w:szCs w:val="32"/>
          <w14:textFill>
            <w14:solidFill>
              <w14:schemeClr w14:val="tx1"/>
            </w14:solidFill>
          </w14:textFill>
        </w:rPr>
      </w:pPr>
      <w:bookmarkStart w:id="687" w:name="_Toc76398641"/>
      <w:r>
        <w:rPr>
          <w:rFonts w:hint="eastAsia" w:asciiTheme="minorEastAsia" w:hAnsiTheme="minorEastAsia"/>
          <w:b/>
          <w:color w:val="000000" w:themeColor="text1"/>
          <w:sz w:val="32"/>
          <w:szCs w:val="32"/>
          <w14:textFill>
            <w14:solidFill>
              <w14:schemeClr w14:val="tx1"/>
            </w14:solidFill>
          </w14:textFill>
        </w:rPr>
        <w:t>第二部分通用条件</w:t>
      </w:r>
      <w:bookmarkEnd w:id="687"/>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88" w:name="_Toc76398642"/>
      <w:r>
        <w:rPr>
          <w:rFonts w:hint="eastAsia" w:asciiTheme="minorEastAsia" w:hAnsiTheme="minorEastAsia"/>
          <w:color w:val="000000" w:themeColor="text1"/>
          <w:sz w:val="24"/>
          <w:szCs w:val="24"/>
          <w14:textFill>
            <w14:solidFill>
              <w14:schemeClr w14:val="tx1"/>
            </w14:solidFill>
          </w14:textFill>
        </w:rPr>
        <w:t>1.词语定义、语言、解释顺序与适用法律</w:t>
      </w:r>
      <w:bookmarkEnd w:id="688"/>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89" w:name="_Toc76398643"/>
      <w:r>
        <w:rPr>
          <w:rFonts w:hint="eastAsia" w:asciiTheme="minorEastAsia" w:hAnsiTheme="minorEastAsia"/>
          <w:color w:val="000000" w:themeColor="text1"/>
          <w:sz w:val="24"/>
          <w:szCs w:val="24"/>
          <w14:textFill>
            <w14:solidFill>
              <w14:schemeClr w14:val="tx1"/>
            </w14:solidFill>
          </w14:textFill>
        </w:rPr>
        <w:t>1.1 词语定义</w:t>
      </w:r>
      <w:bookmarkEnd w:id="689"/>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组成本合同的全部文件中的下列名词和用语应具有本款所赋予的含义：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1.1.1“工程”是指按照本合同约定实施造价咨询与其他服务的建设工程。</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1.1.2“工程造价”是指工程项目建设过程中预计或实际支出的全部费用。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1.1.3“委托人”是指本合同中委托造价咨询与其他服务的一方，及其合法的继承人或受让人。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1.1.4“咨询人”是指本合同中提供造价咨询与其他服务的一方，及其合法的继承人。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1.1.5“第三人”是指除委托人、咨询人以外与本咨询业务有关的当事人。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1.1.6“正常工作”是指本合同订立时通用条件和专用条件中约定的咨询人的工作。</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1.1.7“附加工作”是指咨询人根据合同条件完成的正常工作以外的工作。</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1.1.8“项目咨询团队”是指咨询人指派负责履行本合同的团队，其团队成员为本合同的项目咨询人员。</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1.1.9“项目负责人”是指由咨询人的法定代表人书面授权，在授权范围内负责履行本合同、主持项目咨询团队工作的负责人。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1.1.10“委托人代表”是指由委托人的法定代表人书面授权，在授权范围内行使委托人权利的人。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1.1.11“酬金”是指咨询人履行本合同义务，委托人按照本合同约定给付咨询人的金额。</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1.1.12“正常工作酬金”是指在协议书中载明的，咨询人完成正常工作，委托人应给付咨询人的酬金。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1.1.13“附加工作酬金”是指咨询人完成附加工作，委托人应给付咨询人的酬金。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1.1.14 “书面形式”是指合同书、信件和数据电文（包括电报、电传、传真、电子数据交换和电子邮件）等可以有形地表现所载内容的形式。</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0" w:name="_Toc76398644"/>
      <w:r>
        <w:rPr>
          <w:rFonts w:hint="eastAsia" w:asciiTheme="minorEastAsia" w:hAnsiTheme="minorEastAsia"/>
          <w:color w:val="000000" w:themeColor="text1"/>
          <w:sz w:val="24"/>
          <w:szCs w:val="24"/>
          <w14:textFill>
            <w14:solidFill>
              <w14:schemeClr w14:val="tx1"/>
            </w14:solidFill>
          </w14:textFill>
        </w:rPr>
        <w:t>1.2 语言</w:t>
      </w:r>
      <w:bookmarkEnd w:id="690"/>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本合同使用中文书写、解释和说明。如专用条件约定使用两种及以上语言文字时，应以中文为准。</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1" w:name="_Toc76398645"/>
      <w:r>
        <w:rPr>
          <w:rFonts w:hint="eastAsia" w:asciiTheme="minorEastAsia" w:hAnsiTheme="minorEastAsia"/>
          <w:color w:val="000000" w:themeColor="text1"/>
          <w:sz w:val="24"/>
          <w:szCs w:val="24"/>
          <w14:textFill>
            <w14:solidFill>
              <w14:schemeClr w14:val="tx1"/>
            </w14:solidFill>
          </w14:textFill>
        </w:rPr>
        <w:t>1.3 合同文件的优先顺序</w:t>
      </w:r>
      <w:bookmarkEnd w:id="691"/>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组成本合同的下列文件彼此应能相互解释、互为说明。除专用条件另有约定外，本合同文件的解释顺序如下：</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1.协议书</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2.中标通知书或委托书（如果有）；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3.专用条件及附录；</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4.通用条件；</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5.投标函及投标函附录或造价咨询服务建议书（如果有）；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6.其他合同文件。</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2" w:name="_Toc76398646"/>
      <w:r>
        <w:rPr>
          <w:rFonts w:hint="eastAsia" w:asciiTheme="minorEastAsia" w:hAnsiTheme="minorEastAsia"/>
          <w:color w:val="000000" w:themeColor="text1"/>
          <w:sz w:val="24"/>
          <w:szCs w:val="24"/>
          <w14:textFill>
            <w14:solidFill>
              <w14:schemeClr w14:val="tx1"/>
            </w14:solidFill>
          </w14:textFill>
        </w:rPr>
        <w:t>1.4 适用法律</w:t>
      </w:r>
      <w:bookmarkEnd w:id="692"/>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本合同适用中华人民共和国法律、行政法规、部门规章以及工程所在地的地方性法规、自治条例、单行条例和地方政府规章等。</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合同当事人可以在专用条件中约定本合同适用的其他规范、规程、定额、技术标准等规范性文件。</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693" w:name="_Toc76398647"/>
      <w:r>
        <w:rPr>
          <w:rFonts w:hint="eastAsia" w:asciiTheme="minorEastAsia" w:hAnsiTheme="minorEastAsia"/>
          <w:color w:val="000000" w:themeColor="text1"/>
          <w:sz w:val="24"/>
          <w:szCs w:val="24"/>
          <w14:textFill>
            <w14:solidFill>
              <w14:schemeClr w14:val="tx1"/>
            </w14:solidFill>
          </w14:textFill>
        </w:rPr>
        <w:t>2.委托人的义务</w:t>
      </w:r>
      <w:bookmarkEnd w:id="693"/>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4" w:name="_Toc76398648"/>
      <w:r>
        <w:rPr>
          <w:rFonts w:hint="eastAsia" w:asciiTheme="minorEastAsia" w:hAnsiTheme="minorEastAsia"/>
          <w:color w:val="000000" w:themeColor="text1"/>
          <w:sz w:val="24"/>
          <w:szCs w:val="24"/>
          <w14:textFill>
            <w14:solidFill>
              <w14:schemeClr w14:val="tx1"/>
            </w14:solidFill>
          </w14:textFill>
        </w:rPr>
        <w:t>2.1 提供资料</w:t>
      </w:r>
      <w:bookmarkEnd w:id="694"/>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5" w:name="_Toc76398649"/>
      <w:r>
        <w:rPr>
          <w:rFonts w:hint="eastAsia" w:asciiTheme="minorEastAsia" w:hAnsiTheme="minorEastAsia"/>
          <w:color w:val="000000" w:themeColor="text1"/>
          <w:sz w:val="24"/>
          <w:szCs w:val="24"/>
          <w14:textFill>
            <w14:solidFill>
              <w14:schemeClr w14:val="tx1"/>
            </w14:solidFill>
          </w14:textFill>
        </w:rPr>
        <w:t>2.2 提供工作条件</w:t>
      </w:r>
      <w:bookmarkEnd w:id="695"/>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委托人应为咨询人完成造价咨询提供必要的条件。</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2.2.1 委托人需要咨询人派驻项目现场咨询人员的，除专用条件另有约定</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外，不提供的房屋及设备。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2.2.2 委托人应负责与本工程造价咨询业务有关的外部关系的协调，为咨询人履行本合同提供必要的外部条件；</w:t>
      </w:r>
      <w:r>
        <w:rPr>
          <w:rFonts w:hint="eastAsia" w:asciiTheme="minorEastAsia" w:hAnsiTheme="minorEastAsia"/>
          <w:color w:val="000000" w:themeColor="text1"/>
          <w:sz w:val="24"/>
          <w:szCs w:val="24"/>
          <w14:textFill>
            <w14:solidFill>
              <w14:schemeClr w14:val="tx1"/>
            </w14:solidFill>
          </w14:textFill>
        </w:rPr>
        <w:t>需要咨询人联系的由咨询人自行协调。</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6" w:name="_Toc76398650"/>
      <w:r>
        <w:rPr>
          <w:rFonts w:hint="eastAsia" w:asciiTheme="minorEastAsia" w:hAnsiTheme="minorEastAsia"/>
          <w:color w:val="000000" w:themeColor="text1"/>
          <w:sz w:val="24"/>
          <w:szCs w:val="24"/>
          <w14:textFill>
            <w14:solidFill>
              <w14:schemeClr w14:val="tx1"/>
            </w14:solidFill>
          </w14:textFill>
        </w:rPr>
        <w:t>2.3 合理工作时限</w:t>
      </w:r>
      <w:bookmarkEnd w:id="696"/>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委托人应当为咨询人完成其咨询工作，设定合理的工作时限。</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7" w:name="_Toc76398651"/>
      <w:r>
        <w:rPr>
          <w:rFonts w:hint="eastAsia" w:asciiTheme="minorEastAsia" w:hAnsiTheme="minorEastAsia"/>
          <w:color w:val="000000" w:themeColor="text1"/>
          <w:sz w:val="24"/>
          <w:szCs w:val="24"/>
          <w14:textFill>
            <w14:solidFill>
              <w14:schemeClr w14:val="tx1"/>
            </w14:solidFill>
          </w14:textFill>
        </w:rPr>
        <w:t>2.4 委托人代表</w:t>
      </w:r>
      <w:bookmarkEnd w:id="697"/>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委托人应授权一名代表负责本合同的履行。委托人应在双方签订本合同 7日内，将委托人代表的姓名和权限范围书面告知咨询人。委托人更换委托人代表时，应提前 7 日书面通知咨询人。</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8" w:name="_Toc76398652"/>
      <w:r>
        <w:rPr>
          <w:rFonts w:hint="eastAsia" w:asciiTheme="minorEastAsia" w:hAnsiTheme="minorEastAsia"/>
          <w:color w:val="000000" w:themeColor="text1"/>
          <w:sz w:val="24"/>
          <w:szCs w:val="24"/>
          <w14:textFill>
            <w14:solidFill>
              <w14:schemeClr w14:val="tx1"/>
            </w14:solidFill>
          </w14:textFill>
        </w:rPr>
        <w:t>2.5 答复</w:t>
      </w:r>
      <w:bookmarkEnd w:id="698"/>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委托人应当在专用条件约定的时间内就咨询人以书面形式提交并要求做出答复的事宜给予书面答复。</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699" w:name="_Toc76398653"/>
      <w:r>
        <w:rPr>
          <w:rFonts w:hint="eastAsia" w:asciiTheme="minorEastAsia" w:hAnsiTheme="minorEastAsia"/>
          <w:color w:val="000000" w:themeColor="text1"/>
          <w:sz w:val="24"/>
          <w:szCs w:val="24"/>
          <w14:textFill>
            <w14:solidFill>
              <w14:schemeClr w14:val="tx1"/>
            </w14:solidFill>
          </w14:textFill>
        </w:rPr>
        <w:t>2.6 支付</w:t>
      </w:r>
      <w:bookmarkEnd w:id="699"/>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委托人应当按照合同的约定，向咨询人支付酬金。</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00" w:name="_Toc76398654"/>
      <w:r>
        <w:rPr>
          <w:rFonts w:hint="eastAsia" w:asciiTheme="minorEastAsia" w:hAnsiTheme="minorEastAsia"/>
          <w:color w:val="000000" w:themeColor="text1"/>
          <w:sz w:val="24"/>
          <w:szCs w:val="24"/>
          <w14:textFill>
            <w14:solidFill>
              <w14:schemeClr w14:val="tx1"/>
            </w14:solidFill>
          </w14:textFill>
        </w:rPr>
        <w:t>3.咨询人的义务</w:t>
      </w:r>
      <w:bookmarkEnd w:id="700"/>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01" w:name="_Toc76398655"/>
      <w:r>
        <w:rPr>
          <w:rFonts w:hint="eastAsia" w:asciiTheme="minorEastAsia" w:hAnsiTheme="minorEastAsia"/>
          <w:color w:val="000000" w:themeColor="text1"/>
          <w:sz w:val="24"/>
          <w:szCs w:val="24"/>
          <w14:textFill>
            <w14:solidFill>
              <w14:schemeClr w14:val="tx1"/>
            </w14:solidFill>
          </w14:textFill>
        </w:rPr>
        <w:t>3.1 项目咨询团队及人员</w:t>
      </w:r>
      <w:bookmarkEnd w:id="701"/>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3.1.1 项目咨询团队的主要人员应具有专用条件约定的资格条件，团队人员的数量应符合专用条件的约定。</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3.1.2 项目负责人</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3.1.4 咨询人员有下列情形之一，委托人要求咨询人更换的，咨询人应当更换：</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（1）存在严重过失行为的；</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（2）存在违法行为不能履行职责的；</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（3）涉嫌犯罪的；</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（4）不能胜任岗位职责的；</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（5）严重违反职业道德的；</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）不满意的；</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（7）专用条件约定的其他情形。</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02" w:name="_Toc76398656"/>
      <w:r>
        <w:rPr>
          <w:rFonts w:hint="eastAsia" w:asciiTheme="minorEastAsia" w:hAnsiTheme="minorEastAsia"/>
          <w:color w:val="000000" w:themeColor="text1"/>
          <w:sz w:val="24"/>
          <w:szCs w:val="24"/>
          <w14:textFill>
            <w14:solidFill>
              <w14:schemeClr w14:val="tx1"/>
            </w14:solidFill>
          </w14:textFill>
        </w:rPr>
        <w:t>3.2 咨询人的工作要求</w:t>
      </w:r>
      <w:bookmarkEnd w:id="702"/>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3.2.1 </w:t>
      </w:r>
      <w:r>
        <w:rPr>
          <w:rFonts w:hint="eastAsia" w:asciiTheme="minorEastAsia" w:hAnsiTheme="minorEastAsia"/>
          <w:color w:val="000000" w:themeColor="text1"/>
          <w:sz w:val="24"/>
          <w:szCs w:val="24"/>
          <w14:textFill>
            <w14:solidFill>
              <w14:schemeClr w14:val="tx1"/>
            </w14:solidFill>
          </w14:textFill>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3.2.4 咨询人应在专用条件约定的时间内，对委托人以书面形式提出的建议或者异议给予书面答复。</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3.2.5 咨询人从事工程造价咨询活动，应当遵循独立、客观、公正、诚实信用的原则，不得损害社会公共利益和他人的合法权益。</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3.2.6 咨询人承诺按照法律规定及合同约定，完成合同范围内的建设工程造价咨询服务，不转包承接的造价咨询服务业务。</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03" w:name="_Toc76398657"/>
      <w:r>
        <w:rPr>
          <w:rFonts w:hint="eastAsia" w:asciiTheme="minorEastAsia" w:hAnsiTheme="minorEastAsia"/>
          <w:color w:val="000000" w:themeColor="text1"/>
          <w:sz w:val="24"/>
          <w:szCs w:val="24"/>
          <w14:textFill>
            <w14:solidFill>
              <w14:schemeClr w14:val="tx1"/>
            </w14:solidFill>
          </w14:textFill>
        </w:rPr>
        <w:t>3.3 咨询人的工作依据</w:t>
      </w:r>
      <w:bookmarkEnd w:id="703"/>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04" w:name="_Toc76398658"/>
      <w:r>
        <w:rPr>
          <w:rFonts w:hint="eastAsia" w:asciiTheme="minorEastAsia" w:hAnsiTheme="minorEastAsia"/>
          <w:color w:val="000000" w:themeColor="text1"/>
          <w:sz w:val="24"/>
          <w:szCs w:val="24"/>
          <w14:textFill>
            <w14:solidFill>
              <w14:schemeClr w14:val="tx1"/>
            </w14:solidFill>
          </w14:textFill>
        </w:rPr>
        <w:t>3.4 使用委托人房屋及设备的返还</w:t>
      </w:r>
      <w:bookmarkEnd w:id="704"/>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05" w:name="_Toc76398659"/>
      <w:r>
        <w:rPr>
          <w:rFonts w:hint="eastAsia" w:asciiTheme="minorEastAsia" w:hAnsiTheme="minorEastAsia"/>
          <w:color w:val="000000" w:themeColor="text1"/>
          <w:sz w:val="24"/>
          <w:szCs w:val="24"/>
          <w14:textFill>
            <w14:solidFill>
              <w14:schemeClr w14:val="tx1"/>
            </w14:solidFill>
          </w14:textFill>
        </w:rPr>
        <w:t>4.违约责任</w:t>
      </w:r>
      <w:bookmarkEnd w:id="705"/>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06" w:name="_Toc76398660"/>
      <w:r>
        <w:rPr>
          <w:rFonts w:hint="eastAsia" w:asciiTheme="minorEastAsia" w:hAnsiTheme="minorEastAsia"/>
          <w:color w:val="000000" w:themeColor="text1"/>
          <w:sz w:val="24"/>
          <w:szCs w:val="24"/>
          <w14:textFill>
            <w14:solidFill>
              <w14:schemeClr w14:val="tx1"/>
            </w14:solidFill>
          </w14:textFill>
        </w:rPr>
        <w:t>4.1 委托人的违约责任</w:t>
      </w:r>
      <w:bookmarkEnd w:id="706"/>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4.1.1 委托人不履行本合同义务或者履行义务不符合本合同约定的，应承担违约责任。双方可在专用条件中约定违约金的计算及支付方法。</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4.1.2 委托人违反本合同约定造成咨询人损失的，委托人应予以赔偿。双方可在专用条件中约定赔偿金额的确定及支付方法。</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07" w:name="_Toc76398661"/>
      <w:r>
        <w:rPr>
          <w:rFonts w:hint="eastAsia" w:asciiTheme="minorEastAsia" w:hAnsiTheme="minorEastAsia"/>
          <w:color w:val="000000" w:themeColor="text1"/>
          <w:sz w:val="24"/>
          <w:szCs w:val="24"/>
          <w14:textFill>
            <w14:solidFill>
              <w14:schemeClr w14:val="tx1"/>
            </w14:solidFill>
          </w14:textFill>
        </w:rPr>
        <w:t>4.2 咨询人的违约责任</w:t>
      </w:r>
      <w:bookmarkEnd w:id="707"/>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4.2.1 咨询人不履行本合同义务或者履行义务不符合本合同约定的，应承担违约责任。双方可在专用条件中约定违约金的计算及支付方法。</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4.2.2 因咨询人违反本合同约定给委托人造成损失的，咨询人应当赔偿委托人损失。双方可在专用条件中约定赔偿金额的确定及支付方法。</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08" w:name="_Toc76398662"/>
      <w:r>
        <w:rPr>
          <w:rFonts w:hint="eastAsia" w:asciiTheme="minorEastAsia" w:hAnsiTheme="minorEastAsia"/>
          <w:color w:val="000000" w:themeColor="text1"/>
          <w:sz w:val="24"/>
          <w:szCs w:val="24"/>
          <w14:textFill>
            <w14:solidFill>
              <w14:schemeClr w14:val="tx1"/>
            </w14:solidFill>
          </w14:textFill>
        </w:rPr>
        <w:t>5.支付</w:t>
      </w:r>
      <w:bookmarkEnd w:id="708"/>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09" w:name="_Toc76398663"/>
      <w:r>
        <w:rPr>
          <w:rFonts w:hint="eastAsia" w:asciiTheme="minorEastAsia" w:hAnsiTheme="minorEastAsia"/>
          <w:color w:val="000000" w:themeColor="text1"/>
          <w:sz w:val="24"/>
          <w:szCs w:val="24"/>
          <w14:textFill>
            <w14:solidFill>
              <w14:schemeClr w14:val="tx1"/>
            </w14:solidFill>
          </w14:textFill>
        </w:rPr>
        <w:t>5.1 支付货币</w:t>
      </w:r>
      <w:bookmarkEnd w:id="709"/>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除专用条件另有约定外，酬金均以人民币支付。涉及外币支付的，所采用的货币种类和汇率等在专用条件中约定。</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10" w:name="_Toc76398664"/>
      <w:r>
        <w:rPr>
          <w:rFonts w:hint="eastAsia" w:asciiTheme="minorEastAsia" w:hAnsiTheme="minorEastAsia"/>
          <w:color w:val="000000" w:themeColor="text1"/>
          <w:sz w:val="24"/>
          <w:szCs w:val="24"/>
          <w14:textFill>
            <w14:solidFill>
              <w14:schemeClr w14:val="tx1"/>
            </w14:solidFill>
          </w14:textFill>
        </w:rPr>
        <w:t>5.2 支付申请</w:t>
      </w:r>
      <w:bookmarkEnd w:id="710"/>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11" w:name="_Toc76398665"/>
      <w:r>
        <w:rPr>
          <w:rFonts w:hint="eastAsia" w:asciiTheme="minorEastAsia" w:hAnsiTheme="minorEastAsia"/>
          <w:color w:val="000000" w:themeColor="text1"/>
          <w:sz w:val="24"/>
          <w:szCs w:val="24"/>
          <w14:textFill>
            <w14:solidFill>
              <w14:schemeClr w14:val="tx1"/>
            </w14:solidFill>
          </w14:textFill>
        </w:rPr>
        <w:t>5.3 支付酬金</w:t>
      </w:r>
      <w:bookmarkEnd w:id="711"/>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支付酬金包括正常工作酬金、附加工作酬金、合理化建议奖励金额及费用。</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12" w:name="_Toc76398666"/>
      <w:r>
        <w:rPr>
          <w:rFonts w:hint="eastAsia" w:asciiTheme="minorEastAsia" w:hAnsiTheme="minorEastAsia"/>
          <w:color w:val="000000" w:themeColor="text1"/>
          <w:sz w:val="24"/>
          <w:szCs w:val="24"/>
          <w14:textFill>
            <w14:solidFill>
              <w14:schemeClr w14:val="tx1"/>
            </w14:solidFill>
          </w14:textFill>
        </w:rPr>
        <w:t>5.4 有异议部分的支付</w:t>
      </w:r>
      <w:bookmarkEnd w:id="712"/>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13" w:name="_Toc76398667"/>
      <w:r>
        <w:rPr>
          <w:rFonts w:hint="eastAsia" w:asciiTheme="minorEastAsia" w:hAnsiTheme="minorEastAsia"/>
          <w:color w:val="000000" w:themeColor="text1"/>
          <w:sz w:val="24"/>
          <w:szCs w:val="24"/>
          <w14:textFill>
            <w14:solidFill>
              <w14:schemeClr w14:val="tx1"/>
            </w14:solidFill>
          </w14:textFill>
        </w:rPr>
        <w:t>6.合同变更、解除与终止</w:t>
      </w:r>
      <w:bookmarkEnd w:id="713"/>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14" w:name="_Toc76398668"/>
      <w:r>
        <w:rPr>
          <w:rFonts w:hint="eastAsia" w:asciiTheme="minorEastAsia" w:hAnsiTheme="minorEastAsia"/>
          <w:color w:val="000000" w:themeColor="text1"/>
          <w:sz w:val="24"/>
          <w:szCs w:val="24"/>
          <w14:textFill>
            <w14:solidFill>
              <w14:schemeClr w14:val="tx1"/>
            </w14:solidFill>
          </w14:textFill>
        </w:rPr>
        <w:t>6.1 合同变更</w:t>
      </w:r>
      <w:bookmarkEnd w:id="714"/>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6.1.1 任何一方以书面形式提出变更请求时，双方经协商一致后可进行变更。</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6.1.4 因工程规模、服务范围及工作内容的变化等导致咨询人的工作量增减时，服务酬金应作相应调整，调整方法由双方在专用条件中约定。</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15" w:name="_Toc76398669"/>
      <w:r>
        <w:rPr>
          <w:rFonts w:hint="eastAsia" w:asciiTheme="minorEastAsia" w:hAnsiTheme="minorEastAsia"/>
          <w:color w:val="000000" w:themeColor="text1"/>
          <w:sz w:val="24"/>
          <w:szCs w:val="24"/>
          <w14:textFill>
            <w14:solidFill>
              <w14:schemeClr w14:val="tx1"/>
            </w14:solidFill>
          </w14:textFill>
        </w:rPr>
        <w:t>6.2 合同解除</w:t>
      </w:r>
      <w:bookmarkEnd w:id="715"/>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6.2.1 委托人与咨询人协商一致，可以解除合同。</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6.2.2 有下列情形之一的，合同当事人一方或双方可以解除合同：</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（1）咨询人将本合同约定的工程造价咨询服务工作全部或部分转包给他人，委托人可以解除合同；</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（2）咨询人提供的造价咨询服务不符合合同约定的要求，经委托人催告仍不能达到合同约定要求的，委托人可以解除合同；</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（3）因不可抗力致使合同无法履行；</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（4）因一方违约致使合同无法实际履行或实际履行已无必要。</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除上述情形外，双方可以根据委托的服务范围及工作内容，在专用条件中约定解除合同的其他条件。</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6.2.3 任何一方提出解除合同的，应提前 30 天书面通知对方，无法提前通知解除的情形除外。</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6.2.5 本合同解除后，本合同约定的有关结算、争议解决方式的条款仍然有效。</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16" w:name="_Toc76398670"/>
      <w:r>
        <w:rPr>
          <w:rFonts w:hint="eastAsia" w:asciiTheme="minorEastAsia" w:hAnsiTheme="minorEastAsia"/>
          <w:color w:val="000000" w:themeColor="text1"/>
          <w:sz w:val="24"/>
          <w:szCs w:val="24"/>
          <w14:textFill>
            <w14:solidFill>
              <w14:schemeClr w14:val="tx1"/>
            </w14:solidFill>
          </w14:textFill>
        </w:rPr>
        <w:t>6.3 合同终止</w:t>
      </w:r>
      <w:bookmarkEnd w:id="716"/>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除合同解除外，以下条件全部满足时，本合同终止：</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（1）咨询人完成本合同约定的全部工作；</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（2）委托人与咨询人结清并支付酬金；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（3）咨询人将委托人提供的资料交还。</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17" w:name="_Toc76398671"/>
      <w:r>
        <w:rPr>
          <w:rFonts w:hint="eastAsia" w:asciiTheme="minorEastAsia" w:hAnsiTheme="minorEastAsia"/>
          <w:color w:val="000000" w:themeColor="text1"/>
          <w:sz w:val="24"/>
          <w:szCs w:val="24"/>
          <w14:textFill>
            <w14:solidFill>
              <w14:schemeClr w14:val="tx1"/>
            </w14:solidFill>
          </w14:textFill>
        </w:rPr>
        <w:t>7.争议解决</w:t>
      </w:r>
      <w:bookmarkEnd w:id="717"/>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18" w:name="_Toc76398672"/>
      <w:r>
        <w:rPr>
          <w:rFonts w:hint="eastAsia" w:asciiTheme="minorEastAsia" w:hAnsiTheme="minorEastAsia"/>
          <w:color w:val="000000" w:themeColor="text1"/>
          <w:sz w:val="24"/>
          <w:szCs w:val="24"/>
          <w14:textFill>
            <w14:solidFill>
              <w14:schemeClr w14:val="tx1"/>
            </w14:solidFill>
          </w14:textFill>
        </w:rPr>
        <w:t>7.1 协商</w:t>
      </w:r>
      <w:bookmarkEnd w:id="718"/>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双方应本着诚实信用的原则协商解决本合同履行过程中发生的争议。</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19" w:name="_Toc76398673"/>
      <w:r>
        <w:rPr>
          <w:rFonts w:hint="eastAsia" w:asciiTheme="minorEastAsia" w:hAnsiTheme="minorEastAsia"/>
          <w:color w:val="000000" w:themeColor="text1"/>
          <w:sz w:val="24"/>
          <w:szCs w:val="24"/>
          <w14:textFill>
            <w14:solidFill>
              <w14:schemeClr w14:val="tx1"/>
            </w14:solidFill>
          </w14:textFill>
        </w:rPr>
        <w:t>7.2 调解</w:t>
      </w:r>
      <w:bookmarkEnd w:id="719"/>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如果双方不能在 14 日内或双方商定的其他时间内解决本合同争议，可以将其提交给专用条件约定的或事后达成协议的调解人进行调解。</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20" w:name="_Toc76398674"/>
      <w:r>
        <w:rPr>
          <w:rFonts w:hint="eastAsia" w:asciiTheme="minorEastAsia" w:hAnsiTheme="minorEastAsia"/>
          <w:color w:val="000000" w:themeColor="text1"/>
          <w:sz w:val="24"/>
          <w:szCs w:val="24"/>
          <w14:textFill>
            <w14:solidFill>
              <w14:schemeClr w14:val="tx1"/>
            </w14:solidFill>
          </w14:textFill>
        </w:rPr>
        <w:t>7.3 仲裁或诉讼</w:t>
      </w:r>
      <w:bookmarkEnd w:id="720"/>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双方均有权不经调解直接向专用条件约定的仲裁机构申请仲裁或向有管辖权的人民法院提起诉讼。</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21" w:name="_Toc76398675"/>
      <w:r>
        <w:rPr>
          <w:rFonts w:hint="eastAsia" w:asciiTheme="minorEastAsia" w:hAnsiTheme="minorEastAsia"/>
          <w:color w:val="000000" w:themeColor="text1"/>
          <w:sz w:val="24"/>
          <w:szCs w:val="24"/>
          <w14:textFill>
            <w14:solidFill>
              <w14:schemeClr w14:val="tx1"/>
            </w14:solidFill>
          </w14:textFill>
        </w:rPr>
        <w:t>8.其他</w:t>
      </w:r>
      <w:bookmarkEnd w:id="721"/>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22" w:name="_Toc76398676"/>
      <w:r>
        <w:rPr>
          <w:rFonts w:hint="eastAsia" w:asciiTheme="minorEastAsia" w:hAnsiTheme="minorEastAsia"/>
          <w:color w:val="000000" w:themeColor="text1"/>
          <w:sz w:val="24"/>
          <w:szCs w:val="24"/>
          <w14:textFill>
            <w14:solidFill>
              <w14:schemeClr w14:val="tx1"/>
            </w14:solidFill>
          </w14:textFill>
        </w:rPr>
        <w:t>8.1 考察及相关费用</w:t>
      </w:r>
      <w:bookmarkEnd w:id="722"/>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除专用条件另有约定外，咨询人经委托人同意进行考察发生的费用由委托人审核后另行支付。差旅费及相关费用的承担由双方在专用条件中约定。</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23" w:name="_Toc76398677"/>
      <w:r>
        <w:rPr>
          <w:rFonts w:hint="eastAsia" w:asciiTheme="minorEastAsia" w:hAnsiTheme="minorEastAsia"/>
          <w:color w:val="000000" w:themeColor="text1"/>
          <w:sz w:val="24"/>
          <w:szCs w:val="24"/>
          <w14:textFill>
            <w14:solidFill>
              <w14:schemeClr w14:val="tx1"/>
            </w14:solidFill>
          </w14:textFill>
        </w:rPr>
        <w:t>8.2 奖励</w:t>
      </w:r>
      <w:bookmarkEnd w:id="723"/>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24" w:name="_Toc76398678"/>
      <w:r>
        <w:rPr>
          <w:rFonts w:hint="eastAsia" w:asciiTheme="minorEastAsia" w:hAnsiTheme="minorEastAsia"/>
          <w:color w:val="000000" w:themeColor="text1"/>
          <w:sz w:val="24"/>
          <w:szCs w:val="24"/>
          <w14:textFill>
            <w14:solidFill>
              <w14:schemeClr w14:val="tx1"/>
            </w14:solidFill>
          </w14:textFill>
        </w:rPr>
        <w:t>8.3 保密</w:t>
      </w:r>
      <w:bookmarkEnd w:id="724"/>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25" w:name="_Toc76398679"/>
      <w:r>
        <w:rPr>
          <w:rFonts w:hint="eastAsia" w:asciiTheme="minorEastAsia" w:hAnsiTheme="minorEastAsia"/>
          <w:color w:val="000000" w:themeColor="text1"/>
          <w:sz w:val="24"/>
          <w:szCs w:val="24"/>
          <w14:textFill>
            <w14:solidFill>
              <w14:schemeClr w14:val="tx1"/>
            </w14:solidFill>
          </w14:textFill>
        </w:rPr>
        <w:t>8.4 联络</w:t>
      </w:r>
      <w:bookmarkEnd w:id="725"/>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8.4.1 与合同有关的通知、指示、要求、决定等，均应采用书面形式，并应在专用条件约定的期限内送达接收人和送达地点。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26" w:name="_Toc76398680"/>
      <w:r>
        <w:rPr>
          <w:rFonts w:hint="eastAsia" w:asciiTheme="minorEastAsia" w:hAnsiTheme="minorEastAsia"/>
          <w:color w:val="000000" w:themeColor="text1"/>
          <w:sz w:val="24"/>
          <w:szCs w:val="24"/>
          <w14:textFill>
            <w14:solidFill>
              <w14:schemeClr w14:val="tx1"/>
            </w14:solidFill>
          </w14:textFill>
        </w:rPr>
        <w:t>8.5 知识产权</w:t>
      </w:r>
      <w:bookmarkEnd w:id="726"/>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pPr>
        <w:widowControl/>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br w:type="page"/>
      </w:r>
    </w:p>
    <w:p>
      <w:pPr>
        <w:spacing w:line="360" w:lineRule="auto"/>
        <w:ind w:firstLine="643"/>
        <w:jc w:val="center"/>
        <w:outlineLvl w:val="0"/>
        <w:rPr>
          <w:rFonts w:asciiTheme="minorEastAsia" w:hAnsiTheme="minorEastAsia"/>
          <w:b/>
          <w:color w:val="000000" w:themeColor="text1"/>
          <w:sz w:val="32"/>
          <w:szCs w:val="32"/>
          <w14:textFill>
            <w14:solidFill>
              <w14:schemeClr w14:val="tx1"/>
            </w14:solidFill>
          </w14:textFill>
        </w:rPr>
      </w:pPr>
      <w:bookmarkStart w:id="727" w:name="_Toc76398681"/>
      <w:r>
        <w:rPr>
          <w:rFonts w:hint="eastAsia" w:asciiTheme="minorEastAsia" w:hAnsiTheme="minorEastAsia"/>
          <w:b/>
          <w:color w:val="000000" w:themeColor="text1"/>
          <w:sz w:val="32"/>
          <w:szCs w:val="32"/>
          <w14:textFill>
            <w14:solidFill>
              <w14:schemeClr w14:val="tx1"/>
            </w14:solidFill>
          </w14:textFill>
        </w:rPr>
        <w:t>第三部分专用条件</w:t>
      </w:r>
      <w:bookmarkEnd w:id="727"/>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28" w:name="_Toc76398682"/>
      <w:r>
        <w:rPr>
          <w:rFonts w:hint="eastAsia" w:asciiTheme="minorEastAsia" w:hAnsiTheme="minorEastAsia"/>
          <w:color w:val="000000" w:themeColor="text1"/>
          <w:sz w:val="24"/>
          <w:szCs w:val="24"/>
          <w14:textFill>
            <w14:solidFill>
              <w14:schemeClr w14:val="tx1"/>
            </w14:solidFill>
          </w14:textFill>
        </w:rPr>
        <w:t>1.词语定义、语言、解释顺序与适用法律</w:t>
      </w:r>
      <w:bookmarkEnd w:id="728"/>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29" w:name="_Toc76398683"/>
      <w:r>
        <w:rPr>
          <w:rFonts w:hint="eastAsia" w:asciiTheme="minorEastAsia" w:hAnsiTheme="minorEastAsia"/>
          <w:color w:val="000000" w:themeColor="text1"/>
          <w:sz w:val="24"/>
          <w:szCs w:val="24"/>
          <w14:textFill>
            <w14:solidFill>
              <w14:schemeClr w14:val="tx1"/>
            </w14:solidFill>
          </w14:textFill>
        </w:rPr>
        <w:t>1.2 语言</w:t>
      </w:r>
      <w:bookmarkEnd w:id="729"/>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本合同文件除使用中文外，还可用</w:t>
      </w:r>
      <w:r>
        <w:rPr>
          <w:rFonts w:hint="eastAsia" w:asciiTheme="minorEastAsia" w:hAnsiTheme="minorEastAsia"/>
          <w:color w:val="000000" w:themeColor="text1"/>
          <w:sz w:val="24"/>
          <w:szCs w:val="24"/>
          <w:u w:val="single"/>
          <w14:textFill>
            <w14:solidFill>
              <w14:schemeClr w14:val="tx1"/>
            </w14:solidFill>
          </w14:textFill>
        </w:rPr>
        <w:t xml:space="preserve">   /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30" w:name="_Toc76398684"/>
      <w:r>
        <w:rPr>
          <w:rFonts w:hint="eastAsia" w:asciiTheme="minorEastAsia" w:hAnsiTheme="minorEastAsia"/>
          <w:color w:val="000000" w:themeColor="text1"/>
          <w:sz w:val="24"/>
          <w:szCs w:val="24"/>
          <w14:textFill>
            <w14:solidFill>
              <w14:schemeClr w14:val="tx1"/>
            </w14:solidFill>
          </w14:textFill>
        </w:rPr>
        <w:t>1.3 合同文件的优先顺序</w:t>
      </w:r>
      <w:bookmarkEnd w:id="730"/>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本合同文件的解释顺序为：</w:t>
      </w:r>
    </w:p>
    <w:p>
      <w:pPr>
        <w:pStyle w:val="68"/>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1.3.1.协议书；</w:t>
      </w:r>
    </w:p>
    <w:p>
      <w:pPr>
        <w:pStyle w:val="68"/>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1.3.2. 招标文件或比选文件（包括但不限于本工程的招标或比选文件、图纸、其他技术资料及招标人发出的对招标或比选文件所作的澄清、修改、补遗等资料）（若有）；</w:t>
      </w:r>
    </w:p>
    <w:p>
      <w:pPr>
        <w:pStyle w:val="68"/>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1.3.3.中标通知书或委托书（如果有）；</w:t>
      </w:r>
    </w:p>
    <w:p>
      <w:pPr>
        <w:pStyle w:val="68"/>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1.3.3.专用条件及附录；</w:t>
      </w:r>
    </w:p>
    <w:p>
      <w:pPr>
        <w:pStyle w:val="68"/>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1.3.4.通用条件；</w:t>
      </w:r>
    </w:p>
    <w:p>
      <w:pPr>
        <w:pStyle w:val="68"/>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1.3.6.投标函及投标函附录或造价咨询服务建议书（如果有）；</w:t>
      </w:r>
    </w:p>
    <w:p>
      <w:pPr>
        <w:pStyle w:val="68"/>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1.3.7.其他合同文件。</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31" w:name="_Toc76398685"/>
      <w:r>
        <w:rPr>
          <w:rFonts w:hint="eastAsia" w:asciiTheme="minorEastAsia" w:hAnsiTheme="minorEastAsia"/>
          <w:color w:val="000000" w:themeColor="text1"/>
          <w:sz w:val="24"/>
          <w:szCs w:val="24"/>
          <w14:textFill>
            <w14:solidFill>
              <w14:schemeClr w14:val="tx1"/>
            </w14:solidFill>
          </w14:textFill>
        </w:rPr>
        <w:t>1.4 适用法律</w:t>
      </w:r>
      <w:bookmarkEnd w:id="731"/>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本合同适用的其他规范性文件包括:</w:t>
      </w:r>
      <w:r>
        <w:rPr>
          <w:rFonts w:hint="eastAsia" w:asciiTheme="minorEastAsia" w:hAnsiTheme="minorEastAsia"/>
          <w:color w:val="000000" w:themeColor="text1"/>
          <w:sz w:val="24"/>
          <w:szCs w:val="24"/>
          <w:u w:val="single"/>
          <w14:textFill>
            <w14:solidFill>
              <w14:schemeClr w14:val="tx1"/>
            </w14:solidFill>
          </w14:textFill>
        </w:rPr>
        <w:t xml:space="preserve">   重庆市现行的工程量清单计算规则、定额、规程、技术标准等规范性文件</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32" w:name="_Toc76398686"/>
      <w:r>
        <w:rPr>
          <w:rFonts w:hint="eastAsia" w:asciiTheme="minorEastAsia" w:hAnsiTheme="minorEastAsia"/>
          <w:color w:val="000000" w:themeColor="text1"/>
          <w:sz w:val="24"/>
          <w:szCs w:val="24"/>
          <w14:textFill>
            <w14:solidFill>
              <w14:schemeClr w14:val="tx1"/>
            </w14:solidFill>
          </w14:textFill>
        </w:rPr>
        <w:t>2.委托人的义务</w:t>
      </w:r>
      <w:bookmarkEnd w:id="732"/>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33" w:name="_Toc76398687"/>
      <w:r>
        <w:rPr>
          <w:rFonts w:hint="eastAsia" w:asciiTheme="minorEastAsia" w:hAnsiTheme="minorEastAsia"/>
          <w:color w:val="000000" w:themeColor="text1"/>
          <w:sz w:val="24"/>
          <w:szCs w:val="24"/>
          <w14:textFill>
            <w14:solidFill>
              <w14:schemeClr w14:val="tx1"/>
            </w14:solidFill>
          </w14:textFill>
        </w:rPr>
        <w:t>2.1 提供资料</w:t>
      </w:r>
      <w:bookmarkEnd w:id="733"/>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委托人按照附录 C 约定无偿向咨询人提供与本合同咨询业务有关资料的时间为：</w:t>
      </w:r>
      <w:r>
        <w:rPr>
          <w:rFonts w:hint="eastAsia" w:asciiTheme="minorEastAsia" w:hAnsiTheme="minorEastAsia"/>
          <w:color w:val="000000" w:themeColor="text1"/>
          <w:sz w:val="24"/>
          <w:szCs w:val="24"/>
          <w:u w:val="single"/>
          <w14:textFill>
            <w14:solidFill>
              <w14:schemeClr w14:val="tx1"/>
            </w14:solidFill>
          </w14:textFill>
        </w:rPr>
        <w:t>签订合同后7日内</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34" w:name="_Toc76398688"/>
      <w:r>
        <w:rPr>
          <w:rFonts w:hint="eastAsia" w:asciiTheme="minorEastAsia" w:hAnsiTheme="minorEastAsia"/>
          <w:color w:val="000000" w:themeColor="text1"/>
          <w:sz w:val="24"/>
          <w:szCs w:val="24"/>
          <w14:textFill>
            <w14:solidFill>
              <w14:schemeClr w14:val="tx1"/>
            </w14:solidFill>
          </w14:textFill>
        </w:rPr>
        <w:t>2.2 提供工作条件</w:t>
      </w:r>
      <w:bookmarkEnd w:id="734"/>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2.2.1 本合同履行中，委托人不需要向项目咨询人员提供的房屋及设备。</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35" w:name="_Toc76398689"/>
      <w:r>
        <w:rPr>
          <w:rFonts w:hint="eastAsia" w:asciiTheme="minorEastAsia" w:hAnsiTheme="minorEastAsia"/>
          <w:color w:val="000000" w:themeColor="text1"/>
          <w:sz w:val="24"/>
          <w:szCs w:val="24"/>
          <w14:textFill>
            <w14:solidFill>
              <w14:schemeClr w14:val="tx1"/>
            </w14:solidFill>
          </w14:textFill>
        </w:rPr>
        <w:t>2.4 委托人代表</w:t>
      </w:r>
      <w:bookmarkEnd w:id="735"/>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项目管理代表为：</w:t>
      </w:r>
      <w:r>
        <w:rPr>
          <w:rFonts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，其权限范围：</w:t>
      </w:r>
      <w:r>
        <w:rPr>
          <w:rFonts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成本控制代表：</w:t>
      </w:r>
      <w:r>
        <w:rPr>
          <w:rFonts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，其权限范围：</w:t>
      </w:r>
      <w:r>
        <w:rPr>
          <w:rFonts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36" w:name="_Toc76398690"/>
      <w:r>
        <w:rPr>
          <w:rFonts w:hint="eastAsia" w:asciiTheme="minorEastAsia" w:hAnsiTheme="minorEastAsia"/>
          <w:color w:val="000000" w:themeColor="text1"/>
          <w:sz w:val="24"/>
          <w:szCs w:val="24"/>
          <w14:textFill>
            <w14:solidFill>
              <w14:schemeClr w14:val="tx1"/>
            </w14:solidFill>
          </w14:textFill>
        </w:rPr>
        <w:t>2.5 答复</w:t>
      </w:r>
      <w:bookmarkEnd w:id="736"/>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委托人同意在</w:t>
      </w:r>
      <w:r>
        <w:rPr>
          <w:rFonts w:hint="eastAsia" w:asciiTheme="minorEastAsia" w:hAnsiTheme="minorEastAsia"/>
          <w:color w:val="000000" w:themeColor="text1"/>
          <w:sz w:val="24"/>
          <w:szCs w:val="24"/>
          <w:u w:val="single"/>
          <w14:textFill>
            <w14:solidFill>
              <w14:schemeClr w14:val="tx1"/>
            </w14:solidFill>
          </w14:textFill>
        </w:rPr>
        <w:t xml:space="preserve"> 7 </w:t>
      </w:r>
      <w:r>
        <w:rPr>
          <w:rFonts w:hint="eastAsia" w:asciiTheme="minorEastAsia" w:hAnsiTheme="minorEastAsia"/>
          <w:color w:val="000000" w:themeColor="text1"/>
          <w:sz w:val="24"/>
          <w:szCs w:val="24"/>
          <w14:textFill>
            <w14:solidFill>
              <w14:schemeClr w14:val="tx1"/>
            </w14:solidFill>
          </w14:textFill>
        </w:rPr>
        <w:t>日内，对咨询人书面提交并要求做出决定的事宜给予书面答复。</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37" w:name="_Toc76398691"/>
      <w:r>
        <w:rPr>
          <w:rFonts w:hint="eastAsia" w:asciiTheme="minorEastAsia" w:hAnsiTheme="minorEastAsia"/>
          <w:color w:val="000000" w:themeColor="text1"/>
          <w:sz w:val="24"/>
          <w:szCs w:val="24"/>
          <w14:textFill>
            <w14:solidFill>
              <w14:schemeClr w14:val="tx1"/>
            </w14:solidFill>
          </w14:textFill>
        </w:rPr>
        <w:t>3.咨询人的义务</w:t>
      </w:r>
      <w:bookmarkEnd w:id="737"/>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38" w:name="_Toc76398692"/>
      <w:r>
        <w:rPr>
          <w:rFonts w:hint="eastAsia" w:asciiTheme="minorEastAsia" w:hAnsiTheme="minorEastAsia"/>
          <w:color w:val="000000" w:themeColor="text1"/>
          <w:sz w:val="24"/>
          <w:szCs w:val="24"/>
          <w14:textFill>
            <w14:solidFill>
              <w14:schemeClr w14:val="tx1"/>
            </w14:solidFill>
          </w14:textFill>
        </w:rPr>
        <w:t>3.1 项目咨询团队及人员</w:t>
      </w:r>
      <w:bookmarkEnd w:id="738"/>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3.1.1 项目咨询团队的主要人员应具有资格条件，团队人员的数量为</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人，具体见附录A。</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3.1.2 项目负责人为：</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；电话：</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3.1.3 咨询人更换项目咨询团队其他咨询人员的约定：</w:t>
      </w:r>
      <w:r>
        <w:rPr>
          <w:rFonts w:hint="eastAsia" w:asciiTheme="minorEastAsia" w:hAnsiTheme="minorEastAsia"/>
          <w:color w:val="000000" w:themeColor="text1"/>
          <w:sz w:val="24"/>
          <w:szCs w:val="24"/>
          <w:u w:val="single"/>
          <w14:textFill>
            <w14:solidFill>
              <w14:schemeClr w14:val="tx1"/>
            </w14:solidFill>
          </w14:textFill>
        </w:rPr>
        <w:t xml:space="preserve">  未经委托人同意，咨询人不得擅自更换人员，否则，视为咨询人违约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3.1.4 委托人要求更换咨询人员的情形还包括：</w:t>
      </w:r>
      <w:r>
        <w:rPr>
          <w:rFonts w:hint="eastAsia" w:asciiTheme="minorEastAsia" w:hAnsiTheme="minorEastAsia"/>
          <w:color w:val="000000" w:themeColor="text1"/>
          <w:sz w:val="24"/>
          <w:szCs w:val="24"/>
          <w:u w:val="single"/>
          <w14:textFill>
            <w14:solidFill>
              <w14:schemeClr w14:val="tx1"/>
            </w14:solidFill>
          </w14:textFill>
        </w:rPr>
        <w:t xml:space="preserve">  委托人要求更换时，咨询人应当无条件更换，否则，视为咨询人违约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施工阶段工程造价全过程控制补充3.1.5条</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本合同中约定的拟派人员无法满足现场管理的实际需要，特别是在抢工期间时段，咨询人必须按委托人要求无条件增加驻场人员，且不调整合同价。</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咨询人擅自更换人员，视为咨询人违约，委托人有权解除本合同，且咨询人按照本合同约定总服务费用的30%向委托人承担违约金。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咨询人未按照本协议约定更换人员，视为咨询人违约，委托人有权解除本合同，且咨询人按照本合同约定总服务费用的30%向委托人承担违约金。</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39" w:name="_Toc76398693"/>
      <w:r>
        <w:rPr>
          <w:rFonts w:hint="eastAsia" w:asciiTheme="minorEastAsia" w:hAnsiTheme="minorEastAsia"/>
          <w:color w:val="000000" w:themeColor="text1"/>
          <w:sz w:val="24"/>
          <w:szCs w:val="24"/>
          <w14:textFill>
            <w14:solidFill>
              <w14:schemeClr w14:val="tx1"/>
            </w14:solidFill>
          </w14:textFill>
        </w:rPr>
        <w:t>3.2 咨询人的工作要求</w:t>
      </w:r>
      <w:bookmarkEnd w:id="739"/>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3.2.1 咨询人向委托人提供有关资料的时间：</w:t>
      </w:r>
    </w:p>
    <w:p>
      <w:pPr>
        <w:pStyle w:val="4"/>
        <w:ind w:firstLine="480"/>
        <w:jc w:val="left"/>
        <w:rPr>
          <w:color w:val="000000" w:themeColor="text1"/>
          <w14:textFill>
            <w14:solidFill>
              <w14:schemeClr w14:val="tx1"/>
            </w14:solidFill>
          </w14:textFill>
        </w:rPr>
      </w:pPr>
      <w:r>
        <w:rPr>
          <w:rFonts w:hint="eastAsia" w:asciiTheme="minorEastAsia" w:hAnsiTheme="minorEastAsia"/>
          <w:b w:val="0"/>
          <w:bCs w:val="0"/>
          <w:color w:val="000000" w:themeColor="text1"/>
          <w:sz w:val="24"/>
          <w:szCs w:val="24"/>
          <w:lang w:val="en-US" w:eastAsia="zh-CN"/>
          <w14:textFill>
            <w14:solidFill>
              <w14:schemeClr w14:val="tx1"/>
            </w14:solidFill>
          </w14:textFill>
        </w:rPr>
        <w:t>A</w:t>
      </w:r>
      <w:r>
        <w:rPr>
          <w:rFonts w:hint="eastAsia" w:asciiTheme="minorEastAsia" w:hAnsiTheme="minorEastAsia"/>
          <w:b w:val="0"/>
          <w:bCs w:val="0"/>
          <w:color w:val="000000" w:themeColor="text1"/>
          <w:sz w:val="24"/>
          <w:szCs w:val="24"/>
          <w14:textFill>
            <w14:solidFill>
              <w14:schemeClr w14:val="tx1"/>
            </w14:solidFill>
          </w14:textFill>
        </w:rPr>
        <w:t>：施工阶段工程造价全过程控制：</w:t>
      </w:r>
      <w:r>
        <w:rPr>
          <w:color w:val="000000" w:themeColor="text1"/>
          <w14:textFill>
            <w14:solidFill>
              <w14:schemeClr w14:val="tx1"/>
            </w14:solidFill>
          </w14:textFill>
        </w:rPr>
        <w:t xml:space="preserve"> </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及时完成工程造价过程控制并提交成果资料不影响工程进度，按照施工合同条款，在约定的时间内完成工程进度报表审核。按照施工合同条款，在约定的时间内提交相关报告及结算审核报告。</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逾期提供前述书面资料，每逾期一日向委托人承担违约金</w:t>
      </w:r>
      <w:r>
        <w:rPr>
          <w:rFonts w:asciiTheme="minorEastAsia" w:hAnsiTheme="minorEastAsia"/>
          <w:color w:val="000000" w:themeColor="text1"/>
          <w:sz w:val="24"/>
          <w:szCs w:val="24"/>
          <w:u w:val="single"/>
          <w14:textFill>
            <w14:solidFill>
              <w14:schemeClr w14:val="tx1"/>
            </w14:solidFill>
          </w14:textFill>
        </w:rPr>
        <w:t xml:space="preserve"> 1000-10000 </w:t>
      </w:r>
      <w:r>
        <w:rPr>
          <w:rFonts w:hint="eastAsia" w:asciiTheme="minorEastAsia" w:hAnsiTheme="minorEastAsia"/>
          <w:color w:val="000000" w:themeColor="text1"/>
          <w:sz w:val="24"/>
          <w:szCs w:val="24"/>
          <w14:textFill>
            <w14:solidFill>
              <w14:schemeClr w14:val="tx1"/>
            </w14:solidFill>
          </w14:textFill>
        </w:rPr>
        <w:t>元，逾期</w:t>
      </w:r>
      <w:r>
        <w:rPr>
          <w:rFonts w:asciiTheme="minorEastAsia" w:hAnsiTheme="minorEastAsia"/>
          <w:color w:val="000000" w:themeColor="text1"/>
          <w:sz w:val="24"/>
          <w:szCs w:val="24"/>
          <w14:textFill>
            <w14:solidFill>
              <w14:schemeClr w14:val="tx1"/>
            </w14:solidFill>
          </w14:textFill>
        </w:rPr>
        <w:t>10</w:t>
      </w:r>
      <w:r>
        <w:rPr>
          <w:rFonts w:hint="eastAsia" w:asciiTheme="minorEastAsia" w:hAnsiTheme="minorEastAsia"/>
          <w:color w:val="000000" w:themeColor="text1"/>
          <w:sz w:val="24"/>
          <w:szCs w:val="24"/>
          <w14:textFill>
            <w14:solidFill>
              <w14:schemeClr w14:val="tx1"/>
            </w14:solidFill>
          </w14:textFill>
        </w:rPr>
        <w:t>日未提交，委托人有权解除本合同，咨询人按照本合同约定金额的30%委托人承担违约金，同时，咨询人承担给委托人造成的一切损失。</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咨询人向委托人提供的资料还包括：</w:t>
      </w:r>
      <w:r>
        <w:rPr>
          <w:rFonts w:hint="eastAsia" w:asciiTheme="minorEastAsia" w:hAnsiTheme="minorEastAsia"/>
          <w:color w:val="000000" w:themeColor="text1"/>
          <w:sz w:val="24"/>
          <w:szCs w:val="24"/>
          <w:u w:val="single"/>
          <w14:textFill>
            <w14:solidFill>
              <w14:schemeClr w14:val="tx1"/>
            </w14:solidFill>
          </w14:textFill>
        </w:rPr>
        <w:t>详见</w:t>
      </w:r>
      <w:r>
        <w:rPr>
          <w:rFonts w:asciiTheme="minorEastAsia" w:hAnsiTheme="minorEastAsia"/>
          <w:color w:val="000000" w:themeColor="text1"/>
          <w:sz w:val="24"/>
          <w:szCs w:val="24"/>
          <w:u w:val="single"/>
          <w14:textFill>
            <w14:solidFill>
              <w14:schemeClr w14:val="tx1"/>
            </w14:solidFill>
          </w14:textFill>
        </w:rPr>
        <w:t>附</w:t>
      </w:r>
      <w:r>
        <w:rPr>
          <w:rFonts w:hint="eastAsia" w:asciiTheme="minorEastAsia" w:hAnsiTheme="minorEastAsia"/>
          <w:color w:val="000000" w:themeColor="text1"/>
          <w:sz w:val="24"/>
          <w:szCs w:val="24"/>
          <w:u w:val="single"/>
          <w14:textFill>
            <w14:solidFill>
              <w14:schemeClr w14:val="tx1"/>
            </w14:solidFill>
          </w14:textFill>
        </w:rPr>
        <w:t>录B</w:t>
      </w:r>
      <w:r>
        <w:rPr>
          <w:rFonts w:asciiTheme="minorEastAsia" w:hAnsiTheme="minorEastAsia"/>
          <w:color w:val="000000" w:themeColor="text1"/>
          <w:sz w:val="24"/>
          <w:szCs w:val="24"/>
          <w:u w:val="singl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3.2.2 咨询人向委托人提供咨询成果文件的名称、组成、时间、份数及质量标准：</w:t>
      </w:r>
      <w:r>
        <w:rPr>
          <w:rFonts w:hint="eastAsia" w:asciiTheme="minorEastAsia" w:hAnsiTheme="minorEastAsia"/>
          <w:color w:val="000000" w:themeColor="text1"/>
          <w:sz w:val="24"/>
          <w:szCs w:val="24"/>
          <w:u w:val="single"/>
          <w14:textFill>
            <w14:solidFill>
              <w14:schemeClr w14:val="tx1"/>
            </w14:solidFill>
          </w14:textFill>
        </w:rPr>
        <w:t>相关报告纸质档和电子档各一式贰份，具体见附录B。</w:t>
      </w:r>
      <w:r>
        <w:rPr>
          <w:rFonts w:hint="eastAsia" w:ascii="宋体" w:hAnsi="宋体"/>
          <w:color w:val="000000" w:themeColor="text1"/>
          <w:sz w:val="24"/>
          <w:szCs w:val="24"/>
          <w:u w:val="single"/>
          <w14:textFill>
            <w14:solidFill>
              <w14:schemeClr w14:val="tx1"/>
            </w14:solidFill>
          </w14:textFill>
        </w:rPr>
        <w:t>若委托人要求额外提供时，咨询人免费提供</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3.2.4 咨询人应在收到委托人提出的建议或者异议后</w:t>
      </w:r>
      <w:r>
        <w:rPr>
          <w:rFonts w:hint="eastAsia" w:asciiTheme="minorEastAsia" w:hAnsiTheme="minorEastAsia"/>
          <w:color w:val="000000" w:themeColor="text1"/>
          <w:sz w:val="24"/>
          <w:szCs w:val="24"/>
          <w:u w:val="single"/>
          <w14:textFill>
            <w14:solidFill>
              <w14:schemeClr w14:val="tx1"/>
            </w14:solidFill>
          </w14:textFill>
        </w:rPr>
        <w:t xml:space="preserve">  3  </w:t>
      </w:r>
      <w:r>
        <w:rPr>
          <w:rFonts w:hint="eastAsia" w:asciiTheme="minorEastAsia" w:hAnsiTheme="minorEastAsia"/>
          <w:color w:val="000000" w:themeColor="text1"/>
          <w:sz w:val="24"/>
          <w:szCs w:val="24"/>
          <w14:textFill>
            <w14:solidFill>
              <w14:schemeClr w14:val="tx1"/>
            </w14:solidFill>
          </w14:textFill>
        </w:rPr>
        <w:t>日内给予书面答复和（或）修改。</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40" w:name="_Toc76398694"/>
      <w:r>
        <w:rPr>
          <w:rFonts w:hint="eastAsia" w:asciiTheme="minorEastAsia" w:hAnsiTheme="minorEastAsia"/>
          <w:color w:val="000000" w:themeColor="text1"/>
          <w:sz w:val="24"/>
          <w:szCs w:val="24"/>
          <w14:textFill>
            <w14:solidFill>
              <w14:schemeClr w14:val="tx1"/>
            </w14:solidFill>
          </w14:textFill>
        </w:rPr>
        <w:t>3.3 咨询人的工作依据</w:t>
      </w:r>
      <w:bookmarkEnd w:id="740"/>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经双方协商，本合同约定的造价咨询服务适用的技术标准、规范、定额等工作依据为：</w:t>
      </w:r>
      <w:r>
        <w:rPr>
          <w:rFonts w:hint="eastAsia" w:asciiTheme="minorEastAsia" w:hAnsiTheme="minorEastAsia"/>
          <w:color w:val="000000" w:themeColor="text1"/>
          <w:sz w:val="24"/>
          <w:szCs w:val="24"/>
          <w:u w:val="single"/>
          <w14:textFill>
            <w14:solidFill>
              <w14:schemeClr w14:val="tx1"/>
            </w14:solidFill>
          </w14:textFill>
        </w:rPr>
        <w:t>《建设工程工程量清单计价规范》（GB50500-2013）、现行重庆市工程量计算规则、计价定额及相关配套定额、施工合同文件、造价信息、市场询价信息等</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41" w:name="_Toc76398695"/>
      <w:r>
        <w:rPr>
          <w:rFonts w:hint="eastAsia" w:asciiTheme="minorEastAsia" w:hAnsiTheme="minorEastAsia"/>
          <w:color w:val="000000" w:themeColor="text1"/>
          <w:sz w:val="24"/>
          <w:szCs w:val="24"/>
          <w14:textFill>
            <w14:solidFill>
              <w14:schemeClr w14:val="tx1"/>
            </w14:solidFill>
          </w14:textFill>
        </w:rPr>
        <w:t>3.4 使用委托人房屋及设备的返还</w:t>
      </w:r>
      <w:bookmarkEnd w:id="741"/>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委托人不提供房屋及设备，因进度需要或咨询人不能满足进度要求时，在委托人指定地点办公，结束后</w:t>
      </w:r>
      <w:r>
        <w:rPr>
          <w:rFonts w:asciiTheme="minorEastAsia" w:hAnsiTheme="minorEastAsia"/>
          <w:color w:val="000000" w:themeColor="text1"/>
          <w:sz w:val="24"/>
          <w:szCs w:val="24"/>
          <w14:textFill>
            <w14:solidFill>
              <w14:schemeClr w14:val="tx1"/>
            </w14:solidFill>
          </w14:textFill>
        </w:rPr>
        <w:t>3日内</w:t>
      </w:r>
      <w:r>
        <w:rPr>
          <w:rFonts w:hint="eastAsia" w:asciiTheme="minorEastAsia" w:hAnsiTheme="minorEastAsia"/>
          <w:color w:val="000000" w:themeColor="text1"/>
          <w:sz w:val="24"/>
          <w:szCs w:val="24"/>
          <w14:textFill>
            <w14:solidFill>
              <w14:schemeClr w14:val="tx1"/>
            </w14:solidFill>
          </w14:textFill>
        </w:rPr>
        <w:t>返还，逾期返还，委托人有权强制返还，场地内留有咨询人的物品视为遗弃物，委托人有权任意处置</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42" w:name="_Toc76398696"/>
      <w:r>
        <w:rPr>
          <w:rFonts w:hint="eastAsia" w:asciiTheme="minorEastAsia" w:hAnsiTheme="minorEastAsia"/>
          <w:color w:val="000000" w:themeColor="text1"/>
          <w:sz w:val="24"/>
          <w:szCs w:val="24"/>
          <w14:textFill>
            <w14:solidFill>
              <w14:schemeClr w14:val="tx1"/>
            </w14:solidFill>
          </w14:textFill>
        </w:rPr>
        <w:t>4. 违约责任</w:t>
      </w:r>
      <w:bookmarkEnd w:id="742"/>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43" w:name="_Toc76398697"/>
      <w:r>
        <w:rPr>
          <w:rFonts w:hint="eastAsia" w:asciiTheme="minorEastAsia" w:hAnsiTheme="minorEastAsia"/>
          <w:color w:val="000000" w:themeColor="text1"/>
          <w:sz w:val="24"/>
          <w:szCs w:val="24"/>
          <w14:textFill>
            <w14:solidFill>
              <w14:schemeClr w14:val="tx1"/>
            </w14:solidFill>
          </w14:textFill>
        </w:rPr>
        <w:t>4.1 委托人的违约责任</w:t>
      </w:r>
      <w:bookmarkEnd w:id="743"/>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4.1.1 委托人违约金的计算及支付方法：</w:t>
      </w:r>
      <w:r>
        <w:rPr>
          <w:rFonts w:hint="eastAsia" w:asciiTheme="minorEastAsia" w:hAnsiTheme="minorEastAsia"/>
          <w:color w:val="000000" w:themeColor="text1"/>
          <w:sz w:val="24"/>
          <w:szCs w:val="24"/>
          <w:u w:val="single"/>
          <w14:textFill>
            <w14:solidFill>
              <w14:schemeClr w14:val="tx1"/>
            </w14:solidFill>
          </w14:textFill>
        </w:rPr>
        <w:t xml:space="preserve"> 无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4.1.2 委托人赔偿金额按下列方法确定并支付：</w:t>
      </w:r>
      <w:r>
        <w:rPr>
          <w:rFonts w:hint="eastAsia" w:asciiTheme="minorEastAsia" w:hAnsiTheme="minorEastAsia"/>
          <w:color w:val="000000" w:themeColor="text1"/>
          <w:sz w:val="24"/>
          <w:szCs w:val="24"/>
          <w:u w:val="single"/>
          <w14:textFill>
            <w14:solidFill>
              <w14:schemeClr w14:val="tx1"/>
            </w14:solidFill>
          </w14:textFill>
        </w:rPr>
        <w:t xml:space="preserve"> 无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4.1.3 委托人逾期付款利息按下列方法计算并支付：</w:t>
      </w:r>
      <w:r>
        <w:rPr>
          <w:rFonts w:hint="eastAsia" w:asciiTheme="minorEastAsia" w:hAnsiTheme="minorEastAsia"/>
          <w:color w:val="000000" w:themeColor="text1"/>
          <w:sz w:val="24"/>
          <w:szCs w:val="24"/>
          <w:u w:val="single"/>
          <w14:textFill>
            <w14:solidFill>
              <w14:schemeClr w14:val="tx1"/>
            </w14:solidFill>
          </w14:textFill>
        </w:rPr>
        <w:t xml:space="preserve">  逾期付款利息=当期应付款总额×中国人民银行公布的同期活期存款利率/365×逾期支付天数（自逾期之日起计算）</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44" w:name="_Toc76398698"/>
      <w:r>
        <w:rPr>
          <w:rFonts w:hint="eastAsia" w:asciiTheme="minorEastAsia" w:hAnsiTheme="minorEastAsia"/>
          <w:color w:val="000000" w:themeColor="text1"/>
          <w:sz w:val="24"/>
          <w:szCs w:val="24"/>
          <w14:textFill>
            <w14:solidFill>
              <w14:schemeClr w14:val="tx1"/>
            </w14:solidFill>
          </w14:textFill>
        </w:rPr>
        <w:t>4.2 咨询人的违约责任</w:t>
      </w:r>
      <w:bookmarkEnd w:id="744"/>
    </w:p>
    <w:p>
      <w:pPr>
        <w:spacing w:line="360" w:lineRule="auto"/>
        <w:ind w:firstLine="480" w:firstLineChars="200"/>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4.2.1 咨询人违约金的计算及支付方法</w:t>
      </w:r>
      <w:r>
        <w:rPr>
          <w:rFonts w:hint="eastAsia" w:asciiTheme="minorEastAsia" w:hAnsiTheme="minorEastAsia"/>
          <w:color w:val="000000" w:themeColor="text1"/>
          <w:sz w:val="24"/>
          <w:szCs w:val="24"/>
          <w:u w:val="single"/>
          <w14:textFill>
            <w14:solidFill>
              <w14:schemeClr w14:val="tx1"/>
            </w14:solidFill>
          </w14:textFill>
        </w:rPr>
        <w:t>：除本合同其他条款约定外，若咨询人违约，咨询人按酬金的30%向委托人承担违约金。未履行协议书规定的服务范围及工作内容，咨询人按（酬金的30%）/每项向委托人承担违约金。</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4.2.2 咨询人成果误差赔偿金额按下列方法确定并支付：</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①</w:t>
      </w:r>
      <w:r>
        <w:rPr>
          <w:rFonts w:hint="eastAsia" w:asciiTheme="minorEastAsia" w:hAnsiTheme="minorEastAsia"/>
          <w:color w:val="000000" w:themeColor="text1"/>
          <w:sz w:val="24"/>
          <w:szCs w:val="24"/>
          <w:u w:val="single"/>
          <w14:textFill>
            <w14:solidFill>
              <w14:schemeClr w14:val="tx1"/>
            </w14:solidFill>
          </w14:textFill>
        </w:rPr>
        <w:t>材料、设备等的市场询价充分、定价或核价合理、符合市场行情、证明资料齐全、定价或核价超过国家审计或委托人抽查了解的同规格、同档次材料或设备市场价格的 5 % 的误差,视情节轻重每发生一次处</w:t>
      </w:r>
      <w:r>
        <w:rPr>
          <w:rFonts w:hint="eastAsia" w:asciiTheme="minorEastAsia" w:hAnsiTheme="minorEastAsia"/>
          <w:color w:val="000000" w:themeColor="text1"/>
          <w:sz w:val="24"/>
          <w:szCs w:val="24"/>
          <w:u w:val="single"/>
          <w14:textFill>
            <w14:solidFill>
              <w14:schemeClr w14:val="tx1"/>
            </w14:solidFill>
          </w14:textFill>
        </w:rPr>
        <w:t xml:space="preserve"> 2000</w:t>
      </w:r>
      <w:r>
        <w:rPr>
          <w:rFonts w:hint="eastAsia" w:asciiTheme="minorEastAsia" w:hAnsiTheme="minorEastAsia"/>
          <w:color w:val="000000" w:themeColor="text1"/>
          <w:sz w:val="24"/>
          <w:szCs w:val="24"/>
          <w:u w:val="single"/>
          <w14:textFill>
            <w14:solidFill>
              <w14:schemeClr w14:val="tx1"/>
            </w14:solidFill>
          </w14:textFill>
        </w:rPr>
        <w:t>元的违约金。</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②</w:t>
      </w:r>
      <w:r>
        <w:rPr>
          <w:rFonts w:hint="eastAsia" w:asciiTheme="minorEastAsia" w:hAnsiTheme="minorEastAsia"/>
          <w:color w:val="000000" w:themeColor="text1"/>
          <w:sz w:val="24"/>
          <w:szCs w:val="24"/>
          <w:u w:val="single"/>
          <w14:textFill>
            <w14:solidFill>
              <w14:schemeClr w14:val="tx1"/>
            </w14:solidFill>
          </w14:textFill>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③在项目结算评审阶段，相关部门提出招标清单不合理，要求修改中标清单单价而导致审减率提高的，由招标清单评审单位负责向相关部门解释并承担相应的后果。</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4.2.3</w:t>
      </w:r>
      <w:r>
        <w:rPr>
          <w:rFonts w:hint="eastAsia" w:asciiTheme="minorEastAsia" w:hAnsiTheme="minorEastAsia"/>
          <w:color w:val="000000" w:themeColor="text1"/>
          <w:sz w:val="24"/>
          <w:szCs w:val="24"/>
          <w14:textFill>
            <w14:solidFill>
              <w14:schemeClr w14:val="tx1"/>
            </w14:solidFill>
          </w14:textFill>
        </w:rPr>
        <w:t xml:space="preserve"> 经济责任</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4.2.3.1</w:t>
      </w:r>
      <w:r>
        <w:rPr>
          <w:rFonts w:hint="eastAsia" w:asciiTheme="minorEastAsia" w:hAnsiTheme="minorEastAsia"/>
          <w:color w:val="000000" w:themeColor="text1"/>
          <w:sz w:val="24"/>
          <w:szCs w:val="24"/>
          <w:u w:val="single"/>
          <w14:textFill>
            <w14:solidFill>
              <w14:schemeClr w14:val="tx1"/>
            </w14:solidFill>
          </w14:textFill>
        </w:rPr>
        <w:t>咨询人未提供完成的工程量清单、工程量计算过程的计算式给委托人，则扣减咨询费用的20% 。</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4.2.3.2</w:t>
      </w:r>
      <w:r>
        <w:rPr>
          <w:rFonts w:hint="eastAsia" w:asciiTheme="minorEastAsia" w:hAnsiTheme="minorEastAsia"/>
          <w:color w:val="000000" w:themeColor="text1"/>
          <w:sz w:val="24"/>
          <w:szCs w:val="24"/>
          <w:u w:val="single"/>
          <w14:textFill>
            <w14:solidFill>
              <w14:schemeClr w14:val="tx1"/>
            </w14:solidFill>
          </w14:textFill>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4.2.3.3</w:t>
      </w:r>
      <w:r>
        <w:rPr>
          <w:rFonts w:hint="eastAsia" w:asciiTheme="minorEastAsia" w:hAnsiTheme="minorEastAsia"/>
          <w:color w:val="000000" w:themeColor="text1"/>
          <w:sz w:val="24"/>
          <w:szCs w:val="24"/>
          <w:u w:val="single"/>
          <w14:textFill>
            <w14:solidFill>
              <w14:schemeClr w14:val="tx1"/>
            </w14:solidFill>
          </w14:textFill>
        </w:rPr>
        <w:t>未经委托人同意咨询人擅自变更委派的人员（委托人要求或经委托人书面同意更换的除外），委托人扣减咨询人不低于咨询费用的20%，其他条款另有约定同时适用。</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4.2.4 </w:t>
      </w:r>
      <w:r>
        <w:rPr>
          <w:rFonts w:hint="eastAsia" w:asciiTheme="minorEastAsia" w:hAnsiTheme="minorEastAsia"/>
          <w:color w:val="000000" w:themeColor="text1"/>
          <w:sz w:val="24"/>
          <w:szCs w:val="24"/>
          <w14:textFill>
            <w14:solidFill>
              <w14:schemeClr w14:val="tx1"/>
            </w14:solidFill>
          </w14:textFill>
        </w:rPr>
        <w:t>法律责任：咨询人有下列情形之一的，委托人不予支付咨询费用，给委托人造成的损失，委托人保留向咨询人索赔的权利，触犯法律的将追究法律责任。</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4.2.4.1</w:t>
      </w:r>
      <w:r>
        <w:rPr>
          <w:rFonts w:hint="eastAsia" w:asciiTheme="minorEastAsia" w:hAnsiTheme="minorEastAsia"/>
          <w:color w:val="000000" w:themeColor="text1"/>
          <w:sz w:val="24"/>
          <w:szCs w:val="24"/>
          <w:u w:val="single"/>
          <w14:textFill>
            <w14:solidFill>
              <w14:schemeClr w14:val="tx1"/>
            </w14:solidFill>
          </w14:textFill>
        </w:rPr>
        <w:t>咨询人未执行相关法律、法规和执业规范；</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4.2.4.2</w:t>
      </w:r>
      <w:r>
        <w:rPr>
          <w:rFonts w:hint="eastAsia" w:asciiTheme="minorEastAsia" w:hAnsiTheme="minorEastAsia"/>
          <w:color w:val="000000" w:themeColor="text1"/>
          <w:sz w:val="24"/>
          <w:szCs w:val="24"/>
          <w:u w:val="single"/>
          <w14:textFill>
            <w14:solidFill>
              <w14:schemeClr w14:val="tx1"/>
            </w14:solidFill>
          </w14:textFill>
        </w:rPr>
        <w:t>咨询人或咨询人委派的人员与投标单位有串通行为；</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4.2.4.3</w:t>
      </w:r>
      <w:r>
        <w:rPr>
          <w:rFonts w:hint="eastAsia" w:asciiTheme="minorEastAsia" w:hAnsiTheme="minorEastAsia"/>
          <w:color w:val="000000" w:themeColor="text1"/>
          <w:sz w:val="24"/>
          <w:szCs w:val="24"/>
          <w:u w:val="single"/>
          <w14:textFill>
            <w14:solidFill>
              <w14:schemeClr w14:val="tx1"/>
            </w14:solidFill>
          </w14:textFill>
        </w:rPr>
        <w:t>咨询人有法律法规规定的其他违法、违规的情形；</w:t>
      </w:r>
    </w:p>
    <w:p>
      <w:pPr>
        <w:spacing w:line="360" w:lineRule="auto"/>
        <w:ind w:firstLine="480" w:firstLineChars="20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4.2.4.4</w:t>
      </w:r>
      <w:r>
        <w:rPr>
          <w:rFonts w:hint="eastAsia" w:asciiTheme="minorEastAsia" w:hAnsiTheme="minorEastAsia"/>
          <w:color w:val="000000" w:themeColor="text1"/>
          <w:sz w:val="24"/>
          <w:szCs w:val="24"/>
          <w:u w:val="single"/>
          <w14:textFill>
            <w14:solidFill>
              <w14:schemeClr w14:val="tx1"/>
            </w14:solidFill>
          </w14:textFill>
        </w:rPr>
        <w:t>咨询人不按合同履行责任单方面违约。</w:t>
      </w:r>
    </w:p>
    <w:p>
      <w:pPr>
        <w:pStyle w:val="4"/>
        <w:ind w:firstLine="480" w:firstLineChars="200"/>
        <w:jc w:val="left"/>
        <w:rPr>
          <w:rFonts w:asciiTheme="minorEastAsia" w:hAnsiTheme="minorEastAsia"/>
          <w:b w:val="0"/>
          <w:bCs w:val="0"/>
          <w:color w:val="000000" w:themeColor="text1"/>
          <w:sz w:val="24"/>
          <w:szCs w:val="24"/>
          <w14:textFill>
            <w14:solidFill>
              <w14:schemeClr w14:val="tx1"/>
            </w14:solidFill>
          </w14:textFill>
        </w:rPr>
      </w:pPr>
      <w:r>
        <w:rPr>
          <w:rFonts w:asciiTheme="minorEastAsia" w:hAnsiTheme="minorEastAsia"/>
          <w:b w:val="0"/>
          <w:bCs w:val="0"/>
          <w:color w:val="000000" w:themeColor="text1"/>
          <w:sz w:val="24"/>
          <w:szCs w:val="24"/>
          <w14:textFill>
            <w14:solidFill>
              <w14:schemeClr w14:val="tx1"/>
            </w14:solidFill>
          </w14:textFill>
        </w:rPr>
        <w:t>4.2.</w:t>
      </w:r>
      <w:r>
        <w:rPr>
          <w:rFonts w:hint="eastAsia" w:asciiTheme="minorEastAsia" w:hAnsiTheme="minorEastAsia"/>
          <w:b w:val="0"/>
          <w:bCs w:val="0"/>
          <w:color w:val="000000" w:themeColor="text1"/>
          <w:sz w:val="24"/>
          <w:szCs w:val="24"/>
          <w14:textFill>
            <w14:solidFill>
              <w14:schemeClr w14:val="tx1"/>
            </w14:solidFill>
          </w14:textFill>
        </w:rPr>
        <w:t>5</w:t>
      </w:r>
      <w:r>
        <w:rPr>
          <w:rFonts w:asciiTheme="minorEastAsia" w:hAnsiTheme="minorEastAsia"/>
          <w:b w:val="0"/>
          <w:bCs w:val="0"/>
          <w:color w:val="000000" w:themeColor="text1"/>
          <w:sz w:val="24"/>
          <w:szCs w:val="24"/>
          <w14:textFill>
            <w14:solidFill>
              <w14:schemeClr w14:val="tx1"/>
            </w14:solidFill>
          </w14:textFill>
        </w:rPr>
        <w:t xml:space="preserve"> </w:t>
      </w:r>
      <w:r>
        <w:rPr>
          <w:rFonts w:hint="eastAsia" w:asciiTheme="minorEastAsia" w:hAnsiTheme="minorEastAsia"/>
          <w:b w:val="0"/>
          <w:bCs w:val="0"/>
          <w:color w:val="000000" w:themeColor="text1"/>
          <w:sz w:val="24"/>
          <w:szCs w:val="24"/>
          <w14:textFill>
            <w14:solidFill>
              <w14:schemeClr w14:val="tx1"/>
            </w14:solidFill>
          </w14:textFill>
        </w:rPr>
        <w:t>组织责任：</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w:t>
      </w:r>
      <w:r>
        <w:rPr>
          <w:rFonts w:hint="eastAsia" w:asciiTheme="minorEastAsia" w:hAnsiTheme="minorEastAsia"/>
          <w:b/>
          <w:bCs/>
          <w:color w:val="000000" w:themeColor="text1"/>
          <w:sz w:val="24"/>
          <w:szCs w:val="24"/>
          <w14:textFill>
            <w14:solidFill>
              <w14:schemeClr w14:val="tx1"/>
            </w14:solidFill>
          </w14:textFill>
        </w:rPr>
        <w:t>5.1</w:t>
      </w:r>
      <w:r>
        <w:rPr>
          <w:rFonts w:hint="eastAsia" w:asciiTheme="minorEastAsia" w:hAnsiTheme="minorEastAsia"/>
          <w:color w:val="000000" w:themeColor="text1"/>
          <w:sz w:val="24"/>
          <w:szCs w:val="24"/>
          <w14:textFill>
            <w14:solidFill>
              <w14:schemeClr w14:val="tx1"/>
            </w14:solidFill>
          </w14:textFill>
        </w:rPr>
        <w:t xml:space="preserve">未取得委托人同意咨询人项目人员缺席现场收方、验收、例会等，每出现一次处1000元违约金，累计发生3次时（含本数），视为咨询人违约。 </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w:t>
      </w:r>
      <w:r>
        <w:rPr>
          <w:rFonts w:hint="eastAsia" w:asciiTheme="minorEastAsia" w:hAnsiTheme="minorEastAsia"/>
          <w:b/>
          <w:bCs/>
          <w:color w:val="000000" w:themeColor="text1"/>
          <w:sz w:val="24"/>
          <w:szCs w:val="24"/>
          <w14:textFill>
            <w14:solidFill>
              <w14:schemeClr w14:val="tx1"/>
            </w14:solidFill>
          </w14:textFill>
        </w:rPr>
        <w:t>5.2</w:t>
      </w:r>
      <w:r>
        <w:rPr>
          <w:rFonts w:hint="eastAsia" w:asciiTheme="minorEastAsia" w:hAnsiTheme="minorEastAsia"/>
          <w:color w:val="000000" w:themeColor="text1"/>
          <w:sz w:val="24"/>
          <w:szCs w:val="24"/>
          <w14:textFill>
            <w14:solidFill>
              <w14:schemeClr w14:val="tx1"/>
            </w14:solidFill>
          </w14:textFill>
        </w:rPr>
        <w:t>咨询人项目负责人一周至少到现场办公一天（当委托人另有安排时，须按时到场办公）；如未经委托人事先同意缺席现场办公，每出现一次处2000元违约金</w:t>
      </w:r>
      <w:r>
        <w:rPr>
          <w:rFonts w:hint="eastAsia" w:ascii="宋体" w:hAnsi="宋体"/>
          <w:color w:val="000000" w:themeColor="text1"/>
          <w:sz w:val="24"/>
          <w:szCs w:val="24"/>
          <w14:textFill>
            <w14:solidFill>
              <w14:schemeClr w14:val="tx1"/>
            </w14:solidFill>
          </w14:textFill>
        </w:rPr>
        <w:t>，累计发生3次时（含本数），视为咨询人违约</w:t>
      </w:r>
      <w:r>
        <w:rPr>
          <w:rFonts w:hint="eastAsia" w:asciiTheme="minorEastAsia" w:hAnsiTheme="minorEastAsia"/>
          <w:color w:val="000000" w:themeColor="text1"/>
          <w:sz w:val="24"/>
          <w:szCs w:val="24"/>
          <w14:textFill>
            <w14:solidFill>
              <w14:schemeClr w14:val="tx1"/>
            </w14:solidFill>
          </w14:textFill>
        </w:rPr>
        <w:t xml:space="preserve">。 </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w:t>
      </w:r>
      <w:r>
        <w:rPr>
          <w:rFonts w:hint="eastAsia" w:asciiTheme="minorEastAsia" w:hAnsiTheme="minorEastAsia"/>
          <w:b/>
          <w:bCs/>
          <w:color w:val="000000" w:themeColor="text1"/>
          <w:sz w:val="24"/>
          <w:szCs w:val="24"/>
          <w14:textFill>
            <w14:solidFill>
              <w14:schemeClr w14:val="tx1"/>
            </w14:solidFill>
          </w14:textFill>
        </w:rPr>
        <w:t>5.3</w:t>
      </w:r>
      <w:r>
        <w:rPr>
          <w:rFonts w:hint="eastAsia" w:asciiTheme="minorEastAsia" w:hAnsiTheme="minorEastAsia"/>
          <w:color w:val="000000" w:themeColor="text1"/>
          <w:sz w:val="24"/>
          <w:szCs w:val="24"/>
          <w14:textFill>
            <w14:solidFill>
              <w14:schemeClr w14:val="tx1"/>
            </w14:solidFill>
          </w14:textFill>
        </w:rPr>
        <w:t xml:space="preserve">咨询人驻场办公人员须按时接受委托人考勤监督，每发生一次旷工处 1000 元/人次违约金，每发生一次迟到或早退处 200 元/人次违约金，前述任一情形累计发生3次时（含本数），视为咨询人违约。 </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w:t>
      </w:r>
      <w:r>
        <w:rPr>
          <w:rFonts w:hint="eastAsia" w:asciiTheme="minorEastAsia" w:hAnsiTheme="minorEastAsia"/>
          <w:b/>
          <w:bCs/>
          <w:color w:val="000000" w:themeColor="text1"/>
          <w:sz w:val="24"/>
          <w:szCs w:val="24"/>
          <w14:textFill>
            <w14:solidFill>
              <w14:schemeClr w14:val="tx1"/>
            </w14:solidFill>
          </w14:textFill>
        </w:rPr>
        <w:t>5.4</w:t>
      </w:r>
      <w:r>
        <w:rPr>
          <w:rFonts w:hint="eastAsia" w:asciiTheme="minorEastAsia" w:hAnsiTheme="minorEastAsia"/>
          <w:color w:val="000000" w:themeColor="text1"/>
          <w:sz w:val="24"/>
          <w:szCs w:val="24"/>
          <w14:textFill>
            <w14:solidFill>
              <w14:schemeClr w14:val="tx1"/>
            </w14:solidFill>
          </w14:textFill>
        </w:rPr>
        <w:t xml:space="preserve">审核变更造价：咨询人收到完整资料后，5 个工作日内向委托人书面提交审核结果，每延迟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w:t>
      </w:r>
      <w:r>
        <w:rPr>
          <w:rFonts w:hint="eastAsia" w:asciiTheme="minorEastAsia" w:hAnsiTheme="minorEastAsia"/>
          <w:b/>
          <w:bCs/>
          <w:color w:val="000000" w:themeColor="text1"/>
          <w:sz w:val="24"/>
          <w:szCs w:val="24"/>
          <w14:textFill>
            <w14:solidFill>
              <w14:schemeClr w14:val="tx1"/>
            </w14:solidFill>
          </w14:textFill>
        </w:rPr>
        <w:t>5.5</w:t>
      </w:r>
      <w:r>
        <w:rPr>
          <w:rFonts w:hint="eastAsia" w:asciiTheme="minorEastAsia" w:hAnsiTheme="minorEastAsia"/>
          <w:color w:val="000000" w:themeColor="text1"/>
          <w:sz w:val="24"/>
          <w:szCs w:val="24"/>
          <w14:textFill>
            <w14:solidFill>
              <w14:schemeClr w14:val="tx1"/>
            </w14:solidFill>
          </w14:textFill>
        </w:rPr>
        <w:t xml:space="preserve">材料核价：咨询人收到完整资料后，5 个工作日内向委托人提交书面审核结果至委托人，每延迟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w:t>
      </w:r>
      <w:r>
        <w:rPr>
          <w:rFonts w:hint="eastAsia" w:asciiTheme="minorEastAsia" w:hAnsiTheme="minorEastAsia"/>
          <w:b/>
          <w:bCs/>
          <w:color w:val="000000" w:themeColor="text1"/>
          <w:sz w:val="24"/>
          <w:szCs w:val="24"/>
          <w14:textFill>
            <w14:solidFill>
              <w14:schemeClr w14:val="tx1"/>
            </w14:solidFill>
          </w14:textFill>
        </w:rPr>
        <w:t>5.6</w:t>
      </w:r>
      <w:r>
        <w:rPr>
          <w:rFonts w:hint="eastAsia" w:asciiTheme="minorEastAsia" w:hAnsiTheme="minorEastAsia"/>
          <w:color w:val="000000" w:themeColor="text1"/>
          <w:sz w:val="24"/>
          <w:szCs w:val="24"/>
          <w14:textFill>
            <w14:solidFill>
              <w14:schemeClr w14:val="tx1"/>
            </w14:solidFill>
          </w14:textFill>
        </w:rPr>
        <w:t xml:space="preserve">工程往来函件：咨询人收到交办的函件后，5 个工作日内向委托人书面回复，每延迟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4.2.</w:t>
      </w:r>
      <w:r>
        <w:rPr>
          <w:rFonts w:hint="eastAsia" w:asciiTheme="minorEastAsia" w:hAnsiTheme="minorEastAsia"/>
          <w:b/>
          <w:bCs/>
          <w:color w:val="000000" w:themeColor="text1"/>
          <w:sz w:val="24"/>
          <w:szCs w:val="24"/>
          <w14:textFill>
            <w14:solidFill>
              <w14:schemeClr w14:val="tx1"/>
            </w14:solidFill>
          </w14:textFill>
        </w:rPr>
        <w:t>5.7</w:t>
      </w:r>
      <w:r>
        <w:rPr>
          <w:rFonts w:hint="eastAsia" w:asciiTheme="minorEastAsia" w:hAnsiTheme="minorEastAsia"/>
          <w:color w:val="000000" w:themeColor="text1"/>
          <w:sz w:val="24"/>
          <w:szCs w:val="24"/>
          <w14:textFill>
            <w14:solidFill>
              <w14:schemeClr w14:val="tx1"/>
            </w14:solidFill>
          </w14:textFill>
        </w:rPr>
        <w:t>工程进度审核：咨询人收到完整资料后，约定的时间内完成审核并交委托人，每延迟 1 日处 1000 元违约金以后依次按前次违约金双倍递增，逾期5日未交付，则视为咨询人违约。</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4.2.5.8因咨询人交付的成果资料存在遗漏或错误，咨询人有义务进行修改，并承担给委托人造成的一切损失。若咨询人拒绝修改，则委托人有权委托第三方履行本合同义务，产生的费用由咨询人承担。</w:t>
      </w:r>
      <w:bookmarkStart w:id="745" w:name="_Toc76398699"/>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4.3若出现咨询人员工因欠付工资向委托人讨薪或信访、上访情形的，视为咨询人违约，同时，委托人有权选择将咨询人欠付的工资支付并有权从应支付给设咨询人的费用中扣除。</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 支付</w:t>
      </w:r>
      <w:bookmarkEnd w:id="745"/>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46" w:name="_Toc76398700"/>
      <w:r>
        <w:rPr>
          <w:rFonts w:hint="eastAsia" w:asciiTheme="minorEastAsia" w:hAnsiTheme="minorEastAsia"/>
          <w:color w:val="000000" w:themeColor="text1"/>
          <w:sz w:val="24"/>
          <w:szCs w:val="24"/>
          <w14:textFill>
            <w14:solidFill>
              <w14:schemeClr w14:val="tx1"/>
            </w14:solidFill>
          </w14:textFill>
        </w:rPr>
        <w:t>5.1 支付货币</w:t>
      </w:r>
      <w:bookmarkEnd w:id="746"/>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币种为：</w:t>
      </w:r>
      <w:r>
        <w:rPr>
          <w:rFonts w:hint="eastAsia" w:asciiTheme="minorEastAsia" w:hAnsiTheme="minorEastAsia"/>
          <w:color w:val="000000" w:themeColor="text1"/>
          <w:sz w:val="24"/>
          <w:szCs w:val="24"/>
          <w:u w:val="single"/>
          <w14:textFill>
            <w14:solidFill>
              <w14:schemeClr w14:val="tx1"/>
            </w14:solidFill>
          </w14:textFill>
        </w:rPr>
        <w:t>人民币</w:t>
      </w:r>
      <w:r>
        <w:rPr>
          <w:rFonts w:hint="eastAsia" w:asciiTheme="minorEastAsia" w:hAnsiTheme="minorEastAsia"/>
          <w:color w:val="000000" w:themeColor="text1"/>
          <w:sz w:val="24"/>
          <w:szCs w:val="24"/>
          <w14:textFill>
            <w14:solidFill>
              <w14:schemeClr w14:val="tx1"/>
            </w14:solidFill>
          </w14:textFill>
        </w:rPr>
        <w:t>，汇率为：</w:t>
      </w:r>
      <w:r>
        <w:rPr>
          <w:rFonts w:hint="eastAsia" w:asciiTheme="minorEastAsia" w:hAnsiTheme="minorEastAsia"/>
          <w:color w:val="000000" w:themeColor="text1"/>
          <w:sz w:val="24"/>
          <w:szCs w:val="24"/>
          <w:u w:val="single"/>
          <w14:textFill>
            <w14:solidFill>
              <w14:schemeClr w14:val="tx1"/>
            </w14:solidFill>
          </w14:textFill>
        </w:rPr>
        <w:t xml:space="preserve">  /  </w:t>
      </w:r>
      <w:r>
        <w:rPr>
          <w:rFonts w:hint="eastAsia" w:asciiTheme="minorEastAsia" w:hAnsiTheme="minorEastAsia"/>
          <w:color w:val="000000" w:themeColor="text1"/>
          <w:sz w:val="24"/>
          <w:szCs w:val="24"/>
          <w14:textFill>
            <w14:solidFill>
              <w14:schemeClr w14:val="tx1"/>
            </w14:solidFill>
          </w14:textFill>
        </w:rPr>
        <w:t>，其他约定：</w:t>
      </w:r>
      <w:r>
        <w:rPr>
          <w:rFonts w:hint="eastAsia" w:asciiTheme="minorEastAsia" w:hAnsiTheme="minorEastAsia"/>
          <w:color w:val="000000" w:themeColor="text1"/>
          <w:sz w:val="24"/>
          <w:szCs w:val="24"/>
          <w:u w:val="single"/>
          <w14:textFill>
            <w14:solidFill>
              <w14:schemeClr w14:val="tx1"/>
            </w14:solidFill>
          </w14:textFill>
        </w:rPr>
        <w:t xml:space="preserve">  /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47" w:name="_Toc76398701"/>
      <w:r>
        <w:rPr>
          <w:rFonts w:hint="eastAsia" w:asciiTheme="minorEastAsia" w:hAnsiTheme="minorEastAsia"/>
          <w:color w:val="000000" w:themeColor="text1"/>
          <w:sz w:val="24"/>
          <w:szCs w:val="24"/>
          <w14:textFill>
            <w14:solidFill>
              <w14:schemeClr w14:val="tx1"/>
            </w14:solidFill>
          </w14:textFill>
        </w:rPr>
        <w:t>5.2 支付申请</w:t>
      </w:r>
      <w:bookmarkEnd w:id="747"/>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咨询人应在</w:t>
      </w:r>
      <w:r>
        <w:rPr>
          <w:rFonts w:hint="eastAsia" w:cs="Times New Roman" w:asciiTheme="minorEastAsia" w:hAnsiTheme="minorEastAsia"/>
          <w:color w:val="000000" w:themeColor="text1"/>
          <w:sz w:val="24"/>
          <w:szCs w:val="24"/>
          <w14:textFill>
            <w14:solidFill>
              <w14:schemeClr w14:val="tx1"/>
            </w14:solidFill>
          </w14:textFill>
        </w:rPr>
        <w:t>提交正式报告7天后</w:t>
      </w:r>
      <w:r>
        <w:rPr>
          <w:rFonts w:hint="eastAsia" w:asciiTheme="minorEastAsia" w:hAnsiTheme="minorEastAsia"/>
          <w:color w:val="000000" w:themeColor="text1"/>
          <w:sz w:val="24"/>
          <w:szCs w:val="24"/>
          <w14:textFill>
            <w14:solidFill>
              <w14:schemeClr w14:val="tx1"/>
            </w14:solidFill>
          </w14:textFill>
        </w:rPr>
        <w:t>，向委托人提交支付申请书。</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48" w:name="_Toc76398702"/>
      <w:r>
        <w:rPr>
          <w:rFonts w:hint="eastAsia" w:asciiTheme="minorEastAsia" w:hAnsiTheme="minorEastAsia"/>
          <w:color w:val="000000" w:themeColor="text1"/>
          <w:sz w:val="24"/>
          <w:szCs w:val="24"/>
          <w14:textFill>
            <w14:solidFill>
              <w14:schemeClr w14:val="tx1"/>
            </w14:solidFill>
          </w14:textFill>
        </w:rPr>
        <w:t>5.3 支付酬金</w:t>
      </w:r>
      <w:bookmarkEnd w:id="748"/>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5.3.1正常工作酬金的支付：本委托合同无预付款。</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highlight w:val="yellow"/>
          <w14:textFill>
            <w14:solidFill>
              <w14:schemeClr w14:val="tx1"/>
            </w14:solidFill>
          </w14:textFill>
        </w:rPr>
        <w:t>5.3.2付款参考：</w:t>
      </w:r>
      <w:r>
        <w:rPr>
          <w:rFonts w:hint="eastAsia" w:asciiTheme="minorEastAsia" w:hAnsiTheme="minorEastAsia"/>
          <w:color w:val="000000" w:themeColor="text1"/>
          <w:sz w:val="24"/>
          <w:szCs w:val="24"/>
          <w14:textFill>
            <w14:solidFill>
              <w14:schemeClr w14:val="tx1"/>
            </w14:solidFill>
          </w14:textFill>
        </w:rPr>
        <w:t>工程量清单及组价审核（或审核）：工程合同范围内的工程量清单及组价编制（或审核）在完成报告且委托人收到咨询人开具的等额增值税发票后60日内支付该工程量清单及组价编制（或审核）酬金的</w:t>
      </w:r>
      <w:r>
        <w:rPr>
          <w:rFonts w:hint="eastAsia" w:asciiTheme="minorEastAsia" w:hAnsiTheme="minorEastAsia"/>
          <w:color w:val="000000" w:themeColor="text1"/>
          <w:sz w:val="24"/>
          <w:szCs w:val="24"/>
          <w14:textFill>
            <w14:solidFill>
              <w14:schemeClr w14:val="tx1"/>
            </w14:solidFill>
          </w14:textFill>
        </w:rPr>
        <w:t>80%，剩余20%待相关部门评审完成后无息支付</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yellow"/>
          <w14:textFill>
            <w14:solidFill>
              <w14:schemeClr w14:val="tx1"/>
            </w14:solidFill>
          </w14:textFill>
        </w:rPr>
      </w:pPr>
      <w:r>
        <w:rPr>
          <w:rFonts w:hint="eastAsia" w:asciiTheme="minorEastAsia" w:hAnsiTheme="minorEastAsia"/>
          <w:color w:val="000000" w:themeColor="text1"/>
          <w:sz w:val="24"/>
          <w:szCs w:val="24"/>
          <w:highlight w:val="yellow"/>
          <w14:textFill>
            <w14:solidFill>
              <w14:schemeClr w14:val="tx1"/>
            </w14:solidFill>
          </w14:textFill>
        </w:rPr>
        <w:t>5.3.3双方确认付款按照下列【 ② 】方式付款。</w:t>
      </w:r>
    </w:p>
    <w:p>
      <w:pPr>
        <w:spacing w:line="360" w:lineRule="auto"/>
        <w:ind w:firstLine="480" w:firstLineChars="200"/>
        <w:rPr>
          <w:rFonts w:asciiTheme="minorEastAsia" w:hAnsiTheme="minorEastAsia"/>
          <w:color w:val="000000" w:themeColor="text1"/>
          <w:sz w:val="24"/>
          <w:szCs w:val="24"/>
          <w:highlight w:val="yellow"/>
          <w14:textFill>
            <w14:solidFill>
              <w14:schemeClr w14:val="tx1"/>
            </w14:solidFill>
          </w14:textFill>
        </w:rPr>
      </w:pPr>
      <w:r>
        <w:rPr>
          <w:rFonts w:hint="eastAsia" w:asciiTheme="minorEastAsia" w:hAnsiTheme="minorEastAsia"/>
          <w:color w:val="000000" w:themeColor="text1"/>
          <w:sz w:val="24"/>
          <w:szCs w:val="24"/>
          <w:highlight w:val="yellow"/>
          <w14:textFill>
            <w14:solidFill>
              <w14:schemeClr w14:val="tx1"/>
            </w14:solidFill>
          </w14:textFill>
        </w:rPr>
        <w:t>付款参考①：施工阶段工程造价全过程控制：工程完工通过验收后，咨询人交付成果报告、项目完成项目结算审计、咨询人提交付款申请且委托人收到咨询人开具的等额增值税专用发票后30日内一次性结清。</w:t>
      </w:r>
    </w:p>
    <w:p>
      <w:pPr>
        <w:spacing w:line="360" w:lineRule="auto"/>
        <w:ind w:firstLine="480" w:firstLineChars="200"/>
        <w:rPr>
          <w:rFonts w:asciiTheme="minorEastAsia" w:hAnsiTheme="minorEastAsia"/>
          <w:color w:val="000000" w:themeColor="text1"/>
          <w:sz w:val="24"/>
          <w:szCs w:val="24"/>
          <w:highlight w:val="yellow"/>
          <w14:textFill>
            <w14:solidFill>
              <w14:schemeClr w14:val="tx1"/>
            </w14:solidFill>
          </w14:textFill>
        </w:rPr>
      </w:pPr>
      <w:r>
        <w:rPr>
          <w:rFonts w:hint="eastAsia" w:asciiTheme="minorEastAsia" w:hAnsiTheme="minorEastAsia"/>
          <w:color w:val="000000" w:themeColor="text1"/>
          <w:sz w:val="24"/>
          <w:szCs w:val="24"/>
          <w:highlight w:val="yellow"/>
          <w14:textFill>
            <w14:solidFill>
              <w14:schemeClr w14:val="tx1"/>
            </w14:solidFill>
          </w14:textFill>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5.3.4委托人支付任何款项前，咨询人应先行开具符合财务会计要求的增值税专用发票并提交支付申请，否则委托人有权拒绝付款，且不承担任何逾期付款的责任。由此产生的责任由咨询人自行承担。</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注：若存在下列情形时，下列情形作为付款条件之一，同时适用，若涉及进度款则不包括下列情形第3种：</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（1）若合同计算酬金在支付款项时尚无法确定，则以         标准计算酬金；</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（2）若本合同涉及财政资金或专项资金支持，在委托人未收到财政资金或专项资金的情形下，委托人有权迟延付款且不承担违约责任，在符合其他付款条件且收到财政资金或专项资金后付款；</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（3）若需对工程进行审计或财评，则在审计或财评结果未出之前，委托人有权迟延付款且不承担违约责任。</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49" w:name="_Toc76398703"/>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 合同变更、解除与终止</w:t>
      </w:r>
      <w:bookmarkEnd w:id="749"/>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50" w:name="_Toc76398704"/>
      <w:r>
        <w:rPr>
          <w:rFonts w:hint="eastAsia" w:asciiTheme="minorEastAsia" w:hAnsiTheme="minorEastAsia"/>
          <w:color w:val="000000" w:themeColor="text1"/>
          <w:sz w:val="24"/>
          <w:szCs w:val="24"/>
          <w14:textFill>
            <w14:solidFill>
              <w14:schemeClr w14:val="tx1"/>
            </w14:solidFill>
          </w14:textFill>
        </w:rPr>
        <w:t>6.1 合同变更</w:t>
      </w:r>
      <w:bookmarkEnd w:id="750"/>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6.1.2 除不可抗力外，因非咨询人原因导致本合同履行期限延长、内容增加时，附加工作酬金按下列方法确定：</w:t>
      </w:r>
      <w:r>
        <w:rPr>
          <w:rFonts w:hint="eastAsia" w:ascii="宋体" w:hAnsi="宋体" w:cs="宋体"/>
          <w:color w:val="000000" w:themeColor="text1"/>
          <w:kern w:val="0"/>
          <w:sz w:val="24"/>
          <w:u w:val="single"/>
          <w14:textFill>
            <w14:solidFill>
              <w14:schemeClr w14:val="tx1"/>
            </w14:solidFill>
          </w14:textFill>
        </w:rPr>
        <w:t>无</w:t>
      </w:r>
      <w:r>
        <w:rPr>
          <w:rFonts w:hint="eastAsia" w:asciiTheme="minorEastAsia" w:hAnsiTheme="minorEastAsia"/>
          <w:color w:val="000000" w:themeColor="text1"/>
          <w:sz w:val="24"/>
          <w:szCs w:val="24"/>
          <w14:textFill>
            <w14:solidFill>
              <w14:schemeClr w14:val="tx1"/>
            </w14:solidFill>
          </w14:textFill>
        </w:rPr>
        <w:t>。且在前述情形下，委托人不因此另行向咨询人支付任何补偿或赔偿。</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6.1.4 因工程规模、服务范围及内容的变化等导致咨询人的工作量增减时，服务酬金的调整方法：</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固定费率不调整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宋体" w:hAnsi="宋体"/>
          <w:color w:val="000000" w:themeColor="text1"/>
          <w:sz w:val="24"/>
          <w:szCs w:val="24"/>
          <w14:textFill>
            <w14:solidFill>
              <w14:schemeClr w14:val="tx1"/>
            </w14:solidFill>
          </w14:textFill>
        </w:rPr>
      </w:pPr>
      <w:bookmarkStart w:id="751" w:name="_Toc76398705"/>
      <w:r>
        <w:rPr>
          <w:rFonts w:hint="eastAsia" w:ascii="宋体" w:hAnsi="宋体"/>
          <w:color w:val="000000" w:themeColor="text1"/>
          <w:sz w:val="24"/>
          <w:szCs w:val="24"/>
          <w14:textFill>
            <w14:solidFill>
              <w14:schemeClr w14:val="tx1"/>
            </w14:solidFill>
          </w14:textFill>
        </w:rPr>
        <w:t>6.2 合同解除</w:t>
      </w:r>
    </w:p>
    <w:p>
      <w:pPr>
        <w:spacing w:line="360" w:lineRule="auto"/>
        <w:ind w:firstLine="480" w:firstLineChars="200"/>
        <w:jc w:val="left"/>
        <w:rPr>
          <w:rFonts w:ascii="宋体" w:hAnsi="宋体" w:cs="宋体"/>
          <w:color w:val="000000" w:themeColor="text1"/>
          <w:kern w:val="0"/>
          <w:sz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6.2.2 除其他条款约定外，如出现下列情形时，委托人有权单方解除本合同，且视为咨询人违约，咨询人按照本合同约定酬金的30%向委托人承担违约金，并</w:t>
      </w:r>
      <w:r>
        <w:rPr>
          <w:rFonts w:hint="eastAsia" w:ascii="宋体" w:hAnsi="宋体"/>
          <w:color w:val="000000" w:themeColor="text1"/>
          <w:sz w:val="24"/>
          <w:szCs w:val="24"/>
          <w14:textFill>
            <w14:solidFill>
              <w14:schemeClr w14:val="tx1"/>
            </w14:solidFill>
          </w14:textFill>
        </w:rPr>
        <w:t>承担给委托人造成的一切损失（该损失包括但不限于</w:t>
      </w:r>
      <w:r>
        <w:rPr>
          <w:rFonts w:hint="eastAsia" w:ascii="宋体" w:hAnsi="宋体"/>
          <w:color w:val="000000" w:themeColor="text1"/>
          <w:sz w:val="24"/>
          <w:szCs w:val="24"/>
          <w14:textFill>
            <w14:solidFill>
              <w14:schemeClr w14:val="tx1"/>
            </w14:solidFill>
          </w14:textFill>
        </w:rPr>
        <w:t>委托人另行委托第三方履行义务产生的费用</w:t>
      </w:r>
      <w:r>
        <w:rPr>
          <w:rFonts w:hint="eastAsia" w:ascii="宋体" w:hAnsi="宋体"/>
          <w:color w:val="000000" w:themeColor="text1"/>
          <w:sz w:val="24"/>
          <w:szCs w:val="24"/>
          <w14:textFill>
            <w14:solidFill>
              <w14:schemeClr w14:val="tx1"/>
            </w14:solidFill>
          </w14:textFill>
        </w:rPr>
        <w:t>、委托人给第三方造成的损失、给委托人造成实际损失、委托人的可期待利益损失等）</w:t>
      </w:r>
      <w:r>
        <w:rPr>
          <w:rFonts w:hint="eastAsia" w:ascii="宋体" w:hAnsi="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6.2.2.1咨询人擅自将本合同约定事项转委托或再次分包；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6.2.2.2委托人提出整改意见，咨询人拒不履行的；</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6.2.2.3咨询人的员工到委托人处投诉咨询人拖欠工资的；</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6.2.2.4咨询人员工因咨询人拖欠工资上访、信访的；</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6.2.2.5咨询人应免费向委托人提供口头或现场咨询服务，咨询人未履行咨询服务的；</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6.2.2.6咨询人未按照合同约定履行其他义务的。</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6.2.4 因不可抗力导致的合同解除，双方约定损失的分担如下：</w:t>
      </w:r>
      <w:r>
        <w:rPr>
          <w:rFonts w:hint="eastAsia" w:ascii="宋体" w:hAnsi="宋体" w:cs="宋体"/>
          <w:color w:val="000000" w:themeColor="text1"/>
          <w:kern w:val="0"/>
          <w:sz w:val="24"/>
          <w:u w:val="single"/>
          <w14:textFill>
            <w14:solidFill>
              <w14:schemeClr w14:val="tx1"/>
            </w14:solidFill>
          </w14:textFill>
        </w:rPr>
        <w:t xml:space="preserve">  自行承担各自损失  。</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51"/>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52" w:name="_Toc76398706"/>
      <w:r>
        <w:rPr>
          <w:rFonts w:hint="eastAsia" w:asciiTheme="minorEastAsia" w:hAnsiTheme="minorEastAsia"/>
          <w:color w:val="000000" w:themeColor="text1"/>
          <w:sz w:val="24"/>
          <w:szCs w:val="24"/>
          <w14:textFill>
            <w14:solidFill>
              <w14:schemeClr w14:val="tx1"/>
            </w14:solidFill>
          </w14:textFill>
        </w:rPr>
        <w:t>7. 争议解决</w:t>
      </w:r>
      <w:bookmarkEnd w:id="752"/>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53" w:name="_Toc76398707"/>
      <w:r>
        <w:rPr>
          <w:rFonts w:hint="eastAsia" w:asciiTheme="minorEastAsia" w:hAnsiTheme="minorEastAsia"/>
          <w:color w:val="000000" w:themeColor="text1"/>
          <w:sz w:val="24"/>
          <w:szCs w:val="24"/>
          <w14:textFill>
            <w14:solidFill>
              <w14:schemeClr w14:val="tx1"/>
            </w14:solidFill>
          </w14:textFill>
        </w:rPr>
        <w:t>7.2 调解</w:t>
      </w:r>
      <w:bookmarkEnd w:id="753"/>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如果双方不能在</w:t>
      </w:r>
      <w:r>
        <w:rPr>
          <w:rFonts w:hint="eastAsia" w:asciiTheme="minorEastAsia" w:hAnsiTheme="minorEastAsia"/>
          <w:color w:val="000000" w:themeColor="text1"/>
          <w:sz w:val="24"/>
          <w:szCs w:val="24"/>
          <w:u w:val="single"/>
          <w14:textFill>
            <w14:solidFill>
              <w14:schemeClr w14:val="tx1"/>
            </w14:solidFill>
          </w14:textFill>
        </w:rPr>
        <w:t xml:space="preserve">  30  </w:t>
      </w:r>
      <w:r>
        <w:rPr>
          <w:rFonts w:hint="eastAsia" w:asciiTheme="minorEastAsia" w:hAnsiTheme="minorEastAsia"/>
          <w:color w:val="000000" w:themeColor="text1"/>
          <w:sz w:val="24"/>
          <w:szCs w:val="24"/>
          <w14:textFill>
            <w14:solidFill>
              <w14:schemeClr w14:val="tx1"/>
            </w14:solidFill>
          </w14:textFill>
        </w:rPr>
        <w:t>日内解决本合同争议，可以将其提交</w:t>
      </w:r>
      <w:r>
        <w:rPr>
          <w:rFonts w:hint="eastAsia" w:asciiTheme="minorEastAsia" w:hAnsiTheme="minorEastAsia"/>
          <w:color w:val="000000" w:themeColor="text1"/>
          <w:sz w:val="24"/>
          <w:szCs w:val="24"/>
          <w:u w:val="single"/>
          <w14:textFill>
            <w14:solidFill>
              <w14:schemeClr w14:val="tx1"/>
            </w14:solidFill>
          </w14:textFill>
        </w:rPr>
        <w:t>有关主管部门</w:t>
      </w:r>
      <w:r>
        <w:rPr>
          <w:rFonts w:hint="eastAsia" w:asciiTheme="minorEastAsia" w:hAnsiTheme="minorEastAsia"/>
          <w:color w:val="000000" w:themeColor="text1"/>
          <w:sz w:val="24"/>
          <w:szCs w:val="24"/>
          <w14:textFill>
            <w14:solidFill>
              <w14:schemeClr w14:val="tx1"/>
            </w14:solidFill>
          </w14:textFill>
        </w:rPr>
        <w:t>进行调解。双方确认，调解并非诉讼的前置程序。</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54" w:name="_Toc76398708"/>
      <w:r>
        <w:rPr>
          <w:rFonts w:hint="eastAsia" w:asciiTheme="minorEastAsia" w:hAnsiTheme="minorEastAsia"/>
          <w:color w:val="000000" w:themeColor="text1"/>
          <w:sz w:val="24"/>
          <w:szCs w:val="24"/>
          <w14:textFill>
            <w14:solidFill>
              <w14:schemeClr w14:val="tx1"/>
            </w14:solidFill>
          </w14:textFill>
        </w:rPr>
        <w:t>7.3 仲裁或诉讼</w:t>
      </w:r>
      <w:bookmarkEnd w:id="754"/>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合同争议的最终解决方式为下列第</w:t>
      </w:r>
      <w:r>
        <w:rPr>
          <w:rFonts w:hint="eastAsia" w:asciiTheme="minorEastAsia" w:hAnsiTheme="minorEastAsia"/>
          <w:color w:val="000000" w:themeColor="text1"/>
          <w:sz w:val="24"/>
          <w:szCs w:val="24"/>
          <w:u w:val="single"/>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种方式：</w:t>
      </w:r>
    </w:p>
    <w:p>
      <w:pPr>
        <w:spacing w:line="360" w:lineRule="auto"/>
        <w:ind w:firstLine="480" w:firstLineChars="200"/>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（1）提请</w:t>
      </w:r>
      <w:r>
        <w:rPr>
          <w:rFonts w:ascii="宋体" w:hAnsi="宋体" w:cs="宋体"/>
          <w:color w:val="000000" w:themeColor="text1"/>
          <w:kern w:val="0"/>
          <w:sz w:val="24"/>
          <w:u w:val="single"/>
          <w14:textFill>
            <w14:solidFill>
              <w14:schemeClr w14:val="tx1"/>
            </w14:solidFill>
          </w14:textFill>
        </w:rPr>
        <w:t>重庆</w:t>
      </w:r>
      <w:r>
        <w:rPr>
          <w:rFonts w:hint="eastAsia" w:asciiTheme="minorEastAsia" w:hAnsiTheme="minorEastAsia"/>
          <w:color w:val="000000" w:themeColor="text1"/>
          <w:sz w:val="24"/>
          <w:szCs w:val="24"/>
          <w:u w:val="single"/>
          <w14:textFill>
            <w14:solidFill>
              <w14:schemeClr w14:val="tx1"/>
            </w14:solidFill>
          </w14:textFill>
        </w:rPr>
        <w:t>仲裁委员会进行仲裁。</w:t>
      </w:r>
    </w:p>
    <w:p>
      <w:pPr>
        <w:spacing w:line="360" w:lineRule="auto"/>
        <w:ind w:firstLine="480" w:firstLineChars="200"/>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（2）</w:t>
      </w:r>
      <w:r>
        <w:rPr>
          <w:rFonts w:ascii="宋体" w:hAnsi="宋体" w:cs="宋体"/>
          <w:color w:val="000000" w:themeColor="text1"/>
          <w:kern w:val="0"/>
          <w:sz w:val="24"/>
          <w:u w:val="single"/>
          <w14:textFill>
            <w14:solidFill>
              <w14:schemeClr w14:val="tx1"/>
            </w14:solidFill>
          </w14:textFill>
        </w:rPr>
        <w:t>依法向</w:t>
      </w:r>
      <w:r>
        <w:rPr>
          <w:rFonts w:hint="eastAsia" w:ascii="宋体" w:hAnsi="宋体" w:cs="宋体"/>
          <w:color w:val="000000" w:themeColor="text1"/>
          <w:kern w:val="0"/>
          <w:sz w:val="24"/>
          <w:u w:val="single"/>
          <w14:textFill>
            <w14:solidFill>
              <w14:schemeClr w14:val="tx1"/>
            </w14:solidFill>
          </w14:textFill>
        </w:rPr>
        <w:t>工程所在地</w:t>
      </w:r>
      <w:r>
        <w:rPr>
          <w:rFonts w:ascii="宋体" w:hAnsi="宋体" w:cs="宋体"/>
          <w:color w:val="000000" w:themeColor="text1"/>
          <w:kern w:val="0"/>
          <w:sz w:val="24"/>
          <w:u w:val="single"/>
          <w14:textFill>
            <w14:solidFill>
              <w14:schemeClr w14:val="tx1"/>
            </w14:solidFill>
          </w14:textFill>
        </w:rPr>
        <w:t>人民法院起诉</w:t>
      </w:r>
      <w:r>
        <w:rPr>
          <w:rFonts w:hint="eastAsia" w:asciiTheme="minorEastAsia" w:hAnsiTheme="minorEastAsia"/>
          <w:color w:val="000000" w:themeColor="text1"/>
          <w:sz w:val="24"/>
          <w:szCs w:val="24"/>
          <w:u w:val="single"/>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55" w:name="_Toc76398709"/>
      <w:r>
        <w:rPr>
          <w:rFonts w:hint="eastAsia" w:asciiTheme="minorEastAsia" w:hAnsiTheme="minorEastAsia"/>
          <w:color w:val="000000" w:themeColor="text1"/>
          <w:sz w:val="24"/>
          <w:szCs w:val="24"/>
          <w14:textFill>
            <w14:solidFill>
              <w14:schemeClr w14:val="tx1"/>
            </w14:solidFill>
          </w14:textFill>
        </w:rPr>
        <w:t>8. 其他</w:t>
      </w:r>
      <w:bookmarkEnd w:id="755"/>
    </w:p>
    <w:p>
      <w:pPr>
        <w:spacing w:line="360" w:lineRule="auto"/>
        <w:ind w:firstLine="480" w:firstLineChars="200"/>
        <w:jc w:val="left"/>
        <w:outlineLvl w:val="1"/>
        <w:rPr>
          <w:rFonts w:asciiTheme="minorEastAsia" w:hAnsiTheme="minorEastAsia"/>
          <w:color w:val="000000" w:themeColor="text1"/>
          <w:sz w:val="24"/>
          <w:szCs w:val="24"/>
          <w14:textFill>
            <w14:solidFill>
              <w14:schemeClr w14:val="tx1"/>
            </w14:solidFill>
          </w14:textFill>
        </w:rPr>
      </w:pPr>
      <w:bookmarkStart w:id="756" w:name="_Toc76398710"/>
      <w:r>
        <w:rPr>
          <w:rFonts w:hint="eastAsia" w:asciiTheme="minorEastAsia" w:hAnsiTheme="minorEastAsia"/>
          <w:color w:val="000000" w:themeColor="text1"/>
          <w:sz w:val="24"/>
          <w:szCs w:val="24"/>
          <w14:textFill>
            <w14:solidFill>
              <w14:schemeClr w14:val="tx1"/>
            </w14:solidFill>
          </w14:textFill>
        </w:rPr>
        <w:t>8.1 考察及相关费用咨询人经委托人同意进行考察发生的费用在</w:t>
      </w:r>
      <w:r>
        <w:rPr>
          <w:rFonts w:hint="eastAsia" w:asciiTheme="minorEastAsia" w:hAnsiTheme="minorEastAsia"/>
          <w:color w:val="000000" w:themeColor="text1"/>
          <w:sz w:val="24"/>
          <w:szCs w:val="24"/>
          <w:u w:val="single"/>
          <w14:textFill>
            <w14:solidFill>
              <w14:schemeClr w14:val="tx1"/>
            </w14:solidFill>
          </w14:textFill>
        </w:rPr>
        <w:t xml:space="preserve">重庆市范围内由咨询人  </w:t>
      </w:r>
      <w:r>
        <w:rPr>
          <w:rFonts w:hint="eastAsia" w:asciiTheme="minorEastAsia" w:hAnsiTheme="minorEastAsia"/>
          <w:color w:val="000000" w:themeColor="text1"/>
          <w:sz w:val="24"/>
          <w:szCs w:val="24"/>
          <w14:textFill>
            <w14:solidFill>
              <w14:schemeClr w14:val="tx1"/>
            </w14:solidFill>
          </w14:textFill>
        </w:rPr>
        <w:t>支付，相关费用已包含在合同费用中，委托人不另行支付。</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差旅费及相关费用的支付：</w:t>
      </w:r>
      <w:r>
        <w:rPr>
          <w:rFonts w:hint="eastAsia" w:asciiTheme="minorEastAsia" w:hAnsiTheme="minorEastAsia"/>
          <w:color w:val="000000" w:themeColor="text1"/>
          <w:sz w:val="24"/>
          <w:szCs w:val="24"/>
          <w:u w:val="single"/>
          <w14:textFill>
            <w14:solidFill>
              <w14:schemeClr w14:val="tx1"/>
            </w14:solidFill>
          </w14:textFill>
        </w:rPr>
        <w:t xml:space="preserve">  重庆市范围内由咨询人自行解决  ，相关费用已包含在合同费用中，委托人不另行支付</w:t>
      </w:r>
      <w:r>
        <w:rPr>
          <w:rFonts w:hint="eastAsia" w:asciiTheme="minorEastAsia" w:hAnsiTheme="minorEastAsia"/>
          <w:color w:val="000000" w:themeColor="text1"/>
          <w:sz w:val="24"/>
          <w:szCs w:val="24"/>
          <w14:textFill>
            <w14:solidFill>
              <w14:schemeClr w14:val="tx1"/>
            </w14:solidFill>
          </w14:textFill>
        </w:rPr>
        <w:t>。</w:t>
      </w:r>
    </w:p>
    <w:bookmarkEnd w:id="756"/>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57" w:name="_Toc76398711"/>
      <w:r>
        <w:rPr>
          <w:rFonts w:hint="eastAsia" w:asciiTheme="minorEastAsia" w:hAnsiTheme="minorEastAsia"/>
          <w:color w:val="000000" w:themeColor="text1"/>
          <w:sz w:val="24"/>
          <w:szCs w:val="24"/>
          <w14:textFill>
            <w14:solidFill>
              <w14:schemeClr w14:val="tx1"/>
            </w14:solidFill>
          </w14:textFill>
        </w:rPr>
        <w:t>8.2奖励</w:t>
      </w:r>
      <w:bookmarkEnd w:id="757"/>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合理化建议的奖励金额按下列方法确定：</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14:textFill>
            <w14:solidFill>
              <w14:schemeClr w14:val="tx1"/>
            </w14:solidFill>
          </w14:textFill>
        </w:rPr>
        <w:t>/</w:t>
      </w:r>
      <w:r>
        <w:rPr>
          <w:rFonts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58" w:name="_Toc76398712"/>
      <w:r>
        <w:rPr>
          <w:rFonts w:hint="eastAsia" w:asciiTheme="minorEastAsia" w:hAnsiTheme="minorEastAsia"/>
          <w:color w:val="000000" w:themeColor="text1"/>
          <w:sz w:val="24"/>
          <w:szCs w:val="24"/>
          <w14:textFill>
            <w14:solidFill>
              <w14:schemeClr w14:val="tx1"/>
            </w14:solidFill>
          </w14:textFill>
        </w:rPr>
        <w:t>8.3 保密</w:t>
      </w:r>
      <w:bookmarkEnd w:id="758"/>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委托人申明的保密事项和期限：</w:t>
      </w:r>
      <w:r>
        <w:rPr>
          <w:rFonts w:hint="eastAsia" w:asciiTheme="minorEastAsia" w:hAnsiTheme="minorEastAsia"/>
          <w:color w:val="000000" w:themeColor="text1"/>
          <w:sz w:val="24"/>
          <w:szCs w:val="24"/>
          <w:u w:val="single"/>
          <w14:textFill>
            <w14:solidFill>
              <w14:schemeClr w14:val="tx1"/>
            </w14:solidFill>
          </w14:textFill>
        </w:rPr>
        <w:t xml:space="preserve"> （本项目的所有资料长期保密）  </w:t>
      </w:r>
      <w:r>
        <w:rPr>
          <w:rFonts w:hint="eastAsia" w:asciiTheme="minorEastAsia" w:hAnsiTheme="minorEastAsia"/>
          <w:color w:val="000000" w:themeColor="text1"/>
          <w:sz w:val="24"/>
          <w:szCs w:val="24"/>
          <w14:textFill>
            <w14:solidFill>
              <w14:schemeClr w14:val="tx1"/>
            </w14:solidFill>
          </w14:textFill>
        </w:rPr>
        <w:t>。未经委托人事先书面同意，咨询人不得对外透露本项目的任何信息，否则咨询人应赔偿委托人的一切损失。</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咨询人申明的保密事项和期限：</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第三人申明的保密事项和期限：</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bookmarkStart w:id="759" w:name="_Toc76398713"/>
      <w:r>
        <w:rPr>
          <w:rFonts w:hint="eastAsia" w:asciiTheme="minorEastAsia" w:hAnsiTheme="minorEastAsia"/>
          <w:color w:val="000000" w:themeColor="text1"/>
          <w:sz w:val="24"/>
          <w:szCs w:val="24"/>
          <w14:textFill>
            <w14:solidFill>
              <w14:schemeClr w14:val="tx1"/>
            </w14:solidFill>
          </w14:textFill>
        </w:rPr>
        <w:t>8.4 联络</w:t>
      </w:r>
      <w:bookmarkEnd w:id="759"/>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8.4.1 任何一方与合同有关的通知、指示、要求、决定等，均应在日内送达对方指定的接收人和送达地点。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8.4.2 委托人指定的送达接收人：</w:t>
      </w:r>
      <w:r>
        <w:rPr>
          <w:rFonts w:hint="eastAsia" w:asciiTheme="minorEastAsia" w:hAnsiTheme="minorEastAsia"/>
          <w:color w:val="000000" w:themeColor="text1"/>
          <w:sz w:val="24"/>
          <w:szCs w:val="24"/>
          <w:u w:val="single"/>
          <w14:textFill>
            <w14:solidFill>
              <w14:schemeClr w14:val="tx1"/>
            </w14:solidFill>
          </w14:textFill>
        </w:rPr>
        <w:t>_    _</w:t>
      </w:r>
      <w:r>
        <w:rPr>
          <w:rFonts w:hint="eastAsia" w:asciiTheme="minorEastAsia" w:hAnsiTheme="minorEastAsia"/>
          <w:color w:val="000000" w:themeColor="text1"/>
          <w:sz w:val="24"/>
          <w:szCs w:val="24"/>
          <w14:textFill>
            <w14:solidFill>
              <w14:schemeClr w14:val="tx1"/>
            </w14:solidFill>
          </w14:textFill>
        </w:rPr>
        <w:t>，送达地点：</w:t>
      </w:r>
      <w:r>
        <w:rPr>
          <w:rFonts w:hint="eastAsia" w:asciiTheme="minorEastAsia" w:hAnsiTheme="minorEastAsia"/>
          <w:color w:val="000000" w:themeColor="text1"/>
          <w:sz w:val="24"/>
          <w:szCs w:val="24"/>
          <w:u w:val="single"/>
          <w14:textFill>
            <w14:solidFill>
              <w14:schemeClr w14:val="tx1"/>
            </w14:solidFill>
          </w14:textFill>
        </w:rPr>
        <w:t>__   _</w:t>
      </w:r>
      <w:r>
        <w:rPr>
          <w:rFonts w:hint="eastAsia" w:asciiTheme="minorEastAsia" w:hAnsiTheme="minorEastAsia"/>
          <w:color w:val="000000" w:themeColor="text1"/>
          <w:sz w:val="24"/>
          <w:szCs w:val="24"/>
          <w14:textFill>
            <w14:solidFill>
              <w14:schemeClr w14:val="tx1"/>
            </w14:solidFill>
          </w14:textFill>
        </w:rPr>
        <w:t>，电子邮箱：</w:t>
      </w:r>
      <w:r>
        <w:rPr>
          <w:rFonts w:hint="eastAsia" w:asciiTheme="minorEastAsia" w:hAnsiTheme="minorEastAsia"/>
          <w:color w:val="000000" w:themeColor="text1"/>
          <w:sz w:val="24"/>
          <w:szCs w:val="24"/>
          <w:u w:val="single"/>
          <w14:textFill>
            <w14:solidFill>
              <w14:schemeClr w14:val="tx1"/>
            </w14:solidFill>
          </w14:textFill>
        </w:rPr>
        <w:t>_   _</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咨询人指定的送达接收人：</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，送达地点：</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，电子邮箱：</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bookmarkStart w:id="760" w:name="_Toc76398714"/>
      <w:r>
        <w:rPr>
          <w:rFonts w:hint="eastAsia" w:asciiTheme="minorEastAsia" w:hAnsiTheme="minorEastAsia"/>
          <w:color w:val="000000" w:themeColor="text1"/>
          <w:sz w:val="24"/>
          <w:szCs w:val="24"/>
          <w14:textFill>
            <w14:solidFill>
              <w14:schemeClr w14:val="tx1"/>
            </w14:solidFill>
          </w14:textFill>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仲裁的情形下，上述约定的各方通信地址，同时作为各方的诉讼</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仲裁文书送达地址，该通信地址用于接收诉讼</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仲裁文书（包括但不限于传票、判决书、裁决书、权利义务告知书等法律文书）；法院</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仲裁机构按该地址送达的法律文书（包括但不限于传票、判决书、裁决书、权利义务告知书等法律文书），即视为当事人签收，受送达人拒收或无法送达的，不影响送达的效力。</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8.4.3若地址为空白，则以国家企业信用信息公示系统查询的住所作为通讯地址。。</w:t>
      </w:r>
    </w:p>
    <w:p>
      <w:pPr>
        <w:spacing w:line="360" w:lineRule="auto"/>
        <w:ind w:firstLine="480" w:firstLineChars="200"/>
        <w:outlineLvl w:val="1"/>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8.5 知识产权</w:t>
      </w:r>
      <w:bookmarkEnd w:id="760"/>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000000" w:themeColor="text1"/>
          <w:sz w:val="24"/>
          <w:szCs w:val="24"/>
          <w:u w:val="single"/>
          <w14:textFill>
            <w14:solidFill>
              <w14:schemeClr w14:val="tx1"/>
            </w14:solidFill>
          </w14:textFill>
        </w:rPr>
        <w:t>委托人</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咨询人为履行本合同约定而编制的成果文件，其著作权属于</w:t>
      </w:r>
      <w:r>
        <w:rPr>
          <w:rFonts w:hint="eastAsia" w:asciiTheme="minorEastAsia" w:hAnsiTheme="minorEastAsia"/>
          <w:color w:val="000000" w:themeColor="text1"/>
          <w:sz w:val="24"/>
          <w:szCs w:val="24"/>
          <w:u w:val="single"/>
          <w14:textFill>
            <w14:solidFill>
              <w14:schemeClr w14:val="tx1"/>
            </w14:solidFill>
          </w14:textFill>
        </w:rPr>
        <w:t>委托人</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双方将履行本合同形成的有关成果文件用于企业宣传、申报奖项以及接受上级主管部门的检查须遵守以下约定：</w:t>
      </w:r>
      <w:r>
        <w:rPr>
          <w:rFonts w:hint="eastAsia" w:asciiTheme="minorEastAsia" w:hAnsiTheme="minorEastAsia"/>
          <w:color w:val="000000" w:themeColor="text1"/>
          <w:sz w:val="24"/>
          <w:szCs w:val="24"/>
          <w:u w:val="single"/>
          <w14:textFill>
            <w14:solidFill>
              <w14:schemeClr w14:val="tx1"/>
            </w14:solidFill>
          </w14:textFill>
        </w:rPr>
        <w:t>未经委托人同意，咨询人不得将与本合同履行有关的知识成果擅自使用或泄露</w:t>
      </w:r>
      <w:r>
        <w:rPr>
          <w:rFonts w:hint="eastAsia" w:asciiTheme="minorEastAsia" w:hAnsiTheme="minorEastAsia"/>
          <w:color w:val="000000" w:themeColor="text1"/>
          <w:sz w:val="24"/>
          <w:szCs w:val="24"/>
          <w14:textFill>
            <w14:solidFill>
              <w14:schemeClr w14:val="tx1"/>
            </w14:solidFill>
          </w14:textFill>
        </w:rPr>
        <w:t>。</w:t>
      </w:r>
    </w:p>
    <w:p>
      <w:pPr>
        <w:numPr>
          <w:ilvl w:val="255"/>
          <w:numId w:val="0"/>
        </w:numPr>
        <w:spacing w:line="360" w:lineRule="auto"/>
        <w:ind w:firstLine="480" w:firstLineChars="200"/>
        <w:outlineLvl w:val="0"/>
        <w:rPr>
          <w:rFonts w:asciiTheme="minorEastAsia" w:hAnsiTheme="minorEastAsia"/>
          <w:color w:val="000000" w:themeColor="text1"/>
          <w:sz w:val="24"/>
          <w:szCs w:val="24"/>
          <w14:textFill>
            <w14:solidFill>
              <w14:schemeClr w14:val="tx1"/>
            </w14:solidFill>
          </w14:textFill>
        </w:rPr>
      </w:pPr>
      <w:bookmarkStart w:id="761" w:name="_Toc76398715"/>
      <w:r>
        <w:rPr>
          <w:rFonts w:hint="eastAsia" w:asciiTheme="minorEastAsia" w:hAnsiTheme="minorEastAsia"/>
          <w:color w:val="000000" w:themeColor="text1"/>
          <w:sz w:val="24"/>
          <w:szCs w:val="24"/>
          <w14:textFill>
            <w14:solidFill>
              <w14:schemeClr w14:val="tx1"/>
            </w14:solidFill>
          </w14:textFill>
        </w:rPr>
        <w:t>9.补充条款</w:t>
      </w:r>
      <w:bookmarkEnd w:id="761"/>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9.2咨询人向委托人提出赔偿要求不能成立时，则应补偿由于该赔偿或其他要求所导致委托人的各种费用的支出。</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9.3对从委托人处获取的资料予以保密。为履行本合同义务的工作人员办理社会保险，承担一切安全责任。若其工作人员给委托人或第三人造成损失，责任由咨询人承担。</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9.4</w:t>
      </w:r>
      <w:r>
        <w:rPr>
          <w:rFonts w:hint="eastAsia" w:asciiTheme="minorEastAsia" w:hAnsiTheme="minorEastAsia"/>
          <w:color w:val="000000" w:themeColor="text1"/>
          <w:sz w:val="24"/>
          <w:szCs w:val="24"/>
          <w14:textFill>
            <w14:solidFill>
              <w14:schemeClr w14:val="tx1"/>
            </w14:solidFill>
          </w14:textFill>
        </w:rPr>
        <w:t>咨询人免费为委托人提供口头或现场咨询</w:t>
      </w:r>
      <w:r>
        <w:rPr>
          <w:rFonts w:hint="eastAsia" w:ascii="宋体" w:hAnsi="宋体"/>
          <w:color w:val="000000" w:themeColor="text1"/>
          <w:sz w:val="24"/>
          <w:szCs w:val="24"/>
          <w14:textFill>
            <w14:solidFill>
              <w14:schemeClr w14:val="tx1"/>
            </w14:solidFill>
          </w14:textFill>
        </w:rPr>
        <w:t>，否则视为咨询人违约</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9.5咨询人未按照本合同约定履行义务时，视为咨询人违约，</w:t>
      </w:r>
      <w:r>
        <w:rPr>
          <w:rFonts w:hint="eastAsia" w:ascii="宋体" w:hAnsi="宋体"/>
          <w:color w:val="000000" w:themeColor="text1"/>
          <w:sz w:val="24"/>
          <w:szCs w:val="24"/>
          <w14:textFill>
            <w14:solidFill>
              <w14:schemeClr w14:val="tx1"/>
            </w14:solidFill>
          </w14:textFill>
        </w:rPr>
        <w:t>咨询人违约时，</w:t>
      </w:r>
      <w:r>
        <w:rPr>
          <w:rFonts w:hint="eastAsia" w:asciiTheme="minorEastAsia" w:hAnsiTheme="minorEastAsia"/>
          <w:color w:val="000000" w:themeColor="text1"/>
          <w:sz w:val="24"/>
          <w:szCs w:val="24"/>
          <w14:textFill>
            <w14:solidFill>
              <w14:schemeClr w14:val="tx1"/>
            </w14:solidFill>
          </w14:textFill>
        </w:rPr>
        <w:t>委托人有权解除本合同</w:t>
      </w:r>
      <w:r>
        <w:rPr>
          <w:rFonts w:hint="eastAsia" w:ascii="宋体" w:hAnsi="宋体"/>
          <w:color w:val="000000" w:themeColor="text1"/>
          <w:sz w:val="24"/>
          <w:szCs w:val="24"/>
          <w14:textFill>
            <w14:solidFill>
              <w14:schemeClr w14:val="tx1"/>
            </w14:solidFill>
          </w14:textFill>
        </w:rPr>
        <w:t>，不予支付任何费用，除其他条款约定外，咨询人按照合同约定总金额的30%向委托人承担违约金</w:t>
      </w:r>
      <w:r>
        <w:rPr>
          <w:rFonts w:hint="eastAsia" w:asciiTheme="minorEastAsia" w:hAnsiTheme="minorEastAsia"/>
          <w:color w:val="000000" w:themeColor="text1"/>
          <w:sz w:val="24"/>
          <w:szCs w:val="24"/>
          <w14:textFill>
            <w14:solidFill>
              <w14:schemeClr w14:val="tx1"/>
            </w14:solidFill>
          </w14:textFill>
        </w:rPr>
        <w:t>。咨询人承担给委托人造成的一切损失。</w:t>
      </w:r>
    </w:p>
    <w:p>
      <w:pPr>
        <w:spacing w:line="360"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9.6</w:t>
      </w:r>
      <w:r>
        <w:rPr>
          <w:rFonts w:hint="eastAsia" w:asciiTheme="minorEastAsia" w:hAnsiTheme="minorEastAsia"/>
          <w:color w:val="000000" w:themeColor="text1"/>
          <w:sz w:val="24"/>
          <w:szCs w:val="24"/>
          <w14:textFill>
            <w14:solidFill>
              <w14:schemeClr w14:val="tx1"/>
            </w14:solidFill>
          </w14:textFill>
        </w:rPr>
        <w:t>咨询人保证因履行本合同形成的知识成果，未侵害第三人权益，否则应赔偿给委托人造成的全部损失，若委托人因此对外承担责任，有权向咨询人进行全额追偿。</w:t>
      </w:r>
    </w:p>
    <w:p>
      <w:pPr>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9.7禁止咨询人将本合同约定事项再进行分包或转委托，否则，视为咨询人违约。</w:t>
      </w:r>
    </w:p>
    <w:p>
      <w:pPr>
        <w:spacing w:line="360" w:lineRule="auto"/>
        <w:ind w:firstLine="480" w:firstLineChars="200"/>
        <w:jc w:val="left"/>
        <w:rPr>
          <w:rFonts w:asciiTheme="minorEastAsia" w:hAnsiTheme="minorEastAsia"/>
          <w:color w:val="000000" w:themeColor="text1"/>
          <w:sz w:val="24"/>
          <w:szCs w:val="24"/>
          <w:highlight w:val="yellow"/>
          <w14:textFill>
            <w14:solidFill>
              <w14:schemeClr w14:val="tx1"/>
            </w14:solidFill>
          </w14:textFill>
        </w:rPr>
      </w:pPr>
      <w:r>
        <w:rPr>
          <w:rFonts w:hint="eastAsia" w:asciiTheme="minorEastAsia" w:hAnsiTheme="minorEastAsia"/>
          <w:color w:val="000000" w:themeColor="text1"/>
          <w:sz w:val="24"/>
          <w:szCs w:val="24"/>
          <w:highlight w:val="yellow"/>
          <w14:textFill>
            <w14:solidFill>
              <w14:schemeClr w14:val="tx1"/>
            </w14:solidFill>
          </w14:textFill>
        </w:rPr>
        <w:t>10如有时，咨询人承担万分之二且不少于500元的建设智慧平台管理费。</w:t>
      </w:r>
    </w:p>
    <w:p>
      <w:pPr>
        <w:numPr>
          <w:ilvl w:val="255"/>
          <w:numId w:val="0"/>
        </w:numPr>
        <w:spacing w:line="360" w:lineRule="auto"/>
        <w:ind w:firstLine="480" w:firstLineChars="200"/>
        <w:jc w:val="left"/>
        <w:rPr>
          <w:rFonts w:asciiTheme="minorEastAsia" w:hAnsiTheme="minorEastAsia"/>
          <w:color w:val="000000" w:themeColor="text1"/>
          <w:sz w:val="24"/>
          <w:szCs w:val="24"/>
          <w:highlight w:val="yellow"/>
          <w14:textFill>
            <w14:solidFill>
              <w14:schemeClr w14:val="tx1"/>
            </w14:solidFill>
          </w14:textFill>
        </w:rPr>
      </w:pPr>
      <w:bookmarkStart w:id="762" w:name="_Toc76398716"/>
      <w:r>
        <w:rPr>
          <w:rFonts w:hint="eastAsia" w:asciiTheme="minorEastAsia" w:hAnsiTheme="minorEastAsia"/>
          <w:color w:val="000000" w:themeColor="text1"/>
          <w:sz w:val="24"/>
          <w:szCs w:val="24"/>
          <w:highlight w:val="yellow"/>
          <w14:textFill>
            <w14:solidFill>
              <w14:schemeClr w14:val="tx1"/>
            </w14:solidFill>
          </w14:textFill>
        </w:rPr>
        <w:t>11履约担保：</w:t>
      </w:r>
      <w:r>
        <w:rPr>
          <w:rFonts w:hint="eastAsia" w:asciiTheme="minorEastAsia" w:hAnsiTheme="minorEastAsia"/>
          <w:color w:val="000000" w:themeColor="text1"/>
          <w:sz w:val="24"/>
          <w:szCs w:val="24"/>
          <w:highlight w:val="yellow"/>
          <w:u w:val="single"/>
          <w14:textFill>
            <w14:solidFill>
              <w14:schemeClr w14:val="tx1"/>
            </w14:solidFill>
          </w14:textFill>
        </w:rPr>
        <w:t xml:space="preserve"> 中标金额10%  </w:t>
      </w:r>
      <w:r>
        <w:rPr>
          <w:rFonts w:hint="eastAsia" w:asciiTheme="minorEastAsia" w:hAnsiTheme="minorEastAsia"/>
          <w:color w:val="000000" w:themeColor="text1"/>
          <w:sz w:val="24"/>
          <w:szCs w:val="24"/>
          <w:highlight w:val="yellow"/>
          <w14:textFill>
            <w14:solidFill>
              <w14:schemeClr w14:val="tx1"/>
            </w14:solidFill>
          </w14:textFill>
        </w:rPr>
        <w:t>。（20万元以上的合同金额需要履约担保）</w:t>
      </w:r>
    </w:p>
    <w:p>
      <w:pPr>
        <w:spacing w:line="360" w:lineRule="auto"/>
        <w:ind w:firstLine="480" w:firstLineChars="200"/>
        <w:jc w:val="left"/>
        <w:rPr>
          <w:rFonts w:asciiTheme="minorEastAsia" w:hAnsiTheme="minorEastAsia"/>
          <w:color w:val="000000" w:themeColor="text1"/>
          <w:sz w:val="24"/>
          <w:szCs w:val="24"/>
          <w:highlight w:val="yellow"/>
          <w14:textFill>
            <w14:solidFill>
              <w14:schemeClr w14:val="tx1"/>
            </w14:solidFill>
          </w14:textFill>
        </w:rPr>
      </w:pPr>
      <w:r>
        <w:rPr>
          <w:rFonts w:hint="eastAsia" w:asciiTheme="minorEastAsia" w:hAnsiTheme="minorEastAsia"/>
          <w:color w:val="000000" w:themeColor="text1"/>
          <w:sz w:val="24"/>
          <w:szCs w:val="24"/>
          <w:highlight w:val="yellow"/>
          <w14:textFill>
            <w14:solidFill>
              <w14:schemeClr w14:val="tx1"/>
            </w14:solidFill>
          </w14:textFill>
        </w:rPr>
        <w:t>工程咨询人应按工程咨询合同约定向委托人提交履约担保，履约担保的提交形式、提交时间及退还约定为：</w:t>
      </w:r>
      <w:r>
        <w:rPr>
          <w:rFonts w:hint="eastAsia" w:asciiTheme="minorEastAsia" w:hAnsiTheme="minorEastAsia"/>
          <w:color w:val="000000" w:themeColor="text1"/>
          <w:sz w:val="24"/>
          <w:szCs w:val="24"/>
          <w:highlight w:val="yellow"/>
          <w14:textFill>
            <w14:solidFill>
              <w14:schemeClr w14:val="tx1"/>
            </w14:solidFill>
          </w14:textFill>
        </w:rPr>
        <w:t>现金或咨询人认可的单位出具的履约保函，</w:t>
      </w:r>
      <w:r>
        <w:rPr>
          <w:rFonts w:hint="eastAsia" w:asciiTheme="minorEastAsia" w:hAnsiTheme="minorEastAsia"/>
          <w:color w:val="000000" w:themeColor="text1"/>
          <w:sz w:val="24"/>
          <w:szCs w:val="24"/>
          <w:highlight w:val="yellow"/>
          <w14:textFill>
            <w14:solidFill>
              <w14:schemeClr w14:val="tx1"/>
            </w14:solidFill>
          </w14:textFill>
        </w:rPr>
        <w:t>中标通知书发出后10日内，签订合同之前，逾期未提供，委托人有权终止双方的合同关系，一切责任由咨询人承担；退还约定为工程办理完结算、且咨询人无违约的情形下60日内一次性解保或无息退还</w:t>
      </w:r>
      <w:r>
        <w:rPr>
          <w:rFonts w:hint="eastAsia" w:asciiTheme="minorEastAsia" w:hAnsiTheme="minorEastAsia"/>
          <w:color w:val="000000" w:themeColor="text1"/>
          <w:sz w:val="24"/>
          <w:szCs w:val="24"/>
          <w:highlight w:val="yellow"/>
          <w14:textFill>
            <w14:solidFill>
              <w14:schemeClr w14:val="tx1"/>
            </w14:solidFill>
          </w14:textFill>
        </w:rPr>
        <w:t>。</w:t>
      </w:r>
    </w:p>
    <w:p>
      <w:pPr>
        <w:pStyle w:val="4"/>
        <w:ind w:firstLine="723"/>
        <w:rPr>
          <w:color w:val="000000" w:themeColor="text1"/>
          <w14:textFill>
            <w14:solidFill>
              <w14:schemeClr w14:val="tx1"/>
            </w14:solidFill>
          </w14:textFill>
        </w:rPr>
      </w:pPr>
    </w:p>
    <w:p>
      <w:pPr>
        <w:jc w:val="center"/>
        <w:outlineLvl w:val="0"/>
        <w:rPr>
          <w:color w:val="000000" w:themeColor="text1"/>
          <w14:textFill>
            <w14:solidFill>
              <w14:schemeClr w14:val="tx1"/>
            </w14:solidFill>
          </w14:textFill>
        </w:rPr>
      </w:pPr>
    </w:p>
    <w:p>
      <w:pPr>
        <w:jc w:val="center"/>
        <w:outlineLvl w:val="0"/>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0"/>
        <w:rPr>
          <w:color w:val="000000" w:themeColor="text1"/>
          <w14:textFill>
            <w14:solidFill>
              <w14:schemeClr w14:val="tx1"/>
            </w14:solidFill>
          </w14:textFill>
        </w:rPr>
      </w:pPr>
    </w:p>
    <w:p>
      <w:pPr>
        <w:jc w:val="center"/>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附录 A 咨询人人员配置一览表</w:t>
      </w:r>
      <w:bookmarkEnd w:id="762"/>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525"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职务</w:t>
            </w:r>
          </w:p>
        </w:tc>
        <w:tc>
          <w:tcPr>
            <w:tcW w:w="134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w:t>
            </w:r>
          </w:p>
        </w:tc>
        <w:tc>
          <w:tcPr>
            <w:tcW w:w="135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职业资格证</w:t>
            </w:r>
          </w:p>
        </w:tc>
        <w:tc>
          <w:tcPr>
            <w:tcW w:w="162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163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14:textFill>
                  <w14:solidFill>
                    <w14:schemeClr w14:val="tx1"/>
                  </w14:solidFill>
                </w14:textFill>
              </w:rPr>
            </w:pPr>
          </w:p>
        </w:tc>
        <w:tc>
          <w:tcPr>
            <w:tcW w:w="1525" w:type="dxa"/>
            <w:vAlign w:val="center"/>
          </w:tcPr>
          <w:p>
            <w:pPr>
              <w:jc w:val="center"/>
              <w:rPr>
                <w:color w:val="000000" w:themeColor="text1"/>
                <w14:textFill>
                  <w14:solidFill>
                    <w14:schemeClr w14:val="tx1"/>
                  </w14:solidFill>
                </w14:textFill>
              </w:rPr>
            </w:pPr>
          </w:p>
        </w:tc>
        <w:tc>
          <w:tcPr>
            <w:tcW w:w="1348" w:type="dxa"/>
          </w:tcPr>
          <w:p>
            <w:pPr>
              <w:jc w:val="center"/>
              <w:rPr>
                <w:color w:val="000000" w:themeColor="text1"/>
                <w14:textFill>
                  <w14:solidFill>
                    <w14:schemeClr w14:val="tx1"/>
                  </w14:solidFill>
                </w14:textFill>
              </w:rPr>
            </w:pPr>
          </w:p>
        </w:tc>
        <w:tc>
          <w:tcPr>
            <w:tcW w:w="1359" w:type="dxa"/>
            <w:vAlign w:val="center"/>
          </w:tcPr>
          <w:p>
            <w:pPr>
              <w:jc w:val="center"/>
              <w:rPr>
                <w:color w:val="000000" w:themeColor="text1"/>
                <w:sz w:val="24"/>
                <w:szCs w:val="24"/>
                <w14:textFill>
                  <w14:solidFill>
                    <w14:schemeClr w14:val="tx1"/>
                  </w14:solidFill>
                </w14:textFill>
              </w:rPr>
            </w:pPr>
          </w:p>
        </w:tc>
        <w:tc>
          <w:tcPr>
            <w:tcW w:w="1623" w:type="dxa"/>
            <w:vAlign w:val="center"/>
          </w:tcPr>
          <w:p>
            <w:pPr>
              <w:jc w:val="center"/>
              <w:rPr>
                <w:color w:val="000000" w:themeColor="text1"/>
                <w14:textFill>
                  <w14:solidFill>
                    <w14:schemeClr w14:val="tx1"/>
                  </w14:solidFill>
                </w14:textFill>
              </w:rPr>
            </w:pPr>
          </w:p>
        </w:tc>
        <w:tc>
          <w:tcPr>
            <w:tcW w:w="1633"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14:textFill>
                  <w14:solidFill>
                    <w14:schemeClr w14:val="tx1"/>
                  </w14:solidFill>
                </w14:textFill>
              </w:rPr>
            </w:pPr>
          </w:p>
        </w:tc>
        <w:tc>
          <w:tcPr>
            <w:tcW w:w="1525" w:type="dxa"/>
            <w:vAlign w:val="center"/>
          </w:tcPr>
          <w:p>
            <w:pPr>
              <w:jc w:val="center"/>
              <w:rPr>
                <w:color w:val="000000" w:themeColor="text1"/>
                <w14:textFill>
                  <w14:solidFill>
                    <w14:schemeClr w14:val="tx1"/>
                  </w14:solidFill>
                </w14:textFill>
              </w:rPr>
            </w:pPr>
          </w:p>
        </w:tc>
        <w:tc>
          <w:tcPr>
            <w:tcW w:w="1348" w:type="dxa"/>
          </w:tcPr>
          <w:p>
            <w:pPr>
              <w:jc w:val="center"/>
              <w:rPr>
                <w:color w:val="000000" w:themeColor="text1"/>
                <w14:textFill>
                  <w14:solidFill>
                    <w14:schemeClr w14:val="tx1"/>
                  </w14:solidFill>
                </w14:textFill>
              </w:rPr>
            </w:pPr>
          </w:p>
        </w:tc>
        <w:tc>
          <w:tcPr>
            <w:tcW w:w="1359" w:type="dxa"/>
            <w:vAlign w:val="center"/>
          </w:tcPr>
          <w:p>
            <w:pPr>
              <w:jc w:val="center"/>
              <w:rPr>
                <w:color w:val="000000" w:themeColor="text1"/>
                <w:sz w:val="24"/>
                <w:szCs w:val="24"/>
                <w14:textFill>
                  <w14:solidFill>
                    <w14:schemeClr w14:val="tx1"/>
                  </w14:solidFill>
                </w14:textFill>
              </w:rPr>
            </w:pPr>
          </w:p>
        </w:tc>
        <w:tc>
          <w:tcPr>
            <w:tcW w:w="1623" w:type="dxa"/>
            <w:vAlign w:val="center"/>
          </w:tcPr>
          <w:p>
            <w:pPr>
              <w:jc w:val="center"/>
              <w:rPr>
                <w:color w:val="000000" w:themeColor="text1"/>
                <w14:textFill>
                  <w14:solidFill>
                    <w14:schemeClr w14:val="tx1"/>
                  </w14:solidFill>
                </w14:textFill>
              </w:rPr>
            </w:pPr>
          </w:p>
        </w:tc>
        <w:tc>
          <w:tcPr>
            <w:tcW w:w="1633"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14:textFill>
                  <w14:solidFill>
                    <w14:schemeClr w14:val="tx1"/>
                  </w14:solidFill>
                </w14:textFill>
              </w:rPr>
            </w:pPr>
          </w:p>
        </w:tc>
        <w:tc>
          <w:tcPr>
            <w:tcW w:w="1525" w:type="dxa"/>
            <w:vAlign w:val="center"/>
          </w:tcPr>
          <w:p>
            <w:pPr>
              <w:jc w:val="center"/>
              <w:rPr>
                <w:color w:val="000000" w:themeColor="text1"/>
                <w14:textFill>
                  <w14:solidFill>
                    <w14:schemeClr w14:val="tx1"/>
                  </w14:solidFill>
                </w14:textFill>
              </w:rPr>
            </w:pPr>
          </w:p>
        </w:tc>
        <w:tc>
          <w:tcPr>
            <w:tcW w:w="1348" w:type="dxa"/>
          </w:tcPr>
          <w:p>
            <w:pPr>
              <w:jc w:val="center"/>
              <w:rPr>
                <w:color w:val="000000" w:themeColor="text1"/>
                <w14:textFill>
                  <w14:solidFill>
                    <w14:schemeClr w14:val="tx1"/>
                  </w14:solidFill>
                </w14:textFill>
              </w:rPr>
            </w:pPr>
          </w:p>
        </w:tc>
        <w:tc>
          <w:tcPr>
            <w:tcW w:w="1359" w:type="dxa"/>
            <w:vAlign w:val="center"/>
          </w:tcPr>
          <w:p>
            <w:pPr>
              <w:jc w:val="center"/>
              <w:rPr>
                <w:color w:val="000000" w:themeColor="text1"/>
                <w:sz w:val="24"/>
                <w:szCs w:val="24"/>
                <w14:textFill>
                  <w14:solidFill>
                    <w14:schemeClr w14:val="tx1"/>
                  </w14:solidFill>
                </w14:textFill>
              </w:rPr>
            </w:pPr>
          </w:p>
        </w:tc>
        <w:tc>
          <w:tcPr>
            <w:tcW w:w="1623" w:type="dxa"/>
            <w:vAlign w:val="center"/>
          </w:tcPr>
          <w:p>
            <w:pPr>
              <w:jc w:val="center"/>
              <w:rPr>
                <w:color w:val="000000" w:themeColor="text1"/>
                <w14:textFill>
                  <w14:solidFill>
                    <w14:schemeClr w14:val="tx1"/>
                  </w14:solidFill>
                </w14:textFill>
              </w:rPr>
            </w:pPr>
          </w:p>
        </w:tc>
        <w:tc>
          <w:tcPr>
            <w:tcW w:w="1633"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pPr>
              <w:jc w:val="center"/>
              <w:rPr>
                <w:color w:val="000000" w:themeColor="text1"/>
                <w14:textFill>
                  <w14:solidFill>
                    <w14:schemeClr w14:val="tx1"/>
                  </w14:solidFill>
                </w14:textFill>
              </w:rPr>
            </w:pPr>
          </w:p>
        </w:tc>
        <w:tc>
          <w:tcPr>
            <w:tcW w:w="1525" w:type="dxa"/>
          </w:tcPr>
          <w:p>
            <w:pPr>
              <w:jc w:val="center"/>
              <w:rPr>
                <w:color w:val="000000" w:themeColor="text1"/>
                <w14:textFill>
                  <w14:solidFill>
                    <w14:schemeClr w14:val="tx1"/>
                  </w14:solidFill>
                </w14:textFill>
              </w:rPr>
            </w:pPr>
          </w:p>
        </w:tc>
        <w:tc>
          <w:tcPr>
            <w:tcW w:w="1348" w:type="dxa"/>
          </w:tcPr>
          <w:p>
            <w:pPr>
              <w:jc w:val="center"/>
              <w:rPr>
                <w:color w:val="000000" w:themeColor="text1"/>
                <w14:textFill>
                  <w14:solidFill>
                    <w14:schemeClr w14:val="tx1"/>
                  </w14:solidFill>
                </w14:textFill>
              </w:rPr>
            </w:pPr>
          </w:p>
        </w:tc>
        <w:tc>
          <w:tcPr>
            <w:tcW w:w="1359" w:type="dxa"/>
          </w:tcPr>
          <w:p>
            <w:pPr>
              <w:jc w:val="center"/>
              <w:rPr>
                <w:color w:val="000000" w:themeColor="text1"/>
                <w14:textFill>
                  <w14:solidFill>
                    <w14:schemeClr w14:val="tx1"/>
                  </w14:solidFill>
                </w14:textFill>
              </w:rPr>
            </w:pPr>
          </w:p>
        </w:tc>
        <w:tc>
          <w:tcPr>
            <w:tcW w:w="1623" w:type="dxa"/>
          </w:tcPr>
          <w:p>
            <w:pPr>
              <w:jc w:val="center"/>
              <w:rPr>
                <w:color w:val="000000" w:themeColor="text1"/>
                <w14:textFill>
                  <w14:solidFill>
                    <w14:schemeClr w14:val="tx1"/>
                  </w14:solidFill>
                </w14:textFill>
              </w:rPr>
            </w:pPr>
          </w:p>
        </w:tc>
        <w:tc>
          <w:tcPr>
            <w:tcW w:w="1633"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pPr>
              <w:jc w:val="center"/>
              <w:rPr>
                <w:color w:val="000000" w:themeColor="text1"/>
                <w14:textFill>
                  <w14:solidFill>
                    <w14:schemeClr w14:val="tx1"/>
                  </w14:solidFill>
                </w14:textFill>
              </w:rPr>
            </w:pPr>
          </w:p>
        </w:tc>
        <w:tc>
          <w:tcPr>
            <w:tcW w:w="1525" w:type="dxa"/>
          </w:tcPr>
          <w:p>
            <w:pPr>
              <w:jc w:val="center"/>
              <w:rPr>
                <w:color w:val="000000" w:themeColor="text1"/>
                <w14:textFill>
                  <w14:solidFill>
                    <w14:schemeClr w14:val="tx1"/>
                  </w14:solidFill>
                </w14:textFill>
              </w:rPr>
            </w:pPr>
          </w:p>
        </w:tc>
        <w:tc>
          <w:tcPr>
            <w:tcW w:w="1348" w:type="dxa"/>
          </w:tcPr>
          <w:p>
            <w:pPr>
              <w:jc w:val="center"/>
              <w:rPr>
                <w:color w:val="000000" w:themeColor="text1"/>
                <w14:textFill>
                  <w14:solidFill>
                    <w14:schemeClr w14:val="tx1"/>
                  </w14:solidFill>
                </w14:textFill>
              </w:rPr>
            </w:pPr>
          </w:p>
        </w:tc>
        <w:tc>
          <w:tcPr>
            <w:tcW w:w="1359" w:type="dxa"/>
          </w:tcPr>
          <w:p>
            <w:pPr>
              <w:jc w:val="center"/>
              <w:rPr>
                <w:color w:val="000000" w:themeColor="text1"/>
                <w14:textFill>
                  <w14:solidFill>
                    <w14:schemeClr w14:val="tx1"/>
                  </w14:solidFill>
                </w14:textFill>
              </w:rPr>
            </w:pPr>
          </w:p>
        </w:tc>
        <w:tc>
          <w:tcPr>
            <w:tcW w:w="1623" w:type="dxa"/>
          </w:tcPr>
          <w:p>
            <w:pPr>
              <w:jc w:val="center"/>
              <w:rPr>
                <w:color w:val="000000" w:themeColor="text1"/>
                <w14:textFill>
                  <w14:solidFill>
                    <w14:schemeClr w14:val="tx1"/>
                  </w14:solidFill>
                </w14:textFill>
              </w:rPr>
            </w:pPr>
          </w:p>
        </w:tc>
        <w:tc>
          <w:tcPr>
            <w:tcW w:w="1633" w:type="dxa"/>
          </w:tcPr>
          <w:p>
            <w:pPr>
              <w:jc w:val="center"/>
              <w:rPr>
                <w:color w:val="000000" w:themeColor="text1"/>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注：1.合同签订时，出具以上人员任命书，并附身份证、职业资格证书等复印件（两套）。</w:t>
      </w:r>
    </w:p>
    <w:p>
      <w:pPr>
        <w:jc w:val="cente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color w:val="000000" w:themeColor="text1"/>
          <w14:textFill>
            <w14:solidFill>
              <w14:schemeClr w14:val="tx1"/>
            </w14:solidFill>
          </w14:textFill>
        </w:rPr>
      </w:pPr>
    </w:p>
    <w:p>
      <w:pPr>
        <w:jc w:val="center"/>
        <w:outlineLvl w:val="0"/>
        <w:rPr>
          <w:color w:val="000000" w:themeColor="text1"/>
          <w14:textFill>
            <w14:solidFill>
              <w14:schemeClr w14:val="tx1"/>
            </w14:solidFill>
          </w14:textFill>
        </w:rPr>
      </w:pPr>
      <w:bookmarkStart w:id="763" w:name="_Toc76398717"/>
      <w:r>
        <w:rPr>
          <w:rFonts w:hint="eastAsia"/>
          <w:color w:val="000000" w:themeColor="text1"/>
          <w14:textFill>
            <w14:solidFill>
              <w14:schemeClr w14:val="tx1"/>
            </w14:solidFill>
          </w14:textFill>
        </w:rPr>
        <w:t>附录 B 咨询人提交成果文件一览表</w:t>
      </w:r>
      <w:bookmarkEnd w:id="763"/>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服务阶段</w:t>
            </w:r>
          </w:p>
        </w:tc>
        <w:tc>
          <w:tcPr>
            <w:tcW w:w="148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成果文件名称</w:t>
            </w:r>
          </w:p>
        </w:tc>
        <w:tc>
          <w:tcPr>
            <w:tcW w:w="148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成果文件组成</w:t>
            </w:r>
          </w:p>
        </w:tc>
        <w:tc>
          <w:tcPr>
            <w:tcW w:w="148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提交时间</w:t>
            </w:r>
          </w:p>
        </w:tc>
        <w:tc>
          <w:tcPr>
            <w:tcW w:w="148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份数</w:t>
            </w:r>
          </w:p>
        </w:tc>
        <w:tc>
          <w:tcPr>
            <w:tcW w:w="148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实施阶段</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全过程造价咨询控制方案</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全过程造价咨询控制方案</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项目开工前</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收方签证单</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收方单、签证单</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施工单位提交收方签证单之日起三日内</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认质核价单</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认质核价单</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施工单位提交认质核价单之日起七日内</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变更核算</w:t>
            </w:r>
          </w:p>
        </w:tc>
        <w:tc>
          <w:tcPr>
            <w:tcW w:w="1483" w:type="dxa"/>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预算书</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施工单位提交变更预算书之日起七日内</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进度款支付情况表</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进度款审批表及附件</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施工单位提交进度款支付申请之日起七日内</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月度情况报告书</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月度情况报告书</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每月28号</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pPr>
              <w:jc w:val="center"/>
              <w:rPr>
                <w:color w:val="000000" w:themeColor="text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竣工阶段</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竣工结算报告</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竣工结算报告、结算书、营业执照、造价资质证书</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施工单位提交竣工结算资料之日起14日内</w:t>
            </w: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其他服务</w:t>
            </w: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c>
          <w:tcPr>
            <w:tcW w:w="1483" w:type="dxa"/>
          </w:tcPr>
          <w:p>
            <w:pPr>
              <w:jc w:val="center"/>
              <w:rPr>
                <w:color w:val="000000" w:themeColor="text1"/>
                <w14:textFill>
                  <w14:solidFill>
                    <w14:schemeClr w14:val="tx1"/>
                  </w14:solidFill>
                </w14:textFill>
              </w:rPr>
            </w:pPr>
          </w:p>
        </w:tc>
      </w:tr>
    </w:tbl>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color w:val="000000" w:themeColor="text1"/>
          <w14:textFill>
            <w14:solidFill>
              <w14:schemeClr w14:val="tx1"/>
            </w14:solidFill>
          </w14:textFill>
        </w:rPr>
      </w:pPr>
    </w:p>
    <w:p>
      <w:pPr>
        <w:jc w:val="center"/>
        <w:outlineLvl w:val="0"/>
        <w:rPr>
          <w:color w:val="000000" w:themeColor="text1"/>
          <w14:textFill>
            <w14:solidFill>
              <w14:schemeClr w14:val="tx1"/>
            </w14:solidFill>
          </w14:textFill>
        </w:rPr>
      </w:pPr>
      <w:bookmarkStart w:id="764" w:name="_Toc76398718"/>
      <w:r>
        <w:rPr>
          <w:rFonts w:hint="eastAsia"/>
          <w:color w:val="000000" w:themeColor="text1"/>
          <w14:textFill>
            <w14:solidFill>
              <w14:schemeClr w14:val="tx1"/>
            </w14:solidFill>
          </w14:textFill>
        </w:rPr>
        <w:t>附录 C委托人提供资料一览表</w:t>
      </w:r>
      <w:bookmarkEnd w:id="764"/>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成果文件组成</w:t>
            </w:r>
          </w:p>
        </w:tc>
        <w:tc>
          <w:tcPr>
            <w:tcW w:w="218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提交时间</w:t>
            </w:r>
          </w:p>
        </w:tc>
        <w:tc>
          <w:tcPr>
            <w:tcW w:w="218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份数</w:t>
            </w:r>
          </w:p>
        </w:tc>
        <w:tc>
          <w:tcPr>
            <w:tcW w:w="218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vAlign w:val="center"/>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vAlign w:val="center"/>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vAlign w:val="center"/>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vAlign w:val="center"/>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vAlign w:val="center"/>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vAlign w:val="center"/>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c>
          <w:tcPr>
            <w:tcW w:w="2189" w:type="dxa"/>
          </w:tcPr>
          <w:p>
            <w:pPr>
              <w:jc w:val="center"/>
              <w:rPr>
                <w:color w:val="000000" w:themeColor="text1"/>
                <w14:textFill>
                  <w14:solidFill>
                    <w14:schemeClr w14:val="tx1"/>
                  </w14:solidFill>
                </w14:textFill>
              </w:rPr>
            </w:pPr>
          </w:p>
        </w:tc>
      </w:tr>
    </w:tbl>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360" w:lineRule="auto"/>
        <w:ind w:firstLine="643"/>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廉政合同</w:t>
      </w:r>
    </w:p>
    <w:p>
      <w:pPr>
        <w:pStyle w:val="4"/>
        <w:ind w:firstLine="723"/>
        <w:rPr>
          <w:color w:val="000000" w:themeColor="text1"/>
          <w14:textFill>
            <w14:solidFill>
              <w14:schemeClr w14:val="tx1"/>
            </w14:solidFill>
          </w14:textFill>
        </w:rPr>
      </w:pP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为保证工程质量及进度，顺利完成合作项目，维护廉洁、高效、和谐、公正的工作机制，双方将严格遵照执行，共同监督以下的内容：</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一、甲、乙双方均应对本单位工作人员及工程项目管理人员进行廉洁从业教育，双方必须自觉遵守法律、法规及企业廉政建设相关规定。</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二、委托人在廉政建设方面的责任</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2</w:t>
      </w:r>
      <w:r>
        <w:rPr>
          <w:rFonts w:hint="eastAsia" w:asciiTheme="minorEastAsia" w:hAnsiTheme="minorEastAsia" w:cstheme="minorEastAsia"/>
          <w:color w:val="000000" w:themeColor="text1"/>
          <w:sz w:val="24"/>
          <w14:textFill>
            <w14:solidFill>
              <w14:schemeClr w14:val="tx1"/>
            </w14:solidFill>
          </w14:textFill>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3</w:t>
      </w:r>
      <w:r>
        <w:rPr>
          <w:rFonts w:hint="eastAsia" w:asciiTheme="minorEastAsia" w:hAnsiTheme="minorEastAsia" w:cstheme="minorEastAsia"/>
          <w:color w:val="000000" w:themeColor="text1"/>
          <w:sz w:val="24"/>
          <w14:textFill>
            <w14:solidFill>
              <w14:schemeClr w14:val="tx1"/>
            </w14:solidFill>
          </w14:textFill>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4</w:t>
      </w:r>
      <w:r>
        <w:rPr>
          <w:rFonts w:hint="eastAsia" w:asciiTheme="minorEastAsia" w:hAnsiTheme="minorEastAsia" w:cstheme="minorEastAsia"/>
          <w:color w:val="000000" w:themeColor="text1"/>
          <w:sz w:val="24"/>
          <w14:textFill>
            <w14:solidFill>
              <w14:schemeClr w14:val="tx1"/>
            </w14:solidFill>
          </w14:textFill>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三、咨询人在廉政建设方面的责任</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1</w:t>
      </w:r>
      <w:r>
        <w:rPr>
          <w:rFonts w:hint="eastAsia" w:asciiTheme="minorEastAsia" w:hAnsiTheme="minorEastAsia" w:cstheme="minorEastAsia"/>
          <w:color w:val="000000" w:themeColor="text1"/>
          <w:sz w:val="24"/>
          <w14:textFill>
            <w14:solidFill>
              <w14:schemeClr w14:val="tx1"/>
            </w14:solidFill>
          </w14:textFill>
        </w:rPr>
        <w:t>、咨询人不得以任何理由向委托人及委托人总部所属相关单位工作人员赠送礼金、有价证券和贵重物品等。</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2</w:t>
      </w:r>
      <w:r>
        <w:rPr>
          <w:rFonts w:hint="eastAsia" w:asciiTheme="minorEastAsia" w:hAnsiTheme="minorEastAsia" w:cstheme="minorEastAsia"/>
          <w:color w:val="000000" w:themeColor="text1"/>
          <w:sz w:val="24"/>
          <w14:textFill>
            <w14:solidFill>
              <w14:schemeClr w14:val="tx1"/>
            </w14:solidFill>
          </w14:textFill>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3</w:t>
      </w:r>
      <w:r>
        <w:rPr>
          <w:rFonts w:hint="eastAsia" w:asciiTheme="minorEastAsia" w:hAnsiTheme="minorEastAsia" w:cstheme="minorEastAsia"/>
          <w:color w:val="000000" w:themeColor="text1"/>
          <w:sz w:val="24"/>
          <w14:textFill>
            <w14:solidFill>
              <w14:schemeClr w14:val="tx1"/>
            </w14:solidFill>
          </w14:textFill>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4</w:t>
      </w:r>
      <w:r>
        <w:rPr>
          <w:rFonts w:hint="eastAsia" w:asciiTheme="minorEastAsia" w:hAnsiTheme="minorEastAsia" w:cstheme="minorEastAsia"/>
          <w:color w:val="000000" w:themeColor="text1"/>
          <w:sz w:val="24"/>
          <w14:textFill>
            <w14:solidFill>
              <w14:schemeClr w14:val="tx1"/>
            </w14:solidFill>
          </w14:textFill>
        </w:rPr>
        <w:t>、咨询人不得为委托人及委托人总部所属相关单位工作人员购置或者提供通讯工具、交通工具、家电、高档办公用品等物品。</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5</w:t>
      </w:r>
      <w:r>
        <w:rPr>
          <w:rFonts w:hint="eastAsia" w:asciiTheme="minorEastAsia" w:hAnsiTheme="minorEastAsia" w:cstheme="minorEastAsia"/>
          <w:color w:val="000000" w:themeColor="text1"/>
          <w:sz w:val="24"/>
          <w14:textFill>
            <w14:solidFill>
              <w14:schemeClr w14:val="tx1"/>
            </w14:solidFill>
          </w14:textFill>
        </w:rPr>
        <w:t>、咨询人不得以任何理由为委托人及委托人总部所属相关单位工作人员报销任何应由委托人或个人支付的费用。</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四、相关责任</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1</w:t>
      </w:r>
      <w:r>
        <w:rPr>
          <w:rFonts w:hint="eastAsia" w:asciiTheme="minorEastAsia" w:hAnsiTheme="minorEastAsia" w:cstheme="minorEastAsia"/>
          <w:color w:val="000000" w:themeColor="text1"/>
          <w:sz w:val="24"/>
          <w14:textFill>
            <w14:solidFill>
              <w14:schemeClr w14:val="tx1"/>
            </w14:solidFill>
          </w14:textFill>
        </w:rPr>
        <w:t>、咨询人如发现委托人及委托人总部所属相关单位工作人员有违反上述协议者，应及时向审计</w:t>
      </w:r>
      <w:r>
        <w:rPr>
          <w:rFonts w:asciiTheme="minorEastAsia" w:hAnsiTheme="minorEastAsia" w:cstheme="minorEastAsia"/>
          <w:color w:val="000000" w:themeColor="text1"/>
          <w:sz w:val="24"/>
          <w14:textFill>
            <w14:solidFill>
              <w14:schemeClr w14:val="tx1"/>
            </w14:solidFill>
          </w14:textFill>
        </w:rPr>
        <w:t>法务部</w:t>
      </w:r>
      <w:r>
        <w:rPr>
          <w:rFonts w:hint="eastAsia" w:asciiTheme="minorEastAsia" w:hAnsiTheme="minorEastAsia" w:cstheme="minorEastAsia"/>
          <w:color w:val="000000" w:themeColor="text1"/>
          <w:sz w:val="24"/>
          <w14:textFill>
            <w14:solidFill>
              <w14:schemeClr w14:val="tx1"/>
            </w14:solidFill>
          </w14:textFill>
        </w:rPr>
        <w:t>反映情况，监督投诉电话：</w:t>
      </w:r>
      <w:r>
        <w:rPr>
          <w:rFonts w:asciiTheme="minorEastAsia" w:hAnsiTheme="minorEastAsia" w:cstheme="minorEastAsia"/>
          <w:color w:val="000000" w:themeColor="text1"/>
          <w:sz w:val="24"/>
          <w14:textFill>
            <w14:solidFill>
              <w14:schemeClr w14:val="tx1"/>
            </w14:solidFill>
          </w14:textFill>
        </w:rPr>
        <w:t>02362795377</w:t>
      </w:r>
      <w:r>
        <w:rPr>
          <w:rFonts w:hint="eastAsia" w:asciiTheme="minorEastAsia" w:hAnsiTheme="minorEastAsia" w:cstheme="minorEastAsia"/>
          <w:color w:val="000000" w:themeColor="text1"/>
          <w:sz w:val="24"/>
          <w14:textFill>
            <w14:solidFill>
              <w14:schemeClr w14:val="tx1"/>
            </w14:solidFill>
          </w14:textFill>
        </w:rPr>
        <w:t>；地址：重庆市</w:t>
      </w:r>
      <w:r>
        <w:rPr>
          <w:rFonts w:asciiTheme="minorEastAsia" w:hAnsiTheme="minorEastAsia" w:cstheme="minorEastAsia"/>
          <w:color w:val="000000" w:themeColor="text1"/>
          <w:sz w:val="24"/>
          <w14:textFill>
            <w14:solidFill>
              <w14:schemeClr w14:val="tx1"/>
            </w14:solidFill>
          </w14:textFill>
        </w:rPr>
        <w:t>南岸区行政服务中心B区3号楼1812法</w:t>
      </w:r>
      <w:r>
        <w:rPr>
          <w:rFonts w:hint="eastAsia" w:asciiTheme="minorEastAsia" w:hAnsiTheme="minorEastAsia" w:cstheme="minorEastAsia"/>
          <w:color w:val="000000" w:themeColor="text1"/>
          <w:sz w:val="24"/>
          <w14:textFill>
            <w14:solidFill>
              <w14:schemeClr w14:val="tx1"/>
            </w14:solidFill>
          </w14:textFill>
        </w:rPr>
        <w:t>务审计部。</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2</w:t>
      </w:r>
      <w:r>
        <w:rPr>
          <w:rFonts w:hint="eastAsia" w:asciiTheme="minorEastAsia" w:hAnsiTheme="minorEastAsia" w:cstheme="minorEastAsia"/>
          <w:color w:val="000000" w:themeColor="text1"/>
          <w:sz w:val="24"/>
          <w14:textFill>
            <w14:solidFill>
              <w14:schemeClr w14:val="tx1"/>
            </w14:solidFill>
          </w14:textFill>
        </w:rPr>
        <w:t>、委托人发现咨询人有违反本协议行为的，将对咨询人处以涉及金额</w:t>
      </w:r>
      <w:r>
        <w:rPr>
          <w:rFonts w:asciiTheme="minorEastAsia" w:hAnsiTheme="minorEastAsia" w:cstheme="minorEastAsia"/>
          <w:color w:val="000000" w:themeColor="text1"/>
          <w:sz w:val="24"/>
          <w14:textFill>
            <w14:solidFill>
              <w14:schemeClr w14:val="tx1"/>
            </w14:solidFill>
          </w14:textFill>
        </w:rPr>
        <w:t xml:space="preserve"> 10 </w:t>
      </w:r>
      <w:r>
        <w:rPr>
          <w:rFonts w:hint="eastAsia" w:asciiTheme="minorEastAsia" w:hAnsiTheme="minorEastAsia" w:cstheme="minorEastAsia"/>
          <w:color w:val="000000" w:themeColor="text1"/>
          <w:sz w:val="24"/>
          <w14:textFill>
            <w14:solidFill>
              <w14:schemeClr w14:val="tx1"/>
            </w14:solidFill>
          </w14:textFill>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t>3</w:t>
      </w:r>
      <w:r>
        <w:rPr>
          <w:rFonts w:hint="eastAsia" w:asciiTheme="minorEastAsia" w:hAnsiTheme="minorEastAsia" w:cstheme="minorEastAsia"/>
          <w:color w:val="000000" w:themeColor="text1"/>
          <w:sz w:val="24"/>
          <w14:textFill>
            <w14:solidFill>
              <w14:schemeClr w14:val="tx1"/>
            </w14:solidFill>
          </w14:textFill>
        </w:rPr>
        <w:t>、委托人对举报属实和严格遵守廉洁协议的咨询人，在同等条件下承接委托人其他工程项目予以优先考虑。</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五、本协议未尽事项，可在实际操作中，经双方协商予以完善。</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六、本协议在甲乙双方合作的协议、合同或其他具有约束力的文件成立时，自动成为该文件的组成部分。</w:t>
      </w:r>
      <w:r>
        <w:rPr>
          <w:rFonts w:asciiTheme="minorEastAsia" w:hAnsiTheme="minorEastAsia" w:cstheme="minorEastAsia"/>
          <w:color w:val="000000" w:themeColor="text1"/>
          <w:sz w:val="24"/>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七、本合同签订份数同主合同份数；</w:t>
      </w:r>
      <w:r>
        <w:rPr>
          <w:rFonts w:asciiTheme="minorEastAsia" w:hAnsiTheme="minorEastAsia" w:cstheme="minorEastAsia"/>
          <w:color w:val="000000" w:themeColor="text1"/>
          <w:sz w:val="24"/>
          <w14:textFill>
            <w14:solidFill>
              <w14:schemeClr w14:val="tx1"/>
            </w14:solidFill>
          </w14:textFill>
        </w:rPr>
        <w:t>本合同</w:t>
      </w:r>
      <w:r>
        <w:rPr>
          <w:rFonts w:hint="eastAsia" w:asciiTheme="minorEastAsia" w:hAnsiTheme="minorEastAsia" w:cstheme="minorEastAsia"/>
          <w:color w:val="000000" w:themeColor="text1"/>
          <w:sz w:val="24"/>
          <w14:textFill>
            <w14:solidFill>
              <w14:schemeClr w14:val="tx1"/>
            </w14:solidFill>
          </w14:textFill>
        </w:rPr>
        <w:t>与</w:t>
      </w:r>
      <w:r>
        <w:rPr>
          <w:rFonts w:asciiTheme="minorEastAsia" w:hAnsiTheme="minorEastAsia" w:cstheme="minorEastAsia"/>
          <w:color w:val="000000" w:themeColor="text1"/>
          <w:sz w:val="24"/>
          <w14:textFill>
            <w14:solidFill>
              <w14:schemeClr w14:val="tx1"/>
            </w14:solidFill>
          </w14:textFill>
        </w:rPr>
        <w:t>主合同同时签订。</w:t>
      </w:r>
    </w:p>
    <w:p>
      <w:pPr>
        <w:pStyle w:val="4"/>
        <w:ind w:firstLine="723"/>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spacing w:line="360" w:lineRule="auto"/>
        <w:ind w:left="6564" w:leftChars="200" w:hanging="6144" w:hangingChars="2550"/>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委托人（盖章）：</w:t>
      </w:r>
      <w:r>
        <w:rPr>
          <w:rFonts w:asciiTheme="minorEastAsia" w:hAnsiTheme="minorEastAsia"/>
          <w:b/>
          <w:bCs/>
          <w:color w:val="000000" w:themeColor="text1"/>
          <w:sz w:val="24"/>
          <w14:textFill>
            <w14:solidFill>
              <w14:schemeClr w14:val="tx1"/>
            </w14:solidFill>
          </w14:textFill>
        </w:rPr>
        <w:t xml:space="preserve">                         </w:t>
      </w:r>
      <w:r>
        <w:rPr>
          <w:rFonts w:hint="eastAsia" w:asciiTheme="minorEastAsia" w:hAnsiTheme="minorEastAsia"/>
          <w:b/>
          <w:bCs/>
          <w:color w:val="000000" w:themeColor="text1"/>
          <w:sz w:val="24"/>
          <w14:textFill>
            <w14:solidFill>
              <w14:schemeClr w14:val="tx1"/>
            </w14:solidFill>
          </w14:textFill>
        </w:rPr>
        <w:t>咨询人（盖章）：</w:t>
      </w:r>
    </w:p>
    <w:p>
      <w:pPr>
        <w:jc w:val="center"/>
        <w:rPr>
          <w:color w:val="000000" w:themeColor="text1"/>
          <w14:textFill>
            <w14:solidFill>
              <w14:schemeClr w14:val="tx1"/>
            </w14:solidFill>
          </w14:textFill>
        </w:rPr>
      </w:pPr>
    </w:p>
    <w:p>
      <w:pPr>
        <w:widowControl/>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法定代表人：</w:t>
      </w:r>
      <w:r>
        <w:rPr>
          <w:rFonts w:asciiTheme="minorEastAsia" w:hAnsiTheme="minorEastAsia" w:cstheme="minorEastAsia"/>
          <w:color w:val="000000" w:themeColor="text1"/>
          <w:sz w:val="24"/>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 xml:space="preserve"> </w:t>
      </w:r>
      <w:r>
        <w:rPr>
          <w:rFonts w:asciiTheme="minorEastAsia" w:hAnsiTheme="minorEastAsia" w:cstheme="minorEastAsia"/>
          <w:color w:val="000000" w:themeColor="text1"/>
          <w:sz w:val="24"/>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法定代表人：</w:t>
      </w:r>
    </w:p>
    <w:p>
      <w:pPr>
        <w:widowControl/>
        <w:snapToGrid w:val="0"/>
        <w:spacing w:line="360" w:lineRule="auto"/>
        <w:ind w:firstLine="480"/>
        <w:rPr>
          <w:rFonts w:asciiTheme="minorEastAsia" w:hAnsiTheme="minorEastAsia" w:cstheme="minorEastAsia"/>
          <w:color w:val="000000" w:themeColor="text1"/>
          <w:sz w:val="24"/>
          <w14:textFill>
            <w14:solidFill>
              <w14:schemeClr w14:val="tx1"/>
            </w14:solidFill>
          </w14:textFill>
        </w:rPr>
      </w:pPr>
    </w:p>
    <w:p>
      <w:pPr>
        <w:widowControl/>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或委托代理人：                        或委托代理人：</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ind w:firstLine="720"/>
        <w:jc w:val="center"/>
        <w:rPr>
          <w:rFonts w:asciiTheme="minorEastAsia" w:hAnsiTheme="minorEastAsia"/>
          <w:color w:val="000000" w:themeColor="text1"/>
          <w:sz w:val="36"/>
          <w:szCs w:val="36"/>
          <w14:textFill>
            <w14:solidFill>
              <w14:schemeClr w14:val="tx1"/>
            </w14:solidFill>
          </w14:textFill>
        </w:rPr>
      </w:pPr>
      <w:r>
        <w:rPr>
          <w:rFonts w:hint="eastAsia" w:asciiTheme="minorEastAsia" w:hAnsiTheme="minorEastAsia"/>
          <w:color w:val="000000" w:themeColor="text1"/>
          <w:sz w:val="36"/>
          <w:szCs w:val="36"/>
          <w14:textFill>
            <w14:solidFill>
              <w14:schemeClr w14:val="tx1"/>
            </w14:solidFill>
          </w14:textFill>
        </w:rPr>
        <w:t>质量标准</w:t>
      </w:r>
    </w:p>
    <w:p>
      <w:pPr>
        <w:widowControl/>
        <w:jc w:val="left"/>
        <w:rPr>
          <w:rFonts w:asciiTheme="minorEastAsia" w:hAnsiTheme="minorEastAsia"/>
          <w:color w:val="000000" w:themeColor="text1"/>
          <w:szCs w:val="21"/>
          <w14:textFill>
            <w14:solidFill>
              <w14:schemeClr w14:val="tx1"/>
            </w14:solidFill>
          </w14:textFill>
        </w:rPr>
      </w:pP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全过程工程咨询服务管理标准T/CCIAT0024-2020</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《建设项目施工图预算编审规程》CECA／GC 5—2010</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《建设工程造价鉴定规程》CECA/GC 8-2012</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《建设项目投资估算编审规程》CECA/GC 1-2015</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《建设项目投资估算编审规程》CECA/GC 1-2015</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《建设项目设计概算编审规程》CECA/GC 2-2015</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《建设项目全过程造价咨询规程》（CECA/GC 4-2009）实施手册2021-12-11</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《建设项目工程结算编审规程》CECA/GC3-2007</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《建设工程招标控制价编审规程》CECA/GC6-2011</w:t>
      </w:r>
    </w:p>
    <w:p>
      <w:pPr>
        <w:widowControl/>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建设项目设计概算编审规程CECA／GC 2—2007</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《建设项目施工图预算编审规程》CECA／GC 5—2010</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《建设项目投资估算编审规程》CECA/GC 1-2015</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《建设项目设计概算编审规程》CECA/GC 2-2015</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《建设项目工程结算编审规程》CECA/</w:t>
      </w:r>
      <w:r>
        <w:rPr>
          <w:color w:val="000000" w:themeColor="text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3-2010</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《建设工程招标控制价编审规程》CECA/GC6-2011</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《建设工程造价咨询成果文件质量标准》CECA/GC7-2012</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建设项目投资估算编审规程CECA/GC1-2007</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建设项目设计概算编审规程CECA／GC 2—2007</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全过程工程咨询服务管理标准T/CCIAT0024-2020</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《建设项目施工图预算编审规程》CECA／GC 5—2010</w:t>
      </w:r>
    </w:p>
    <w:p>
      <w:pPr>
        <w:wordWrap w:val="0"/>
        <w:ind w:right="144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《建设项目全过程造价咨询规程》（CECA/GC 4-2009）实施手册《建设项目工程结算编审规程》CECA/GC3-20072021-12-11</w:t>
      </w:r>
    </w:p>
    <w:p>
      <w:pPr>
        <w:widowControl/>
        <w:ind w:firstLine="720"/>
        <w:jc w:val="left"/>
        <w:rPr>
          <w:rFonts w:ascii="宋体" w:hAnsi="宋体"/>
          <w:color w:val="000000" w:themeColor="text1"/>
          <w:szCs w:val="21"/>
          <w:highlight w:val="none"/>
          <w14:textFill>
            <w14:solidFill>
              <w14:schemeClr w14:val="tx1"/>
            </w14:solidFill>
          </w14:textFill>
        </w:rPr>
      </w:pPr>
      <w:r>
        <w:rPr>
          <w:color w:val="000000" w:themeColor="text1"/>
          <w:sz w:val="36"/>
          <w:szCs w:val="36"/>
          <w14:textFill>
            <w14:solidFill>
              <w14:schemeClr w14:val="tx1"/>
            </w14:solidFill>
          </w14:textFill>
        </w:rPr>
        <w:br w:type="page"/>
      </w:r>
    </w:p>
    <w:p>
      <w:pPr>
        <w:rPr>
          <w:rFonts w:ascii="宋体" w:hAnsi="宋体"/>
          <w:color w:val="000000" w:themeColor="text1"/>
          <w:highlight w:val="none"/>
          <w14:textFill>
            <w14:solidFill>
              <w14:schemeClr w14:val="tx1"/>
            </w14:solidFill>
          </w14:textFill>
        </w:rPr>
      </w:pPr>
    </w:p>
    <w:p>
      <w:pPr>
        <w:widowControl/>
        <w:jc w:val="left"/>
        <w:rPr>
          <w:rFonts w:ascii="宋体" w:hAnsi="宋体"/>
          <w:color w:val="000000" w:themeColor="text1"/>
          <w:szCs w:val="22"/>
          <w:highlight w:val="none"/>
          <w14:textFill>
            <w14:solidFill>
              <w14:schemeClr w14:val="tx1"/>
            </w14:solidFill>
          </w14:textFill>
        </w:rPr>
      </w:pPr>
    </w:p>
    <w:p>
      <w:pPr>
        <w:pStyle w:val="2"/>
        <w:numPr>
          <w:ilvl w:val="0"/>
          <w:numId w:val="1"/>
        </w:num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发包人要求</w:t>
      </w:r>
      <w:bookmarkEnd w:id="668"/>
      <w:bookmarkEnd w:id="669"/>
      <w:bookmarkEnd w:id="670"/>
    </w:p>
    <w:p>
      <w:pPr>
        <w:jc w:val="center"/>
        <w:rPr>
          <w:rFonts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按现行技术标准和规范执行，</w:t>
      </w:r>
      <w:r>
        <w:rPr>
          <w:rFonts w:hint="eastAsia" w:ascii="宋体" w:hAnsi="宋体"/>
          <w:color w:val="000000" w:themeColor="text1"/>
          <w:szCs w:val="21"/>
          <w:highlight w:val="none"/>
          <w14:textFill>
            <w14:solidFill>
              <w14:schemeClr w14:val="tx1"/>
            </w14:solidFill>
          </w14:textFill>
        </w:rPr>
        <w:t>达到国家现行有关服务质量及技术的要求。</w:t>
      </w: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bookmarkEnd w:id="671"/>
    <w:bookmarkEnd w:id="672"/>
    <w:p>
      <w:pPr>
        <w:spacing w:line="360" w:lineRule="auto"/>
        <w:ind w:firstLine="1050" w:firstLineChars="500"/>
        <w:rPr>
          <w:rFonts w:ascii="宋体" w:hAnsi="宋体" w:cs="宋体"/>
          <w:color w:val="000000" w:themeColor="text1"/>
          <w:highlight w:val="none"/>
          <w14:textFill>
            <w14:solidFill>
              <w14:schemeClr w14:val="tx1"/>
            </w14:solidFill>
          </w14:textFill>
        </w:rPr>
      </w:pPr>
      <w:bookmarkStart w:id="765" w:name="_Toc534185829"/>
      <w:bookmarkStart w:id="766" w:name="_Toc5129"/>
      <w:bookmarkStart w:id="767" w:name="_Toc509218852"/>
      <w:bookmarkStart w:id="768" w:name="_Toc430530528"/>
      <w:bookmarkStart w:id="769" w:name="_Toc14772"/>
      <w:bookmarkStart w:id="770" w:name="_Toc287607865"/>
      <w:bookmarkStart w:id="771" w:name="_Toc287620812"/>
    </w:p>
    <w:p>
      <w:pPr>
        <w:pStyle w:val="2"/>
        <w:spacing w:line="360" w:lineRule="auto"/>
        <w:ind w:firstLine="2209"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竞选文件格式</w:t>
      </w:r>
      <w:bookmarkEnd w:id="765"/>
      <w:bookmarkEnd w:id="766"/>
      <w:bookmarkEnd w:id="767"/>
      <w:bookmarkEnd w:id="768"/>
      <w:bookmarkEnd w:id="769"/>
      <w:bookmarkEnd w:id="770"/>
      <w:bookmarkEnd w:id="771"/>
    </w:p>
    <w:p>
      <w:pPr>
        <w:spacing w:line="360" w:lineRule="auto"/>
        <w:rPr>
          <w:rFonts w:ascii="宋体" w:hAnsi="宋体" w:cs="宋体"/>
          <w:color w:val="000000" w:themeColor="text1"/>
          <w:sz w:val="32"/>
          <w:szCs w:val="32"/>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pStyle w:val="19"/>
        <w:rPr>
          <w:rFonts w:ascii="宋体" w:hAnsi="宋体" w:cs="宋体"/>
          <w:color w:val="000000" w:themeColor="text1"/>
          <w:sz w:val="36"/>
          <w:szCs w:val="36"/>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pStyle w:val="8"/>
        <w:rPr>
          <w:rFonts w:ascii="宋体" w:hAnsi="宋体" w:cs="宋体"/>
          <w:color w:val="000000" w:themeColor="text1"/>
          <w:sz w:val="36"/>
          <w:szCs w:val="36"/>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spacing w:line="360" w:lineRule="auto"/>
        <w:jc w:val="center"/>
        <w:outlineLvl w:val="1"/>
        <w:rPr>
          <w:rFonts w:ascii="宋体" w:hAnsi="宋体" w:cs="宋体"/>
          <w:color w:val="000000" w:themeColor="text1"/>
          <w:sz w:val="36"/>
          <w:szCs w:val="36"/>
          <w:highlight w:val="none"/>
          <w14:textFill>
            <w14:solidFill>
              <w14:schemeClr w14:val="tx1"/>
            </w14:solidFill>
          </w14:textFill>
        </w:rPr>
      </w:pPr>
    </w:p>
    <w:p>
      <w:pPr>
        <w:spacing w:line="360" w:lineRule="auto"/>
        <w:jc w:val="center"/>
        <w:outlineLvl w:val="1"/>
        <w:rPr>
          <w:rFonts w:ascii="宋体" w:hAnsi="宋体" w:cs="宋体"/>
          <w:color w:val="000000" w:themeColor="text1"/>
          <w:sz w:val="36"/>
          <w:szCs w:val="36"/>
          <w:highlight w:val="none"/>
          <w14:textFill>
            <w14:solidFill>
              <w14:schemeClr w14:val="tx1"/>
            </w14:solidFill>
          </w14:textFill>
        </w:rPr>
      </w:pPr>
    </w:p>
    <w:p>
      <w:pPr>
        <w:spacing w:line="360" w:lineRule="auto"/>
        <w:jc w:val="center"/>
        <w:outlineLvl w:val="1"/>
        <w:rPr>
          <w:rFonts w:ascii="宋体" w:hAnsi="宋体" w:cs="宋体"/>
          <w:color w:val="000000" w:themeColor="text1"/>
          <w:sz w:val="36"/>
          <w:szCs w:val="36"/>
          <w:highlight w:val="none"/>
          <w14:textFill>
            <w14:solidFill>
              <w14:schemeClr w14:val="tx1"/>
            </w14:solidFill>
          </w14:textFill>
        </w:rPr>
        <w:sectPr>
          <w:headerReference r:id="rId4" w:type="default"/>
          <w:footerReference r:id="rId5" w:type="default"/>
          <w:pgSz w:w="11905" w:h="16838"/>
          <w:pgMar w:top="1134" w:right="1134" w:bottom="1134" w:left="1134" w:header="0" w:footer="0" w:gutter="0"/>
          <w:cols w:space="0" w:num="1"/>
          <w:docGrid w:type="lines" w:linePitch="317" w:charSpace="0"/>
        </w:sectPr>
      </w:pPr>
    </w:p>
    <w:p>
      <w:pPr>
        <w:spacing w:line="360" w:lineRule="auto"/>
        <w:jc w:val="center"/>
        <w:outlineLvl w:val="1"/>
        <w:rPr>
          <w:rFonts w:ascii="宋体" w:hAnsi="宋体" w:cs="宋体"/>
          <w:color w:val="000000" w:themeColor="text1"/>
          <w:sz w:val="36"/>
          <w:szCs w:val="36"/>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pict>
          <v:rect id="_x0000_s1026" o:spid="_x0000_s1026" o:spt="1" style="position:absolute;left:0pt;margin-left:186.25pt;margin-top:666.6pt;height:54.6pt;width:63.6pt;z-index:251659264;mso-width-relative:page;mso-height-relative:page;"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path/>
            <v:fill focussize="0,0"/>
            <v:stroke on="f"/>
            <v:imagedata o:title=""/>
            <o:lock v:ext="edit"/>
            <v:textbox>
              <w:txbxContent>
                <w:p/>
              </w:txbxContent>
            </v:textbox>
          </v:rect>
        </w:pict>
      </w:r>
      <w:bookmarkStart w:id="772" w:name="_Toc224103493"/>
      <w:r>
        <w:rPr>
          <w:rFonts w:hint="eastAsia" w:ascii="宋体" w:hAnsi="宋体" w:cs="宋体"/>
          <w:color w:val="000000" w:themeColor="text1"/>
          <w:sz w:val="36"/>
          <w:szCs w:val="36"/>
          <w:highlight w:val="none"/>
          <w14:textFill>
            <w14:solidFill>
              <w14:schemeClr w14:val="tx1"/>
            </w14:solidFill>
          </w14:textFill>
        </w:rPr>
        <w:t>目  录</w:t>
      </w:r>
      <w:bookmarkEnd w:id="772"/>
    </w:p>
    <w:p>
      <w:pPr>
        <w:pStyle w:val="8"/>
        <w:rPr>
          <w:rFonts w:ascii="宋体" w:hAnsi="宋体"/>
          <w:color w:val="000000" w:themeColor="text1"/>
          <w:highlight w:val="none"/>
          <w14:textFill>
            <w14:solidFill>
              <w14:schemeClr w14:val="tx1"/>
            </w14:solidFill>
          </w14:textFill>
        </w:rPr>
      </w:pPr>
    </w:p>
    <w:p>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竞选</w:t>
      </w:r>
      <w:r>
        <w:rPr>
          <w:rFonts w:ascii="宋体" w:hAnsi="宋体"/>
          <w:color w:val="000000" w:themeColor="text1"/>
          <w:highlight w:val="none"/>
          <w14:textFill>
            <w14:solidFill>
              <w14:schemeClr w14:val="tx1"/>
            </w14:solidFill>
          </w14:textFill>
        </w:rPr>
        <w:t>函</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服务方案</w:t>
      </w:r>
    </w:p>
    <w:p>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（三）项目管理机构</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（四）近年财务状况表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）其他资料</w:t>
      </w:r>
    </w:p>
    <w:p>
      <w:pPr>
        <w:spacing w:line="360" w:lineRule="auto"/>
        <w:rPr>
          <w:rFonts w:ascii="宋体" w:hAnsi="宋体" w:cs="宋体"/>
          <w:b/>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kern w:val="0"/>
          <w:sz w:val="24"/>
          <w:highlight w:val="none"/>
          <w14:textFill>
            <w14:solidFill>
              <w14:schemeClr w14:val="tx1"/>
            </w14:solidFill>
          </w14:textFill>
        </w:rPr>
      </w:pPr>
      <w:bookmarkStart w:id="773" w:name="_Toc15801"/>
      <w:bookmarkStart w:id="774" w:name="_Toc6306"/>
      <w:bookmarkStart w:id="775" w:name="_Toc534185830"/>
      <w:bookmarkStart w:id="776" w:name="_Toc509218853"/>
      <w:bookmarkStart w:id="777" w:name="_Toc27983320"/>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bookmarkEnd w:id="773"/>
    <w:bookmarkEnd w:id="774"/>
    <w:bookmarkEnd w:id="775"/>
    <w:bookmarkEnd w:id="776"/>
    <w:bookmarkEnd w:id="777"/>
    <w:p>
      <w:pPr>
        <w:spacing w:line="360" w:lineRule="auto"/>
        <w:jc w:val="center"/>
        <w:rPr>
          <w:rFonts w:ascii="宋体" w:hAnsi="宋体" w:cs="宋体"/>
          <w:color w:val="000000" w:themeColor="text1"/>
          <w:sz w:val="44"/>
          <w:szCs w:val="44"/>
          <w:highlight w:val="none"/>
          <w14:textFill>
            <w14:solidFill>
              <w14:schemeClr w14:val="tx1"/>
            </w14:solidFill>
          </w14:textFill>
        </w:rPr>
      </w:pPr>
      <w:bookmarkStart w:id="778" w:name="_Toc430530536"/>
      <w:bookmarkStart w:id="779" w:name="_Toc3391"/>
      <w:bookmarkStart w:id="780" w:name="_Toc15678"/>
      <w:bookmarkStart w:id="781" w:name="_Toc28457"/>
      <w:bookmarkStart w:id="782" w:name="_Toc224103502"/>
      <w:bookmarkStart w:id="783" w:name="_Toc287607874"/>
      <w:bookmarkStart w:id="784" w:name="_Toc287620821"/>
    </w:p>
    <w:p>
      <w:pPr>
        <w:spacing w:line="480" w:lineRule="auto"/>
        <w:ind w:right="-152"/>
        <w:jc w:val="center"/>
        <w:rPr>
          <w:rFonts w:ascii="宋体" w:hAnsi="宋体" w:cs="宋体"/>
          <w:b/>
          <w:color w:val="000000" w:themeColor="text1"/>
          <w:sz w:val="52"/>
          <w:szCs w:val="72"/>
          <w:highlight w:val="none"/>
          <w14:textFill>
            <w14:solidFill>
              <w14:schemeClr w14:val="tx1"/>
            </w14:solidFill>
          </w14:textFill>
        </w:rPr>
      </w:pPr>
    </w:p>
    <w:bookmarkEnd w:id="673"/>
    <w:bookmarkEnd w:id="674"/>
    <w:bookmarkEnd w:id="675"/>
    <w:bookmarkEnd w:id="778"/>
    <w:bookmarkEnd w:id="779"/>
    <w:bookmarkEnd w:id="780"/>
    <w:bookmarkEnd w:id="781"/>
    <w:bookmarkEnd w:id="782"/>
    <w:bookmarkEnd w:id="783"/>
    <w:bookmarkEnd w:id="784"/>
    <w:p>
      <w:pPr>
        <w:jc w:val="center"/>
        <w:outlineLvl w:val="1"/>
        <w:rPr>
          <w:rFonts w:ascii="宋体" w:hAnsi="宋体"/>
          <w:b/>
          <w:color w:val="000000" w:themeColor="text1"/>
          <w:sz w:val="44"/>
          <w:szCs w:val="44"/>
          <w:highlight w:val="none"/>
          <w14:textFill>
            <w14:solidFill>
              <w14:schemeClr w14:val="tx1"/>
            </w14:solidFill>
          </w14:textFill>
        </w:rPr>
      </w:pPr>
      <w:bookmarkStart w:id="785" w:name="_Toc27983321"/>
    </w:p>
    <w:p>
      <w:pPr>
        <w:jc w:val="center"/>
        <w:outlineLvl w:val="1"/>
        <w:rPr>
          <w:rFonts w:ascii="宋体" w:hAnsi="宋体"/>
          <w:b/>
          <w:color w:val="000000" w:themeColor="text1"/>
          <w:sz w:val="44"/>
          <w:szCs w:val="44"/>
          <w:highlight w:val="none"/>
          <w14:textFill>
            <w14:solidFill>
              <w14:schemeClr w14:val="tx1"/>
            </w14:solidFill>
          </w14:textFill>
        </w:rPr>
      </w:pPr>
    </w:p>
    <w:p>
      <w:pPr>
        <w:jc w:val="center"/>
        <w:outlineLvl w:val="1"/>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一、竞选函部分</w:t>
      </w:r>
      <w:bookmarkEnd w:id="785"/>
    </w:p>
    <w:p>
      <w:pPr>
        <w:pStyle w:val="8"/>
        <w:rPr>
          <w:rFonts w:ascii="宋体" w:hAnsi="宋体"/>
          <w:color w:val="000000" w:themeColor="text1"/>
          <w:highlight w:val="none"/>
          <w14:textFill>
            <w14:solidFill>
              <w14:schemeClr w14:val="tx1"/>
            </w14:solidFill>
          </w14:textFill>
        </w:rPr>
      </w:pPr>
    </w:p>
    <w:p>
      <w:pPr>
        <w:spacing w:line="480" w:lineRule="auto"/>
        <w:ind w:right="-152"/>
        <w:jc w:val="center"/>
        <w:rPr>
          <w:rFonts w:ascii="宋体" w:hAnsi="宋体" w:cs="宋体"/>
          <w:b/>
          <w:color w:val="000000" w:themeColor="text1"/>
          <w:sz w:val="52"/>
          <w:szCs w:val="72"/>
          <w:highlight w:val="none"/>
          <w14:textFill>
            <w14:solidFill>
              <w14:schemeClr w14:val="tx1"/>
            </w14:solidFill>
          </w14:textFill>
        </w:rPr>
      </w:pPr>
      <w:r>
        <w:rPr>
          <w:rFonts w:ascii="宋体" w:hAnsi="宋体" w:cs="宋体"/>
          <w:b/>
          <w:color w:val="000000" w:themeColor="text1"/>
          <w:sz w:val="52"/>
          <w:szCs w:val="72"/>
          <w:highlight w:val="none"/>
          <w14:textFill>
            <w14:solidFill>
              <w14:schemeClr w14:val="tx1"/>
            </w14:solidFill>
          </w14:textFill>
        </w:rPr>
        <w:br w:type="page"/>
      </w:r>
    </w:p>
    <w:p>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竞选函部分</w:t>
      </w: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pPr>
        <w:autoSpaceDE w:val="0"/>
        <w:autoSpaceDN w:val="0"/>
        <w:adjustRightInd w:val="0"/>
        <w:snapToGrid w:val="0"/>
        <w:spacing w:line="360" w:lineRule="auto"/>
        <w:ind w:firstLine="554"/>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14:textFill>
            <w14:solidFill>
              <w14:schemeClr w14:val="tx1"/>
            </w14:solidFill>
          </w14:textFill>
        </w:rPr>
      </w:pP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14:textFill>
            <w14:solidFill>
              <w14:schemeClr w14:val="tx1"/>
            </w14:solidFill>
          </w14:textFill>
        </w:rPr>
      </w:pP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函</w:t>
      </w:r>
    </w:p>
    <w:p>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二</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pPr>
        <w:autoSpaceDE w:val="0"/>
        <w:autoSpaceDN w:val="0"/>
        <w:adjustRightInd w:val="0"/>
        <w:snapToGrid w:val="0"/>
        <w:spacing w:line="360" w:lineRule="auto"/>
        <w:ind w:firstLine="554"/>
        <w:rPr>
          <w:rFonts w:ascii="宋体" w:hAnsi="宋体"/>
          <w:color w:val="000000" w:themeColor="text1"/>
          <w:kern w:val="0"/>
          <w:sz w:val="24"/>
          <w:szCs w:val="21"/>
          <w:highlight w:val="none"/>
          <w14:textFill>
            <w14:solidFill>
              <w14:schemeClr w14:val="tx1"/>
            </w14:solidFill>
          </w14:textFill>
        </w:rPr>
      </w:pPr>
      <w:r>
        <w:rPr>
          <w:rFonts w:ascii="宋体" w:hAnsi="宋体"/>
          <w:color w:val="000000" w:themeColor="text1"/>
          <w:kern w:val="0"/>
          <w:sz w:val="24"/>
          <w:szCs w:val="21"/>
          <w:highlight w:val="none"/>
          <w14:textFill>
            <w14:solidFill>
              <w14:schemeClr w14:val="tx1"/>
            </w14:solidFill>
          </w14:textFill>
        </w:rPr>
        <w:br w:type="page"/>
      </w:r>
    </w:p>
    <w:p>
      <w:pPr>
        <w:autoSpaceDE w:val="0"/>
        <w:autoSpaceDN w:val="0"/>
        <w:adjustRightInd w:val="0"/>
        <w:snapToGrid w:val="0"/>
        <w:spacing w:line="480" w:lineRule="auto"/>
        <w:jc w:val="center"/>
        <w:rPr>
          <w:rFonts w:ascii="宋体" w:hAnsi="宋体" w:cs="宋体"/>
          <w:b/>
          <w:color w:val="000000" w:themeColor="text1"/>
          <w:w w:val="99"/>
          <w:kern w:val="0"/>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竞选函</w:t>
      </w:r>
    </w:p>
    <w:p>
      <w:pPr>
        <w:tabs>
          <w:tab w:val="left" w:pos="2640"/>
        </w:tabs>
        <w:autoSpaceDE w:val="0"/>
        <w:autoSpaceDN w:val="0"/>
        <w:adjustRightIn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（比选人名称）：</w:t>
      </w:r>
    </w:p>
    <w:p>
      <w:pPr>
        <w:tabs>
          <w:tab w:val="left" w:pos="3495"/>
          <w:tab w:val="left" w:pos="4920"/>
          <w:tab w:val="left" w:pos="5715"/>
          <w:tab w:val="left" w:pos="6945"/>
          <w:tab w:val="left" w:pos="798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我方已仔细研究了（项目名称）比选文件的全部内容，</w:t>
      </w:r>
      <w:r>
        <w:rPr>
          <w:rFonts w:hint="eastAsia" w:ascii="宋体" w:hAnsi="宋体" w:cs="宋体"/>
          <w:color w:val="000000" w:themeColor="text1"/>
          <w:spacing w:val="20"/>
          <w:szCs w:val="21"/>
          <w:highlight w:val="none"/>
          <w14:textFill>
            <w14:solidFill>
              <w14:schemeClr w14:val="tx1"/>
            </w14:solidFill>
          </w14:textFill>
        </w:rPr>
        <w:t>竞选总报价为：</w:t>
      </w:r>
      <w:r>
        <w:rPr>
          <w:rFonts w:hint="eastAsia" w:ascii="宋体" w:hAnsi="宋体"/>
          <w:color w:val="000000" w:themeColor="text1"/>
          <w:szCs w:val="21"/>
          <w:highlight w:val="none"/>
          <w14:textFill>
            <w14:solidFill>
              <w14:schemeClr w14:val="tx1"/>
            </w14:solidFill>
          </w14:textFill>
        </w:rPr>
        <w:t>工程量清单编制及组价</w:t>
      </w:r>
      <w:r>
        <w:rPr>
          <w:rFonts w:hint="eastAsia" w:ascii="宋体" w:hAnsi="宋体"/>
          <w:color w:val="000000" w:themeColor="text1"/>
          <w:szCs w:val="21"/>
          <w:highlight w:val="none"/>
          <w:lang w:val="en-US" w:eastAsia="zh-CN"/>
          <w14:textFill>
            <w14:solidFill>
              <w14:schemeClr w14:val="tx1"/>
            </w14:solidFill>
          </w14:textFill>
        </w:rPr>
        <w:t>固定</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工程量清单编制及组价</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u w:val="single"/>
          <w:lang w:val="en-US" w:eastAsia="zh-CN"/>
          <w14:textFill>
            <w14:solidFill>
              <w14:schemeClr w14:val="tx1"/>
            </w14:solidFill>
          </w14:textFill>
        </w:rPr>
        <w:t xml:space="preserve">    元</w:t>
      </w:r>
      <w:r>
        <w:rPr>
          <w:rFonts w:hint="eastAsia" w:ascii="宋体" w:hAnsi="宋体"/>
          <w:b/>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本项施工阶段工程造价全过程控制（全过程跟踪审计）</w:t>
      </w:r>
      <w:r>
        <w:rPr>
          <w:rFonts w:hint="eastAsia" w:ascii="宋体" w:hAnsi="宋体"/>
          <w:color w:val="000000" w:themeColor="text1"/>
          <w:szCs w:val="21"/>
          <w:highlight w:val="none"/>
          <w:lang w:val="en-US" w:eastAsia="zh-CN"/>
          <w14:textFill>
            <w14:solidFill>
              <w14:schemeClr w14:val="tx1"/>
            </w14:solidFill>
          </w14:textFill>
        </w:rPr>
        <w:t>固定</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工程造价全过程控制（全过程跟踪审计）</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u w:val="single"/>
          <w:lang w:val="en-US" w:eastAsia="zh-CN"/>
          <w14:textFill>
            <w14:solidFill>
              <w14:schemeClr w14:val="tx1"/>
            </w14:solidFill>
          </w14:textFill>
        </w:rPr>
        <w:t xml:space="preserve">    元</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服务期限</w:t>
      </w:r>
      <w:r>
        <w:rPr>
          <w:rFonts w:hint="eastAsia" w:ascii="宋体" w:hAnsi="宋体" w:cs="MingLiU"/>
          <w:snapToGrid w:val="0"/>
          <w:color w:val="000000" w:themeColor="text1"/>
          <w:kern w:val="0"/>
          <w:szCs w:val="21"/>
          <w:highlight w:val="none"/>
          <w:u w:val="single"/>
          <w14:textFill>
            <w14:solidFill>
              <w14:schemeClr w14:val="tx1"/>
            </w14:solidFill>
          </w14:textFill>
        </w:rPr>
        <w:t>满足比选文件要求</w:t>
      </w:r>
      <w:r>
        <w:rPr>
          <w:rFonts w:hint="eastAsia" w:ascii="宋体" w:hAnsi="宋体" w:cs="MingLiU"/>
          <w:snapToGrid w:val="0"/>
          <w:color w:val="000000" w:themeColor="text1"/>
          <w:kern w:val="0"/>
          <w:szCs w:val="21"/>
          <w:highlight w:val="none"/>
          <w14:textFill>
            <w14:solidFill>
              <w14:schemeClr w14:val="tx1"/>
            </w14:solidFill>
          </w14:textFill>
        </w:rPr>
        <w:t>，完成比选文件规定的所有规定任务，质量要求达到比选文件要求。</w:t>
      </w:r>
    </w:p>
    <w:p>
      <w:pPr>
        <w:tabs>
          <w:tab w:val="left" w:pos="2445"/>
          <w:tab w:val="left" w:pos="3520"/>
          <w:tab w:val="left" w:pos="4920"/>
          <w:tab w:val="left" w:pos="6105"/>
          <w:tab w:val="left" w:pos="7980"/>
        </w:tabs>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 本次竞选有效期为90日历天，我方承诺在本次有效期内不修改、撤销竞选文件。</w:t>
      </w:r>
    </w:p>
    <w:p>
      <w:pPr>
        <w:tabs>
          <w:tab w:val="left" w:pos="2730"/>
          <w:tab w:val="left" w:pos="7350"/>
        </w:tabs>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随同本竞选函提交比选保证金一份，金额为人民币（大写）</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元（¥</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）。比选保证金有限期与比选有限期一致，在此期间，若我方违反比选有关法律、法规及本比选文件的相关规定，比选保证金的受益人为比选人。</w:t>
      </w:r>
    </w:p>
    <w:p>
      <w:pPr>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 如我方中选：</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（1）我方承诺在收到中选通知书后，在中选通知书规定的期限内与你方签订合同。</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（2）我方承诺按照比选文件规定向你方递交履约担保（如比选人要求）。</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我方承诺在合同约定的期限内完成并</w:t>
      </w:r>
      <w:r>
        <w:rPr>
          <w:rFonts w:hint="eastAsia" w:ascii="宋体" w:hAnsi="宋体"/>
          <w:snapToGrid w:val="0"/>
          <w:color w:val="000000" w:themeColor="text1"/>
          <w:kern w:val="0"/>
          <w:szCs w:val="21"/>
          <w:highlight w:val="none"/>
          <w14:textFill>
            <w14:solidFill>
              <w14:schemeClr w14:val="tx1"/>
            </w14:solidFill>
          </w14:textFill>
        </w:rPr>
        <w:t>出具成果文件</w:t>
      </w:r>
      <w:r>
        <w:rPr>
          <w:rFonts w:hint="eastAsia" w:ascii="宋体" w:hAnsi="宋体" w:cs="宋体"/>
          <w:snapToGrid w:val="0"/>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 我方</w:t>
      </w:r>
      <w:r>
        <w:rPr>
          <w:rFonts w:hint="eastAsia" w:ascii="宋体" w:hAnsi="宋体" w:cs="宋体"/>
          <w:snapToGrid w:val="0"/>
          <w:color w:val="000000" w:themeColor="text1"/>
          <w:spacing w:val="-2"/>
          <w:kern w:val="0"/>
          <w:szCs w:val="21"/>
          <w:highlight w:val="none"/>
          <w14:textFill>
            <w14:solidFill>
              <w14:schemeClr w14:val="tx1"/>
            </w14:solidFill>
          </w14:textFill>
        </w:rPr>
        <w:t>在此声明，所递交的竞选文件及有关资料内容完整、真实和准确，且不存在第二章“竞选人</w:t>
      </w:r>
      <w:r>
        <w:rPr>
          <w:rFonts w:hint="eastAsia" w:ascii="宋体" w:hAnsi="宋体" w:cs="宋体"/>
          <w:snapToGrid w:val="0"/>
          <w:color w:val="000000" w:themeColor="text1"/>
          <w:kern w:val="0"/>
          <w:szCs w:val="21"/>
          <w:highlight w:val="none"/>
          <w14:textFill>
            <w14:solidFill>
              <w14:schemeClr w14:val="tx1"/>
            </w14:solidFill>
          </w14:textFill>
        </w:rPr>
        <w:t>须知”第 1.4.3 项规定的任何一种情形。同时我方承诺接受比选文件及附件、答疑及补遗通知中所有的内容。</w:t>
      </w:r>
    </w:p>
    <w:p>
      <w:pPr>
        <w:tabs>
          <w:tab w:val="left" w:pos="5985"/>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6.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  选 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（盖单位法人章） </w:t>
      </w:r>
    </w:p>
    <w:p>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法定代表人或其委托代理人：（签字或盖章）</w:t>
      </w:r>
    </w:p>
    <w:p>
      <w:pPr>
        <w:tabs>
          <w:tab w:val="left" w:pos="7035"/>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p>
    <w:p>
      <w:pPr>
        <w:tabs>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p>
    <w:p>
      <w:pPr>
        <w:tabs>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    真：</w:t>
      </w:r>
    </w:p>
    <w:p>
      <w:pPr>
        <w:spacing w:line="360" w:lineRule="auto"/>
        <w:jc w:val="right"/>
        <w:rPr>
          <w:rFonts w:ascii="宋体" w:hAnsi="宋体" w:cs="宋体"/>
          <w:snapToGrid w:val="0"/>
          <w:color w:val="000000" w:themeColor="text1"/>
          <w:w w:val="99"/>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年月日</w:t>
      </w:r>
    </w:p>
    <w:p>
      <w:pPr>
        <w:jc w:val="center"/>
        <w:rPr>
          <w:rFonts w:ascii="宋体" w:hAnsi="宋体" w:cs="宋体"/>
          <w:b/>
          <w:snapToGrid w:val="0"/>
          <w:color w:val="000000" w:themeColor="text1"/>
          <w:w w:val="99"/>
          <w:sz w:val="36"/>
          <w:szCs w:val="32"/>
          <w:highlight w:val="none"/>
          <w14:textFill>
            <w14:solidFill>
              <w14:schemeClr w14:val="tx1"/>
            </w14:solidFill>
          </w14:textFill>
        </w:rPr>
      </w:pPr>
    </w:p>
    <w:p>
      <w:pPr>
        <w:spacing w:line="360" w:lineRule="auto"/>
        <w:jc w:val="center"/>
        <w:rPr>
          <w:rFonts w:ascii="宋体" w:hAnsi="宋体" w:cs="宋体"/>
          <w:b/>
          <w:snapToGrid w:val="0"/>
          <w:color w:val="000000" w:themeColor="text1"/>
          <w:w w:val="99"/>
          <w:sz w:val="36"/>
          <w:szCs w:val="32"/>
          <w:highlight w:val="none"/>
          <w14:textFill>
            <w14:solidFill>
              <w14:schemeClr w14:val="tx1"/>
            </w14:solidFill>
          </w14:textFill>
        </w:rPr>
      </w:pPr>
      <w:r>
        <w:rPr>
          <w:rFonts w:hint="eastAsia" w:ascii="宋体" w:hAnsi="宋体" w:cs="宋体"/>
          <w:b/>
          <w:snapToGrid w:val="0"/>
          <w:color w:val="000000" w:themeColor="text1"/>
          <w:w w:val="99"/>
          <w:sz w:val="36"/>
          <w:szCs w:val="32"/>
          <w:highlight w:val="none"/>
          <w14:textFill>
            <w14:solidFill>
              <w14:schemeClr w14:val="tx1"/>
            </w14:solidFill>
          </w14:textFill>
        </w:rPr>
        <w:br w:type="page"/>
      </w:r>
    </w:p>
    <w:p>
      <w:pPr>
        <w:pStyle w:val="4"/>
        <w:jc w:val="center"/>
        <w:rPr>
          <w:rFonts w:ascii="宋体" w:hAnsi="宋体"/>
          <w:b w:val="0"/>
          <w:snapToGrid w:val="0"/>
          <w:color w:val="000000" w:themeColor="text1"/>
          <w:kern w:val="0"/>
          <w:sz w:val="30"/>
          <w:szCs w:val="30"/>
          <w:highlight w:val="none"/>
          <w14:textFill>
            <w14:solidFill>
              <w14:schemeClr w14:val="tx1"/>
            </w14:solidFill>
          </w14:textFill>
        </w:rPr>
      </w:pPr>
      <w:bookmarkStart w:id="786" w:name="_Toc287607869"/>
      <w:bookmarkStart w:id="787" w:name="_Toc287620816"/>
      <w:bookmarkStart w:id="788" w:name="_Toc224103497"/>
      <w:bookmarkStart w:id="789" w:name="_Toc277082645"/>
      <w:bookmarkStart w:id="790" w:name="_Toc8650"/>
      <w:bookmarkStart w:id="791" w:name="_Toc430530532"/>
      <w:bookmarkStart w:id="792" w:name="_Toc57905921"/>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二</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86"/>
      <w:bookmarkEnd w:id="787"/>
      <w:bookmarkEnd w:id="788"/>
      <w:bookmarkEnd w:id="789"/>
      <w:bookmarkEnd w:id="790"/>
      <w:bookmarkEnd w:id="791"/>
      <w:bookmarkEnd w:id="792"/>
    </w:p>
    <w:p>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pPr>
        <w:jc w:val="center"/>
        <w:rPr>
          <w:rFonts w:ascii="宋体" w:hAnsi="宋体"/>
          <w:b/>
          <w:color w:val="000000" w:themeColor="text1"/>
          <w:sz w:val="44"/>
          <w:szCs w:val="44"/>
          <w:highlight w:val="none"/>
          <w14:textFill>
            <w14:solidFill>
              <w14:schemeClr w14:val="tx1"/>
            </w14:solidFill>
          </w14:textFill>
        </w:rPr>
      </w:pPr>
    </w:p>
    <w:p>
      <w:pPr>
        <w:jc w:val="center"/>
        <w:outlineLvl w:val="1"/>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二、</w:t>
      </w:r>
      <w:r>
        <w:rPr>
          <w:rFonts w:hint="eastAsia" w:ascii="宋体" w:hAnsi="宋体"/>
          <w:color w:val="000000" w:themeColor="text1"/>
          <w:sz w:val="44"/>
          <w:szCs w:val="44"/>
          <w:highlight w:val="none"/>
          <w14:textFill>
            <w14:solidFill>
              <w14:schemeClr w14:val="tx1"/>
            </w14:solidFill>
          </w14:textFill>
        </w:rPr>
        <w:t>技术部分</w:t>
      </w: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pPr>
        <w:autoSpaceDE w:val="0"/>
        <w:autoSpaceDN w:val="0"/>
        <w:adjustRightInd w:val="0"/>
        <w:snapToGrid w:val="0"/>
        <w:spacing w:line="360" w:lineRule="auto"/>
        <w:jc w:val="left"/>
        <w:rPr>
          <w:rFonts w:ascii="宋体" w:hAnsi="宋体"/>
          <w:color w:val="000000" w:themeColor="text1"/>
          <w:kern w:val="0"/>
          <w:sz w:val="32"/>
          <w:szCs w:val="32"/>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i/>
          <w:iCs/>
          <w:color w:val="000000" w:themeColor="text1"/>
          <w:kern w:val="0"/>
          <w:szCs w:val="21"/>
          <w:highlight w:val="none"/>
          <w14:textFill>
            <w14:solidFill>
              <w14:schemeClr w14:val="tx1"/>
            </w14:solidFill>
          </w14:textFill>
        </w:rPr>
      </w:pPr>
      <w:r>
        <w:rPr>
          <w:rFonts w:ascii="宋体" w:hAnsi="宋体"/>
          <w:i/>
          <w:iCs/>
          <w:color w:val="000000" w:themeColor="text1"/>
          <w:kern w:val="0"/>
          <w:szCs w:val="21"/>
          <w:highlight w:val="none"/>
          <w14:textFill>
            <w14:solidFill>
              <w14:schemeClr w14:val="tx1"/>
            </w14:solidFill>
          </w14:textFill>
        </w:rPr>
        <w:t>[</w:t>
      </w:r>
      <w:r>
        <w:rPr>
          <w:rFonts w:hint="eastAsia" w:ascii="宋体" w:hAnsi="宋体"/>
          <w:i/>
          <w:iCs/>
          <w:color w:val="000000" w:themeColor="text1"/>
          <w:kern w:val="0"/>
          <w:szCs w:val="21"/>
          <w:highlight w:val="none"/>
          <w14:textFill>
            <w14:solidFill>
              <w14:schemeClr w14:val="tx1"/>
            </w14:solidFill>
          </w14:textFill>
        </w:rPr>
        <w:t>提示：</w:t>
      </w:r>
      <w:r>
        <w:rPr>
          <w:rFonts w:ascii="宋体" w:hAnsi="宋体"/>
          <w:i/>
          <w:iCs/>
          <w:color w:val="000000" w:themeColor="text1"/>
          <w:kern w:val="0"/>
          <w:szCs w:val="21"/>
          <w:highlight w:val="none"/>
          <w14:textFill>
            <w14:solidFill>
              <w14:schemeClr w14:val="tx1"/>
            </w14:solidFill>
          </w14:textFill>
        </w:rPr>
        <w:t>目录由</w:t>
      </w:r>
      <w:r>
        <w:rPr>
          <w:rFonts w:hint="eastAsia" w:ascii="宋体" w:hAnsi="宋体"/>
          <w:i/>
          <w:iCs/>
          <w:color w:val="000000" w:themeColor="text1"/>
          <w:kern w:val="0"/>
          <w:szCs w:val="21"/>
          <w:highlight w:val="none"/>
          <w14:textFill>
            <w14:solidFill>
              <w14:schemeClr w14:val="tx1"/>
            </w14:solidFill>
          </w14:textFill>
        </w:rPr>
        <w:t>竞选人</w:t>
      </w:r>
      <w:r>
        <w:rPr>
          <w:rFonts w:ascii="宋体" w:hAnsi="宋体"/>
          <w:i/>
          <w:iCs/>
          <w:color w:val="000000" w:themeColor="text1"/>
          <w:kern w:val="0"/>
          <w:szCs w:val="21"/>
          <w:highlight w:val="none"/>
          <w14:textFill>
            <w14:solidFill>
              <w14:schemeClr w14:val="tx1"/>
            </w14:solidFill>
          </w14:textFill>
        </w:rPr>
        <w:t>自行编制]</w:t>
      </w:r>
    </w:p>
    <w:p>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jc w:val="center"/>
        <w:outlineLvl w:val="1"/>
        <w:rPr>
          <w:rFonts w:ascii="宋体" w:hAnsi="宋体"/>
          <w:b/>
          <w:color w:val="000000" w:themeColor="text1"/>
          <w:sz w:val="44"/>
          <w:szCs w:val="44"/>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pPr>
        <w:jc w:val="center"/>
        <w:outlineLvl w:val="1"/>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三、资格审查部分</w:t>
      </w:r>
    </w:p>
    <w:p>
      <w:pPr>
        <w:spacing w:line="480" w:lineRule="auto"/>
        <w:ind w:right="-152"/>
        <w:jc w:val="center"/>
        <w:rPr>
          <w:rFonts w:ascii="宋体" w:hAnsi="宋体" w:cs="宋体"/>
          <w:b/>
          <w:color w:val="000000" w:themeColor="text1"/>
          <w:sz w:val="52"/>
          <w:szCs w:val="7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djustRightInd w:val="0"/>
        <w:snapToGrid w:val="0"/>
        <w:spacing w:line="264"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年月日</w:t>
      </w:r>
    </w:p>
    <w:p>
      <w:pPr>
        <w:jc w:val="center"/>
        <w:rPr>
          <w:rFonts w:ascii="宋体" w:hAnsi="宋体" w:cs="宋体"/>
          <w:b/>
          <w:color w:val="000000" w:themeColor="text1"/>
          <w:kern w:val="0"/>
          <w:sz w:val="48"/>
          <w:szCs w:val="48"/>
          <w:highlight w:val="none"/>
          <w14:textFill>
            <w14:solidFill>
              <w14:schemeClr w14:val="tx1"/>
            </w14:solidFill>
          </w14:textFill>
        </w:rPr>
      </w:pPr>
    </w:p>
    <w:p>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pPr>
        <w:spacing w:line="360" w:lineRule="auto"/>
        <w:jc w:val="center"/>
        <w:rPr>
          <w:rFonts w:ascii="宋体" w:hAnsi="宋体"/>
          <w:b/>
          <w:color w:val="000000" w:themeColor="text1"/>
          <w:kern w:val="0"/>
          <w:sz w:val="32"/>
          <w:szCs w:val="32"/>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基本情况表</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（三）项目管理机构</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（四）近年财务状况表</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承诺</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（六）其他资料</w:t>
      </w:r>
    </w:p>
    <w:p>
      <w:pPr>
        <w:pStyle w:val="8"/>
        <w:rPr>
          <w:rFonts w:ascii="宋体" w:hAnsi="宋体"/>
          <w:color w:val="000000" w:themeColor="text1"/>
          <w:highlight w:val="none"/>
          <w14:textFill>
            <w14:solidFill>
              <w14:schemeClr w14:val="tx1"/>
            </w14:solidFill>
          </w14:textFill>
        </w:rPr>
      </w:pPr>
    </w:p>
    <w:p>
      <w:pPr>
        <w:pStyle w:val="4"/>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s="宋体"/>
          <w:color w:val="000000" w:themeColor="text1"/>
          <w:sz w:val="44"/>
          <w:highlight w:val="none"/>
          <w14:textFill>
            <w14:solidFill>
              <w14:schemeClr w14:val="tx1"/>
            </w14:solidFill>
          </w14:textFill>
        </w:rPr>
        <w:br w:type="page"/>
      </w:r>
      <w:bookmarkStart w:id="793" w:name="_Toc5633"/>
      <w:bookmarkStart w:id="794" w:name="_Toc57905929"/>
      <w:bookmarkStart w:id="795" w:name="_Toc287607883"/>
      <w:bookmarkStart w:id="796" w:name="_Toc277082657"/>
      <w:bookmarkStart w:id="797" w:name="_Toc430530546"/>
      <w:bookmarkStart w:id="798" w:name="_Toc287620830"/>
      <w:bookmarkStart w:id="799" w:name="_Toc224103511"/>
      <w:r>
        <w:rPr>
          <w:rFonts w:ascii="宋体" w:hAnsi="宋体"/>
          <w:color w:val="000000" w:themeColor="text1"/>
          <w:sz w:val="30"/>
          <w:szCs w:val="30"/>
          <w:highlight w:val="none"/>
          <w14:textFill>
            <w14:solidFill>
              <w14:schemeClr w14:val="tx1"/>
            </w14:solidFill>
          </w14:textFill>
        </w:rPr>
        <w:t>（一）</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93"/>
      <w:bookmarkEnd w:id="794"/>
    </w:p>
    <w:p>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795"/>
      <w:bookmarkEnd w:id="796"/>
      <w:bookmarkEnd w:id="797"/>
      <w:bookmarkEnd w:id="798"/>
      <w:bookmarkEnd w:id="799"/>
      <w:r>
        <w:rPr>
          <w:rFonts w:hint="eastAsia" w:ascii="宋体" w:hAnsi="宋体"/>
          <w:color w:val="000000" w:themeColor="text1"/>
          <w:kern w:val="0"/>
          <w:szCs w:val="21"/>
          <w:highlight w:val="none"/>
          <w14:textFill>
            <w14:solidFill>
              <w14:schemeClr w14:val="tx1"/>
            </w14:solidFill>
          </w14:textFill>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pPr>
        <w:pStyle w:val="4"/>
        <w:spacing w:before="0" w:after="0" w:line="240" w:lineRule="auto"/>
        <w:jc w:val="center"/>
        <w:rPr>
          <w:rFonts w:ascii="宋体" w:hAnsi="宋体"/>
          <w:color w:val="000000" w:themeColor="text1"/>
          <w:highlight w:val="none"/>
          <w14:textFill>
            <w14:solidFill>
              <w14:schemeClr w14:val="tx1"/>
            </w14:solidFill>
          </w14:textFill>
        </w:rPr>
      </w:pPr>
      <w:bookmarkStart w:id="800" w:name="_Toc57905931"/>
      <w:r>
        <w:rPr>
          <w:rFonts w:hint="eastAsia" w:ascii="宋体" w:hAnsi="宋体"/>
          <w:color w:val="000000" w:themeColor="text1"/>
          <w:highlight w:val="none"/>
          <w14:textFill>
            <w14:solidFill>
              <w14:schemeClr w14:val="tx1"/>
            </w14:solidFill>
          </w14:textFill>
        </w:rPr>
        <w:t>（二）竞选人基本情况表</w:t>
      </w:r>
      <w:bookmarkEnd w:id="800"/>
    </w:p>
    <w:tbl>
      <w:tblPr>
        <w:tblStyle w:val="28"/>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竞选人名称</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67" w:type="dxa"/>
            <w:vAlign w:val="center"/>
          </w:tcPr>
          <w:p>
            <w:pPr>
              <w:tabs>
                <w:tab w:val="left" w:pos="5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5"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5"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5616" w:type="dxa"/>
            <w:gridSpan w:val="7"/>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统一社会信用代码</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vAlign w:val="center"/>
          </w:tcPr>
          <w:p>
            <w:pPr>
              <w:tabs>
                <w:tab w:val="left" w:pos="12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pPr>
        <w:spacing w:line="340" w:lineRule="exact"/>
        <w:rPr>
          <w:rFonts w:ascii="宋体" w:hAnsi="宋体"/>
          <w:color w:val="000000" w:themeColor="text1"/>
          <w:szCs w:val="21"/>
          <w:highlight w:val="none"/>
          <w14:textFill>
            <w14:solidFill>
              <w14:schemeClr w14:val="tx1"/>
            </w14:solidFill>
          </w14:textFill>
        </w:rPr>
      </w:pPr>
    </w:p>
    <w:p>
      <w:pPr>
        <w:pStyle w:val="4"/>
        <w:spacing w:before="0" w:after="0"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801" w:name="_Toc509218863"/>
      <w:bookmarkStart w:id="802" w:name="_Toc57905932"/>
      <w:bookmarkStart w:id="803" w:name="_Toc534185840"/>
      <w:r>
        <w:rPr>
          <w:rFonts w:hint="eastAsia" w:ascii="宋体" w:hAnsi="宋体"/>
          <w:color w:val="000000" w:themeColor="text1"/>
          <w:highlight w:val="none"/>
          <w14:textFill>
            <w14:solidFill>
              <w14:schemeClr w14:val="tx1"/>
            </w14:solidFill>
          </w14:textFill>
        </w:rPr>
        <w:t>（三）项目管理机构</w:t>
      </w:r>
      <w:bookmarkEnd w:id="801"/>
      <w:bookmarkEnd w:id="802"/>
      <w:bookmarkEnd w:id="803"/>
    </w:p>
    <w:p>
      <w:pPr>
        <w:spacing w:line="360" w:lineRule="auto"/>
        <w:rPr>
          <w:rFonts w:ascii="宋体" w:hAnsi="宋体"/>
          <w:color w:val="000000" w:themeColor="text1"/>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s="MingLiU"/>
          <w:color w:val="000000" w:themeColor="text1"/>
          <w:kern w:val="0"/>
          <w:sz w:val="28"/>
          <w:szCs w:val="28"/>
          <w:highlight w:val="none"/>
          <w14:textFill>
            <w14:solidFill>
              <w14:schemeClr w14:val="tx1"/>
            </w14:solidFill>
          </w14:textFill>
        </w:rPr>
      </w:pPr>
      <w:r>
        <w:rPr>
          <w:rFonts w:hint="eastAsia" w:ascii="宋体" w:hAnsi="宋体" w:cs="MingLiU"/>
          <w:color w:val="000000" w:themeColor="text1"/>
          <w:kern w:val="0"/>
          <w:sz w:val="28"/>
          <w:szCs w:val="28"/>
          <w:highlight w:val="none"/>
          <w14:textFill>
            <w14:solidFill>
              <w14:schemeClr w14:val="tx1"/>
            </w14:solidFill>
          </w14:textFill>
        </w:rPr>
        <w:t>项目管理机构组成表</w:t>
      </w:r>
    </w:p>
    <w:tbl>
      <w:tblPr>
        <w:tblStyle w:val="28"/>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627"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851"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5887" w:type="dxa"/>
            <w:gridSpan w:val="5"/>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89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627" w:type="dxa"/>
            <w:vMerge w:val="continue"/>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vMerge w:val="continue"/>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77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项目负责人</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土建专业负责人</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安装专业负责人</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bl>
    <w:p>
      <w:pPr>
        <w:spacing w:line="20" w:lineRule="exact"/>
        <w:jc w:val="center"/>
        <w:rPr>
          <w:rFonts w:ascii="宋体" w:hAnsi="宋体"/>
          <w:color w:val="000000" w:themeColor="text1"/>
          <w:szCs w:val="21"/>
          <w:highlight w:val="none"/>
          <w14:textFill>
            <w14:solidFill>
              <w14:schemeClr w14:val="tx1"/>
            </w14:solidFill>
          </w14:textFill>
        </w:rPr>
      </w:pPr>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备注：本表按“第二篇 竞选人须知前附表  1.4.1”规定的“拟派项目人员”要求列明人员信息</w:t>
      </w:r>
    </w:p>
    <w:p>
      <w:pPr>
        <w:autoSpaceDE w:val="0"/>
        <w:autoSpaceDN w:val="0"/>
        <w:adjustRightInd w:val="0"/>
        <w:snapToGrid w:val="0"/>
        <w:spacing w:line="360" w:lineRule="auto"/>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主要人员简历表</w:t>
      </w:r>
    </w:p>
    <w:tbl>
      <w:tblPr>
        <w:tblStyle w:val="28"/>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52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175"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52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pPr>
        <w:spacing w:line="360" w:lineRule="auto"/>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highlight w:val="none"/>
          <w14:textFill>
            <w14:solidFill>
              <w14:schemeClr w14:val="tx1"/>
            </w14:solidFill>
          </w14:textFill>
        </w:rPr>
        <w:t>注：本表格式用于填写</w:t>
      </w:r>
      <w:r>
        <w:rPr>
          <w:rFonts w:hint="eastAsia" w:ascii="宋体" w:hAnsi="宋体"/>
          <w:color w:val="000000" w:themeColor="text1"/>
          <w:szCs w:val="21"/>
          <w:highlight w:val="none"/>
          <w14:textFill>
            <w14:solidFill>
              <w14:schemeClr w14:val="tx1"/>
            </w14:solidFill>
          </w14:textFill>
        </w:rPr>
        <w:t>“第二篇 竞选人须知前附表  1.4.1”规定的“拟派项目人员”详细情况</w:t>
      </w:r>
      <w:r>
        <w:rPr>
          <w:rFonts w:hint="eastAsia" w:ascii="宋体" w:hAnsi="宋体" w:cs="仿宋_GB2312"/>
          <w:color w:val="000000" w:themeColor="text1"/>
          <w:kern w:val="0"/>
          <w:szCs w:val="21"/>
          <w:highlight w:val="none"/>
          <w14:textFill>
            <w14:solidFill>
              <w14:schemeClr w14:val="tx1"/>
            </w14:solidFill>
          </w14:textFill>
        </w:rPr>
        <w:t>，每名人员单独填写一张表格，并按竞选人须知前附表1.4.1条规定提供相关证明资料复印件附在表后。</w:t>
      </w:r>
    </w:p>
    <w:p>
      <w:pPr>
        <w:spacing w:line="360" w:lineRule="auto"/>
        <w:rPr>
          <w:rFonts w:ascii="宋体" w:hAnsi="宋体" w:cs="仿宋_GB2312"/>
          <w:color w:val="000000" w:themeColor="text1"/>
          <w:kern w:val="0"/>
          <w:szCs w:val="21"/>
          <w:highlight w:val="none"/>
          <w14:textFill>
            <w14:solidFill>
              <w14:schemeClr w14:val="tx1"/>
            </w14:solidFill>
          </w14:textFill>
        </w:rPr>
      </w:pPr>
    </w:p>
    <w:p>
      <w:pPr>
        <w:spacing w:line="360" w:lineRule="exact"/>
        <w:ind w:firstLine="8312" w:firstLineChars="2300"/>
        <w:rPr>
          <w:rFonts w:ascii="宋体" w:hAnsi="宋体" w:cs="宋体"/>
          <w:color w:val="000000" w:themeColor="text1"/>
          <w:szCs w:val="21"/>
          <w:highlight w:val="none"/>
          <w:u w:val="single"/>
          <w14:textFill>
            <w14:solidFill>
              <w14:schemeClr w14:val="tx1"/>
            </w14:solidFill>
          </w14:textFill>
        </w:rPr>
      </w:pPr>
      <w:r>
        <w:rPr>
          <w:rFonts w:ascii="宋体" w:hAnsi="宋体"/>
          <w:b/>
          <w:snapToGrid w:val="0"/>
          <w:color w:val="000000" w:themeColor="text1"/>
          <w:kern w:val="0"/>
          <w:sz w:val="36"/>
          <w:szCs w:val="32"/>
          <w:highlight w:val="none"/>
          <w14:textFill>
            <w14:solidFill>
              <w14:schemeClr w14:val="tx1"/>
            </w14:solidFill>
          </w14:textFill>
        </w:rPr>
        <w:br w:type="page"/>
      </w:r>
    </w:p>
    <w:p>
      <w:pPr>
        <w:pStyle w:val="8"/>
        <w:spacing w:after="0" w:line="360" w:lineRule="auto"/>
        <w:jc w:val="center"/>
        <w:rPr>
          <w:rFonts w:ascii="宋体" w:hAnsi="宋体" w:cs="宋体"/>
          <w:b/>
          <w:bCs/>
          <w:color w:val="000000" w:themeColor="text1"/>
          <w:sz w:val="36"/>
          <w:szCs w:val="36"/>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bookmarkStart w:id="804" w:name="_Toc287607888"/>
      <w:bookmarkStart w:id="805" w:name="_Toc430530550"/>
      <w:bookmarkStart w:id="806" w:name="_Toc509218864"/>
      <w:bookmarkStart w:id="807" w:name="_Toc534185841"/>
      <w:bookmarkStart w:id="808" w:name="_Toc287620834"/>
      <w:bookmarkStart w:id="809" w:name="_Toc277082660"/>
      <w:bookmarkStart w:id="810" w:name="_Toc57905933"/>
      <w:r>
        <w:rPr>
          <w:rFonts w:hint="eastAsia" w:ascii="宋体" w:hAnsi="宋体"/>
          <w:b/>
          <w:bCs/>
          <w:color w:val="000000" w:themeColor="text1"/>
          <w:sz w:val="32"/>
          <w:szCs w:val="32"/>
          <w:highlight w:val="none"/>
          <w14:textFill>
            <w14:solidFill>
              <w14:schemeClr w14:val="tx1"/>
            </w14:solidFill>
          </w14:textFill>
        </w:rPr>
        <w:t>（四）近年财务状况</w:t>
      </w:r>
      <w:bookmarkEnd w:id="804"/>
      <w:bookmarkEnd w:id="805"/>
      <w:bookmarkEnd w:id="806"/>
      <w:bookmarkEnd w:id="807"/>
      <w:bookmarkEnd w:id="808"/>
      <w:bookmarkEnd w:id="809"/>
      <w:bookmarkEnd w:id="810"/>
    </w:p>
    <w:p>
      <w:pPr>
        <w:pStyle w:val="8"/>
        <w:spacing w:after="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五</w:t>
      </w:r>
      <w:r>
        <w:rPr>
          <w:rFonts w:hint="eastAsia" w:ascii="宋体" w:hAnsi="宋体" w:cs="宋体"/>
          <w:b/>
          <w:bCs/>
          <w:color w:val="000000" w:themeColor="text1"/>
          <w:sz w:val="36"/>
          <w:szCs w:val="36"/>
          <w:highlight w:val="none"/>
          <w14:textFill>
            <w14:solidFill>
              <w14:schemeClr w14:val="tx1"/>
            </w14:solidFill>
          </w14:textFill>
        </w:rPr>
        <w:t>）承诺</w:t>
      </w:r>
    </w:p>
    <w:p>
      <w:pPr>
        <w:snapToGrid w:val="0"/>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（比选人名称）</w:t>
      </w:r>
      <w:r>
        <w:rPr>
          <w:rFonts w:hint="eastAsia" w:ascii="宋体" w:hAnsi="宋体"/>
          <w:color w:val="000000" w:themeColor="text1"/>
          <w:szCs w:val="21"/>
          <w:highlight w:val="none"/>
          <w14:textFill>
            <w14:solidFill>
              <w14:schemeClr w14:val="tx1"/>
            </w14:solidFill>
          </w14:textFill>
        </w:rPr>
        <w:t>：</w:t>
      </w:r>
    </w:p>
    <w:p>
      <w:pPr>
        <w:snapToGrid w:val="0"/>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（竞选人名称）  </w:t>
      </w:r>
      <w:r>
        <w:rPr>
          <w:rFonts w:hint="eastAsia" w:ascii="宋体" w:hAnsi="宋体"/>
          <w:color w:val="000000" w:themeColor="text1"/>
          <w:szCs w:val="21"/>
          <w:highlight w:val="none"/>
          <w14:textFill>
            <w14:solidFill>
              <w14:schemeClr w14:val="tx1"/>
            </w14:solidFill>
          </w14:textFill>
        </w:rPr>
        <w:t>申请了贵单位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的比选，自愿作出以下承诺：</w:t>
      </w:r>
    </w:p>
    <w:p>
      <w:pPr>
        <w:snapToGrid w:val="0"/>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1、我公司比选截止日比选资格情况不存在下列情形之一：</w:t>
      </w:r>
    </w:p>
    <w:p>
      <w:pPr>
        <w:snapToGrid w:val="0"/>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pPr>
        <w:snapToGrid w:val="0"/>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2、我公司不存在第二章 竞选人须知第 1.4.3 项规定的任何一种情形。</w:t>
      </w:r>
    </w:p>
    <w:p>
      <w:pPr>
        <w:snapToGrid w:val="0"/>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3、我公司的竞选文件符合第四章 合同条款及格式规定，竞选文件中没有贵单位不能接受的条件。</w:t>
      </w:r>
    </w:p>
    <w:p>
      <w:pPr>
        <w:snapToGrid w:val="0"/>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4、我公司的竞选文件符合第二章 竞选人须知第 1.3.1 项的规定。</w:t>
      </w:r>
    </w:p>
    <w:p>
      <w:pPr>
        <w:pStyle w:val="8"/>
        <w:rPr>
          <w:rFonts w:ascii="宋体" w:hAnsi="宋体"/>
          <w:color w:val="000000" w:themeColor="text1"/>
          <w:highlight w:val="none"/>
          <w14:textFill>
            <w14:solidFill>
              <w14:schemeClr w14:val="tx1"/>
            </w14:solidFill>
          </w14:textFill>
        </w:rPr>
      </w:pPr>
    </w:p>
    <w:p>
      <w:pPr>
        <w:tabs>
          <w:tab w:val="left" w:pos="4200"/>
          <w:tab w:val="left" w:pos="462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14:textFill>
            <w14:solidFill>
              <w14:schemeClr w14:val="tx1"/>
            </w14:solidFill>
          </w14:textFill>
        </w:rPr>
      </w:pPr>
    </w:p>
    <w:p>
      <w:pPr>
        <w:tabs>
          <w:tab w:val="left" w:pos="630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或委托代理人</w:t>
      </w:r>
      <w:r>
        <w:rPr>
          <w:rFonts w:ascii="宋体" w:hAnsi="宋体"/>
          <w:color w:val="000000" w:themeColor="text1"/>
          <w:kern w:val="0"/>
          <w:szCs w:val="21"/>
          <w:highlight w:val="none"/>
          <w14:textFill>
            <w14:solidFill>
              <w14:schemeClr w14:val="tx1"/>
            </w14:solidFill>
          </w14:textFill>
        </w:rPr>
        <w:t>：（签字或盖章）</w:t>
      </w:r>
    </w:p>
    <w:p>
      <w:pPr>
        <w:pStyle w:val="8"/>
        <w:spacing w:after="0" w:line="360" w:lineRule="exact"/>
        <w:jc w:val="right"/>
        <w:rPr>
          <w:rFonts w:ascii="宋体" w:hAnsi="宋体"/>
          <w:color w:val="000000" w:themeColor="text1"/>
          <w:kern w:val="0"/>
          <w:szCs w:val="21"/>
          <w:highlight w:val="none"/>
          <w:u w:val="single"/>
          <w14:textFill>
            <w14:solidFill>
              <w14:schemeClr w14:val="tx1"/>
            </w14:solidFill>
          </w14:textFill>
        </w:rPr>
      </w:pPr>
    </w:p>
    <w:p>
      <w:pPr>
        <w:pStyle w:val="8"/>
        <w:spacing w:after="0" w:line="360" w:lineRule="exact"/>
        <w:jc w:val="right"/>
        <w:rPr>
          <w:rFonts w:ascii="宋体" w:hAnsi="宋体" w:cs="宋体"/>
          <w:b/>
          <w:bCs/>
          <w:color w:val="000000" w:themeColor="text1"/>
          <w:sz w:val="36"/>
          <w:szCs w:val="36"/>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w:t>
      </w:r>
      <w:r>
        <w:rPr>
          <w:rFonts w:hint="eastAsia" w:ascii="宋体" w:hAnsi="宋体"/>
          <w:color w:val="000000" w:themeColor="text1"/>
          <w:kern w:val="0"/>
          <w:szCs w:val="21"/>
          <w:highlight w:val="none"/>
          <w:u w:val="single"/>
          <w14:textFill>
            <w14:solidFill>
              <w14:schemeClr w14:val="tx1"/>
            </w14:solidFill>
          </w14:textFill>
        </w:rPr>
        <w:t xml:space="preserve">    日</w:t>
      </w:r>
    </w:p>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8"/>
        <w:rPr>
          <w:rFonts w:ascii="宋体" w:hAnsi="宋体"/>
          <w:color w:val="000000" w:themeColor="text1"/>
          <w:highlight w:val="none"/>
          <w14:textFill>
            <w14:solidFill>
              <w14:schemeClr w14:val="tx1"/>
            </w14:solidFill>
          </w14:textFill>
        </w:rPr>
      </w:pPr>
    </w:p>
    <w:p>
      <w:pPr>
        <w:pStyle w:val="8"/>
        <w:numPr>
          <w:ilvl w:val="0"/>
          <w:numId w:val="2"/>
        </w:numPr>
        <w:spacing w:after="0" w:line="360" w:lineRule="auto"/>
        <w:jc w:val="center"/>
        <w:rPr>
          <w:rFonts w:ascii="宋体" w:hAnsi="宋体"/>
          <w:b/>
          <w:bCs/>
          <w:color w:val="000000" w:themeColor="text1"/>
          <w:sz w:val="32"/>
          <w:szCs w:val="32"/>
          <w:highlight w:val="none"/>
          <w14:textFill>
            <w14:solidFill>
              <w14:schemeClr w14:val="tx1"/>
            </w14:solidFill>
          </w14:textFill>
        </w:rPr>
      </w:pPr>
      <w:bookmarkStart w:id="811" w:name="_Toc57905936"/>
      <w:r>
        <w:rPr>
          <w:rFonts w:hint="eastAsia" w:ascii="宋体" w:hAnsi="宋体"/>
          <w:b/>
          <w:bCs/>
          <w:color w:val="000000" w:themeColor="text1"/>
          <w:sz w:val="32"/>
          <w:szCs w:val="32"/>
          <w:highlight w:val="none"/>
          <w14:textFill>
            <w14:solidFill>
              <w14:schemeClr w14:val="tx1"/>
            </w14:solidFill>
          </w14:textFill>
        </w:rPr>
        <w:t>其他资料</w:t>
      </w:r>
      <w:bookmarkEnd w:id="811"/>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b/>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pict>
          <v:rect id="矩形 111" o:spid="_x0000_s1034" o:spt="1" style="position:absolute;left:0pt;margin-left:142.2pt;margin-top:106.4pt;height:62.4pt;width:168.05pt;mso-position-horizontal-relative:char;mso-position-vertical-relative:line;mso-wrap-style:none;z-index:25166438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path/>
            <v:fill on="f" focussize="0,0"/>
            <v:stroke on="f"/>
            <v:imagedata o:title=""/>
            <o:lock v:ext="edit"/>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服务方案</w:t>
                  </w:r>
                </w:p>
              </w:txbxContent>
            </v:textbox>
          </v:rect>
        </w:pict>
      </w:r>
      <w:r>
        <w:rPr>
          <w:rFonts w:ascii="宋体" w:hAnsi="宋体"/>
          <w:color w:val="000000" w:themeColor="text1"/>
          <w:highlight w:val="none"/>
          <w14:textFill>
            <w14:solidFill>
              <w14:schemeClr w14:val="tx1"/>
            </w14:solidFill>
          </w14:textFill>
        </w:rPr>
        <w:pict>
          <v:rect id="_x0000_s1033" o:spid="_x0000_s1033" o:spt="1" style="position:absolute;left:0pt;margin-left:305.85pt;margin-top:736.45pt;height:15.6pt;width:33.05pt;mso-position-horizontal-relative:char;mso-position-vertical-relative:line;mso-wrap-style:none;rotation:-2883584f;z-index:25166848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path/>
            <v:fill on="f" focussize="0,0"/>
            <v:stroke on="f"/>
            <v:imagedata o:title=""/>
            <o:lock v:ext="edit"/>
            <v:textbox inset="0mm,0mm,0mm,0mm" style="mso-fit-shape-to-text:t;">
              <w:txbxContent>
                <w:p>
                  <w:pPr>
                    <w:rPr>
                      <w:sz w:val="20"/>
                    </w:rPr>
                  </w:pPr>
                  <w:r>
                    <w:rPr>
                      <w:rFonts w:hint="eastAsia" w:ascii="宋体" w:cs="宋体"/>
                      <w:bCs/>
                      <w:color w:val="000000"/>
                      <w:sz w:val="22"/>
                    </w:rPr>
                    <w:t>密封线</w:t>
                  </w:r>
                </w:p>
              </w:txbxContent>
            </v:textbox>
          </v:rect>
        </w:pict>
      </w:r>
      <w:r>
        <w:rPr>
          <w:rFonts w:ascii="宋体" w:hAnsi="宋体"/>
          <w:color w:val="000000" w:themeColor="text1"/>
          <w:highlight w:val="none"/>
          <w14:textFill>
            <w14:solidFill>
              <w14:schemeClr w14:val="tx1"/>
            </w14:solidFill>
          </w14:textFill>
        </w:rPr>
        <w:pict>
          <v:line id="直线 132" o:spid="_x0000_s1032" o:spt="20" style="position:absolute;left:0pt;flip:x y;margin-left:288.9pt;margin-top:533.35pt;height:246.3pt;width:0.25pt;mso-position-horizontal-relative:char;mso-position-vertical-relative:line;z-index:251666432;mso-width-relative:page;mso-height-relative:page;"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path arrowok="t"/>
            <v:fill focussize="0,0"/>
            <v:stroke joinstyle="miter" dashstyle="dash"/>
            <v:imagedata o:title=""/>
            <o:lock v:ext="edit"/>
          </v:line>
        </w:pict>
      </w:r>
      <w:r>
        <w:rPr>
          <w:rFonts w:ascii="宋体" w:hAnsi="宋体"/>
          <w:color w:val="000000" w:themeColor="text1"/>
          <w:highlight w:val="none"/>
          <w14:textFill>
            <w14:solidFill>
              <w14:schemeClr w14:val="tx1"/>
            </w14:solidFill>
          </w14:textFill>
        </w:rPr>
        <w:pict>
          <v:shape id="直接连接符 112" o:spid="_x0000_s1031" o:spt="32" type="#_x0000_t32" style="position:absolute;left:0pt;flip:y;margin-left:290.2pt;margin-top:533.6pt;height:0.35pt;width:242.3pt;mso-position-horizontal-relative:char;mso-position-vertical-relative:line;z-index:251661312;mso-width-relative:page;mso-height-relative:page;" filled="f"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path arrowok="t"/>
            <v:fill on="f" focussize="0,0"/>
            <v:stroke joinstyle="miter" dashstyle="dash"/>
            <v:imagedata o:title=""/>
            <o:lock v:ext="edit"/>
          </v:shape>
        </w:pict>
      </w:r>
      <w:r>
        <w:rPr>
          <w:rFonts w:ascii="宋体" w:hAnsi="宋体"/>
          <w:color w:val="000000" w:themeColor="text1"/>
          <w:highlight w:val="none"/>
          <w14:textFill>
            <w14:solidFill>
              <w14:schemeClr w14:val="tx1"/>
            </w14:solidFill>
          </w14:textFill>
        </w:rPr>
        <w:pict>
          <v:line id="直线 134" o:spid="_x0000_s1030" o:spt="20" style="position:absolute;left:0pt;flip:y;margin-left:290.6pt;margin-top:534.1pt;height:242.95pt;width:240.75pt;mso-position-horizontal-relative:char;mso-position-vertical-relative:line;z-index:251665408;mso-width-relative:page;mso-height-relative:page;"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path arrowok="t"/>
            <v:fill focussize="0,0"/>
            <v:stroke joinstyle="miter" dashstyle="dashDot"/>
            <v:imagedata o:title=""/>
            <o:lock v:ext="edit"/>
          </v:line>
        </w:pict>
      </w:r>
      <w:r>
        <w:rPr>
          <w:rFonts w:ascii="宋体" w:hAnsi="宋体"/>
          <w:color w:val="000000" w:themeColor="text1"/>
          <w:highlight w:val="none"/>
          <w14:textFill>
            <w14:solidFill>
              <w14:schemeClr w14:val="tx1"/>
            </w14:solidFill>
          </w14:textFill>
        </w:rPr>
        <w:pict>
          <v:shape id="椭圆 115" o:spid="_x0000_s1029" o:spt="3" type="#_x0000_t3" style="position:absolute;left:0pt;margin-left:335.15pt;margin-top:579.5pt;height:146.2pt;width:146.25pt;mso-position-horizontal-relative:char;mso-position-vertical-relative:line;z-index:251662336;mso-width-relative:page;mso-height-relative:page;" filled="f"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path/>
            <v:fill on="f" focussize="0,0"/>
            <v:stroke joinstyle="miter" dashstyle="dashDot"/>
            <v:imagedata o:title=""/>
            <o:lock v:ext="edit"/>
            <v:textbox>
              <w:txbxContent>
                <w:p/>
              </w:txbxContent>
            </v:textbox>
          </v:shape>
        </w:pict>
      </w:r>
      <w:r>
        <w:rPr>
          <w:rFonts w:ascii="宋体" w:hAnsi="宋体"/>
          <w:color w:val="000000" w:themeColor="text1"/>
          <w:highlight w:val="none"/>
          <w14:textFill>
            <w14:solidFill>
              <w14:schemeClr w14:val="tx1"/>
            </w14:solidFill>
          </w14:textFill>
        </w:rPr>
        <w:pict>
          <v:rect id="矩形 114" o:spid="_x0000_s1028" o:spt="1" style="position:absolute;left:0pt;margin-left:483.5pt;margin-top:558.3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path/>
            <v:fill on="f" focussize="0,0"/>
            <v:stroke on="f"/>
            <v:imagedata o:title=""/>
            <o:lock v:ext="edit"/>
            <v:textbox inset="0mm,0mm,0mm,0mm" style="mso-fit-shape-to-text:t;">
              <w:txbxContent>
                <w:p>
                  <w:pPr>
                    <w:rPr>
                      <w:sz w:val="20"/>
                    </w:rPr>
                  </w:pPr>
                  <w:r>
                    <w:rPr>
                      <w:rFonts w:hint="eastAsia" w:ascii="宋体" w:cs="宋体"/>
                      <w:bCs/>
                      <w:color w:val="000000"/>
                      <w:sz w:val="22"/>
                    </w:rPr>
                    <w:t>密封线</w:t>
                  </w:r>
                </w:p>
              </w:txbxContent>
            </v:textbox>
          </v:rect>
        </w:pict>
      </w:r>
      <w:r>
        <w:rPr>
          <w:rFonts w:ascii="宋体" w:hAnsi="宋体"/>
          <w:color w:val="000000" w:themeColor="text1"/>
          <w:highlight w:val="none"/>
          <w14:textFill>
            <w14:solidFill>
              <w14:schemeClr w14:val="tx1"/>
            </w14:solidFill>
          </w14:textFill>
        </w:rPr>
        <w:pict>
          <v:rect id="矩形 113" o:spid="_x0000_s1027" o:spt="1" style="position:absolute;left:0pt;margin-left:363.4pt;margin-top:638.7pt;height:31.2pt;width:91.05pt;mso-position-horizontal-relative:char;mso-position-vertical-relative:line;mso-wrap-style:none;z-index:251663360;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path/>
            <v:fill on="f" focussize="0,0"/>
            <v:stroke on="f"/>
            <v:imagedata o:title=""/>
            <o:lock v:ext="edit"/>
            <v:textbox inset="0mm,0mm,0mm,0mm" style="mso-fit-shape-to-text:t;">
              <w:txbxContent>
                <w:p>
                  <w:pPr>
                    <w:rPr>
                      <w:sz w:val="20"/>
                    </w:rPr>
                  </w:pPr>
                  <w:r>
                    <w:rPr>
                      <w:rFonts w:hint="eastAsia" w:ascii="宋体" w:cs="宋体"/>
                      <w:bCs/>
                      <w:color w:val="000000"/>
                      <w:sz w:val="28"/>
                      <w:szCs w:val="30"/>
                    </w:rPr>
                    <w:t>(盖单位章处）</w:t>
                  </w:r>
                </w:p>
              </w:txbxContent>
            </v:textbox>
          </v:rect>
        </w:pict>
      </w:r>
    </w:p>
    <w:p>
      <w:pPr>
        <w:pStyle w:val="8"/>
        <w:rPr>
          <w:rFonts w:ascii="宋体" w:hAnsi="宋体"/>
          <w:color w:val="000000" w:themeColor="text1"/>
          <w:highlight w:val="none"/>
          <w14:textFill>
            <w14:solidFill>
              <w14:schemeClr w14:val="tx1"/>
            </w14:solidFill>
          </w14:textFill>
        </w:rPr>
      </w:pPr>
    </w:p>
    <w:bookmarkEnd w:id="812"/>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52"/>
    </w:sdtPr>
    <w:sdtContent>
      <w:sdt>
        <w:sdtPr>
          <w:id w:val="147461192"/>
        </w:sdtPr>
        <w:sdtContent>
          <w:p>
            <w:pPr>
              <w:pStyle w:val="17"/>
              <w:jc w:val="center"/>
            </w:pPr>
          </w:p>
        </w:sdtContent>
      </w:sdt>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88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540" w:firstLineChars="300"/>
      <w:jc w:val="both"/>
    </w:pPr>
  </w:p>
  <w:p>
    <w:pPr>
      <w:pStyle w:val="18"/>
      <w:pBdr>
        <w:bottom w:val="none" w:color="auto" w:sz="0" w:space="1"/>
      </w:pBdr>
      <w:ind w:firstLine="540" w:firstLineChars="300"/>
      <w:jc w:val="both"/>
    </w:pPr>
  </w:p>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MzMzEwNDYxZjRmY2FiM2ViZjM4Nzc0ZWUxMzc5MzMifQ=="/>
    <w:docVar w:name="KSO_WPS_MARK_KEY" w:val="09899503-0025-4136-af5e-479c82b28b39"/>
  </w:docVars>
  <w:rsids>
    <w:rsidRoot w:val="2FFE23A7"/>
    <w:rsid w:val="0001767F"/>
    <w:rsid w:val="000421DD"/>
    <w:rsid w:val="0004282F"/>
    <w:rsid w:val="00044E68"/>
    <w:rsid w:val="000515B5"/>
    <w:rsid w:val="00080CD0"/>
    <w:rsid w:val="00091CB6"/>
    <w:rsid w:val="00094DA2"/>
    <w:rsid w:val="000A5C0C"/>
    <w:rsid w:val="000E44F5"/>
    <w:rsid w:val="00107DE6"/>
    <w:rsid w:val="00113131"/>
    <w:rsid w:val="00154A7F"/>
    <w:rsid w:val="001562F1"/>
    <w:rsid w:val="001A2968"/>
    <w:rsid w:val="001B39C5"/>
    <w:rsid w:val="00225681"/>
    <w:rsid w:val="002633B0"/>
    <w:rsid w:val="002B22D5"/>
    <w:rsid w:val="002B7C23"/>
    <w:rsid w:val="00301316"/>
    <w:rsid w:val="0032001C"/>
    <w:rsid w:val="003641D9"/>
    <w:rsid w:val="0037633D"/>
    <w:rsid w:val="00391004"/>
    <w:rsid w:val="00392B56"/>
    <w:rsid w:val="003A23F6"/>
    <w:rsid w:val="003A34F3"/>
    <w:rsid w:val="003A62AA"/>
    <w:rsid w:val="003B3F98"/>
    <w:rsid w:val="003C10B7"/>
    <w:rsid w:val="003F3A4C"/>
    <w:rsid w:val="0041262C"/>
    <w:rsid w:val="00454E2A"/>
    <w:rsid w:val="00455D59"/>
    <w:rsid w:val="004A135E"/>
    <w:rsid w:val="004A59DB"/>
    <w:rsid w:val="004C1AFA"/>
    <w:rsid w:val="004C4B4A"/>
    <w:rsid w:val="004E7CD8"/>
    <w:rsid w:val="004F3C69"/>
    <w:rsid w:val="005370DE"/>
    <w:rsid w:val="00555E15"/>
    <w:rsid w:val="005604C1"/>
    <w:rsid w:val="00561144"/>
    <w:rsid w:val="00565F90"/>
    <w:rsid w:val="005E6CE6"/>
    <w:rsid w:val="00637EEC"/>
    <w:rsid w:val="006D6CFC"/>
    <w:rsid w:val="006E69D2"/>
    <w:rsid w:val="00721D8D"/>
    <w:rsid w:val="007271B2"/>
    <w:rsid w:val="007358D2"/>
    <w:rsid w:val="0075411B"/>
    <w:rsid w:val="00791957"/>
    <w:rsid w:val="007959FF"/>
    <w:rsid w:val="007C259C"/>
    <w:rsid w:val="007D58BC"/>
    <w:rsid w:val="007F07F1"/>
    <w:rsid w:val="007F6088"/>
    <w:rsid w:val="00805EDB"/>
    <w:rsid w:val="00813FC0"/>
    <w:rsid w:val="0086345E"/>
    <w:rsid w:val="00872210"/>
    <w:rsid w:val="008765C2"/>
    <w:rsid w:val="008966EC"/>
    <w:rsid w:val="008A28FC"/>
    <w:rsid w:val="008B5AE2"/>
    <w:rsid w:val="008D313A"/>
    <w:rsid w:val="00935703"/>
    <w:rsid w:val="00952502"/>
    <w:rsid w:val="00955378"/>
    <w:rsid w:val="009710CF"/>
    <w:rsid w:val="00982DEC"/>
    <w:rsid w:val="009939D7"/>
    <w:rsid w:val="009A13B3"/>
    <w:rsid w:val="009B5687"/>
    <w:rsid w:val="009C2597"/>
    <w:rsid w:val="009C4AFC"/>
    <w:rsid w:val="00AA21E7"/>
    <w:rsid w:val="00AE4E5E"/>
    <w:rsid w:val="00AF48AF"/>
    <w:rsid w:val="00B02662"/>
    <w:rsid w:val="00B263E7"/>
    <w:rsid w:val="00B62430"/>
    <w:rsid w:val="00B62DBC"/>
    <w:rsid w:val="00B67F69"/>
    <w:rsid w:val="00B8215B"/>
    <w:rsid w:val="00BF09F6"/>
    <w:rsid w:val="00BF6F24"/>
    <w:rsid w:val="00C01B0B"/>
    <w:rsid w:val="00C02039"/>
    <w:rsid w:val="00C229CA"/>
    <w:rsid w:val="00C66302"/>
    <w:rsid w:val="00C67720"/>
    <w:rsid w:val="00C9616F"/>
    <w:rsid w:val="00CA7F37"/>
    <w:rsid w:val="00CB163C"/>
    <w:rsid w:val="00CD79DA"/>
    <w:rsid w:val="00CF57A1"/>
    <w:rsid w:val="00D15BBE"/>
    <w:rsid w:val="00D85AC0"/>
    <w:rsid w:val="00D94FBE"/>
    <w:rsid w:val="00DA5888"/>
    <w:rsid w:val="00DD7B4B"/>
    <w:rsid w:val="00E22DB4"/>
    <w:rsid w:val="00E271C9"/>
    <w:rsid w:val="00E33062"/>
    <w:rsid w:val="00E47489"/>
    <w:rsid w:val="00E764AF"/>
    <w:rsid w:val="00EB564C"/>
    <w:rsid w:val="00ED3BD8"/>
    <w:rsid w:val="00EE0BD9"/>
    <w:rsid w:val="00EE5AAE"/>
    <w:rsid w:val="00EF11C2"/>
    <w:rsid w:val="00F258BC"/>
    <w:rsid w:val="00F26BE2"/>
    <w:rsid w:val="00F33064"/>
    <w:rsid w:val="00F82A0C"/>
    <w:rsid w:val="00F95EE5"/>
    <w:rsid w:val="00FC38F2"/>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76FF5"/>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2316F"/>
    <w:rsid w:val="04E40345"/>
    <w:rsid w:val="04F44B3B"/>
    <w:rsid w:val="050829F7"/>
    <w:rsid w:val="051200B1"/>
    <w:rsid w:val="05243941"/>
    <w:rsid w:val="052E1B4C"/>
    <w:rsid w:val="05324F15"/>
    <w:rsid w:val="053F6F8A"/>
    <w:rsid w:val="05455E06"/>
    <w:rsid w:val="05492C0D"/>
    <w:rsid w:val="055A7363"/>
    <w:rsid w:val="0562046B"/>
    <w:rsid w:val="056B0B53"/>
    <w:rsid w:val="058E3945"/>
    <w:rsid w:val="058E3AD8"/>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C6923"/>
    <w:rsid w:val="06FE70E5"/>
    <w:rsid w:val="0706182A"/>
    <w:rsid w:val="071A27E2"/>
    <w:rsid w:val="07230354"/>
    <w:rsid w:val="07263260"/>
    <w:rsid w:val="072B7208"/>
    <w:rsid w:val="0730382D"/>
    <w:rsid w:val="073B7D2E"/>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77248"/>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373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A079D"/>
    <w:rsid w:val="0D2F0B75"/>
    <w:rsid w:val="0D336E17"/>
    <w:rsid w:val="0D470B14"/>
    <w:rsid w:val="0D4C22C8"/>
    <w:rsid w:val="0D57447A"/>
    <w:rsid w:val="0D5A25F6"/>
    <w:rsid w:val="0D5D42FF"/>
    <w:rsid w:val="0D8608DB"/>
    <w:rsid w:val="0D9961D1"/>
    <w:rsid w:val="0DA9532B"/>
    <w:rsid w:val="0DA97B2E"/>
    <w:rsid w:val="0DC4745D"/>
    <w:rsid w:val="0DCB16CB"/>
    <w:rsid w:val="0DCC0A89"/>
    <w:rsid w:val="0DCF5CF9"/>
    <w:rsid w:val="0DEC1F6C"/>
    <w:rsid w:val="0E0235FA"/>
    <w:rsid w:val="0E023819"/>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587009"/>
    <w:rsid w:val="0F627C4F"/>
    <w:rsid w:val="0F821F29"/>
    <w:rsid w:val="0F844322"/>
    <w:rsid w:val="0F852E27"/>
    <w:rsid w:val="0F951311"/>
    <w:rsid w:val="0F986B8D"/>
    <w:rsid w:val="0F9A17AC"/>
    <w:rsid w:val="0FA43FF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4B5127"/>
    <w:rsid w:val="104E0165"/>
    <w:rsid w:val="10521CAA"/>
    <w:rsid w:val="10604498"/>
    <w:rsid w:val="106A794E"/>
    <w:rsid w:val="106D12E6"/>
    <w:rsid w:val="10A76C83"/>
    <w:rsid w:val="10B24586"/>
    <w:rsid w:val="10CC32E8"/>
    <w:rsid w:val="10CC559A"/>
    <w:rsid w:val="10D562A1"/>
    <w:rsid w:val="10DE52EC"/>
    <w:rsid w:val="10E3528B"/>
    <w:rsid w:val="10E87F18"/>
    <w:rsid w:val="10F40931"/>
    <w:rsid w:val="10F96D68"/>
    <w:rsid w:val="10FB17CA"/>
    <w:rsid w:val="10FC788B"/>
    <w:rsid w:val="10FD46D7"/>
    <w:rsid w:val="10FE14EA"/>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49287D"/>
    <w:rsid w:val="144F242A"/>
    <w:rsid w:val="14506500"/>
    <w:rsid w:val="145A616C"/>
    <w:rsid w:val="145A79EE"/>
    <w:rsid w:val="145D5680"/>
    <w:rsid w:val="147A1C07"/>
    <w:rsid w:val="147A7952"/>
    <w:rsid w:val="148F7029"/>
    <w:rsid w:val="14A20FD8"/>
    <w:rsid w:val="14C052F1"/>
    <w:rsid w:val="14C21B6F"/>
    <w:rsid w:val="14C411E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027CCE"/>
    <w:rsid w:val="16175528"/>
    <w:rsid w:val="162923AE"/>
    <w:rsid w:val="16452C82"/>
    <w:rsid w:val="166B5873"/>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E637F"/>
    <w:rsid w:val="173F71BF"/>
    <w:rsid w:val="17426B8D"/>
    <w:rsid w:val="17555615"/>
    <w:rsid w:val="1779404E"/>
    <w:rsid w:val="17804C49"/>
    <w:rsid w:val="178070FD"/>
    <w:rsid w:val="17955DED"/>
    <w:rsid w:val="179A111C"/>
    <w:rsid w:val="179A5FEC"/>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DD4E57"/>
    <w:rsid w:val="18EF45F9"/>
    <w:rsid w:val="18FD277E"/>
    <w:rsid w:val="190E0109"/>
    <w:rsid w:val="192A24B1"/>
    <w:rsid w:val="194817FC"/>
    <w:rsid w:val="194B0481"/>
    <w:rsid w:val="194F38AF"/>
    <w:rsid w:val="195720DF"/>
    <w:rsid w:val="19735F7B"/>
    <w:rsid w:val="19805192"/>
    <w:rsid w:val="198124BA"/>
    <w:rsid w:val="19892807"/>
    <w:rsid w:val="19A215AC"/>
    <w:rsid w:val="19B65058"/>
    <w:rsid w:val="19B678E2"/>
    <w:rsid w:val="19C24C2F"/>
    <w:rsid w:val="1A0A6E6B"/>
    <w:rsid w:val="1A115BD9"/>
    <w:rsid w:val="1A13070C"/>
    <w:rsid w:val="1A270452"/>
    <w:rsid w:val="1A2B6E03"/>
    <w:rsid w:val="1A2D15F7"/>
    <w:rsid w:val="1A330C7D"/>
    <w:rsid w:val="1A3438DD"/>
    <w:rsid w:val="1A367F46"/>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C62263"/>
    <w:rsid w:val="1BC77369"/>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E0F6B52"/>
    <w:rsid w:val="1E18679A"/>
    <w:rsid w:val="1E1E141D"/>
    <w:rsid w:val="1E3824DF"/>
    <w:rsid w:val="1E567BD3"/>
    <w:rsid w:val="1E5E31B8"/>
    <w:rsid w:val="1E6731D5"/>
    <w:rsid w:val="1E7320C1"/>
    <w:rsid w:val="1E8C5541"/>
    <w:rsid w:val="1E9320FC"/>
    <w:rsid w:val="1EAC7E0A"/>
    <w:rsid w:val="1EAF2075"/>
    <w:rsid w:val="1EC42614"/>
    <w:rsid w:val="1ED80344"/>
    <w:rsid w:val="1EEA1677"/>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10954"/>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A783F"/>
    <w:rsid w:val="2107263D"/>
    <w:rsid w:val="21082D78"/>
    <w:rsid w:val="210A0830"/>
    <w:rsid w:val="210A0DA2"/>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8710B"/>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CE3AC5"/>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5A62E5"/>
    <w:rsid w:val="3062166C"/>
    <w:rsid w:val="30640F12"/>
    <w:rsid w:val="306554F5"/>
    <w:rsid w:val="307750E9"/>
    <w:rsid w:val="30A60B13"/>
    <w:rsid w:val="30B56118"/>
    <w:rsid w:val="30D96CC6"/>
    <w:rsid w:val="30E80016"/>
    <w:rsid w:val="30F37C1F"/>
    <w:rsid w:val="31092C45"/>
    <w:rsid w:val="310A45D6"/>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9F1476"/>
    <w:rsid w:val="37A140C3"/>
    <w:rsid w:val="37C24A54"/>
    <w:rsid w:val="37D921E5"/>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C22C79"/>
    <w:rsid w:val="38C34C43"/>
    <w:rsid w:val="38C728D0"/>
    <w:rsid w:val="38C74734"/>
    <w:rsid w:val="38C9721B"/>
    <w:rsid w:val="38E70932"/>
    <w:rsid w:val="38EF581C"/>
    <w:rsid w:val="38F5268D"/>
    <w:rsid w:val="390220DA"/>
    <w:rsid w:val="39055318"/>
    <w:rsid w:val="39116746"/>
    <w:rsid w:val="391D359F"/>
    <w:rsid w:val="392022AF"/>
    <w:rsid w:val="394311D0"/>
    <w:rsid w:val="394D1BA4"/>
    <w:rsid w:val="39525EAF"/>
    <w:rsid w:val="39536350"/>
    <w:rsid w:val="397B454D"/>
    <w:rsid w:val="3986069A"/>
    <w:rsid w:val="39873EC3"/>
    <w:rsid w:val="39A9208B"/>
    <w:rsid w:val="39AC3A04"/>
    <w:rsid w:val="39B00ABA"/>
    <w:rsid w:val="39BE36C4"/>
    <w:rsid w:val="39C40C73"/>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AA6566"/>
    <w:rsid w:val="3AD1769C"/>
    <w:rsid w:val="3AFB171C"/>
    <w:rsid w:val="3B0D5ACF"/>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20362C"/>
    <w:rsid w:val="3D296F62"/>
    <w:rsid w:val="3D31229A"/>
    <w:rsid w:val="3D387FE4"/>
    <w:rsid w:val="3D3B408D"/>
    <w:rsid w:val="3D3B56F0"/>
    <w:rsid w:val="3D4139CE"/>
    <w:rsid w:val="3D491BBB"/>
    <w:rsid w:val="3D5200E0"/>
    <w:rsid w:val="3D5347E8"/>
    <w:rsid w:val="3D580050"/>
    <w:rsid w:val="3D622FB8"/>
    <w:rsid w:val="3D6267D9"/>
    <w:rsid w:val="3D65609E"/>
    <w:rsid w:val="3D667075"/>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3FFF2A05"/>
    <w:rsid w:val="40037546"/>
    <w:rsid w:val="400C350F"/>
    <w:rsid w:val="401A20DF"/>
    <w:rsid w:val="40311450"/>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1856C2"/>
    <w:rsid w:val="421D0400"/>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68BF"/>
    <w:rsid w:val="443B7D84"/>
    <w:rsid w:val="44433E7C"/>
    <w:rsid w:val="44466F58"/>
    <w:rsid w:val="444924DF"/>
    <w:rsid w:val="444B65C3"/>
    <w:rsid w:val="444B685F"/>
    <w:rsid w:val="444F55DD"/>
    <w:rsid w:val="44616DE6"/>
    <w:rsid w:val="44654E01"/>
    <w:rsid w:val="446E05EA"/>
    <w:rsid w:val="447115C6"/>
    <w:rsid w:val="447C11F3"/>
    <w:rsid w:val="44827C1E"/>
    <w:rsid w:val="44897EF7"/>
    <w:rsid w:val="448B66CE"/>
    <w:rsid w:val="449E2B67"/>
    <w:rsid w:val="44A70245"/>
    <w:rsid w:val="44A90864"/>
    <w:rsid w:val="44BD4C3D"/>
    <w:rsid w:val="44C0425C"/>
    <w:rsid w:val="44C23F10"/>
    <w:rsid w:val="44D06BB2"/>
    <w:rsid w:val="44D53D34"/>
    <w:rsid w:val="44D95BAD"/>
    <w:rsid w:val="44E330C9"/>
    <w:rsid w:val="44EC6F5A"/>
    <w:rsid w:val="450150F5"/>
    <w:rsid w:val="45123BB5"/>
    <w:rsid w:val="452B293F"/>
    <w:rsid w:val="45380234"/>
    <w:rsid w:val="453F772D"/>
    <w:rsid w:val="454027D1"/>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8D1990"/>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A63257"/>
    <w:rsid w:val="48B9571B"/>
    <w:rsid w:val="48C51A56"/>
    <w:rsid w:val="48D03950"/>
    <w:rsid w:val="48F61E83"/>
    <w:rsid w:val="49211C3E"/>
    <w:rsid w:val="49215AD9"/>
    <w:rsid w:val="492301FF"/>
    <w:rsid w:val="492573E6"/>
    <w:rsid w:val="492F498D"/>
    <w:rsid w:val="492F5A35"/>
    <w:rsid w:val="493150F6"/>
    <w:rsid w:val="49363A71"/>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174DEF"/>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4F1B18"/>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058F8"/>
    <w:rsid w:val="4BF337A4"/>
    <w:rsid w:val="4C053B3E"/>
    <w:rsid w:val="4C256776"/>
    <w:rsid w:val="4C26756B"/>
    <w:rsid w:val="4C2745BE"/>
    <w:rsid w:val="4C6E1633"/>
    <w:rsid w:val="4C716A38"/>
    <w:rsid w:val="4C792A51"/>
    <w:rsid w:val="4CA17BB8"/>
    <w:rsid w:val="4CBB5434"/>
    <w:rsid w:val="4CBD1C7E"/>
    <w:rsid w:val="4CC743C2"/>
    <w:rsid w:val="4CCE3E8B"/>
    <w:rsid w:val="4CD46968"/>
    <w:rsid w:val="4CE0596C"/>
    <w:rsid w:val="4CFA1B21"/>
    <w:rsid w:val="4CFD2D0A"/>
    <w:rsid w:val="4D0A5D2E"/>
    <w:rsid w:val="4D0B530A"/>
    <w:rsid w:val="4D1B0752"/>
    <w:rsid w:val="4D3161C8"/>
    <w:rsid w:val="4D41465D"/>
    <w:rsid w:val="4D4E0C74"/>
    <w:rsid w:val="4D526945"/>
    <w:rsid w:val="4D73764A"/>
    <w:rsid w:val="4D956577"/>
    <w:rsid w:val="4DA16EA9"/>
    <w:rsid w:val="4DAE7D3B"/>
    <w:rsid w:val="4DB10EE0"/>
    <w:rsid w:val="4DE1374A"/>
    <w:rsid w:val="4DE3193D"/>
    <w:rsid w:val="4DE5696E"/>
    <w:rsid w:val="4DE8094E"/>
    <w:rsid w:val="4DEB5302"/>
    <w:rsid w:val="4DFF382E"/>
    <w:rsid w:val="4E115CB4"/>
    <w:rsid w:val="4E143B1F"/>
    <w:rsid w:val="4E165694"/>
    <w:rsid w:val="4E17716C"/>
    <w:rsid w:val="4E1C29D4"/>
    <w:rsid w:val="4E2D6F9C"/>
    <w:rsid w:val="4E340E16"/>
    <w:rsid w:val="4E3A0E53"/>
    <w:rsid w:val="4E4D0AC1"/>
    <w:rsid w:val="4E5B174E"/>
    <w:rsid w:val="4E752EF3"/>
    <w:rsid w:val="4E854A1D"/>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0C90"/>
    <w:rsid w:val="4F952A4C"/>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A2286"/>
    <w:rsid w:val="511278B0"/>
    <w:rsid w:val="5134684C"/>
    <w:rsid w:val="513D42F6"/>
    <w:rsid w:val="515348AE"/>
    <w:rsid w:val="515F1555"/>
    <w:rsid w:val="51621462"/>
    <w:rsid w:val="5162632D"/>
    <w:rsid w:val="51652001"/>
    <w:rsid w:val="516923D4"/>
    <w:rsid w:val="516A768B"/>
    <w:rsid w:val="516F7FCA"/>
    <w:rsid w:val="517E442B"/>
    <w:rsid w:val="51960CEF"/>
    <w:rsid w:val="51A60F32"/>
    <w:rsid w:val="51C06B27"/>
    <w:rsid w:val="51C5706A"/>
    <w:rsid w:val="51CC6A9E"/>
    <w:rsid w:val="51D84860"/>
    <w:rsid w:val="51F76393"/>
    <w:rsid w:val="51F83758"/>
    <w:rsid w:val="52097713"/>
    <w:rsid w:val="52157E66"/>
    <w:rsid w:val="521B28B9"/>
    <w:rsid w:val="522E04F4"/>
    <w:rsid w:val="522E717A"/>
    <w:rsid w:val="52354064"/>
    <w:rsid w:val="52397FF8"/>
    <w:rsid w:val="525C5A95"/>
    <w:rsid w:val="525F6E60"/>
    <w:rsid w:val="5261208C"/>
    <w:rsid w:val="52796647"/>
    <w:rsid w:val="52873552"/>
    <w:rsid w:val="52A663C2"/>
    <w:rsid w:val="52B92EE7"/>
    <w:rsid w:val="52BC3484"/>
    <w:rsid w:val="52BE677D"/>
    <w:rsid w:val="52C13B4A"/>
    <w:rsid w:val="52C22C4B"/>
    <w:rsid w:val="52CB68A8"/>
    <w:rsid w:val="52DC5CD4"/>
    <w:rsid w:val="52E866AE"/>
    <w:rsid w:val="52FB2297"/>
    <w:rsid w:val="530750B7"/>
    <w:rsid w:val="53200C5D"/>
    <w:rsid w:val="534832EF"/>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13209"/>
    <w:rsid w:val="553A7B7B"/>
    <w:rsid w:val="55665755"/>
    <w:rsid w:val="556665E0"/>
    <w:rsid w:val="558E68EA"/>
    <w:rsid w:val="5590733F"/>
    <w:rsid w:val="55910A92"/>
    <w:rsid w:val="559757D0"/>
    <w:rsid w:val="55975BA7"/>
    <w:rsid w:val="55A506DF"/>
    <w:rsid w:val="55AE4F5C"/>
    <w:rsid w:val="55AE6607"/>
    <w:rsid w:val="55BB2AD2"/>
    <w:rsid w:val="55BB5576"/>
    <w:rsid w:val="56002A66"/>
    <w:rsid w:val="5604091D"/>
    <w:rsid w:val="56054571"/>
    <w:rsid w:val="560B1D82"/>
    <w:rsid w:val="561048D4"/>
    <w:rsid w:val="56431446"/>
    <w:rsid w:val="5645325F"/>
    <w:rsid w:val="564E6B95"/>
    <w:rsid w:val="56562848"/>
    <w:rsid w:val="566F311B"/>
    <w:rsid w:val="56781FA5"/>
    <w:rsid w:val="569154CE"/>
    <w:rsid w:val="56995180"/>
    <w:rsid w:val="56A11917"/>
    <w:rsid w:val="56AD5CE8"/>
    <w:rsid w:val="56BD031C"/>
    <w:rsid w:val="56BF20BE"/>
    <w:rsid w:val="56BF6D5B"/>
    <w:rsid w:val="56CB218E"/>
    <w:rsid w:val="56DB7934"/>
    <w:rsid w:val="56E7079F"/>
    <w:rsid w:val="56E73D89"/>
    <w:rsid w:val="57007337"/>
    <w:rsid w:val="57031F7F"/>
    <w:rsid w:val="572570B3"/>
    <w:rsid w:val="573B07A2"/>
    <w:rsid w:val="573E6B31"/>
    <w:rsid w:val="575603AD"/>
    <w:rsid w:val="5770255E"/>
    <w:rsid w:val="57750ADF"/>
    <w:rsid w:val="57811AFA"/>
    <w:rsid w:val="57B341DC"/>
    <w:rsid w:val="57B51F24"/>
    <w:rsid w:val="57C73676"/>
    <w:rsid w:val="57C87CAB"/>
    <w:rsid w:val="57F60509"/>
    <w:rsid w:val="57FB6145"/>
    <w:rsid w:val="57FC328C"/>
    <w:rsid w:val="57FF145C"/>
    <w:rsid w:val="58033991"/>
    <w:rsid w:val="581214E9"/>
    <w:rsid w:val="58374890"/>
    <w:rsid w:val="583921D7"/>
    <w:rsid w:val="5847689F"/>
    <w:rsid w:val="584B538A"/>
    <w:rsid w:val="584E7AA5"/>
    <w:rsid w:val="5853780C"/>
    <w:rsid w:val="585D2567"/>
    <w:rsid w:val="5866181E"/>
    <w:rsid w:val="58726012"/>
    <w:rsid w:val="58AC4CBD"/>
    <w:rsid w:val="58C058EB"/>
    <w:rsid w:val="58CD28A0"/>
    <w:rsid w:val="58D228D1"/>
    <w:rsid w:val="58D3388C"/>
    <w:rsid w:val="58D82D25"/>
    <w:rsid w:val="58E050FF"/>
    <w:rsid w:val="58F92290"/>
    <w:rsid w:val="590A19FE"/>
    <w:rsid w:val="590A624B"/>
    <w:rsid w:val="590B2E55"/>
    <w:rsid w:val="591E1CF6"/>
    <w:rsid w:val="592B3B37"/>
    <w:rsid w:val="593E3679"/>
    <w:rsid w:val="59463EAD"/>
    <w:rsid w:val="594A0F21"/>
    <w:rsid w:val="595600CF"/>
    <w:rsid w:val="59570C09"/>
    <w:rsid w:val="595A535A"/>
    <w:rsid w:val="595A5BCE"/>
    <w:rsid w:val="596742B3"/>
    <w:rsid w:val="596C5157"/>
    <w:rsid w:val="59814033"/>
    <w:rsid w:val="599C2C1B"/>
    <w:rsid w:val="599C6916"/>
    <w:rsid w:val="59A24A11"/>
    <w:rsid w:val="59A93DB0"/>
    <w:rsid w:val="59AD337E"/>
    <w:rsid w:val="59B85EB7"/>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113"/>
    <w:rsid w:val="5B2F1F99"/>
    <w:rsid w:val="5B3220B7"/>
    <w:rsid w:val="5B322BEC"/>
    <w:rsid w:val="5B5F03A4"/>
    <w:rsid w:val="5B5F5DFF"/>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A03123"/>
    <w:rsid w:val="5CAA564F"/>
    <w:rsid w:val="5CC11F40"/>
    <w:rsid w:val="5CCE77E0"/>
    <w:rsid w:val="5CDA3F46"/>
    <w:rsid w:val="5CE327FE"/>
    <w:rsid w:val="5CF644C9"/>
    <w:rsid w:val="5CF85EE2"/>
    <w:rsid w:val="5D192F00"/>
    <w:rsid w:val="5D1D22C5"/>
    <w:rsid w:val="5D1F7DEB"/>
    <w:rsid w:val="5D2F3C01"/>
    <w:rsid w:val="5D3874C9"/>
    <w:rsid w:val="5D4A3E3F"/>
    <w:rsid w:val="5D4F0E61"/>
    <w:rsid w:val="5D673093"/>
    <w:rsid w:val="5D675B54"/>
    <w:rsid w:val="5D977AC6"/>
    <w:rsid w:val="5D9B52A7"/>
    <w:rsid w:val="5D9F5DAC"/>
    <w:rsid w:val="5DD15589"/>
    <w:rsid w:val="5DEC23C3"/>
    <w:rsid w:val="5DEF3C61"/>
    <w:rsid w:val="5DFE3466"/>
    <w:rsid w:val="5E032122"/>
    <w:rsid w:val="5E344177"/>
    <w:rsid w:val="5E4529B2"/>
    <w:rsid w:val="5E6F4DA2"/>
    <w:rsid w:val="5E920F46"/>
    <w:rsid w:val="5E9842F9"/>
    <w:rsid w:val="5E9C5CCD"/>
    <w:rsid w:val="5EA207F7"/>
    <w:rsid w:val="5EA507C4"/>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941C25"/>
    <w:rsid w:val="5FA04873"/>
    <w:rsid w:val="5FB143B2"/>
    <w:rsid w:val="5FB76A00"/>
    <w:rsid w:val="5FCA04E2"/>
    <w:rsid w:val="5FD255E8"/>
    <w:rsid w:val="5FD86DED"/>
    <w:rsid w:val="5FE2350C"/>
    <w:rsid w:val="5FE666BB"/>
    <w:rsid w:val="5FF2020B"/>
    <w:rsid w:val="600C592F"/>
    <w:rsid w:val="600D6E2B"/>
    <w:rsid w:val="60116111"/>
    <w:rsid w:val="60133D7D"/>
    <w:rsid w:val="601B52DF"/>
    <w:rsid w:val="602164FD"/>
    <w:rsid w:val="60367925"/>
    <w:rsid w:val="60395667"/>
    <w:rsid w:val="604604FA"/>
    <w:rsid w:val="604C0EF7"/>
    <w:rsid w:val="604F4E8B"/>
    <w:rsid w:val="60667166"/>
    <w:rsid w:val="60724006"/>
    <w:rsid w:val="6086012E"/>
    <w:rsid w:val="608C65AA"/>
    <w:rsid w:val="60911000"/>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721A4"/>
    <w:rsid w:val="6148335E"/>
    <w:rsid w:val="61545484"/>
    <w:rsid w:val="615C4C67"/>
    <w:rsid w:val="615C785F"/>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455E77"/>
    <w:rsid w:val="63473FE4"/>
    <w:rsid w:val="63503AD3"/>
    <w:rsid w:val="63543CFC"/>
    <w:rsid w:val="635F7193"/>
    <w:rsid w:val="63640C4D"/>
    <w:rsid w:val="63696264"/>
    <w:rsid w:val="637137DA"/>
    <w:rsid w:val="63877E58"/>
    <w:rsid w:val="63A17834"/>
    <w:rsid w:val="63A23C32"/>
    <w:rsid w:val="63A97528"/>
    <w:rsid w:val="63AB6153"/>
    <w:rsid w:val="63C82F8A"/>
    <w:rsid w:val="63D36B90"/>
    <w:rsid w:val="63D86B49"/>
    <w:rsid w:val="63F024E1"/>
    <w:rsid w:val="640C709A"/>
    <w:rsid w:val="642F1EE3"/>
    <w:rsid w:val="64340620"/>
    <w:rsid w:val="64380936"/>
    <w:rsid w:val="64466BF9"/>
    <w:rsid w:val="644D348F"/>
    <w:rsid w:val="646157CA"/>
    <w:rsid w:val="646A5DEF"/>
    <w:rsid w:val="646B6CFE"/>
    <w:rsid w:val="647749B0"/>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66492F"/>
    <w:rsid w:val="667A7554"/>
    <w:rsid w:val="667E6DAD"/>
    <w:rsid w:val="668F0F17"/>
    <w:rsid w:val="66A11D0C"/>
    <w:rsid w:val="66CC2D91"/>
    <w:rsid w:val="66D76929"/>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D87B11"/>
    <w:rsid w:val="68DA5BAB"/>
    <w:rsid w:val="68DC7647"/>
    <w:rsid w:val="68DD019B"/>
    <w:rsid w:val="68E65F5E"/>
    <w:rsid w:val="68EC147D"/>
    <w:rsid w:val="68F3077A"/>
    <w:rsid w:val="692C1018"/>
    <w:rsid w:val="692C3FBB"/>
    <w:rsid w:val="693410C2"/>
    <w:rsid w:val="69377A2E"/>
    <w:rsid w:val="69567CE1"/>
    <w:rsid w:val="69610AF4"/>
    <w:rsid w:val="69711181"/>
    <w:rsid w:val="69724F1B"/>
    <w:rsid w:val="697C45DD"/>
    <w:rsid w:val="6980390A"/>
    <w:rsid w:val="69A00347"/>
    <w:rsid w:val="69A377E4"/>
    <w:rsid w:val="69A60D09"/>
    <w:rsid w:val="69C451FB"/>
    <w:rsid w:val="69D00BC4"/>
    <w:rsid w:val="69DB32EB"/>
    <w:rsid w:val="69DF6640"/>
    <w:rsid w:val="69EB1780"/>
    <w:rsid w:val="69EB79D2"/>
    <w:rsid w:val="6A1011E7"/>
    <w:rsid w:val="6A311E94"/>
    <w:rsid w:val="6A35135B"/>
    <w:rsid w:val="6A61482D"/>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AFF6047"/>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D04C5E"/>
    <w:rsid w:val="6CD7713F"/>
    <w:rsid w:val="6CD81D64"/>
    <w:rsid w:val="6CF277BB"/>
    <w:rsid w:val="6CF67414"/>
    <w:rsid w:val="6D1949E6"/>
    <w:rsid w:val="6D301BA0"/>
    <w:rsid w:val="6D40341E"/>
    <w:rsid w:val="6D413222"/>
    <w:rsid w:val="6D4C69DA"/>
    <w:rsid w:val="6D527D69"/>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407BC1"/>
    <w:rsid w:val="6E437238"/>
    <w:rsid w:val="6E46551E"/>
    <w:rsid w:val="6E48779E"/>
    <w:rsid w:val="6E4B6C92"/>
    <w:rsid w:val="6E557B10"/>
    <w:rsid w:val="6E5830D8"/>
    <w:rsid w:val="6E723EE7"/>
    <w:rsid w:val="6E7C3A60"/>
    <w:rsid w:val="6E906D9A"/>
    <w:rsid w:val="6E92731E"/>
    <w:rsid w:val="6E934195"/>
    <w:rsid w:val="6E9C7DB8"/>
    <w:rsid w:val="6E9E63AA"/>
    <w:rsid w:val="6EBB19BE"/>
    <w:rsid w:val="6EBE21B5"/>
    <w:rsid w:val="6EF26375"/>
    <w:rsid w:val="6EFA027F"/>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4C0A9F"/>
    <w:rsid w:val="7073057A"/>
    <w:rsid w:val="70746685"/>
    <w:rsid w:val="707A385E"/>
    <w:rsid w:val="708B2763"/>
    <w:rsid w:val="708C0DAF"/>
    <w:rsid w:val="709A3F00"/>
    <w:rsid w:val="70AC7790"/>
    <w:rsid w:val="70BE04C1"/>
    <w:rsid w:val="70C1323B"/>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3839D1"/>
    <w:rsid w:val="72430D8D"/>
    <w:rsid w:val="724931F0"/>
    <w:rsid w:val="724F0D1A"/>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631D"/>
    <w:rsid w:val="742C0EB1"/>
    <w:rsid w:val="74405851"/>
    <w:rsid w:val="74512C62"/>
    <w:rsid w:val="74553AD1"/>
    <w:rsid w:val="745D7CFB"/>
    <w:rsid w:val="74614968"/>
    <w:rsid w:val="74623E8C"/>
    <w:rsid w:val="747F1ECC"/>
    <w:rsid w:val="749F50D2"/>
    <w:rsid w:val="74AF051B"/>
    <w:rsid w:val="74C76EB4"/>
    <w:rsid w:val="74D24DF2"/>
    <w:rsid w:val="74E85037"/>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1B45"/>
    <w:rsid w:val="76A07890"/>
    <w:rsid w:val="76A421E3"/>
    <w:rsid w:val="76A927F4"/>
    <w:rsid w:val="76B828EB"/>
    <w:rsid w:val="76DD0A99"/>
    <w:rsid w:val="76DD68F5"/>
    <w:rsid w:val="76E732D0"/>
    <w:rsid w:val="77083097"/>
    <w:rsid w:val="770E2F52"/>
    <w:rsid w:val="771A1486"/>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054355"/>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0E7239"/>
    <w:rsid w:val="79110AD8"/>
    <w:rsid w:val="79246A5D"/>
    <w:rsid w:val="79273E57"/>
    <w:rsid w:val="792F20B5"/>
    <w:rsid w:val="79390854"/>
    <w:rsid w:val="79425135"/>
    <w:rsid w:val="795E1E90"/>
    <w:rsid w:val="796270F7"/>
    <w:rsid w:val="79667547"/>
    <w:rsid w:val="79752E15"/>
    <w:rsid w:val="798139A7"/>
    <w:rsid w:val="79A0658C"/>
    <w:rsid w:val="79A344F3"/>
    <w:rsid w:val="79C66DEF"/>
    <w:rsid w:val="79DF5C9D"/>
    <w:rsid w:val="79E162E5"/>
    <w:rsid w:val="79ED77A5"/>
    <w:rsid w:val="7A044DC4"/>
    <w:rsid w:val="7A0E6035"/>
    <w:rsid w:val="7A17211E"/>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160627"/>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3C2310"/>
    <w:rsid w:val="7C4D5B3E"/>
    <w:rsid w:val="7C5133FE"/>
    <w:rsid w:val="7C6D3C66"/>
    <w:rsid w:val="7C7575D0"/>
    <w:rsid w:val="7C86358B"/>
    <w:rsid w:val="7CAA04DB"/>
    <w:rsid w:val="7CB4634A"/>
    <w:rsid w:val="7CC82A39"/>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0D5D12"/>
    <w:rsid w:val="7E1502D6"/>
    <w:rsid w:val="7E1650E1"/>
    <w:rsid w:val="7E176585"/>
    <w:rsid w:val="7E1F3157"/>
    <w:rsid w:val="7E201B39"/>
    <w:rsid w:val="7E2240DE"/>
    <w:rsid w:val="7E2429CB"/>
    <w:rsid w:val="7E2708C5"/>
    <w:rsid w:val="7E4576F9"/>
    <w:rsid w:val="7E4B683A"/>
    <w:rsid w:val="7E4E2D56"/>
    <w:rsid w:val="7E5833BE"/>
    <w:rsid w:val="7E5E7ADD"/>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33236A"/>
    <w:rsid w:val="7F4B19C8"/>
    <w:rsid w:val="7F531E4A"/>
    <w:rsid w:val="7F5325AB"/>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1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Calibri" w:hAnsi="Calibri" w:cs="黑体"/>
      <w:szCs w:val="22"/>
    </w:rPr>
  </w:style>
  <w:style w:type="paragraph" w:styleId="7">
    <w:name w:val="annotation text"/>
    <w:basedOn w:val="1"/>
    <w:qFormat/>
    <w:uiPriority w:val="0"/>
    <w:pPr>
      <w:jc w:val="left"/>
    </w:pPr>
  </w:style>
  <w:style w:type="paragraph" w:styleId="8">
    <w:name w:val="Body Text"/>
    <w:basedOn w:val="1"/>
    <w:link w:val="51"/>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0"/>
    <w:pPr>
      <w:ind w:left="1680" w:leftChars="800"/>
    </w:pPr>
    <w:rPr>
      <w:rFonts w:ascii="Calibri" w:hAnsi="Calibri" w:cs="黑体"/>
      <w:szCs w:val="22"/>
    </w:rPr>
  </w:style>
  <w:style w:type="paragraph" w:styleId="12">
    <w:name w:val="toc 3"/>
    <w:basedOn w:val="1"/>
    <w:next w:val="1"/>
    <w:qFormat/>
    <w:uiPriority w:val="0"/>
    <w:pPr>
      <w:ind w:left="840" w:leftChars="400"/>
    </w:pPr>
    <w:rPr>
      <w:rFonts w:ascii="Calibri" w:hAnsi="Calibri" w:cs="黑体"/>
      <w:szCs w:val="22"/>
    </w:rPr>
  </w:style>
  <w:style w:type="paragraph" w:styleId="13">
    <w:name w:val="Plain Text"/>
    <w:basedOn w:val="1"/>
    <w:unhideWhenUsed/>
    <w:qFormat/>
    <w:uiPriority w:val="99"/>
    <w:rPr>
      <w:rFonts w:ascii="宋体" w:hAnsi="Courier New" w:cs="Courier New"/>
      <w:szCs w:val="21"/>
    </w:rPr>
  </w:style>
  <w:style w:type="paragraph" w:styleId="14">
    <w:name w:val="toc 8"/>
    <w:basedOn w:val="1"/>
    <w:next w:val="1"/>
    <w:qFormat/>
    <w:uiPriority w:val="0"/>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59"/>
    <w:qFormat/>
    <w:uiPriority w:val="0"/>
    <w:rPr>
      <w:sz w:val="18"/>
      <w:szCs w:val="18"/>
    </w:rPr>
  </w:style>
  <w:style w:type="paragraph" w:styleId="17">
    <w:name w:val="footer"/>
    <w:basedOn w:val="1"/>
    <w:link w:val="64"/>
    <w:qFormat/>
    <w:uiPriority w:val="0"/>
    <w:pPr>
      <w:tabs>
        <w:tab w:val="center" w:pos="4153"/>
        <w:tab w:val="right" w:pos="8306"/>
      </w:tabs>
      <w:snapToGrid w:val="0"/>
      <w:jc w:val="left"/>
    </w:pPr>
    <w:rPr>
      <w:sz w:val="18"/>
      <w:szCs w:val="18"/>
    </w:rPr>
  </w:style>
  <w:style w:type="paragraph" w:styleId="18">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spacing w:before="120" w:after="120"/>
      <w:jc w:val="left"/>
    </w:pPr>
    <w:rPr>
      <w:caps/>
      <w:sz w:val="20"/>
      <w:szCs w:val="20"/>
    </w:rPr>
  </w:style>
  <w:style w:type="paragraph" w:styleId="20">
    <w:name w:val="toc 4"/>
    <w:basedOn w:val="1"/>
    <w:next w:val="1"/>
    <w:qFormat/>
    <w:uiPriority w:val="0"/>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0"/>
    <w:pPr>
      <w:ind w:left="2100" w:leftChars="1000"/>
    </w:pPr>
    <w:rPr>
      <w:rFonts w:ascii="Calibri" w:hAnsi="Calibri" w:cs="黑体"/>
      <w:szCs w:val="22"/>
    </w:rPr>
  </w:style>
  <w:style w:type="paragraph" w:styleId="23">
    <w:name w:val="toc 2"/>
    <w:basedOn w:val="1"/>
    <w:next w:val="1"/>
    <w:qFormat/>
    <w:uiPriority w:val="0"/>
    <w:pPr>
      <w:ind w:left="210"/>
      <w:jc w:val="left"/>
    </w:pPr>
    <w:rPr>
      <w:smallCaps/>
      <w:sz w:val="20"/>
      <w:szCs w:val="20"/>
    </w:rPr>
  </w:style>
  <w:style w:type="paragraph" w:styleId="24">
    <w:name w:val="toc 9"/>
    <w:basedOn w:val="1"/>
    <w:next w:val="1"/>
    <w:qFormat/>
    <w:uiPriority w:val="0"/>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Body Text First Indent"/>
    <w:basedOn w:val="8"/>
    <w:next w:val="1"/>
    <w:qFormat/>
    <w:uiPriority w:val="0"/>
    <w:pPr>
      <w:spacing w:line="275" w:lineRule="atLeast"/>
      <w:ind w:firstLine="420"/>
    </w:pPr>
    <w:rPr>
      <w:rFonts w:eastAsia="楷体"/>
      <w:kern w:val="1"/>
      <w:sz w:val="26"/>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800080"/>
      <w:u w:val="none"/>
    </w:rPr>
  </w:style>
  <w:style w:type="character" w:styleId="33">
    <w:name w:val="Emphasis"/>
    <w:basedOn w:val="30"/>
    <w:qFormat/>
    <w:uiPriority w:val="0"/>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basedOn w:val="30"/>
    <w:qFormat/>
    <w:uiPriority w:val="0"/>
    <w:rPr>
      <w:color w:val="0000FF"/>
      <w:u w:val="non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basedOn w:val="30"/>
    <w:qFormat/>
    <w:uiPriority w:val="0"/>
    <w:rPr>
      <w:sz w:val="21"/>
      <w:szCs w:val="21"/>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5">
    <w:name w:val="BodyText"/>
    <w:basedOn w:val="1"/>
    <w:next w:val="1"/>
    <w:qFormat/>
    <w:uiPriority w:val="0"/>
    <w:pPr>
      <w:spacing w:after="120"/>
    </w:p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Table Paragraph"/>
    <w:basedOn w:val="1"/>
    <w:qFormat/>
    <w:uiPriority w:val="1"/>
  </w:style>
  <w:style w:type="character" w:customStyle="1" w:styleId="48">
    <w:name w:val="正文文本 (2)_"/>
    <w:link w:val="49"/>
    <w:qFormat/>
    <w:uiPriority w:val="0"/>
    <w:rPr>
      <w:rFonts w:ascii="宋体" w:hAnsi="宋体"/>
      <w:kern w:val="0"/>
      <w:sz w:val="20"/>
      <w:szCs w:val="20"/>
    </w:rPr>
  </w:style>
  <w:style w:type="paragraph" w:customStyle="1" w:styleId="49">
    <w:name w:val="正文文本 (2)1"/>
    <w:basedOn w:val="1"/>
    <w:link w:val="48"/>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0">
    <w:name w:val="无间隔2"/>
    <w:basedOn w:val="1"/>
    <w:qFormat/>
    <w:uiPriority w:val="0"/>
    <w:pPr>
      <w:spacing w:line="400" w:lineRule="exact"/>
    </w:pPr>
    <w:rPr>
      <w:sz w:val="24"/>
    </w:rPr>
  </w:style>
  <w:style w:type="character" w:customStyle="1" w:styleId="51">
    <w:name w:val="正文文本 Char"/>
    <w:basedOn w:val="30"/>
    <w:link w:val="8"/>
    <w:qFormat/>
    <w:uiPriority w:val="0"/>
    <w:rPr>
      <w:kern w:val="2"/>
      <w:sz w:val="21"/>
      <w:szCs w:val="24"/>
    </w:rPr>
  </w:style>
  <w:style w:type="paragraph" w:customStyle="1" w:styleId="52">
    <w:name w:val="无间隔1"/>
    <w:basedOn w:val="1"/>
    <w:qFormat/>
    <w:uiPriority w:val="0"/>
    <w:pPr>
      <w:spacing w:line="400" w:lineRule="exact"/>
    </w:pPr>
    <w:rPr>
      <w:sz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UserStyle_186"/>
    <w:basedOn w:val="1"/>
    <w:qFormat/>
    <w:uiPriority w:val="0"/>
    <w:rPr>
      <w:rFonts w:ascii="宋体" w:hAnsi="宋体"/>
      <w:lang w:val="zh-CN" w:bidi="zh-CN"/>
    </w:rPr>
  </w:style>
  <w:style w:type="character" w:customStyle="1" w:styleId="55">
    <w:name w:val="NormalCharacter"/>
    <w:semiHidden/>
    <w:qFormat/>
    <w:uiPriority w:val="0"/>
  </w:style>
  <w:style w:type="paragraph" w:customStyle="1" w:styleId="56">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
    <w:name w:val="列表段落"/>
    <w:basedOn w:val="1"/>
    <w:qFormat/>
    <w:uiPriority w:val="0"/>
    <w:pPr>
      <w:ind w:firstLine="420" w:firstLineChars="200"/>
    </w:pPr>
    <w:rPr>
      <w:sz w:val="28"/>
      <w:szCs w:val="28"/>
    </w:rPr>
  </w:style>
  <w:style w:type="paragraph" w:customStyle="1" w:styleId="58">
    <w:name w:val="招标正文"/>
    <w:basedOn w:val="1"/>
    <w:qFormat/>
    <w:uiPriority w:val="0"/>
    <w:pPr>
      <w:spacing w:line="300" w:lineRule="auto"/>
      <w:ind w:firstLine="420" w:firstLineChars="200"/>
    </w:pPr>
    <w:rPr>
      <w:rFonts w:ascii="Calibri" w:hAnsi="Calibri"/>
      <w:szCs w:val="18"/>
    </w:rPr>
  </w:style>
  <w:style w:type="character" w:customStyle="1" w:styleId="59">
    <w:name w:val="批注框文本 Char"/>
    <w:basedOn w:val="30"/>
    <w:link w:val="16"/>
    <w:qFormat/>
    <w:uiPriority w:val="0"/>
    <w:rPr>
      <w:kern w:val="2"/>
      <w:sz w:val="18"/>
      <w:szCs w:val="18"/>
    </w:rPr>
  </w:style>
  <w:style w:type="paragraph" w:customStyle="1" w:styleId="60">
    <w:name w:val="UserStyle_348"/>
    <w:basedOn w:val="1"/>
    <w:qFormat/>
    <w:uiPriority w:val="0"/>
    <w:pPr>
      <w:spacing w:line="288" w:lineRule="auto"/>
      <w:ind w:left="200" w:hanging="20"/>
      <w:textAlignment w:val="baseline"/>
    </w:pPr>
    <w:rPr>
      <w:color w:val="000000"/>
      <w:sz w:val="24"/>
    </w:rPr>
  </w:style>
  <w:style w:type="paragraph" w:styleId="61">
    <w:name w:val="List Paragraph"/>
    <w:basedOn w:val="1"/>
    <w:unhideWhenUsed/>
    <w:qFormat/>
    <w:uiPriority w:val="99"/>
    <w:pPr>
      <w:ind w:firstLine="420" w:firstLineChars="200"/>
    </w:pPr>
  </w:style>
  <w:style w:type="character" w:customStyle="1" w:styleId="62">
    <w:name w:val="标题 3 Char"/>
    <w:link w:val="4"/>
    <w:qFormat/>
    <w:uiPriority w:val="0"/>
    <w:rPr>
      <w:b/>
      <w:bCs/>
      <w:kern w:val="2"/>
      <w:sz w:val="32"/>
      <w:szCs w:val="32"/>
    </w:rPr>
  </w:style>
  <w:style w:type="character" w:customStyle="1" w:styleId="63">
    <w:name w:val="页眉 Char"/>
    <w:link w:val="18"/>
    <w:qFormat/>
    <w:uiPriority w:val="0"/>
    <w:rPr>
      <w:kern w:val="2"/>
      <w:sz w:val="18"/>
      <w:szCs w:val="18"/>
    </w:rPr>
  </w:style>
  <w:style w:type="character" w:customStyle="1" w:styleId="64">
    <w:name w:val="页脚 Char"/>
    <w:link w:val="17"/>
    <w:qFormat/>
    <w:uiPriority w:val="0"/>
    <w:rPr>
      <w:kern w:val="2"/>
      <w:sz w:val="18"/>
      <w:szCs w:val="18"/>
    </w:rPr>
  </w:style>
  <w:style w:type="character" w:customStyle="1" w:styleId="65">
    <w:name w:val="纯文本 Char"/>
    <w:link w:val="66"/>
    <w:qFormat/>
    <w:uiPriority w:val="0"/>
    <w:rPr>
      <w:rFonts w:ascii="黑体" w:eastAsia="黑体"/>
      <w:sz w:val="28"/>
      <w:lang w:eastAsia="en-US"/>
    </w:rPr>
  </w:style>
  <w:style w:type="paragraph" w:customStyle="1" w:styleId="66">
    <w:name w:val="纯文本1"/>
    <w:basedOn w:val="1"/>
    <w:link w:val="65"/>
    <w:qFormat/>
    <w:uiPriority w:val="0"/>
    <w:pPr>
      <w:spacing w:line="580" w:lineRule="exact"/>
      <w:ind w:right="-197" w:firstLine="200" w:firstLineChars="200"/>
    </w:pPr>
    <w:rPr>
      <w:rFonts w:ascii="黑体" w:eastAsia="黑体"/>
      <w:kern w:val="0"/>
      <w:sz w:val="28"/>
      <w:szCs w:val="20"/>
      <w:lang w:eastAsia="en-US"/>
    </w:rPr>
  </w:style>
  <w:style w:type="character" w:customStyle="1" w:styleId="67">
    <w:name w:val="批注引用1"/>
    <w:qFormat/>
    <w:uiPriority w:val="0"/>
    <w:rPr>
      <w:sz w:val="21"/>
      <w:szCs w:val="21"/>
    </w:rPr>
  </w:style>
  <w:style w:type="paragraph" w:customStyle="1" w:styleId="68">
    <w:name w:val="p0"/>
    <w:basedOn w:val="1"/>
    <w:qFormat/>
    <w:uiPriority w:val="0"/>
    <w:rPr>
      <w:szCs w:val="21"/>
    </w:rPr>
  </w:style>
  <w:style w:type="paragraph" w:customStyle="1" w:styleId="69">
    <w:name w:val="修订1"/>
    <w:qFormat/>
    <w:uiPriority w:val="0"/>
    <w:rPr>
      <w:rFonts w:ascii="Calibri" w:hAnsi="Calibri" w:eastAsia="宋体" w:cs="黑体"/>
      <w:kern w:val="2"/>
      <w:sz w:val="21"/>
      <w:szCs w:val="22"/>
      <w:lang w:val="en-US" w:eastAsia="zh-CN" w:bidi="ar-SA"/>
    </w:rPr>
  </w:style>
  <w:style w:type="paragraph" w:customStyle="1" w:styleId="7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1">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2">
    <w:name w:val="表体"/>
    <w:basedOn w:val="1"/>
    <w:next w:val="1"/>
    <w:qFormat/>
    <w:uiPriority w:val="0"/>
    <w:pPr>
      <w:spacing w:line="0" w:lineRule="atLeast"/>
    </w:pPr>
    <w:rPr>
      <w:b/>
      <w:snapToGrid w:val="0"/>
      <w:szCs w:val="20"/>
    </w:rPr>
  </w:style>
  <w:style w:type="paragraph" w:customStyle="1" w:styleId="73">
    <w:name w:val="pa-34"/>
    <w:basedOn w:val="1"/>
    <w:qFormat/>
    <w:uiPriority w:val="0"/>
    <w:pPr>
      <w:widowControl/>
      <w:spacing w:line="360" w:lineRule="atLeast"/>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39344</Words>
  <Characters>42013</Characters>
  <Lines>99</Lines>
  <Paragraphs>98</Paragraphs>
  <TotalTime>1</TotalTime>
  <ScaleCrop>false</ScaleCrop>
  <LinksUpToDate>false</LinksUpToDate>
  <CharactersWithSpaces>44083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2020-12-22T07:34:00Z</dcterms:created>
  <dc:creator>xiaomi</dc:creator>
  <cp:lastModifiedBy>阿胖财神</cp:lastModifiedBy>
  <cp:lastPrinted>2023-08-04T09:00:00Z</cp:lastPrinted>
  <dcterms:modified xsi:type="dcterms:W3CDTF">2025-06-06T13:32:22Z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3E71866377744DCD950C26389015FC04_13</vt:lpwstr>
  </property>
  <property fmtid="{D5CDD505-2E9C-101B-9397-08002B2CF9AE}" pid="4" name="KSOTemplateDocerSaveRecord">
    <vt:lpwstr>eyJoZGlkIjoiYzAzZGIxNDY5ZjUzZTQ2OGI0NGM1MTU3MGQ5MTYzNDIifQ==</vt:lpwstr>
  </property>
</Properties>
</file>