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399FD3">
      <w:pPr>
        <w:spacing w:line="1600" w:lineRule="exact"/>
        <w:outlineLvl w:val="9"/>
        <w:rPr>
          <w:rFonts w:hint="eastAsia" w:ascii="宋体" w:hAnsi="宋体" w:eastAsia="宋体" w:cs="宋体"/>
          <w:b/>
          <w:color w:val="auto"/>
          <w:sz w:val="100"/>
          <w:highlight w:val="none"/>
        </w:rPr>
      </w:pPr>
    </w:p>
    <w:p w14:paraId="649876D3">
      <w:pPr>
        <w:spacing w:line="1600" w:lineRule="exact"/>
        <w:jc w:val="center"/>
        <w:outlineLvl w:val="0"/>
        <w:rPr>
          <w:rFonts w:hint="eastAsia" w:ascii="宋体" w:hAnsi="宋体" w:eastAsia="宋体" w:cs="宋体"/>
          <w:b/>
          <w:bCs/>
          <w:color w:val="auto"/>
          <w:spacing w:val="80"/>
          <w:sz w:val="86"/>
          <w:szCs w:val="86"/>
          <w:highlight w:val="none"/>
        </w:rPr>
      </w:pPr>
    </w:p>
    <w:p w14:paraId="488CE13F">
      <w:pPr>
        <w:spacing w:line="1600" w:lineRule="exact"/>
        <w:jc w:val="center"/>
        <w:outlineLvl w:val="0"/>
        <w:rPr>
          <w:rFonts w:hint="eastAsia" w:ascii="宋体" w:hAnsi="宋体" w:eastAsia="宋体" w:cs="宋体"/>
          <w:color w:val="auto"/>
          <w:sz w:val="120"/>
          <w:szCs w:val="120"/>
          <w:highlight w:val="none"/>
        </w:rPr>
      </w:pPr>
      <w:r>
        <w:rPr>
          <w:rFonts w:hint="eastAsia" w:ascii="宋体" w:hAnsi="宋体" w:eastAsia="宋体" w:cs="宋体"/>
          <w:b/>
          <w:bCs/>
          <w:color w:val="auto"/>
          <w:spacing w:val="80"/>
          <w:sz w:val="86"/>
          <w:szCs w:val="86"/>
          <w:highlight w:val="none"/>
        </w:rPr>
        <w:t>网上</w:t>
      </w:r>
      <w:r>
        <w:rPr>
          <w:rFonts w:hint="eastAsia" w:ascii="宋体" w:hAnsi="宋体" w:cs="宋体"/>
          <w:b/>
          <w:bCs/>
          <w:color w:val="auto"/>
          <w:spacing w:val="80"/>
          <w:sz w:val="86"/>
          <w:szCs w:val="86"/>
          <w:highlight w:val="none"/>
          <w:lang w:val="en-US" w:eastAsia="zh-CN"/>
        </w:rPr>
        <w:t>竞采</w:t>
      </w:r>
      <w:r>
        <w:rPr>
          <w:rFonts w:hint="eastAsia" w:ascii="宋体" w:hAnsi="宋体" w:eastAsia="宋体" w:cs="宋体"/>
          <w:b/>
          <w:bCs/>
          <w:color w:val="auto"/>
          <w:spacing w:val="80"/>
          <w:sz w:val="86"/>
          <w:szCs w:val="86"/>
          <w:highlight w:val="none"/>
        </w:rPr>
        <w:t>文件</w:t>
      </w:r>
    </w:p>
    <w:p w14:paraId="2AE3BEC2">
      <w:pPr>
        <w:pStyle w:val="24"/>
        <w:spacing w:line="500" w:lineRule="exact"/>
        <w:ind w:left="0"/>
        <w:jc w:val="center"/>
        <w:rPr>
          <w:rFonts w:hint="eastAsia" w:ascii="宋体" w:hAnsi="宋体" w:eastAsia="宋体" w:cs="宋体"/>
          <w:color w:val="auto"/>
          <w:sz w:val="32"/>
          <w:highlight w:val="none"/>
        </w:rPr>
      </w:pPr>
    </w:p>
    <w:p w14:paraId="485A73DD">
      <w:pPr>
        <w:pStyle w:val="24"/>
        <w:spacing w:line="500" w:lineRule="exact"/>
        <w:ind w:left="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（综合评分）</w:t>
      </w:r>
    </w:p>
    <w:p w14:paraId="6431C0F7">
      <w:pPr>
        <w:pStyle w:val="24"/>
        <w:spacing w:line="500" w:lineRule="exact"/>
        <w:ind w:left="0"/>
        <w:jc w:val="center"/>
        <w:rPr>
          <w:rFonts w:hint="eastAsia" w:ascii="宋体" w:hAnsi="宋体" w:eastAsia="宋体" w:cs="宋体"/>
          <w:b/>
          <w:bCs/>
          <w:color w:val="auto"/>
          <w:sz w:val="32"/>
          <w:highlight w:val="none"/>
        </w:rPr>
      </w:pPr>
    </w:p>
    <w:p w14:paraId="505E7606">
      <w:pPr>
        <w:pStyle w:val="24"/>
        <w:spacing w:line="500" w:lineRule="exact"/>
        <w:ind w:left="0"/>
        <w:rPr>
          <w:rFonts w:hint="eastAsia" w:ascii="宋体" w:hAnsi="宋体" w:eastAsia="宋体" w:cs="宋体"/>
          <w:color w:val="auto"/>
          <w:sz w:val="32"/>
          <w:highlight w:val="none"/>
        </w:rPr>
      </w:pPr>
    </w:p>
    <w:p w14:paraId="4DA67EC8">
      <w:pPr>
        <w:pStyle w:val="24"/>
        <w:spacing w:line="500" w:lineRule="exact"/>
        <w:ind w:left="0"/>
        <w:rPr>
          <w:rFonts w:hint="eastAsia" w:ascii="宋体" w:hAnsi="宋体" w:eastAsia="宋体" w:cs="宋体"/>
          <w:color w:val="auto"/>
          <w:sz w:val="32"/>
          <w:highlight w:val="none"/>
        </w:rPr>
      </w:pPr>
    </w:p>
    <w:p w14:paraId="528279D1">
      <w:pPr>
        <w:pStyle w:val="24"/>
        <w:spacing w:line="500" w:lineRule="exact"/>
        <w:ind w:left="0"/>
        <w:jc w:val="center"/>
        <w:rPr>
          <w:rFonts w:hint="eastAsia" w:ascii="宋体" w:hAnsi="宋体" w:eastAsia="宋体" w:cs="宋体"/>
          <w:color w:val="auto"/>
          <w:sz w:val="32"/>
          <w:highlight w:val="none"/>
        </w:rPr>
      </w:pPr>
    </w:p>
    <w:p w14:paraId="450F1512">
      <w:pPr>
        <w:spacing w:line="500" w:lineRule="exact"/>
        <w:jc w:val="center"/>
        <w:outlineLvl w:val="9"/>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采购项目名称</w:t>
      </w:r>
      <w:r>
        <w:rPr>
          <w:rFonts w:hint="eastAsia" w:ascii="宋体" w:hAnsi="宋体" w:cs="宋体"/>
          <w:color w:val="auto"/>
          <w:sz w:val="30"/>
          <w:szCs w:val="30"/>
          <w:highlight w:val="none"/>
          <w:lang w:eastAsia="zh-CN"/>
        </w:rPr>
        <w:t>：重庆市竞技体育训练中心食堂升级改造项目</w:t>
      </w:r>
    </w:p>
    <w:p w14:paraId="1DD26658">
      <w:pPr>
        <w:pStyle w:val="24"/>
        <w:spacing w:line="500" w:lineRule="exact"/>
        <w:ind w:left="0"/>
        <w:jc w:val="both"/>
        <w:rPr>
          <w:rFonts w:hint="eastAsia" w:ascii="宋体" w:hAnsi="宋体" w:eastAsia="宋体" w:cs="宋体"/>
          <w:color w:val="auto"/>
          <w:sz w:val="32"/>
          <w:highlight w:val="none"/>
        </w:rPr>
      </w:pPr>
    </w:p>
    <w:p w14:paraId="72CEA2B7">
      <w:pPr>
        <w:pStyle w:val="76"/>
        <w:rPr>
          <w:rFonts w:hint="eastAsia" w:ascii="宋体" w:hAnsi="宋体" w:eastAsia="宋体" w:cs="宋体"/>
          <w:color w:val="auto"/>
          <w:highlight w:val="none"/>
        </w:rPr>
      </w:pPr>
    </w:p>
    <w:p w14:paraId="6D6977B0">
      <w:pPr>
        <w:pStyle w:val="76"/>
        <w:rPr>
          <w:rFonts w:hint="eastAsia" w:ascii="宋体" w:hAnsi="宋体" w:eastAsia="宋体" w:cs="宋体"/>
          <w:color w:val="auto"/>
          <w:highlight w:val="none"/>
        </w:rPr>
      </w:pPr>
    </w:p>
    <w:p w14:paraId="7AC8C591">
      <w:pPr>
        <w:pStyle w:val="76"/>
        <w:rPr>
          <w:rFonts w:hint="eastAsia" w:ascii="宋体" w:hAnsi="宋体" w:eastAsia="宋体" w:cs="宋体"/>
          <w:color w:val="auto"/>
          <w:highlight w:val="none"/>
        </w:rPr>
      </w:pPr>
    </w:p>
    <w:p w14:paraId="0786B763">
      <w:pPr>
        <w:pStyle w:val="76"/>
        <w:rPr>
          <w:rFonts w:hint="eastAsia" w:ascii="宋体" w:hAnsi="宋体" w:eastAsia="宋体" w:cs="宋体"/>
          <w:color w:val="auto"/>
          <w:highlight w:val="none"/>
        </w:rPr>
      </w:pPr>
    </w:p>
    <w:p w14:paraId="15B0B471">
      <w:pPr>
        <w:pStyle w:val="76"/>
        <w:rPr>
          <w:rFonts w:hint="eastAsia" w:ascii="宋体" w:hAnsi="宋体" w:eastAsia="宋体" w:cs="宋体"/>
          <w:color w:val="auto"/>
          <w:highlight w:val="none"/>
        </w:rPr>
      </w:pPr>
    </w:p>
    <w:p w14:paraId="298DF9AE">
      <w:pPr>
        <w:pStyle w:val="76"/>
        <w:rPr>
          <w:rFonts w:hint="eastAsia" w:ascii="宋体" w:hAnsi="宋体" w:eastAsia="宋体" w:cs="宋体"/>
          <w:color w:val="auto"/>
          <w:highlight w:val="none"/>
        </w:rPr>
      </w:pPr>
    </w:p>
    <w:p w14:paraId="0FB92867">
      <w:pPr>
        <w:pStyle w:val="76"/>
        <w:rPr>
          <w:rFonts w:hint="eastAsia" w:ascii="宋体" w:hAnsi="宋体" w:eastAsia="宋体" w:cs="宋体"/>
          <w:color w:val="auto"/>
          <w:highlight w:val="none"/>
        </w:rPr>
      </w:pPr>
    </w:p>
    <w:p w14:paraId="07DBFE91">
      <w:pPr>
        <w:spacing w:line="500" w:lineRule="exact"/>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采购人：重庆市竞技体育训练中心</w:t>
      </w:r>
    </w:p>
    <w:p w14:paraId="573C4C73">
      <w:pPr>
        <w:spacing w:line="500" w:lineRule="exact"/>
        <w:jc w:val="center"/>
        <w:outlineLvl w:val="9"/>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val="en-US" w:eastAsia="zh-CN"/>
        </w:rPr>
        <w:t>重庆市鼎运工程咨询有限公司</w:t>
      </w:r>
    </w:p>
    <w:p w14:paraId="5324DD02">
      <w:pPr>
        <w:rPr>
          <w:rFonts w:hint="eastAsia" w:ascii="宋体" w:hAnsi="宋体" w:eastAsia="宋体" w:cs="宋体"/>
          <w:color w:val="auto"/>
          <w:highlight w:val="none"/>
        </w:rPr>
      </w:pPr>
    </w:p>
    <w:p w14:paraId="25027ACD">
      <w:pPr>
        <w:rPr>
          <w:rFonts w:hint="eastAsia" w:ascii="宋体" w:hAnsi="宋体" w:eastAsia="宋体" w:cs="宋体"/>
          <w:color w:val="auto"/>
          <w:highlight w:val="none"/>
        </w:rPr>
      </w:pPr>
    </w:p>
    <w:p w14:paraId="07D63854">
      <w:pPr>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八</w:t>
      </w:r>
      <w:r>
        <w:rPr>
          <w:rFonts w:hint="eastAsia" w:ascii="宋体" w:hAnsi="宋体" w:eastAsia="宋体" w:cs="宋体"/>
          <w:color w:val="auto"/>
          <w:sz w:val="32"/>
          <w:szCs w:val="32"/>
          <w:highlight w:val="none"/>
        </w:rPr>
        <w:t>月</w:t>
      </w:r>
    </w:p>
    <w:p w14:paraId="6DF655B3">
      <w:pPr>
        <w:spacing w:line="480" w:lineRule="exact"/>
        <w:jc w:val="center"/>
        <w:outlineLvl w:val="9"/>
        <w:rPr>
          <w:rFonts w:hint="eastAsia" w:ascii="宋体" w:hAnsi="宋体" w:eastAsia="宋体" w:cs="宋体"/>
          <w:color w:val="auto"/>
          <w:sz w:val="44"/>
          <w:szCs w:val="28"/>
          <w:highlight w:val="none"/>
        </w:rPr>
      </w:pPr>
    </w:p>
    <w:p w14:paraId="54A69E88">
      <w:pPr>
        <w:pStyle w:val="60"/>
        <w:rPr>
          <w:rFonts w:hint="eastAsia" w:ascii="宋体" w:hAnsi="宋体" w:eastAsia="宋体" w:cs="宋体"/>
          <w:color w:val="auto"/>
          <w:highlight w:val="none"/>
        </w:rPr>
      </w:pPr>
    </w:p>
    <w:p w14:paraId="52D97432">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3C517655">
      <w:pPr>
        <w:spacing w:line="480" w:lineRule="exact"/>
        <w:jc w:val="center"/>
        <w:outlineLvl w:val="0"/>
        <w:rPr>
          <w:rFonts w:hint="eastAsia" w:ascii="宋体" w:hAnsi="宋体" w:eastAsia="宋体" w:cs="宋体"/>
          <w:color w:val="auto"/>
          <w:sz w:val="44"/>
          <w:szCs w:val="28"/>
          <w:highlight w:val="none"/>
        </w:rPr>
      </w:pPr>
    </w:p>
    <w:p w14:paraId="14872874">
      <w:pPr>
        <w:pStyle w:val="39"/>
        <w:tabs>
          <w:tab w:val="right" w:leader="dot" w:pos="9412"/>
        </w:tabs>
        <w:spacing w:line="48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_Toc20070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_Toc20070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szCs w:val="24"/>
          <w:highlight w:val="none"/>
        </w:rPr>
        <w:fldChar w:fldCharType="end"/>
      </w:r>
    </w:p>
    <w:p w14:paraId="0C4AFD86">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_Toc31545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第二篇 采购项目技术需求</w:t>
      </w:r>
      <w:r>
        <w:rPr>
          <w:color w:val="auto"/>
          <w:highlight w:val="none"/>
        </w:rPr>
        <w:tab/>
      </w:r>
      <w:r>
        <w:rPr>
          <w:color w:val="auto"/>
          <w:highlight w:val="none"/>
        </w:rPr>
        <w:fldChar w:fldCharType="begin"/>
      </w:r>
      <w:r>
        <w:rPr>
          <w:color w:val="auto"/>
          <w:highlight w:val="none"/>
        </w:rPr>
        <w:instrText xml:space="preserve"> PAGEREF _Toc31545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4"/>
          <w:highlight w:val="none"/>
        </w:rPr>
        <w:fldChar w:fldCharType="end"/>
      </w:r>
    </w:p>
    <w:p w14:paraId="17EA3E57">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_Toc19753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采购项目商务需求</w:t>
      </w:r>
      <w:r>
        <w:rPr>
          <w:color w:val="auto"/>
          <w:highlight w:val="none"/>
        </w:rPr>
        <w:tab/>
      </w:r>
      <w:r>
        <w:rPr>
          <w:color w:val="auto"/>
          <w:highlight w:val="none"/>
        </w:rPr>
        <w:fldChar w:fldCharType="begin"/>
      </w:r>
      <w:r>
        <w:rPr>
          <w:color w:val="auto"/>
          <w:highlight w:val="none"/>
        </w:rPr>
        <w:instrText xml:space="preserve"> PAGEREF _Toc19753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4"/>
          <w:highlight w:val="none"/>
        </w:rPr>
        <w:fldChar w:fldCharType="end"/>
      </w:r>
    </w:p>
    <w:p w14:paraId="1714472D">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_Toc12759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pacing w:val="-11"/>
          <w:szCs w:val="30"/>
          <w:highlight w:val="none"/>
        </w:rPr>
        <w:t xml:space="preserve">第四篇 </w:t>
      </w:r>
      <w:r>
        <w:rPr>
          <w:rFonts w:hint="eastAsia" w:hAnsi="宋体" w:cs="宋体"/>
          <w:color w:val="auto"/>
          <w:spacing w:val="-11"/>
          <w:szCs w:val="30"/>
          <w:highlight w:val="none"/>
          <w:lang w:val="en-US" w:eastAsia="zh-CN"/>
        </w:rPr>
        <w:t xml:space="preserve"> </w:t>
      </w:r>
      <w:r>
        <w:rPr>
          <w:rFonts w:hint="eastAsia" w:ascii="宋体" w:hAnsi="宋体" w:eastAsia="宋体" w:cs="宋体"/>
          <w:color w:val="auto"/>
          <w:spacing w:val="-11"/>
          <w:szCs w:val="30"/>
          <w:highlight w:val="none"/>
        </w:rPr>
        <w:t>竞采程序及方法、评审标准、响应无效和</w:t>
      </w:r>
      <w:r>
        <w:rPr>
          <w:rFonts w:hint="eastAsia" w:ascii="宋体" w:hAnsi="宋体" w:eastAsia="宋体" w:cs="宋体"/>
          <w:color w:val="auto"/>
          <w:spacing w:val="-11"/>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_Toc12759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4"/>
          <w:highlight w:val="none"/>
        </w:rPr>
        <w:fldChar w:fldCharType="end"/>
      </w:r>
    </w:p>
    <w:p w14:paraId="032DDC8F">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_Toc12492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_Toc12492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4"/>
          <w:highlight w:val="none"/>
        </w:rPr>
        <w:fldChar w:fldCharType="end"/>
      </w:r>
    </w:p>
    <w:p w14:paraId="13949E09">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_Toc7606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第六篇 采购合同（仅供参考）</w:t>
      </w:r>
      <w:r>
        <w:rPr>
          <w:color w:val="auto"/>
          <w:highlight w:val="none"/>
        </w:rPr>
        <w:tab/>
      </w:r>
      <w:r>
        <w:rPr>
          <w:color w:val="auto"/>
          <w:highlight w:val="none"/>
        </w:rPr>
        <w:fldChar w:fldCharType="begin"/>
      </w:r>
      <w:r>
        <w:rPr>
          <w:color w:val="auto"/>
          <w:highlight w:val="none"/>
        </w:rPr>
        <w:instrText xml:space="preserve"> PAGEREF _Toc7606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4"/>
          <w:highlight w:val="none"/>
        </w:rPr>
        <w:fldChar w:fldCharType="end"/>
      </w:r>
    </w:p>
    <w:p w14:paraId="5FA27742">
      <w:pPr>
        <w:pStyle w:val="3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_Toc9476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_Toc9476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4"/>
          <w:highlight w:val="none"/>
        </w:rPr>
        <w:fldChar w:fldCharType="end"/>
      </w:r>
    </w:p>
    <w:p w14:paraId="105E47F1">
      <w:pPr>
        <w:pStyle w:val="31"/>
        <w:tabs>
          <w:tab w:val="right" w:leader="dot" w:pos="9412"/>
        </w:tabs>
        <w:rPr>
          <w:color w:val="auto"/>
          <w:highlight w:val="none"/>
        </w:rPr>
      </w:pPr>
    </w:p>
    <w:p w14:paraId="5AF0879C">
      <w:pPr>
        <w:pStyle w:val="48"/>
        <w:tabs>
          <w:tab w:val="right" w:leader="dot" w:pos="9402"/>
        </w:tabs>
        <w:spacing w:line="480" w:lineRule="auto"/>
        <w:ind w:left="560"/>
        <w:jc w:val="both"/>
        <w:rPr>
          <w:rFonts w:hint="eastAsia" w:ascii="宋体" w:hAnsi="宋体" w:eastAsia="宋体" w:cs="宋体"/>
          <w:color w:val="auto"/>
          <w:sz w:val="18"/>
          <w:szCs w:val="2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bookmarkStart w:id="0" w:name="_Toc11641050"/>
      <w:bookmarkStart w:id="1" w:name="_Toc12789052"/>
    </w:p>
    <w:p w14:paraId="2BB27B6A">
      <w:pPr>
        <w:pStyle w:val="4"/>
        <w:spacing w:before="0" w:after="0" w:line="360" w:lineRule="auto"/>
        <w:jc w:val="center"/>
        <w:outlineLvl w:val="0"/>
        <w:rPr>
          <w:rFonts w:hint="eastAsia" w:ascii="宋体" w:hAnsi="宋体" w:eastAsia="宋体" w:cs="宋体"/>
          <w:color w:val="auto"/>
          <w:sz w:val="24"/>
          <w:szCs w:val="24"/>
          <w:highlight w:val="none"/>
        </w:rPr>
      </w:pPr>
      <w:bookmarkStart w:id="2" w:name="_Toc16094"/>
      <w:bookmarkStart w:id="3" w:name="_Toc20070"/>
      <w:r>
        <w:rPr>
          <w:rFonts w:hint="eastAsia" w:ascii="宋体" w:hAnsi="宋体" w:eastAsia="宋体" w:cs="宋体"/>
          <w:b w:val="0"/>
          <w:color w:val="auto"/>
          <w:sz w:val="36"/>
          <w:szCs w:val="30"/>
          <w:highlight w:val="none"/>
        </w:rPr>
        <w:t>第一篇 采购邀请书</w:t>
      </w:r>
      <w:bookmarkEnd w:id="0"/>
      <w:bookmarkEnd w:id="1"/>
      <w:bookmarkEnd w:id="2"/>
      <w:bookmarkEnd w:id="3"/>
    </w:p>
    <w:p w14:paraId="3B21B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重庆市鼎运工程咨询有限公司</w:t>
      </w:r>
      <w:r>
        <w:rPr>
          <w:rFonts w:hint="eastAsia" w:ascii="宋体" w:hAnsi="宋体" w:eastAsia="宋体" w:cs="宋体"/>
          <w:color w:val="auto"/>
          <w:sz w:val="24"/>
          <w:szCs w:val="24"/>
          <w:highlight w:val="none"/>
        </w:rPr>
        <w:t>（以下简称：采购代理机构）接受重庆市竞技体育训练中心（以下简称：采购人）的委托，对</w:t>
      </w:r>
      <w:r>
        <w:rPr>
          <w:rFonts w:hint="eastAsia" w:ascii="宋体" w:hAnsi="宋体" w:cs="宋体"/>
          <w:color w:val="auto"/>
          <w:sz w:val="24"/>
          <w:szCs w:val="24"/>
          <w:highlight w:val="none"/>
          <w:u w:val="single"/>
          <w:lang w:eastAsia="zh-CN"/>
        </w:rPr>
        <w:t>重庆市竞技体育训练中心食堂升级改造项目</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欢迎有资格的供应商前来参与。</w:t>
      </w:r>
    </w:p>
    <w:p w14:paraId="31A71B61">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 w:name="_Toc20721"/>
      <w:bookmarkStart w:id="5" w:name="_Toc22851"/>
      <w:bookmarkStart w:id="6" w:name="_Toc317775175"/>
      <w:bookmarkStart w:id="7" w:name="_Toc313893526"/>
      <w:bookmarkStart w:id="8" w:name="_Toc4491"/>
      <w:bookmarkStart w:id="9" w:name="_Toc11140"/>
      <w:bookmarkStart w:id="10" w:name="_Toc24549"/>
      <w:r>
        <w:rPr>
          <w:rFonts w:hint="eastAsia" w:ascii="宋体" w:hAnsi="宋体" w:eastAsia="宋体" w:cs="宋体"/>
          <w:color w:val="auto"/>
          <w:sz w:val="24"/>
          <w:szCs w:val="24"/>
          <w:highlight w:val="none"/>
        </w:rPr>
        <w:t>一、竞采内容</w:t>
      </w:r>
      <w:bookmarkEnd w:id="4"/>
      <w:bookmarkEnd w:id="5"/>
      <w:bookmarkEnd w:id="6"/>
      <w:bookmarkEnd w:id="7"/>
      <w:bookmarkEnd w:id="8"/>
      <w:bookmarkEnd w:id="9"/>
      <w:bookmarkEnd w:id="10"/>
    </w:p>
    <w:tbl>
      <w:tblPr>
        <w:tblStyle w:val="6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740"/>
        <w:gridCol w:w="2100"/>
        <w:gridCol w:w="2752"/>
      </w:tblGrid>
      <w:tr w14:paraId="0BA5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075" w:type="dxa"/>
            <w:tcBorders>
              <w:top w:val="single" w:color="auto" w:sz="4" w:space="0"/>
              <w:left w:val="single" w:color="auto" w:sz="4" w:space="0"/>
              <w:right w:val="single" w:color="auto" w:sz="4" w:space="0"/>
            </w:tcBorders>
            <w:vAlign w:val="center"/>
          </w:tcPr>
          <w:p w14:paraId="05E5A4F0">
            <w:pPr>
              <w:widowControl/>
              <w:jc w:val="center"/>
              <w:rPr>
                <w:rFonts w:hint="eastAsia" w:ascii="宋体" w:hAnsi="宋体" w:eastAsia="宋体" w:cs="宋体"/>
                <w:b/>
                <w:bCs/>
                <w:color w:val="auto"/>
                <w:kern w:val="0"/>
                <w:sz w:val="24"/>
                <w:szCs w:val="24"/>
                <w:highlight w:val="none"/>
              </w:rPr>
            </w:pPr>
            <w:bookmarkStart w:id="11" w:name="_Toc373860293"/>
            <w:bookmarkStart w:id="12" w:name="_Toc317775178"/>
            <w:r>
              <w:rPr>
                <w:rFonts w:hint="eastAsia" w:ascii="宋体" w:hAnsi="宋体" w:eastAsia="宋体" w:cs="宋体"/>
                <w:b/>
                <w:bCs/>
                <w:color w:val="auto"/>
                <w:kern w:val="0"/>
                <w:sz w:val="24"/>
                <w:szCs w:val="24"/>
                <w:highlight w:val="none"/>
              </w:rPr>
              <w:t>采购项目名称</w:t>
            </w:r>
          </w:p>
        </w:tc>
        <w:tc>
          <w:tcPr>
            <w:tcW w:w="1740" w:type="dxa"/>
            <w:tcBorders>
              <w:top w:val="single" w:color="auto" w:sz="4" w:space="0"/>
              <w:left w:val="single" w:color="auto" w:sz="4" w:space="0"/>
              <w:right w:val="single" w:color="auto" w:sz="4" w:space="0"/>
            </w:tcBorders>
            <w:vAlign w:val="center"/>
          </w:tcPr>
          <w:p w14:paraId="2BFE43C7">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3A3FD33F">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2100" w:type="dxa"/>
            <w:tcBorders>
              <w:top w:val="single" w:color="auto" w:sz="4" w:space="0"/>
              <w:left w:val="single" w:color="auto" w:sz="4" w:space="0"/>
              <w:right w:val="single" w:color="auto" w:sz="4" w:space="0"/>
            </w:tcBorders>
            <w:vAlign w:val="center"/>
          </w:tcPr>
          <w:p w14:paraId="4242D7AE">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752" w:type="dxa"/>
            <w:tcBorders>
              <w:top w:val="single" w:color="auto" w:sz="4" w:space="0"/>
              <w:left w:val="single" w:color="auto" w:sz="4" w:space="0"/>
              <w:right w:val="single" w:color="auto" w:sz="4" w:space="0"/>
            </w:tcBorders>
            <w:vAlign w:val="center"/>
          </w:tcPr>
          <w:p w14:paraId="3DC43B8A">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采购标的对应的中小企业划分标准所属行业</w:t>
            </w:r>
          </w:p>
        </w:tc>
      </w:tr>
      <w:tr w14:paraId="16E1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075" w:type="dxa"/>
            <w:tcBorders>
              <w:top w:val="single" w:color="auto" w:sz="4" w:space="0"/>
              <w:left w:val="single" w:color="auto" w:sz="4" w:space="0"/>
              <w:bottom w:val="single" w:color="auto" w:sz="4" w:space="0"/>
              <w:right w:val="single" w:color="auto" w:sz="4" w:space="0"/>
            </w:tcBorders>
            <w:vAlign w:val="center"/>
          </w:tcPr>
          <w:p w14:paraId="3F1140E6">
            <w:pPr>
              <w:jc w:val="center"/>
              <w:rPr>
                <w:rFonts w:hint="eastAsia" w:ascii="宋体" w:hAnsi="宋体" w:eastAsia="宋体" w:cs="宋体"/>
                <w:color w:val="auto"/>
                <w:sz w:val="24"/>
                <w:szCs w:val="24"/>
                <w:highlight w:val="none"/>
                <w:lang w:eastAsia="zh-CN"/>
              </w:rPr>
            </w:pPr>
            <w:bookmarkStart w:id="13" w:name="_Hlk344477914"/>
            <w:r>
              <w:rPr>
                <w:rFonts w:hint="eastAsia" w:ascii="宋体" w:hAnsi="宋体" w:cs="宋体"/>
                <w:color w:val="auto"/>
                <w:sz w:val="24"/>
                <w:szCs w:val="24"/>
                <w:highlight w:val="none"/>
                <w:lang w:eastAsia="zh-CN"/>
              </w:rPr>
              <w:t xml:space="preserve">重庆市竞技体育训练中心食堂升级改造项目  </w:t>
            </w:r>
          </w:p>
        </w:tc>
        <w:tc>
          <w:tcPr>
            <w:tcW w:w="1740" w:type="dxa"/>
            <w:tcBorders>
              <w:top w:val="single" w:color="auto" w:sz="4" w:space="0"/>
              <w:left w:val="single" w:color="auto" w:sz="4" w:space="0"/>
              <w:right w:val="single" w:color="auto" w:sz="4" w:space="0"/>
            </w:tcBorders>
            <w:vAlign w:val="center"/>
          </w:tcPr>
          <w:p w14:paraId="146854C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748022.06</w:t>
            </w:r>
          </w:p>
        </w:tc>
        <w:tc>
          <w:tcPr>
            <w:tcW w:w="2100" w:type="dxa"/>
            <w:tcBorders>
              <w:top w:val="single" w:color="auto" w:sz="4" w:space="0"/>
              <w:left w:val="single" w:color="auto" w:sz="4" w:space="0"/>
              <w:right w:val="single" w:color="auto" w:sz="4" w:space="0"/>
            </w:tcBorders>
            <w:vAlign w:val="center"/>
          </w:tcPr>
          <w:p w14:paraId="3D7150A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2" w:type="dxa"/>
            <w:tcBorders>
              <w:top w:val="single" w:color="auto" w:sz="4" w:space="0"/>
              <w:left w:val="single" w:color="auto" w:sz="4" w:space="0"/>
              <w:right w:val="single" w:color="auto" w:sz="4" w:space="0"/>
            </w:tcBorders>
            <w:vAlign w:val="center"/>
          </w:tcPr>
          <w:p w14:paraId="103E704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建筑业</w:t>
            </w:r>
          </w:p>
        </w:tc>
      </w:tr>
      <w:bookmarkEnd w:id="13"/>
    </w:tbl>
    <w:p w14:paraId="63D51B60">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14" w:name="_Toc20110"/>
      <w:bookmarkStart w:id="15" w:name="_Toc29597"/>
      <w:bookmarkStart w:id="16" w:name="_Toc28115"/>
      <w:bookmarkStart w:id="17" w:name="_Toc27171"/>
      <w:bookmarkStart w:id="18" w:name="_Toc23365"/>
      <w:r>
        <w:rPr>
          <w:rFonts w:hint="eastAsia" w:ascii="宋体" w:hAnsi="宋体" w:eastAsia="宋体" w:cs="宋体"/>
          <w:color w:val="auto"/>
          <w:sz w:val="24"/>
          <w:szCs w:val="24"/>
          <w:highlight w:val="none"/>
        </w:rPr>
        <w:t>二、资金来源</w:t>
      </w:r>
      <w:bookmarkEnd w:id="14"/>
      <w:bookmarkEnd w:id="15"/>
      <w:bookmarkEnd w:id="16"/>
      <w:bookmarkEnd w:id="17"/>
      <w:bookmarkEnd w:id="18"/>
    </w:p>
    <w:p w14:paraId="64855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财政资金</w:t>
      </w:r>
      <w:r>
        <w:rPr>
          <w:rFonts w:hint="eastAsia" w:ascii="宋体" w:hAnsi="宋体" w:eastAsia="宋体" w:cs="宋体"/>
          <w:color w:val="auto"/>
          <w:sz w:val="24"/>
          <w:szCs w:val="24"/>
          <w:highlight w:val="none"/>
        </w:rPr>
        <w:t>。</w:t>
      </w:r>
    </w:p>
    <w:p w14:paraId="585B48CF">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19" w:name="_Toc15957"/>
      <w:bookmarkStart w:id="20" w:name="_Toc30550"/>
      <w:bookmarkStart w:id="21" w:name="_Toc15020"/>
      <w:bookmarkStart w:id="22" w:name="_Toc31735"/>
      <w:bookmarkStart w:id="23" w:name="_Toc28288"/>
      <w:r>
        <w:rPr>
          <w:rFonts w:hint="eastAsia" w:ascii="宋体" w:hAnsi="宋体" w:eastAsia="宋体" w:cs="宋体"/>
          <w:color w:val="auto"/>
          <w:sz w:val="24"/>
          <w:szCs w:val="24"/>
          <w:highlight w:val="none"/>
        </w:rPr>
        <w:t>三、供应商资格条件</w:t>
      </w:r>
      <w:bookmarkEnd w:id="19"/>
      <w:bookmarkEnd w:id="20"/>
      <w:bookmarkEnd w:id="21"/>
      <w:bookmarkEnd w:id="22"/>
      <w:bookmarkEnd w:id="23"/>
      <w:bookmarkStart w:id="227" w:name="_GoBack"/>
      <w:bookmarkEnd w:id="227"/>
    </w:p>
    <w:p w14:paraId="0E509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4" w:name="_Toc13803"/>
      <w:r>
        <w:rPr>
          <w:rFonts w:hint="eastAsia" w:ascii="宋体" w:hAnsi="宋体" w:eastAsia="宋体" w:cs="宋体"/>
          <w:color w:val="auto"/>
          <w:sz w:val="24"/>
          <w:szCs w:val="24"/>
          <w:highlight w:val="none"/>
        </w:rPr>
        <w:t>（一）满足《中华人民共和国政府采购法》第二十二条规定</w:t>
      </w:r>
      <w:r>
        <w:rPr>
          <w:rFonts w:hint="eastAsia" w:ascii="宋体" w:hAnsi="宋体" w:eastAsia="宋体" w:cs="宋体"/>
          <w:color w:val="auto"/>
          <w:sz w:val="24"/>
          <w:szCs w:val="24"/>
          <w:highlight w:val="none"/>
          <w:lang w:eastAsia="zh-CN"/>
        </w:rPr>
        <w:t>；</w:t>
      </w:r>
    </w:p>
    <w:p w14:paraId="34834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w:t>
      </w:r>
    </w:p>
    <w:p w14:paraId="03D43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本项目专门面向中小企业采购，承建单位应为中小微企业（提供中小企业声明函）或监狱企业（提供监狱企业证明文件）或残疾人福利性单位（提供残疾人福利性单位声明函）。</w:t>
      </w:r>
    </w:p>
    <w:p w14:paraId="7F163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）本项目的特定资格要求：</w:t>
      </w:r>
    </w:p>
    <w:p w14:paraId="1F8C2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供应商须</w:t>
      </w:r>
      <w:r>
        <w:rPr>
          <w:rFonts w:hint="eastAsia" w:ascii="宋体" w:hAnsi="宋体" w:cs="宋体"/>
          <w:color w:val="auto"/>
          <w:sz w:val="24"/>
          <w:szCs w:val="24"/>
          <w:highlight w:val="none"/>
          <w:lang w:eastAsia="zh-CN"/>
        </w:rPr>
        <w:t>具备建设行政主管部门颁发的</w:t>
      </w:r>
      <w:r>
        <w:rPr>
          <w:rFonts w:hint="eastAsia" w:ascii="宋体" w:hAnsi="宋体" w:cs="宋体"/>
          <w:b/>
          <w:bCs/>
          <w:color w:val="auto"/>
          <w:sz w:val="24"/>
          <w:szCs w:val="24"/>
          <w:highlight w:val="none"/>
          <w:lang w:eastAsia="zh-CN"/>
        </w:rPr>
        <w:t>建筑工程施工总</w:t>
      </w:r>
      <w:r>
        <w:rPr>
          <w:rFonts w:hint="eastAsia" w:ascii="宋体" w:hAnsi="宋体" w:eastAsia="宋体" w:cs="宋体"/>
          <w:b/>
          <w:bCs/>
          <w:color w:val="auto"/>
          <w:sz w:val="24"/>
          <w:szCs w:val="24"/>
          <w:highlight w:val="none"/>
          <w:lang w:eastAsia="zh-CN"/>
        </w:rPr>
        <w:t>承包</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级</w:t>
      </w:r>
      <w:r>
        <w:rPr>
          <w:rFonts w:hint="eastAsia" w:ascii="宋体" w:hAnsi="宋体" w:cs="宋体"/>
          <w:b/>
          <w:bCs/>
          <w:color w:val="auto"/>
          <w:sz w:val="24"/>
          <w:szCs w:val="24"/>
          <w:highlight w:val="none"/>
          <w:lang w:val="en-US" w:eastAsia="zh-CN"/>
        </w:rPr>
        <w:t>及以上</w:t>
      </w:r>
      <w:r>
        <w:rPr>
          <w:rFonts w:hint="eastAsia" w:ascii="宋体" w:hAnsi="宋体" w:cs="宋体"/>
          <w:color w:val="auto"/>
          <w:sz w:val="24"/>
          <w:szCs w:val="24"/>
          <w:highlight w:val="none"/>
          <w:lang w:eastAsia="zh-CN"/>
        </w:rPr>
        <w:t>或</w:t>
      </w:r>
      <w:r>
        <w:rPr>
          <w:rFonts w:hint="eastAsia" w:ascii="宋体" w:hAnsi="宋体" w:cs="宋体"/>
          <w:b/>
          <w:bCs/>
          <w:color w:val="auto"/>
          <w:sz w:val="24"/>
          <w:szCs w:val="24"/>
          <w:highlight w:val="none"/>
          <w:lang w:eastAsia="zh-CN"/>
        </w:rPr>
        <w:t>建筑装修装饰工程专业承包二级及以上</w:t>
      </w:r>
      <w:r>
        <w:rPr>
          <w:rFonts w:hint="eastAsia" w:ascii="宋体" w:hAnsi="宋体" w:cs="宋体"/>
          <w:color w:val="auto"/>
          <w:sz w:val="24"/>
          <w:szCs w:val="24"/>
          <w:highlight w:val="none"/>
          <w:lang w:eastAsia="zh-CN"/>
        </w:rPr>
        <w:t>资质，并取得建设行政主管部门颁发的有效</w:t>
      </w:r>
      <w:r>
        <w:rPr>
          <w:rFonts w:hint="eastAsia" w:ascii="宋体" w:hAnsi="宋体" w:cs="宋体"/>
          <w:b/>
          <w:bCs/>
          <w:color w:val="auto"/>
          <w:sz w:val="24"/>
          <w:szCs w:val="24"/>
          <w:highlight w:val="none"/>
          <w:lang w:eastAsia="zh-CN"/>
        </w:rPr>
        <w:t>“安全生产许可证”</w:t>
      </w:r>
      <w:r>
        <w:rPr>
          <w:rFonts w:hint="eastAsia" w:ascii="宋体" w:hAnsi="宋体" w:eastAsia="宋体" w:cs="宋体"/>
          <w:color w:val="auto"/>
          <w:sz w:val="24"/>
          <w:szCs w:val="24"/>
          <w:highlight w:val="none"/>
        </w:rPr>
        <w:t>（须提供有效的</w:t>
      </w:r>
      <w:r>
        <w:rPr>
          <w:rFonts w:hint="eastAsia" w:ascii="宋体" w:hAnsi="宋体" w:cs="宋体"/>
          <w:color w:val="auto"/>
          <w:sz w:val="24"/>
          <w:szCs w:val="24"/>
          <w:highlight w:val="none"/>
          <w:lang w:val="en-US" w:eastAsia="zh-CN"/>
        </w:rPr>
        <w:t>证书复印件</w:t>
      </w:r>
      <w:r>
        <w:rPr>
          <w:rFonts w:hint="eastAsia" w:ascii="宋体" w:hAnsi="宋体" w:eastAsia="宋体" w:cs="宋体"/>
          <w:color w:val="auto"/>
          <w:sz w:val="24"/>
          <w:szCs w:val="24"/>
          <w:highlight w:val="none"/>
        </w:rPr>
        <w:t>并加盖供应商公章）。</w:t>
      </w:r>
    </w:p>
    <w:p w14:paraId="311A06E2">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25" w:name="_Toc16918"/>
      <w:bookmarkStart w:id="26" w:name="_Toc17379"/>
      <w:bookmarkStart w:id="27" w:name="_Toc10510"/>
      <w:bookmarkStart w:id="28" w:name="_Toc18024"/>
      <w:r>
        <w:rPr>
          <w:rFonts w:hint="eastAsia" w:ascii="宋体" w:hAnsi="宋体" w:eastAsia="宋体" w:cs="宋体"/>
          <w:color w:val="auto"/>
          <w:sz w:val="24"/>
          <w:szCs w:val="24"/>
          <w:highlight w:val="none"/>
        </w:rPr>
        <w:t>四、采购有关说明</w:t>
      </w:r>
      <w:bookmarkEnd w:id="11"/>
      <w:bookmarkEnd w:id="24"/>
      <w:bookmarkEnd w:id="25"/>
      <w:bookmarkEnd w:id="26"/>
      <w:bookmarkEnd w:id="27"/>
      <w:bookmarkEnd w:id="28"/>
    </w:p>
    <w:p w14:paraId="6ACD3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9" w:name="_Toc373860294"/>
      <w:bookmarkStart w:id="30" w:name="_Toc6341"/>
      <w:r>
        <w:rPr>
          <w:rFonts w:hint="eastAsia" w:ascii="宋体" w:hAnsi="宋体" w:eastAsia="宋体" w:cs="宋体"/>
          <w:color w:val="auto"/>
          <w:sz w:val="24"/>
          <w:szCs w:val="24"/>
          <w:highlight w:val="none"/>
        </w:rPr>
        <w:t>（一）供应商应通过行采家（https://www.gec123.com）</w:t>
      </w:r>
      <w:r>
        <w:rPr>
          <w:rFonts w:hint="eastAsia" w:ascii="宋体" w:hAnsi="宋体" w:cs="宋体"/>
          <w:color w:val="auto"/>
          <w:sz w:val="24"/>
          <w:szCs w:val="24"/>
          <w:highlight w:val="none"/>
          <w:lang w:val="en-US" w:eastAsia="zh-CN"/>
        </w:rPr>
        <w:t>注册成为行采家供应商</w:t>
      </w:r>
      <w:r>
        <w:rPr>
          <w:rFonts w:hint="eastAsia" w:ascii="宋体" w:hAnsi="宋体" w:eastAsia="宋体" w:cs="宋体"/>
          <w:color w:val="auto"/>
          <w:sz w:val="24"/>
          <w:szCs w:val="24"/>
          <w:highlight w:val="none"/>
        </w:rPr>
        <w:t>。</w:t>
      </w:r>
    </w:p>
    <w:p w14:paraId="5F53B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（二）凡有意参加采购的供应商，请在</w:t>
      </w:r>
      <w:r>
        <w:rPr>
          <w:rFonts w:hint="eastAsia" w:ascii="宋体" w:hAnsi="宋体" w:eastAsia="宋体" w:cs="宋体"/>
          <w:color w:val="auto"/>
          <w:sz w:val="24"/>
          <w:szCs w:val="24"/>
          <w:highlight w:val="none"/>
          <w:lang w:eastAsia="zh-CN"/>
        </w:rPr>
        <w:t>行采家电子竞采平台</w:t>
      </w:r>
      <w:r>
        <w:rPr>
          <w:rFonts w:hint="eastAsia" w:ascii="宋体" w:hAnsi="宋体" w:eastAsia="宋体" w:cs="宋体"/>
          <w:color w:val="auto"/>
          <w:sz w:val="24"/>
          <w:szCs w:val="24"/>
          <w:highlight w:val="none"/>
        </w:rPr>
        <w:t>（https://www.gec123.com/xe/）上下载本项目竞采文件以及补遗等采购前公布的所有项目资料，无论供应商下载与否，均视为已知晓所有采购实质性要求内容。</w:t>
      </w:r>
    </w:p>
    <w:p w14:paraId="46C7B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线上报价</w:t>
      </w:r>
    </w:p>
    <w:p w14:paraId="27D4C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线上报价时间：</w:t>
      </w:r>
      <w:r>
        <w:rPr>
          <w:rFonts w:hint="eastAsia" w:ascii="宋体" w:hAnsi="宋体" w:eastAsia="宋体" w:cs="宋体"/>
          <w:color w:val="auto"/>
          <w:sz w:val="24"/>
          <w:szCs w:val="24"/>
          <w:highlight w:val="none"/>
          <w:lang w:val="en-US" w:eastAsia="zh-CN"/>
        </w:rPr>
        <w:t>以行采家电子竞采平台（https://www.gec123.com/xe/）上本项目发布的时间为准。</w:t>
      </w:r>
    </w:p>
    <w:p w14:paraId="1B601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31" w:name="_Toc3798"/>
      <w:bookmarkStart w:id="32" w:name="_Toc27948"/>
      <w:bookmarkStart w:id="33" w:name="_Toc2613"/>
      <w:bookmarkStart w:id="34" w:name="_Toc2581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.线上报价要求：供应商线上报价时需上传盖章后的响应文件电子</w:t>
      </w:r>
      <w:r>
        <w:rPr>
          <w:rFonts w:hint="eastAsia" w:ascii="宋体" w:hAnsi="宋体" w:eastAsia="宋体" w:cs="宋体"/>
          <w:color w:val="auto"/>
          <w:sz w:val="24"/>
          <w:szCs w:val="24"/>
          <w:highlight w:val="none"/>
          <w:lang w:val="en-US" w:eastAsia="zh-CN"/>
        </w:rPr>
        <w:t>文档</w:t>
      </w:r>
      <w:r>
        <w:rPr>
          <w:rFonts w:hint="eastAsia" w:ascii="宋体" w:hAnsi="宋体" w:eastAsia="宋体" w:cs="宋体"/>
          <w:color w:val="auto"/>
          <w:sz w:val="24"/>
          <w:szCs w:val="24"/>
          <w:highlight w:val="none"/>
        </w:rPr>
        <w:t>一份（电子文档内容应与纸质文件正本一致，如不一致以线下纸质</w:t>
      </w:r>
      <w:r>
        <w:rPr>
          <w:rFonts w:hint="eastAsia" w:ascii="宋体" w:hAnsi="宋体" w:eastAsia="宋体" w:cs="宋体"/>
          <w:color w:val="auto"/>
          <w:sz w:val="24"/>
          <w:szCs w:val="24"/>
          <w:highlight w:val="none"/>
          <w:lang w:val="en-US" w:eastAsia="zh-CN"/>
        </w:rPr>
        <w:t>文件正本</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本项目规定的时间在行采家电子竞采平台（https://www.gec123.com/xe/）进行网上报价，并在规定的时间内上传响应文件电子文档。若因上传文件格式不符、无法打开等导致无法进行评审，由评审小组作无效响应处理。未在规定时间内报价和上传响应文件电子文档的供应商不具备竞标资格。</w:t>
      </w:r>
    </w:p>
    <w:p w14:paraId="075D0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（四）线下响应文件递交</w:t>
      </w:r>
    </w:p>
    <w:p w14:paraId="593E2726">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1、线下响应文件递交截止时间：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14:30时（北京时间）</w:t>
      </w:r>
      <w:r>
        <w:rPr>
          <w:rFonts w:hint="eastAsia" w:ascii="宋体" w:hAnsi="宋体" w:eastAsia="宋体" w:cs="宋体"/>
          <w:b w:val="0"/>
          <w:color w:val="auto"/>
          <w:kern w:val="2"/>
          <w:sz w:val="24"/>
          <w:szCs w:val="24"/>
          <w:highlight w:val="none"/>
          <w:lang w:val="en-US" w:eastAsia="zh-CN" w:bidi="ar-SA"/>
        </w:rPr>
        <w:t>。</w:t>
      </w:r>
    </w:p>
    <w:p w14:paraId="4BE7376F">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2、线下响应文件递交时间：供应商须于</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14:00时至14:30时</w:t>
      </w:r>
      <w:r>
        <w:rPr>
          <w:rFonts w:hint="eastAsia" w:ascii="宋体" w:hAnsi="宋体" w:eastAsia="宋体" w:cs="宋体"/>
          <w:b w:val="0"/>
          <w:color w:val="auto"/>
          <w:kern w:val="2"/>
          <w:sz w:val="24"/>
          <w:szCs w:val="24"/>
          <w:highlight w:val="none"/>
          <w:lang w:val="en-US" w:eastAsia="zh-CN" w:bidi="ar-SA"/>
        </w:rPr>
        <w:t>（北京时间，逾期不予受理）内将签章齐全的纸质版响应文件递交给采购代理机构。</w:t>
      </w:r>
    </w:p>
    <w:p w14:paraId="692F4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3、线下响应文件递交地点：重庆市鼎运工程咨询有限公司开标室（</w:t>
      </w:r>
      <w:r>
        <w:rPr>
          <w:rFonts w:hint="eastAsia" w:ascii="宋体" w:hAnsi="宋体" w:cs="宋体"/>
          <w:b w:val="0"/>
          <w:color w:val="auto"/>
          <w:kern w:val="2"/>
          <w:sz w:val="24"/>
          <w:szCs w:val="24"/>
          <w:highlight w:val="none"/>
          <w:lang w:val="en-US" w:eastAsia="zh-CN" w:bidi="ar-SA"/>
        </w:rPr>
        <w:t>重庆市渝北区洪湖西路22号</w:t>
      </w:r>
      <w:r>
        <w:rPr>
          <w:rFonts w:hint="eastAsia" w:ascii="宋体" w:hAnsi="宋体" w:eastAsia="宋体" w:cs="宋体"/>
          <w:b w:val="0"/>
          <w:color w:val="auto"/>
          <w:kern w:val="2"/>
          <w:sz w:val="24"/>
          <w:szCs w:val="24"/>
          <w:highlight w:val="none"/>
          <w:lang w:val="en-US" w:eastAsia="zh-CN" w:bidi="ar-SA"/>
        </w:rPr>
        <w:t>上丁商务楼21-19）。</w:t>
      </w:r>
    </w:p>
    <w:p w14:paraId="63066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（五）供应商须满足以下要求，其响应文件才被接受：</w:t>
      </w:r>
    </w:p>
    <w:p w14:paraId="0BFE9F45">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1.按时在行采家电子竞采平台（https://www.gec123.com/xe/）报价，并上传了响应文件电子档；</w:t>
      </w:r>
    </w:p>
    <w:p w14:paraId="4A3C6EAF">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2.按时</w:t>
      </w:r>
      <w:r>
        <w:rPr>
          <w:rFonts w:hint="eastAsia" w:ascii="宋体" w:hAnsi="宋体" w:cs="宋体"/>
          <w:b w:val="0"/>
          <w:bCs/>
          <w:color w:val="auto"/>
          <w:kern w:val="2"/>
          <w:sz w:val="24"/>
          <w:szCs w:val="24"/>
          <w:highlight w:val="none"/>
          <w:lang w:val="en-US" w:eastAsia="zh-CN" w:bidi="ar-SA"/>
        </w:rPr>
        <w:t>线下</w:t>
      </w:r>
      <w:r>
        <w:rPr>
          <w:rFonts w:hint="eastAsia" w:ascii="宋体" w:hAnsi="宋体" w:eastAsia="宋体" w:cs="宋体"/>
          <w:b w:val="0"/>
          <w:bCs/>
          <w:color w:val="auto"/>
          <w:kern w:val="2"/>
          <w:sz w:val="24"/>
          <w:szCs w:val="24"/>
          <w:highlight w:val="none"/>
          <w:lang w:val="en-US" w:eastAsia="zh-CN" w:bidi="ar-SA"/>
        </w:rPr>
        <w:t>报名签到并递交纸质版响应文件。</w:t>
      </w:r>
    </w:p>
    <w:p w14:paraId="56CF07A9">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注：若供应商的平台报价与响应文件电子档或纸质文件正本竞采报价函中的报价不一致，按无效竞采处理。</w:t>
      </w:r>
    </w:p>
    <w:p w14:paraId="636A5B16">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五、保证金</w:t>
      </w:r>
      <w:bookmarkEnd w:id="29"/>
      <w:bookmarkEnd w:id="30"/>
      <w:bookmarkEnd w:id="31"/>
      <w:bookmarkEnd w:id="32"/>
      <w:bookmarkEnd w:id="33"/>
      <w:bookmarkEnd w:id="34"/>
    </w:p>
    <w:bookmarkEnd w:id="12"/>
    <w:p w14:paraId="2A7C0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35" w:name="_Toc480466698"/>
      <w:bookmarkStart w:id="36" w:name="_Toc479668114"/>
      <w:r>
        <w:rPr>
          <w:rFonts w:hint="eastAsia" w:ascii="宋体" w:hAnsi="宋体" w:eastAsia="宋体" w:cs="宋体"/>
          <w:color w:val="auto"/>
          <w:sz w:val="24"/>
          <w:szCs w:val="24"/>
          <w:highlight w:val="none"/>
        </w:rPr>
        <w:t>本项目免收保证金。</w:t>
      </w:r>
    </w:p>
    <w:bookmarkEnd w:id="35"/>
    <w:bookmarkEnd w:id="36"/>
    <w:p w14:paraId="6B86C854">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37" w:name="_Toc21870"/>
      <w:bookmarkStart w:id="38" w:name="_Toc29003"/>
      <w:bookmarkStart w:id="39" w:name="_Toc480466699"/>
      <w:bookmarkStart w:id="40" w:name="_Toc9520"/>
      <w:bookmarkStart w:id="41" w:name="_Toc17560"/>
      <w:bookmarkStart w:id="42" w:name="_Toc18015"/>
      <w:r>
        <w:rPr>
          <w:rFonts w:hint="eastAsia" w:ascii="宋体" w:hAnsi="宋体" w:eastAsia="宋体" w:cs="宋体"/>
          <w:color w:val="auto"/>
          <w:sz w:val="24"/>
          <w:szCs w:val="24"/>
          <w:highlight w:val="none"/>
        </w:rPr>
        <w:t>六、其它有关规定</w:t>
      </w:r>
      <w:bookmarkEnd w:id="37"/>
      <w:bookmarkEnd w:id="38"/>
      <w:bookmarkEnd w:id="39"/>
      <w:bookmarkEnd w:id="40"/>
      <w:bookmarkEnd w:id="41"/>
      <w:bookmarkEnd w:id="42"/>
    </w:p>
    <w:p w14:paraId="755A4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23625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1D24E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）本项目的补遗文件（如果有）一律在行采家电子竞采平台（https://www.gec123.com/xe/）上发布，请各供应商注意下载；无论供应商下载与否，均视同供应商已知晓本项目补遗文件（如果有）的内容。</w:t>
      </w:r>
    </w:p>
    <w:p w14:paraId="6605A53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四）超过响应文件递交截止时间递交的响应文件，恕不接收。</w:t>
      </w:r>
    </w:p>
    <w:p w14:paraId="7EA2B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）竞采费用：无论竞采结果如何，供应商参与本项目竞采的所有费用均应由供应商自行承担。</w:t>
      </w:r>
    </w:p>
    <w:p w14:paraId="083DE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43" w:name="_Toc48046670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）本项目不接受联合体参与竞采。</w:t>
      </w:r>
    </w:p>
    <w:p w14:paraId="044E35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）本项目不接受合同分包。</w:t>
      </w:r>
    </w:p>
    <w:p w14:paraId="05560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969A597">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4" w:name="_Toc7626"/>
      <w:bookmarkStart w:id="45" w:name="_Toc32638"/>
      <w:bookmarkStart w:id="46" w:name="_Toc28780"/>
      <w:bookmarkStart w:id="47" w:name="_Toc11803"/>
      <w:bookmarkStart w:id="48" w:name="_Toc7307"/>
      <w:r>
        <w:rPr>
          <w:rFonts w:hint="eastAsia" w:ascii="宋体" w:hAnsi="宋体" w:eastAsia="宋体" w:cs="宋体"/>
          <w:color w:val="auto"/>
          <w:sz w:val="24"/>
          <w:szCs w:val="24"/>
          <w:highlight w:val="none"/>
        </w:rPr>
        <w:t>七、联系方式</w:t>
      </w:r>
      <w:bookmarkEnd w:id="43"/>
      <w:bookmarkEnd w:id="44"/>
      <w:bookmarkEnd w:id="45"/>
      <w:bookmarkEnd w:id="46"/>
      <w:bookmarkEnd w:id="47"/>
      <w:bookmarkEnd w:id="48"/>
    </w:p>
    <w:p w14:paraId="67EAE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（一）采购人：重庆市竞技体育训练中</w:t>
      </w:r>
      <w:r>
        <w:rPr>
          <w:rFonts w:hint="eastAsia" w:ascii="宋体" w:hAnsi="宋体" w:eastAsia="宋体" w:cs="宋体"/>
          <w:color w:val="auto"/>
          <w:sz w:val="24"/>
          <w:szCs w:val="24"/>
          <w:highlight w:val="none"/>
          <w:lang w:eastAsia="zh-CN"/>
        </w:rPr>
        <w:t>心</w:t>
      </w:r>
    </w:p>
    <w:p w14:paraId="7F90D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吴</w:t>
      </w:r>
      <w:r>
        <w:rPr>
          <w:rFonts w:hint="eastAsia" w:ascii="宋体" w:hAnsi="宋体" w:eastAsia="宋体" w:cs="宋体"/>
          <w:color w:val="auto"/>
          <w:sz w:val="24"/>
          <w:szCs w:val="24"/>
          <w:highlight w:val="none"/>
          <w:lang w:val="en-US" w:eastAsia="zh-CN"/>
        </w:rPr>
        <w:t>老师</w:t>
      </w:r>
    </w:p>
    <w:p w14:paraId="5E7F8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w:t>
      </w:r>
      <w:r>
        <w:rPr>
          <w:rFonts w:hint="eastAsia" w:ascii="宋体" w:hAnsi="宋体" w:cs="宋体"/>
          <w:color w:val="auto"/>
          <w:sz w:val="24"/>
          <w:szCs w:val="24"/>
          <w:highlight w:val="none"/>
          <w:lang w:val="en-US" w:eastAsia="zh-CN"/>
        </w:rPr>
        <w:t xml:space="preserve">61211799 </w:t>
      </w:r>
    </w:p>
    <w:p w14:paraId="03E97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址：重庆市沙坪坝区大学城北一路36</w:t>
      </w:r>
      <w:r>
        <w:rPr>
          <w:rFonts w:hint="eastAsia" w:ascii="宋体" w:hAnsi="宋体" w:eastAsia="宋体" w:cs="宋体"/>
          <w:color w:val="auto"/>
          <w:sz w:val="24"/>
          <w:szCs w:val="24"/>
          <w:highlight w:val="none"/>
          <w:lang w:val="en-US" w:eastAsia="zh-CN"/>
        </w:rPr>
        <w:t>号</w:t>
      </w:r>
    </w:p>
    <w:p w14:paraId="01AB7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重庆市鼎运工程咨询有限公司</w:t>
      </w:r>
    </w:p>
    <w:p w14:paraId="60A80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丁老师</w:t>
      </w:r>
    </w:p>
    <w:p w14:paraId="575A4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话：13883496535</w:t>
      </w:r>
    </w:p>
    <w:p w14:paraId="643A0E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bookmarkStart w:id="49" w:name="_Toc6581"/>
      <w:r>
        <w:rPr>
          <w:rFonts w:hint="eastAsia" w:ascii="宋体" w:hAnsi="宋体" w:cs="宋体"/>
          <w:color w:val="auto"/>
          <w:sz w:val="24"/>
          <w:szCs w:val="24"/>
          <w:highlight w:val="none"/>
          <w:lang w:eastAsia="zh-CN"/>
        </w:rPr>
        <w:t>重庆市渝北区洪湖西路22号上丁商务楼21-19</w:t>
      </w:r>
    </w:p>
    <w:p w14:paraId="5B476520">
      <w:pP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14:paraId="75A9AAEC">
      <w:pPr>
        <w:pStyle w:val="4"/>
        <w:spacing w:before="0" w:after="0" w:line="360" w:lineRule="auto"/>
        <w:jc w:val="center"/>
        <w:outlineLvl w:val="0"/>
        <w:rPr>
          <w:rFonts w:hint="eastAsia" w:ascii="宋体" w:hAnsi="宋体" w:eastAsia="宋体" w:cs="宋体"/>
          <w:b w:val="0"/>
          <w:color w:val="auto"/>
          <w:sz w:val="30"/>
          <w:szCs w:val="30"/>
          <w:highlight w:val="none"/>
        </w:rPr>
      </w:pPr>
      <w:bookmarkStart w:id="50" w:name="_Toc31545"/>
      <w:r>
        <w:rPr>
          <w:rFonts w:hint="eastAsia" w:ascii="宋体" w:hAnsi="宋体" w:eastAsia="宋体" w:cs="宋体"/>
          <w:b w:val="0"/>
          <w:color w:val="auto"/>
          <w:sz w:val="36"/>
          <w:szCs w:val="30"/>
          <w:highlight w:val="none"/>
        </w:rPr>
        <w:t>第二篇 采购项目技术需求</w:t>
      </w:r>
      <w:bookmarkEnd w:id="49"/>
      <w:bookmarkEnd w:id="50"/>
    </w:p>
    <w:p w14:paraId="0845CA0C">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51" w:name="_Toc22047738"/>
      <w:bookmarkStart w:id="52" w:name="_Toc10113"/>
      <w:bookmarkStart w:id="53" w:name="_Toc3707"/>
      <w:bookmarkStart w:id="54" w:name="_Toc27104"/>
      <w:bookmarkStart w:id="55" w:name="_Toc29444"/>
      <w:bookmarkStart w:id="56" w:name="_Toc15629"/>
      <w:bookmarkStart w:id="57" w:name="_Toc12789058"/>
      <w:r>
        <w:rPr>
          <w:rFonts w:hint="eastAsia" w:ascii="宋体" w:hAnsi="宋体" w:eastAsia="宋体" w:cs="宋体"/>
          <w:color w:val="auto"/>
          <w:sz w:val="24"/>
          <w:szCs w:val="24"/>
          <w:highlight w:val="none"/>
        </w:rPr>
        <w:t>一、</w:t>
      </w:r>
      <w:bookmarkEnd w:id="51"/>
      <w:bookmarkEnd w:id="52"/>
      <w:r>
        <w:rPr>
          <w:rFonts w:hint="eastAsia" w:ascii="宋体" w:hAnsi="宋体" w:eastAsia="宋体" w:cs="宋体"/>
          <w:color w:val="auto"/>
          <w:sz w:val="24"/>
          <w:szCs w:val="24"/>
          <w:highlight w:val="none"/>
        </w:rPr>
        <w:t>项目基本概况介绍</w:t>
      </w:r>
      <w:bookmarkEnd w:id="53"/>
      <w:bookmarkEnd w:id="54"/>
      <w:bookmarkEnd w:id="55"/>
      <w:bookmarkEnd w:id="56"/>
    </w:p>
    <w:p w14:paraId="3A1F9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58" w:name="_Toc9509"/>
      <w:bookmarkStart w:id="59" w:name="_Toc12675"/>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val="en-US" w:eastAsia="zh-CN"/>
        </w:rPr>
        <w:t xml:space="preserve">重庆市竞技体育训练中心食堂升级改造项目  </w:t>
      </w:r>
    </w:p>
    <w:p w14:paraId="53D88C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建设地址：重庆市沙坪坝区大学城北一路36号</w:t>
      </w:r>
      <w:r>
        <w:rPr>
          <w:rFonts w:hint="eastAsia" w:ascii="宋体" w:hAnsi="宋体" w:cs="宋体"/>
          <w:color w:val="auto"/>
          <w:sz w:val="24"/>
          <w:szCs w:val="24"/>
          <w:highlight w:val="none"/>
          <w:lang w:val="en-US" w:eastAsia="zh-CN"/>
        </w:rPr>
        <w:t>（具体以采购人指定为准）。</w:t>
      </w:r>
    </w:p>
    <w:p w14:paraId="25BA7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项目概况：市竞训中心食堂在中心开办期间投入使用，目前已使用了十多年，未进行系统的升级换代。中心根据新形势下膳食服务需求，建议系统改造升级食堂整体操作和就餐环境，更符合更安全、高效、节能环保的保障需求，提升中心整体保障硬件实力，为运动员、教职工提供更好更优质的服务。</w:t>
      </w:r>
    </w:p>
    <w:p w14:paraId="2B703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(四)项目内容</w:t>
      </w:r>
      <w:r>
        <w:rPr>
          <w:rFonts w:hint="eastAsia" w:ascii="宋体" w:hAnsi="宋体" w:eastAsia="宋体" w:cs="宋体"/>
          <w:color w:val="auto"/>
          <w:sz w:val="24"/>
          <w:szCs w:val="24"/>
          <w:highlight w:val="none"/>
          <w:lang w:val="en-US" w:eastAsia="zh-CN"/>
        </w:rPr>
        <w:t>：</w:t>
      </w:r>
    </w:p>
    <w:p w14:paraId="3D9AE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本项目升级改造</w:t>
      </w:r>
      <w:r>
        <w:rPr>
          <w:rFonts w:hint="eastAsia" w:ascii="宋体" w:hAnsi="宋体" w:cs="宋体"/>
          <w:color w:val="auto"/>
          <w:sz w:val="24"/>
          <w:szCs w:val="24"/>
          <w:highlight w:val="none"/>
          <w:lang w:val="en-US" w:eastAsia="zh-CN"/>
        </w:rPr>
        <w:t>主要</w:t>
      </w:r>
      <w:r>
        <w:rPr>
          <w:rFonts w:hint="eastAsia" w:ascii="宋体" w:hAnsi="宋体" w:eastAsia="宋体" w:cs="宋体"/>
          <w:color w:val="auto"/>
          <w:sz w:val="24"/>
          <w:szCs w:val="24"/>
          <w:highlight w:val="none"/>
          <w:lang w:val="en-US" w:eastAsia="zh-CN"/>
        </w:rPr>
        <w:t>内容包含对食堂操作间改造，调整蔬菜肉类半成品加工间布局，调整库房、半成品库房位置；对一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二楼餐厅吊顶吊装等就餐环境的改良升级，洗碗间修缮等；调整男女更衣室、办公房位置等（详见项目设计图纸）。</w:t>
      </w:r>
    </w:p>
    <w:p w14:paraId="189A796F">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60" w:name="_Toc11971"/>
      <w:bookmarkStart w:id="61" w:name="_Toc27097"/>
      <w:bookmarkStart w:id="62" w:name="_Toc4650"/>
      <w:bookmarkStart w:id="63" w:name="_Toc1253"/>
      <w:r>
        <w:rPr>
          <w:rFonts w:hint="eastAsia" w:ascii="宋体" w:hAnsi="宋体" w:eastAsia="宋体" w:cs="宋体"/>
          <w:color w:val="auto"/>
          <w:sz w:val="24"/>
          <w:szCs w:val="24"/>
          <w:highlight w:val="none"/>
        </w:rPr>
        <w:t>二、</w:t>
      </w:r>
      <w:bookmarkEnd w:id="58"/>
      <w:r>
        <w:rPr>
          <w:rFonts w:hint="eastAsia" w:ascii="宋体" w:hAnsi="宋体" w:eastAsia="宋体" w:cs="宋体"/>
          <w:color w:val="auto"/>
          <w:sz w:val="24"/>
          <w:szCs w:val="24"/>
          <w:highlight w:val="none"/>
        </w:rPr>
        <w:t>技术要求</w:t>
      </w:r>
      <w:bookmarkEnd w:id="60"/>
      <w:bookmarkEnd w:id="61"/>
      <w:bookmarkEnd w:id="62"/>
      <w:bookmarkEnd w:id="63"/>
    </w:p>
    <w:p w14:paraId="43B1C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64" w:name="_Toc19307"/>
      <w:r>
        <w:rPr>
          <w:rFonts w:hint="eastAsia" w:ascii="宋体" w:hAnsi="宋体" w:eastAsia="宋体" w:cs="宋体"/>
          <w:color w:val="auto"/>
          <w:sz w:val="24"/>
          <w:szCs w:val="24"/>
          <w:highlight w:val="none"/>
          <w:lang w:val="en-US" w:eastAsia="zh-CN"/>
        </w:rPr>
        <w:t>本项目包括但不限于土石方工程、基础工程、管道工程及地面工程等内容，具体详见施工设计图及工程量清单。如施工图和工程量清单不一致时，以工程量清单为准。供应商施工过程中必须按国家相关规范及要求进行施工，施工工艺必须达到国家现行相关规范合格要求。</w:t>
      </w:r>
    </w:p>
    <w:p w14:paraId="0B5F3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（一）前期要求</w:t>
      </w:r>
    </w:p>
    <w:p w14:paraId="7E535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需在不影响中心食堂开餐工作的情况下，进行改造、安装等施工相关工作，供应商应充分了解施工现场周边环境及设施设备，如果需要供应商自行勘查现场，踏勘现场所发生的所有费用（包含因踏勘现场而造成的死亡、人身伤害、财产损失和产生的其他费用）均由供应商自行承担。采购方不组织现场踏勘。</w:t>
      </w:r>
    </w:p>
    <w:p w14:paraId="4B10D17C">
      <w:pPr>
        <w:keepNext w:val="0"/>
        <w:keepLines w:val="0"/>
        <w:pageBreakBefore w:val="0"/>
        <w:widowControl w:val="0"/>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成交后需与采购人协调按相关规范解决施工用电、用水、建渣运输等施工生产条件。</w:t>
      </w:r>
    </w:p>
    <w:p w14:paraId="07BA0153">
      <w:pPr>
        <w:keepNext w:val="0"/>
        <w:keepLines w:val="0"/>
        <w:pageBreakBefore w:val="0"/>
        <w:widowControl w:val="0"/>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（二）安全要求</w:t>
      </w:r>
    </w:p>
    <w:p w14:paraId="0F1D4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1.供应商应遵守安全生产的有关管理规定，建立完善的安全管控体系，严格按照安全标准组织实施，采取必要的安全防护措施，消除隐患。</w:t>
      </w:r>
    </w:p>
    <w:p w14:paraId="44BC4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2.供应商应派遣有丰富经验和相应能力的工程师进行现场组织施工，并对施工操作不当或错误所导致的直接损失和间接损失承担全部赔偿责任。</w:t>
      </w:r>
    </w:p>
    <w:p w14:paraId="0BEAA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3.在施工过程中，供应商应做到安全施工、文明施工，并做好相应的施工安全公告及警示标识，施工过程中发生的一切安全事故由供应商自行负责处理。</w:t>
      </w:r>
    </w:p>
    <w:p w14:paraId="1E75F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4.供应商应当与施工人员建立劳动关系，承担全部用人用工主体责任。</w:t>
      </w:r>
    </w:p>
    <w:p w14:paraId="684A03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5.供应商应当依法为施工人员办理符合国家法律规定的社会保险，并根据自身需要购买雇主责任险、人身伤害意外险等商业补充险，以保障施工人员的合法权益得到充分地落实与保障。</w:t>
      </w:r>
    </w:p>
    <w:p w14:paraId="502D5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应采取以下措施，以防止高空坠落事故的发生：对高空作业人员进行专业培训。高空作业时，必须使用安全带，并确保安全带正确固定。高空作业区域应设置防护栏杆或安全网，防止人员意外坠落。高空作业平台或脚手架必须符合安全标准，并定期进行安全检查。</w:t>
      </w:r>
    </w:p>
    <w:p w14:paraId="4A9C6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7.供应商应按照采购人的要求和国家防火规范进行施工。施工过程中，采取必要的防火措施。</w:t>
      </w:r>
    </w:p>
    <w:p w14:paraId="65526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8.供应商应在材料到达现场前提前通知采购人，以便采购人安排验收。如采购人在验收过程中发现材料不符合合同要求，供应商应在接到通知后尽快更换或补齐材料，并重新进行验收。</w:t>
      </w:r>
    </w:p>
    <w:p w14:paraId="5D4A4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为保障施工期间食堂的正常运转以及就餐人员的安全，项目施工须根据中心保障情况现场沟通核查，并出具施工计划方案。经采购人同意后，在不影响中心食堂开餐工作的情况下，进行改造、安装等施工相关工作。每天可施工时间段暂定为每日7:30-19:30，具体施工时间须提前向中心膳食科协调沟通，采购人有权根据实际情况调整可施工时间段。</w:t>
      </w:r>
    </w:p>
    <w:p w14:paraId="290A0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（三）工程质量要求及保证</w:t>
      </w:r>
    </w:p>
    <w:p w14:paraId="700F8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1.达到国家现行有关施工质量验收规范要求，并达到合格标准。</w:t>
      </w:r>
      <w:r>
        <w:rPr>
          <w:rFonts w:hint="eastAsia" w:ascii="宋体" w:hAnsi="宋体" w:eastAsia="宋体" w:cs="宋体"/>
          <w:b/>
          <w:bCs/>
          <w:color w:val="auto"/>
          <w:sz w:val="24"/>
          <w:szCs w:val="24"/>
          <w:highlight w:val="none"/>
          <w:lang w:val="en-US" w:eastAsia="zh-CN"/>
        </w:rPr>
        <w:t>（供应商需提供承诺书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p w14:paraId="3A655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设备和材料质量总体要求：所供相关设备和材料必须货真价实，质量达到相关规范合格要求，假冒伪劣产品不得采购；所供设备和材料的各项手续、文件必须真实完整有效；其他材料各项技术参数、质量指标必须符合国家技术质量监督机构及有关管理部门和行业的规定和标准。工程质量未达到此标准时，一切返工费用及经济损失均由供应商承担。 </w:t>
      </w:r>
    </w:p>
    <w:p w14:paraId="74DB4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3.所有材料和施工质量质保期为2年。</w:t>
      </w:r>
    </w:p>
    <w:p w14:paraId="10B7B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4.质保期内，所有关于施工质量缺陷的维护及维修（非人为损坏）均为免费。</w:t>
      </w:r>
    </w:p>
    <w:p w14:paraId="684FD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5.质保期内，所有维护和施工质量缺陷维修均为现场服务，由此产生的费用均不再收取。</w:t>
      </w:r>
    </w:p>
    <w:bookmarkEnd w:id="64"/>
    <w:p w14:paraId="7125E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（四）项目管理班子人员配备要求</w:t>
      </w:r>
    </w:p>
    <w:p w14:paraId="5141C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1.项目经理（1名）：拟派的项目经理须在供应商单位注册，并应具有</w:t>
      </w:r>
      <w:r>
        <w:rPr>
          <w:rFonts w:hint="eastAsia" w:ascii="宋体" w:hAnsi="宋体" w:eastAsia="宋体" w:cs="宋体"/>
          <w:b/>
          <w:bCs/>
          <w:color w:val="auto"/>
          <w:sz w:val="24"/>
          <w:szCs w:val="24"/>
          <w:highlight w:val="none"/>
          <w:lang w:val="en-US" w:eastAsia="zh-CN"/>
        </w:rPr>
        <w:t>建筑工程</w:t>
      </w:r>
      <w:r>
        <w:rPr>
          <w:rFonts w:hint="eastAsia" w:ascii="宋体" w:hAnsi="宋体" w:cs="宋体"/>
          <w:b/>
          <w:bCs/>
          <w:color w:val="auto"/>
          <w:sz w:val="24"/>
          <w:szCs w:val="24"/>
          <w:highlight w:val="none"/>
          <w:lang w:val="en-US" w:eastAsia="zh-CN"/>
        </w:rPr>
        <w:t>专业</w:t>
      </w:r>
      <w:r>
        <w:rPr>
          <w:rFonts w:hint="eastAsia" w:ascii="宋体" w:hAnsi="宋体" w:eastAsia="宋体" w:cs="宋体"/>
          <w:b/>
          <w:bCs/>
          <w:color w:val="auto"/>
          <w:sz w:val="24"/>
          <w:szCs w:val="24"/>
          <w:highlight w:val="none"/>
          <w:lang w:val="en-US" w:eastAsia="zh-CN"/>
        </w:rPr>
        <w:t>二级及以上</w:t>
      </w:r>
      <w:r>
        <w:rPr>
          <w:rFonts w:hint="eastAsia" w:ascii="宋体" w:hAnsi="宋体" w:eastAsia="宋体" w:cs="宋体"/>
          <w:color w:val="auto"/>
          <w:sz w:val="24"/>
          <w:szCs w:val="24"/>
          <w:highlight w:val="none"/>
          <w:lang w:val="en-US" w:eastAsia="zh-CN"/>
        </w:rPr>
        <w:t>注册建造师执业资格。</w:t>
      </w:r>
    </w:p>
    <w:p w14:paraId="6E11D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须提供项目经理身份证、建造师注册证书（若为建造师电子注册证书，须在使用有效期内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且该建造师电子注册证书须由建造师本人在个人签名处手写本人签名）、供应商本单位为其缴纳的2025年任意一个月的养老保险的证明材料复印件并加盖供应商公章。供应商还须提供项目经理未在其他在建项目任职的声明函</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color w:val="auto"/>
          <w:sz w:val="24"/>
          <w:szCs w:val="24"/>
          <w:highlight w:val="none"/>
          <w:lang w:val="en-US" w:eastAsia="zh-CN"/>
        </w:rPr>
        <w:t>加盖供应商公章。</w:t>
      </w:r>
    </w:p>
    <w:p w14:paraId="6841E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2.项目技术负责人（1名）：拟派的项目技术负责人为本单位员工，并应具有</w:t>
      </w:r>
      <w:r>
        <w:rPr>
          <w:rFonts w:hint="eastAsia" w:ascii="宋体" w:hAnsi="宋体" w:eastAsia="宋体" w:cs="宋体"/>
          <w:b/>
          <w:bCs/>
          <w:color w:val="auto"/>
          <w:sz w:val="24"/>
          <w:szCs w:val="24"/>
          <w:highlight w:val="none"/>
          <w:lang w:val="en-US" w:eastAsia="zh-CN"/>
        </w:rPr>
        <w:t>工程类中级及以上</w:t>
      </w:r>
      <w:r>
        <w:rPr>
          <w:rFonts w:hint="eastAsia" w:ascii="宋体" w:hAnsi="宋体" w:eastAsia="宋体" w:cs="宋体"/>
          <w:color w:val="auto"/>
          <w:sz w:val="24"/>
          <w:szCs w:val="24"/>
          <w:highlight w:val="none"/>
          <w:lang w:val="en-US" w:eastAsia="zh-CN"/>
        </w:rPr>
        <w:t>职称。</w:t>
      </w:r>
    </w:p>
    <w:p w14:paraId="7DFF4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须提供技术负责人身份证、职称证、供应商本单位为其缴纳的2025年任意一个月的养老保险的证明材料复印件并加盖供应商公章。供应商还须提供技术负责人未在其他在建项目任职的声明函</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color w:val="auto"/>
          <w:sz w:val="24"/>
          <w:szCs w:val="24"/>
          <w:highlight w:val="none"/>
          <w:lang w:val="en-US" w:eastAsia="zh-CN"/>
        </w:rPr>
        <w:t>加盖供应商公章。</w:t>
      </w:r>
    </w:p>
    <w:p w14:paraId="0BA60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主要管理人员：供应商自行在响应文件中承诺成交后在签订合同之前，须按照建设行政主管部门的要求组建施工项目部，配置项目管理班子，出具任命文件。任命文件应当明确施工项目部的职责、岗位设置、人员配备，并书面通知业主单位。相关岗位管理人员应持有建设行政主管部门要求的岗位证书，并提供供应商为其缴纳的养老保险证明材料。成交后不能满足该要求的，采购人可取消其成交资格，给采购人造成损失的，供应商依法承担违约赔偿责任。</w:t>
      </w:r>
      <w:r>
        <w:rPr>
          <w:rFonts w:hint="eastAsia" w:ascii="宋体" w:hAnsi="宋体" w:eastAsia="宋体" w:cs="宋体"/>
          <w:b/>
          <w:bCs/>
          <w:color w:val="auto"/>
          <w:sz w:val="24"/>
          <w:szCs w:val="24"/>
          <w:highlight w:val="none"/>
          <w:lang w:val="en-US" w:eastAsia="zh-CN"/>
        </w:rPr>
        <w:t>（供应商需提供承诺书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p w14:paraId="185B7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（五）其他要求</w:t>
      </w:r>
    </w:p>
    <w:p w14:paraId="60F2C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1.供应商应保护好施工场所所有设施、设备、管网、物品及人员的安全。管理规范，措施到位，对采购人或第三方等造成损失应进行赔偿，出现人员伤亡等责任事故承担相应责任，采购人不承担任何责任。</w:t>
      </w:r>
    </w:p>
    <w:p w14:paraId="7A9CE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2.供应商须做到安全文明施工，做好施工噪声及扬尘控制等，不得影响周边居民生活。</w:t>
      </w:r>
    </w:p>
    <w:p w14:paraId="7521F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sz w:val="36"/>
          <w:szCs w:val="30"/>
          <w:highlight w:val="none"/>
        </w:rPr>
      </w:pPr>
      <w:r>
        <w:rPr>
          <w:rFonts w:hint="eastAsia" w:ascii="宋体" w:hAnsi="宋体" w:eastAsia="宋体" w:cs="宋体"/>
          <w:color w:val="auto"/>
          <w:sz w:val="24"/>
          <w:szCs w:val="24"/>
          <w:highlight w:val="none"/>
          <w:lang w:val="en-US" w:eastAsia="zh-CN"/>
        </w:rPr>
        <w:t>3.本工程所需的材料（铝方通材料、PE管件、电线、瓷砖</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应在采购前七日内将所采购材料（设备）的有效的符合国家有关现行规范要求和政策规定以及相关的行业标准的第三方检测报告提交给采购人，采购人收到成交供应商的书面报告后七日内予以确认，经采购人确认后成交供应商方可采购进场。采购人认为成交供应商所使用的材料品质存在缺陷，或者偏离图纸及规范要求（以设计和监理书面意见为准），不能适用于本工程，采购人有权要求成交供应商更换，采购人不因更换材料而调整材料价格及相关费用；成交供应商拒绝按采购人要求更换，该种材料改为采购人供货，采购人收取成交供应商该类材料费的20%作为违约金。</w:t>
      </w:r>
    </w:p>
    <w:p w14:paraId="524C3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highlight w:val="none"/>
        </w:rPr>
      </w:pPr>
      <w:bookmarkStart w:id="65" w:name="_Toc19753"/>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成交供应商须按采购文件要求的实施时间进行改造、安装等施工相关工作，如未能按时保证项目</w:t>
      </w:r>
      <w:r>
        <w:rPr>
          <w:rFonts w:hint="eastAsia" w:ascii="宋体" w:hAnsi="宋体" w:eastAsia="宋体" w:cs="宋体"/>
          <w:color w:val="auto"/>
          <w:sz w:val="24"/>
          <w:szCs w:val="24"/>
          <w:highlight w:val="none"/>
          <w:lang w:val="en-US" w:eastAsia="zh-CN"/>
        </w:rPr>
        <w:t>竣工并通过验收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造成工期延误的由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承担由此增加的费用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由此导致工期延误的，工期不予顺延；逾期竣工违约金的计算方法：每延误1天，承包人按</w:t>
      </w:r>
      <w:r>
        <w:rPr>
          <w:rFonts w:hint="eastAsia" w:ascii="宋体" w:hAnsi="宋体" w:cs="宋体"/>
          <w:color w:val="auto"/>
          <w:sz w:val="24"/>
          <w:szCs w:val="24"/>
          <w:highlight w:val="none"/>
          <w:u w:val="single"/>
          <w:lang w:val="en-US" w:eastAsia="zh-CN"/>
        </w:rPr>
        <w:t xml:space="preserve">签约合同价的1% </w:t>
      </w:r>
      <w:r>
        <w:rPr>
          <w:rFonts w:hint="eastAsia" w:ascii="宋体" w:hAnsi="宋体" w:eastAsia="宋体" w:cs="宋体"/>
          <w:color w:val="auto"/>
          <w:sz w:val="24"/>
          <w:szCs w:val="24"/>
          <w:highlight w:val="none"/>
          <w:lang w:val="en-US" w:eastAsia="zh-CN"/>
        </w:rPr>
        <w:t>元/天计算逾期竣工违约金，累计违约金上限：</w:t>
      </w:r>
      <w:r>
        <w:rPr>
          <w:rFonts w:hint="eastAsia" w:ascii="宋体" w:hAnsi="宋体" w:eastAsia="宋体" w:cs="宋体"/>
          <w:color w:val="auto"/>
          <w:sz w:val="24"/>
          <w:szCs w:val="24"/>
          <w:highlight w:val="none"/>
          <w:u w:val="single"/>
          <w:lang w:val="en-US" w:eastAsia="zh-CN"/>
        </w:rPr>
        <w:t>签约合同价的10%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支付逾期竣工违约金后，不免除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继续完成工程及修补缺陷的义务。</w:t>
      </w:r>
      <w:r>
        <w:rPr>
          <w:rFonts w:hint="eastAsia" w:ascii="宋体" w:hAnsi="宋体" w:eastAsia="宋体" w:cs="宋体"/>
          <w:b/>
          <w:bCs/>
          <w:color w:val="auto"/>
          <w:sz w:val="24"/>
          <w:szCs w:val="24"/>
          <w:highlight w:val="none"/>
          <w:lang w:val="en-US" w:eastAsia="zh-CN"/>
        </w:rPr>
        <w:t>（供应商需提供承诺书，格式自拟）</w:t>
      </w:r>
      <w:r>
        <w:rPr>
          <w:rFonts w:hint="eastAsia" w:ascii="宋体" w:hAnsi="宋体" w:eastAsia="宋体" w:cs="宋体"/>
          <w:b/>
          <w:bCs/>
          <w:color w:val="auto"/>
          <w:sz w:val="36"/>
          <w:szCs w:val="30"/>
          <w:highlight w:val="none"/>
        </w:rPr>
        <w:br w:type="page"/>
      </w:r>
    </w:p>
    <w:p w14:paraId="68670C2D">
      <w:pPr>
        <w:pStyle w:val="4"/>
        <w:spacing w:before="0" w:after="0" w:line="360" w:lineRule="auto"/>
        <w:jc w:val="center"/>
        <w:outlineLvl w:val="0"/>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第三篇</w:t>
      </w:r>
      <w:bookmarkEnd w:id="57"/>
      <w:r>
        <w:rPr>
          <w:rFonts w:hint="eastAsia" w:ascii="宋体" w:hAnsi="宋体" w:eastAsia="宋体" w:cs="宋体"/>
          <w:b w:val="0"/>
          <w:color w:val="auto"/>
          <w:sz w:val="36"/>
          <w:szCs w:val="30"/>
          <w:highlight w:val="none"/>
        </w:rPr>
        <w:t xml:space="preserve"> 采购项目商务需求</w:t>
      </w:r>
      <w:bookmarkEnd w:id="59"/>
      <w:bookmarkEnd w:id="65"/>
    </w:p>
    <w:p w14:paraId="16B0D7D0">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66" w:name="_Toc7226"/>
      <w:bookmarkStart w:id="67" w:name="_Toc19343"/>
      <w:bookmarkStart w:id="68" w:name="_Toc25727"/>
      <w:bookmarkStart w:id="69" w:name="_Toc13038"/>
      <w:bookmarkStart w:id="70" w:name="_Toc28963"/>
      <w:bookmarkStart w:id="71" w:name="_Toc28918"/>
      <w:r>
        <w:rPr>
          <w:rFonts w:hint="eastAsia" w:ascii="宋体" w:hAnsi="宋体" w:eastAsia="宋体" w:cs="宋体"/>
          <w:color w:val="auto"/>
          <w:sz w:val="24"/>
          <w:szCs w:val="24"/>
          <w:highlight w:val="none"/>
        </w:rPr>
        <w:t>一、实施时间、地点及报价方式</w:t>
      </w:r>
      <w:bookmarkEnd w:id="66"/>
      <w:bookmarkEnd w:id="67"/>
      <w:bookmarkEnd w:id="68"/>
      <w:bookmarkEnd w:id="69"/>
      <w:bookmarkEnd w:id="70"/>
      <w:bookmarkEnd w:id="71"/>
    </w:p>
    <w:p w14:paraId="73977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72" w:name="_Toc30218"/>
      <w:bookmarkStart w:id="73" w:name="_Toc24209"/>
      <w:bookmarkStart w:id="74" w:name="_Toc506192852"/>
      <w:r>
        <w:rPr>
          <w:rFonts w:hint="eastAsia" w:ascii="宋体" w:hAnsi="宋体" w:eastAsia="宋体" w:cs="宋体"/>
          <w:color w:val="auto"/>
          <w:sz w:val="24"/>
          <w:szCs w:val="24"/>
          <w:highlight w:val="none"/>
        </w:rPr>
        <w:t>（一）实施时间</w:t>
      </w:r>
      <w:r>
        <w:rPr>
          <w:rFonts w:hint="eastAsia" w:ascii="宋体" w:hAnsi="宋体" w:eastAsia="宋体" w:cs="宋体"/>
          <w:color w:val="auto"/>
          <w:sz w:val="24"/>
          <w:szCs w:val="24"/>
          <w:highlight w:val="none"/>
          <w:lang w:eastAsia="zh-CN"/>
        </w:rPr>
        <w:t>：施工合同签订之日起</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个日历日内竣工并通过验收。</w:t>
      </w:r>
    </w:p>
    <w:p w14:paraId="6B88EF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：重庆市沙坪坝区大学城北一路36号</w:t>
      </w:r>
      <w:r>
        <w:rPr>
          <w:rFonts w:hint="eastAsia" w:ascii="宋体" w:hAnsi="宋体" w:cs="宋体"/>
          <w:color w:val="auto"/>
          <w:sz w:val="24"/>
          <w:szCs w:val="24"/>
          <w:highlight w:val="none"/>
          <w:lang w:val="en-US" w:eastAsia="zh-CN"/>
        </w:rPr>
        <w:t>（具体以采购人指定为准）</w:t>
      </w:r>
      <w:r>
        <w:rPr>
          <w:rFonts w:hint="eastAsia" w:ascii="宋体" w:hAnsi="宋体" w:cs="宋体"/>
          <w:color w:val="auto"/>
          <w:sz w:val="24"/>
          <w:szCs w:val="24"/>
          <w:highlight w:val="none"/>
          <w:lang w:eastAsia="zh-CN"/>
        </w:rPr>
        <w:t>。</w:t>
      </w:r>
    </w:p>
    <w:p w14:paraId="36C98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）报价方式</w:t>
      </w:r>
      <w:bookmarkStart w:id="75" w:name="_Toc530694353"/>
    </w:p>
    <w:bookmarkEnd w:id="75"/>
    <w:p w14:paraId="22C45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6" w:name="_Toc24284"/>
      <w:bookmarkStart w:id="77" w:name="_Toc32652"/>
      <w:bookmarkStart w:id="78" w:name="_Toc4713"/>
      <w:bookmarkStart w:id="79" w:name="_Toc11730"/>
      <w:r>
        <w:rPr>
          <w:rFonts w:hint="eastAsia" w:ascii="宋体" w:hAnsi="宋体" w:eastAsia="宋体" w:cs="宋体"/>
          <w:color w:val="auto"/>
          <w:sz w:val="24"/>
          <w:szCs w:val="24"/>
          <w:highlight w:val="none"/>
          <w:lang w:val="en-US" w:eastAsia="zh-CN"/>
        </w:rPr>
        <w:t>1.本次报价须为人民币报价，</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采购人发布的工程量清单范围内的内</w:t>
      </w:r>
      <w:r>
        <w:rPr>
          <w:rFonts w:hint="eastAsia" w:ascii="宋体" w:hAnsi="宋体" w:eastAsia="宋体" w:cs="宋体"/>
          <w:b w:val="0"/>
          <w:bCs w:val="0"/>
          <w:color w:val="auto"/>
          <w:sz w:val="24"/>
          <w:szCs w:val="24"/>
          <w:highlight w:val="none"/>
          <w:lang w:val="en-US" w:eastAsia="zh-CN"/>
        </w:rPr>
        <w:t>容</w:t>
      </w:r>
      <w:r>
        <w:rPr>
          <w:rFonts w:hint="eastAsia" w:ascii="宋体" w:hAnsi="宋体" w:cs="宋体"/>
          <w:b w:val="0"/>
          <w:bCs w:val="0"/>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w:t>
      </w:r>
    </w:p>
    <w:p w14:paraId="73FA6FE1">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2.报价范围：各供应商对采购人提供的施工图纸以及工程量清单进行自主报价。供应商必须完成竞采文件、施工图纸以及工程量清单范围内的所有工程内容。</w:t>
      </w:r>
    </w:p>
    <w:p w14:paraId="27B77889">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报价原则：本采购工程由供应商以竞采文件、合同条件、国家技术和经济规范及标准、《建设工程工程量清单计价规范》（GB50500-2013）、《重庆市建设工程工程量计算规则》（CQJLGZ-2013）、《重庆市建设工程工程量清单计价规则》（CQJJGZ-2013）、《重庆市房屋建筑与装饰工程计价定额》（CQJZZSDE-2018）、《重庆市市政工程计价定额》（CQSZDE-2018）、《重庆市通用安装工程计价定额》（CQAZDE-2018）、《重庆市房屋修缮工程计价定额》（CQXSDE-2018）、《重庆市建设工程费用定额》（CQFYDE-2018）、《重庆市建设工程施工机械台班定额》（CQJXDE-2018）、《重庆市建设工程混凝土及砂浆配合比表》（CQPHBB-2018）等定额及相关配套文件及国家、地方行业规范标准为依据，由供应商结合自身实力、市场行情自主合理报价。</w:t>
      </w:r>
    </w:p>
    <w:p w14:paraId="4D7C6E07">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报价应包括但不限于完成采购范围内工程项目的人工费、材料费、机械费、企业管理费、利润、风险费用、措施费（施工组织措施费和施工技术措施费，还含易撒漏物资密闭运输的费用及满足蓝天行动、安全文明施工费、相关道路通行手续、相邻行政区及相关职能部门的协调费用及手续办理等）、规费、税金、政策性文件规定的所有费用，以及成交供应商管理人员、施工人员的住宿、饮食等费用（采购人不提供住宿和饮食）。采购人不再支付其它费用。</w:t>
      </w:r>
    </w:p>
    <w:p w14:paraId="34B866FF">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4.工程量清单项、价</w:t>
      </w:r>
    </w:p>
    <w:p w14:paraId="3D957502">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本工程分部分项工程量清单子项不论其对应的项目特征和工作内容是否描述完整，其综合单价应包括完成该子项所需的人工费、材料费、机械费、企业管理费、利润、风险费用等除税金、措施费（含安全文明施工费）、规费外的所有费用以及合同文件中明示或暗示的应由成交供应商承担的所有责任、义务、一般风险及相应的费用。成交后采购人不再对综合单价进行调整。报价包括完成本项目的全部费用，包括但不限于人工费、材料费、设备费、机械使用费、管理费、规费、税金、利润、措施项目费、风险费、安装调试费等一切费用。采购人除此以外不支付其它费用。因成交供应商自身原因造成漏报、少报皆由其自行承担责任，采购人不再补偿。</w:t>
      </w:r>
    </w:p>
    <w:p w14:paraId="5F735A7B">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应认真填写工程量清单中所列的各工程子目的单价和总价。</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没有填入单价和总价的工程子目，</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将认为该子目的价款已包括在工程量清单其他子目的单价和总价中</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必须按</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指令完成工程量清单中未填入单价或价格的子目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在工程量清单中多报的子目和单价或总价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将不予接受，并将被视为重大偏差，响应文件作无效响应处理。</w:t>
      </w:r>
    </w:p>
    <w:p w14:paraId="02B7B048">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在编制报价时不得改变工程量清单中的项目编码、项目名称、项目特征、计量单位及工程量，否则响应文件作无效响应处理</w:t>
      </w:r>
      <w:r>
        <w:rPr>
          <w:rFonts w:hint="eastAsia" w:ascii="宋体" w:hAnsi="宋体" w:eastAsia="宋体" w:cs="宋体"/>
          <w:color w:val="auto"/>
          <w:sz w:val="24"/>
          <w:szCs w:val="24"/>
          <w:highlight w:val="none"/>
        </w:rPr>
        <w:t>。工程量清单中的“项目特征”描述不作为报价的唯一依据，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应根据分部分项工程量清单计价表中“项目特征”的描述结合</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须知、技术标准和要求和对现场的勘察情况等一起阅读和理解并确定报价。</w:t>
      </w:r>
    </w:p>
    <w:p w14:paraId="61136D75">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5.供应商的投标总报价不得超过最高限价，清单综合单价不得超过相应最高限价，本项目投标总报价</w:t>
      </w:r>
      <w:r>
        <w:rPr>
          <w:rFonts w:hint="eastAsia" w:ascii="宋体" w:hAnsi="宋体" w:eastAsia="宋体" w:cs="宋体"/>
          <w:b/>
          <w:bCs/>
          <w:color w:val="auto"/>
          <w:kern w:val="2"/>
          <w:sz w:val="24"/>
          <w:szCs w:val="24"/>
          <w:highlight w:val="none"/>
          <w:lang w:val="en-US" w:eastAsia="zh-CN" w:bidi="ar-SA"/>
        </w:rPr>
        <w:t>最高限价</w:t>
      </w:r>
      <w:r>
        <w:rPr>
          <w:rFonts w:hint="eastAsia" w:ascii="宋体" w:hAnsi="宋体" w:cs="宋体"/>
          <w:b/>
          <w:bCs/>
          <w:color w:val="auto"/>
          <w:kern w:val="2"/>
          <w:sz w:val="24"/>
          <w:szCs w:val="24"/>
          <w:highlight w:val="none"/>
          <w:lang w:val="en-US" w:eastAsia="zh-CN" w:bidi="ar-SA"/>
        </w:rPr>
        <w:t>748022.06</w:t>
      </w:r>
      <w:r>
        <w:rPr>
          <w:rFonts w:hint="eastAsia" w:ascii="宋体" w:hAnsi="宋体" w:eastAsia="宋体" w:cs="宋体"/>
          <w:b/>
          <w:bCs/>
          <w:color w:val="auto"/>
          <w:kern w:val="2"/>
          <w:sz w:val="24"/>
          <w:szCs w:val="24"/>
          <w:highlight w:val="none"/>
          <w:lang w:val="en-US" w:eastAsia="zh-CN" w:bidi="ar-SA"/>
        </w:rPr>
        <w:t>元</w:t>
      </w:r>
      <w:r>
        <w:rPr>
          <w:rFonts w:hint="eastAsia" w:ascii="宋体" w:hAnsi="宋体" w:eastAsia="宋体" w:cs="宋体"/>
          <w:b w:val="0"/>
          <w:bCs w:val="0"/>
          <w:color w:val="auto"/>
          <w:kern w:val="2"/>
          <w:sz w:val="24"/>
          <w:szCs w:val="24"/>
          <w:highlight w:val="none"/>
          <w:lang w:val="en-US" w:eastAsia="zh-CN" w:bidi="ar-SA"/>
        </w:rPr>
        <w:t>。否则，将被认定为无效响应。</w:t>
      </w:r>
    </w:p>
    <w:p w14:paraId="7ADFC0F1">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6.安全文明施工费：</w:t>
      </w:r>
    </w:p>
    <w:p w14:paraId="08FBB2FE">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工程安全文明施工费由采购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住房和城乡建设委员会关于适用增值税新税率调整建设工程计价依据的通知》（渝建[2019]143号）</w:t>
      </w:r>
      <w:r>
        <w:rPr>
          <w:rFonts w:hint="eastAsia" w:ascii="宋体" w:hAnsi="宋体" w:cs="宋体"/>
          <w:color w:val="auto"/>
          <w:kern w:val="2"/>
          <w:sz w:val="24"/>
          <w:szCs w:val="24"/>
          <w:highlight w:val="none"/>
          <w:lang w:val="en-US" w:eastAsia="zh-CN" w:bidi="ar-SA"/>
        </w:rPr>
        <w:t>、《重庆市建设工程安全文明施工费计取及使用管理规定》（2024 版）</w:t>
      </w:r>
      <w:r>
        <w:rPr>
          <w:rFonts w:hint="eastAsia" w:ascii="宋体" w:hAnsi="宋体" w:eastAsia="宋体" w:cs="宋体"/>
          <w:color w:val="auto"/>
          <w:kern w:val="2"/>
          <w:sz w:val="24"/>
          <w:szCs w:val="24"/>
          <w:highlight w:val="none"/>
          <w:lang w:val="en-US" w:eastAsia="zh-CN" w:bidi="ar-SA"/>
        </w:rPr>
        <w:t>文的相关规定和费用标准单列计算，</w:t>
      </w:r>
      <w:r>
        <w:rPr>
          <w:rFonts w:hint="eastAsia" w:ascii="宋体" w:hAnsi="宋体" w:eastAsia="宋体" w:cs="宋体"/>
          <w:b w:val="0"/>
          <w:bCs w:val="0"/>
          <w:color w:val="auto"/>
          <w:kern w:val="2"/>
          <w:sz w:val="24"/>
          <w:szCs w:val="24"/>
          <w:highlight w:val="none"/>
          <w:lang w:val="en-US" w:eastAsia="zh-CN" w:bidi="ar-SA"/>
        </w:rPr>
        <w:t>工程量清单报价中的安全文明施工费必须按照采购人给出的暂定金额</w:t>
      </w:r>
      <w:r>
        <w:rPr>
          <w:rFonts w:hint="eastAsia" w:ascii="宋体" w:hAnsi="宋体" w:cs="宋体"/>
          <w:b/>
          <w:bCs/>
          <w:color w:val="auto"/>
          <w:kern w:val="2"/>
          <w:sz w:val="24"/>
          <w:szCs w:val="24"/>
          <w:highlight w:val="none"/>
          <w:lang w:val="en-US" w:eastAsia="zh-CN" w:bidi="ar-SA"/>
        </w:rPr>
        <w:t>25441.52元</w:t>
      </w:r>
      <w:r>
        <w:rPr>
          <w:rFonts w:hint="eastAsia" w:ascii="宋体" w:hAnsi="宋体" w:eastAsia="宋体" w:cs="宋体"/>
          <w:b w:val="0"/>
          <w:bCs w:val="0"/>
          <w:color w:val="auto"/>
          <w:kern w:val="2"/>
          <w:sz w:val="24"/>
          <w:szCs w:val="24"/>
          <w:highlight w:val="none"/>
          <w:lang w:val="en-US" w:eastAsia="zh-CN" w:bidi="ar-SA"/>
        </w:rPr>
        <w:t>填报，不得浮动，否则视为对竞采文件不作实质性响应，其响应文件作无效响应处理。</w:t>
      </w:r>
    </w:p>
    <w:p w14:paraId="450EB6A6">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7.措施项目费</w:t>
      </w:r>
    </w:p>
    <w:p w14:paraId="64C86B38">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7.1施工组织措施项目费：供应商在投标报价时应按照采购人给出的施工组织措施项目清单并结合本工程的实际情况和国家及重庆市相关管理规定自行报价。</w:t>
      </w:r>
    </w:p>
    <w:p w14:paraId="1B4B6BAA">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7.2本工程材料、成品、半成品的场内二次或多次搬运费已包含在组织措施费内，包干使用不作调整，结算时不另行计算。</w:t>
      </w:r>
    </w:p>
    <w:p w14:paraId="191CEB11">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7.3施工技术措施项目费：技术措施清单中以项计列的项目，由供应商根据现场踏勘情况及本工程的实际情况结合自身施工经验，以项为单位自行报价；技术措施清单中以项目编码、项目名称、项目特征、工程量及计量单位列项的项目，供应商必须按采购人给出的施工技术措施项目清单进行报价，</w:t>
      </w:r>
      <w:r>
        <w:rPr>
          <w:rFonts w:hint="eastAsia" w:ascii="宋体" w:hAnsi="宋体" w:cs="宋体"/>
          <w:b/>
          <w:bCs/>
          <w:color w:val="auto"/>
          <w:kern w:val="2"/>
          <w:sz w:val="24"/>
          <w:szCs w:val="24"/>
          <w:highlight w:val="none"/>
          <w:lang w:val="en-US" w:eastAsia="zh-CN" w:bidi="ar-SA"/>
        </w:rPr>
        <w:t>不得擅自变改采购人提供的施工技术措施项目清单中的序号、项目编码、项目名称、项目特征、工程量及计量单位</w:t>
      </w:r>
      <w:r>
        <w:rPr>
          <w:rFonts w:hint="eastAsia" w:ascii="宋体" w:hAnsi="宋体" w:cs="宋体"/>
          <w:color w:val="auto"/>
          <w:kern w:val="2"/>
          <w:sz w:val="24"/>
          <w:szCs w:val="24"/>
          <w:highlight w:val="none"/>
          <w:lang w:val="en-US" w:eastAsia="zh-CN" w:bidi="ar-SA"/>
        </w:rPr>
        <w:t>，否则响应文件作无效响应处理。</w:t>
      </w:r>
    </w:p>
    <w:p w14:paraId="2D47A52E">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8.规费：由供应商按国家及重庆市有关规定报价，包含在所报的总价内。</w:t>
      </w:r>
    </w:p>
    <w:p w14:paraId="410005E1">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9.税金：供应商按《重庆市建设工程费用定额》（CQFYDE-2018）、渝建〔2019〕143号及相关规定进行填报，实施本合同工程需缴纳的一切税费由供应商承担，包含在所报的总额价内。</w:t>
      </w:r>
    </w:p>
    <w:p w14:paraId="61138092">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10.材料、设备采购及报价</w:t>
      </w:r>
    </w:p>
    <w:p w14:paraId="001517A8">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本工程所需的全部材料、设备由各供应商参照重庆市建设工程造价管理总站发布的《重庆工程造价信息》或工程造价管理机构发布的工程造价信息（造价信息引用时限为采购公告发布日期前</w:t>
      </w:r>
      <w:r>
        <w:rPr>
          <w:rFonts w:hint="eastAsia" w:ascii="宋体" w:hAnsi="宋体" w:cs="宋体"/>
          <w:color w:val="auto"/>
          <w:kern w:val="2"/>
          <w:sz w:val="24"/>
          <w:szCs w:val="24"/>
          <w:highlight w:val="none"/>
          <w:lang w:val="en-US" w:eastAsia="zh-CN" w:bidi="ar-SA"/>
        </w:rPr>
        <w:t>最新</w:t>
      </w:r>
      <w:r>
        <w:rPr>
          <w:rFonts w:hint="eastAsia" w:ascii="宋体" w:hAnsi="宋体" w:eastAsia="宋体" w:cs="宋体"/>
          <w:color w:val="auto"/>
          <w:kern w:val="2"/>
          <w:sz w:val="24"/>
          <w:szCs w:val="24"/>
          <w:highlight w:val="none"/>
          <w:lang w:val="en-US" w:eastAsia="zh-CN" w:bidi="ar-SA"/>
        </w:rPr>
        <w:t>一期），结合市场行情以及供应商的自身实力自主报价，承担材料价格涨跌风险，成交后材料价格均不作调整。</w:t>
      </w:r>
    </w:p>
    <w:p w14:paraId="617768D9">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人工费：本工程人工单价由各供应商参照重庆市建设工程造价总站主办的《重庆工程造价信息》项目所在地采购公告发布日期前最新一期的人工信息价格，并结合市场行情自主测算计入各分部分项综合单价中,成交后人工价格不作调整。</w:t>
      </w:r>
    </w:p>
    <w:p w14:paraId="3869CA11">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其他说明</w:t>
      </w:r>
    </w:p>
    <w:p w14:paraId="3E41BC37">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按政策和合同约定的应由成交供应商交纳的各种保险费由供应商自行投保，保险费由成交供应商承担并支付，并根据企业自身和本工程情况，测算包含在相应的报价中。如果因成交供应商未按要求投保而受到损失时，成交供应商应承担一切责任。</w:t>
      </w:r>
    </w:p>
    <w:p w14:paraId="58EA68F6">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供应商应先到工地踏勘以充分了解工地位置对施工影响、地质情况、进出场道路、储存空间、装卸限制、行车干扰及任何其它足以影响承包价格的情况，任何因忽视或误解工地情况而导致的索赔或工期延长申请不获批准。</w:t>
      </w:r>
    </w:p>
    <w:p w14:paraId="261EABF0">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 供应商应根据采购人提供工程量清单进行核算，如发现工程量清单中的数量与图纸中数量不一致，应于规定的时间前书面通知采购人核查，除非采购人以补遗书的形式予以更正，否则，应以工程量清单中列出的数量为准。</w:t>
      </w:r>
    </w:p>
    <w:p w14:paraId="0E64A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供应商自身的财产及施工现场内的自身员工（含农民工）的人身伤害及财产保险，从事危险作业员工的意外伤害险等由供应商自行投保，保险费由供应商承担并支付。供应商还须负责购买保险以保障其供应的材料在运送途中直至运抵工地的一切意外。供应商必须书面承诺按其规定购买相应保险</w:t>
      </w:r>
      <w:r>
        <w:rPr>
          <w:rFonts w:hint="eastAsia" w:ascii="宋体" w:hAnsi="宋体" w:eastAsia="宋体" w:cs="宋体"/>
          <w:b/>
          <w:bCs/>
          <w:color w:val="auto"/>
          <w:kern w:val="2"/>
          <w:sz w:val="24"/>
          <w:szCs w:val="24"/>
          <w:highlight w:val="none"/>
          <w:lang w:val="en-US" w:eastAsia="zh-CN" w:bidi="ar-SA"/>
        </w:rPr>
        <w:t>（格式自拟）</w:t>
      </w:r>
      <w:r>
        <w:rPr>
          <w:rFonts w:hint="eastAsia" w:ascii="宋体" w:hAnsi="宋体" w:eastAsia="宋体" w:cs="宋体"/>
          <w:color w:val="auto"/>
          <w:kern w:val="2"/>
          <w:sz w:val="24"/>
          <w:szCs w:val="24"/>
          <w:highlight w:val="none"/>
          <w:lang w:val="en-US" w:eastAsia="zh-CN" w:bidi="ar-SA"/>
        </w:rPr>
        <w:t>，否则视为对竞采文件不作实质性响应，其投标文件作无效投标处理。以上费用包含在所报的总价中，采购人不另行支付。</w:t>
      </w:r>
    </w:p>
    <w:p w14:paraId="21C8014C">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bookmarkStart w:id="80" w:name="_Toc20639"/>
      <w:r>
        <w:rPr>
          <w:rFonts w:hint="eastAsia" w:ascii="宋体" w:hAnsi="宋体" w:eastAsia="宋体" w:cs="宋体"/>
          <w:color w:val="auto"/>
          <w:sz w:val="24"/>
          <w:szCs w:val="24"/>
          <w:highlight w:val="none"/>
          <w:lang w:val="en-US" w:eastAsia="zh-CN"/>
        </w:rPr>
        <w:t>二、结算原则</w:t>
      </w:r>
      <w:bookmarkEnd w:id="80"/>
    </w:p>
    <w:p w14:paraId="254C283D">
      <w:pPr>
        <w:pStyle w:val="3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本项目合同价款采用总价包干合同，以中标价作为合同总价</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结算金额=合同总价</w:t>
      </w:r>
      <w:r>
        <w:rPr>
          <w:rFonts w:hint="eastAsia" w:ascii="宋体" w:hAnsi="宋体" w:cs="宋体"/>
          <w:color w:val="auto"/>
          <w:kern w:val="2"/>
          <w:sz w:val="24"/>
          <w:szCs w:val="24"/>
          <w:highlight w:val="none"/>
          <w:lang w:val="en-US" w:eastAsia="zh-CN" w:bidi="ar-SA"/>
        </w:rPr>
        <w:t>。</w:t>
      </w:r>
    </w:p>
    <w:p w14:paraId="0A6B64BE">
      <w:pPr>
        <w:widowControl/>
        <w:wordWrap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工程结算由采购方按规定委托第三方审计机构进行审核，成交供应商应按实报送结算金额，最终支付金额以第三方审计机构确认的结算金额为准。</w:t>
      </w:r>
    </w:p>
    <w:bookmarkEnd w:id="76"/>
    <w:bookmarkEnd w:id="77"/>
    <w:bookmarkEnd w:id="78"/>
    <w:bookmarkEnd w:id="79"/>
    <w:p w14:paraId="620BAD0D">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81" w:name="_Toc10359"/>
      <w:bookmarkStart w:id="82" w:name="_Toc26320"/>
      <w:bookmarkStart w:id="83" w:name="_Toc8644"/>
      <w:bookmarkStart w:id="84" w:name="_Toc21511"/>
      <w:bookmarkStart w:id="85" w:name="_Toc18861"/>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、付款方式</w:t>
      </w:r>
      <w:bookmarkEnd w:id="72"/>
      <w:bookmarkEnd w:id="73"/>
      <w:bookmarkEnd w:id="74"/>
      <w:bookmarkEnd w:id="81"/>
      <w:bookmarkEnd w:id="82"/>
      <w:bookmarkEnd w:id="83"/>
      <w:bookmarkEnd w:id="84"/>
      <w:bookmarkEnd w:id="85"/>
    </w:p>
    <w:p w14:paraId="3AEF0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86" w:name="_Toc506192854"/>
      <w:bookmarkStart w:id="87" w:name="_Toc344475123"/>
      <w:bookmarkStart w:id="88" w:name="_Toc16472"/>
      <w:bookmarkStart w:id="89" w:name="_Toc24069"/>
      <w:bookmarkStart w:id="90" w:name="_Toc24177"/>
      <w:bookmarkStart w:id="91" w:name="_Toc414610283"/>
      <w:r>
        <w:rPr>
          <w:rFonts w:hint="eastAsia" w:ascii="宋体" w:hAnsi="宋体" w:eastAsia="宋体" w:cs="宋体"/>
          <w:color w:val="auto"/>
          <w:sz w:val="24"/>
          <w:szCs w:val="24"/>
          <w:highlight w:val="none"/>
          <w:u w:val="single"/>
          <w:lang w:val="en-US" w:eastAsia="zh-CN"/>
        </w:rPr>
        <w:t>转账</w:t>
      </w:r>
      <w:r>
        <w:rPr>
          <w:rFonts w:hint="eastAsia" w:ascii="宋体" w:hAnsi="宋体" w:eastAsia="宋体" w:cs="宋体"/>
          <w:color w:val="auto"/>
          <w:sz w:val="24"/>
          <w:szCs w:val="24"/>
          <w:highlight w:val="none"/>
          <w:lang w:val="en-US" w:eastAsia="zh-CN"/>
        </w:rPr>
        <w:t>支付方式：</w:t>
      </w:r>
    </w:p>
    <w:p w14:paraId="7D687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本项目装修材料</w:t>
      </w:r>
      <w:r>
        <w:rPr>
          <w:rFonts w:hint="eastAsia" w:ascii="宋体" w:hAnsi="宋体" w:eastAsia="宋体" w:cs="宋体"/>
          <w:color w:val="auto"/>
          <w:sz w:val="24"/>
          <w:szCs w:val="24"/>
          <w:highlight w:val="none"/>
          <w:lang w:val="en-US" w:eastAsia="zh-CN"/>
        </w:rPr>
        <w:t>（铝方通材料、PE管件、电线、瓷砖</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进场，且经采购人确认无误后，支付至合同金额的50%；</w:t>
      </w:r>
    </w:p>
    <w:p w14:paraId="7A557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工程竣工验收合格且通过第三方结算审计后，采购人支付至审定金额的100%；</w:t>
      </w:r>
    </w:p>
    <w:p w14:paraId="3AB2F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本项目有履约保证金，为总合同金额的3%。</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签订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合同前缴纳，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合同履行完毕两年后15个工作日内无息退还。</w:t>
      </w:r>
    </w:p>
    <w:p w14:paraId="77A67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成交供应商不得发生拖欠农民工工资行为，严格按照重庆市《关于加强建设领域农民工工资管理的通知》要求支付民工工资。</w:t>
      </w:r>
    </w:p>
    <w:p w14:paraId="0328A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注：每次付款前，成交供应商须按规定提供合格发票，因成交供应商原因未能及时提供发票造成的支付延期由成交供应商承担全部责任。</w:t>
      </w:r>
    </w:p>
    <w:p w14:paraId="486C9B80">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92" w:name="_Toc22054"/>
      <w:bookmarkStart w:id="93" w:name="_Toc6533"/>
      <w:bookmarkStart w:id="94" w:name="_Toc29598"/>
      <w:bookmarkStart w:id="95" w:name="_Toc6111"/>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86"/>
      <w:bookmarkEnd w:id="87"/>
      <w:bookmarkEnd w:id="88"/>
      <w:bookmarkEnd w:id="89"/>
      <w:bookmarkEnd w:id="90"/>
      <w:bookmarkEnd w:id="91"/>
      <w:r>
        <w:rPr>
          <w:rFonts w:hint="eastAsia" w:ascii="宋体" w:hAnsi="宋体" w:eastAsia="宋体" w:cs="宋体"/>
          <w:color w:val="auto"/>
          <w:sz w:val="24"/>
          <w:szCs w:val="24"/>
          <w:highlight w:val="none"/>
        </w:rPr>
        <w:t>质量保证及售后服务要求</w:t>
      </w:r>
      <w:bookmarkEnd w:id="92"/>
      <w:bookmarkEnd w:id="93"/>
      <w:bookmarkEnd w:id="94"/>
      <w:bookmarkEnd w:id="95"/>
    </w:p>
    <w:p w14:paraId="68F8B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6" w:name="_Toc31551"/>
      <w:bookmarkStart w:id="97" w:name="_Toc506192855"/>
      <w:bookmarkStart w:id="98" w:name="_Toc9614"/>
      <w:bookmarkStart w:id="99" w:name="_Toc21712"/>
      <w:bookmarkStart w:id="100" w:name="_Toc414610285"/>
      <w:r>
        <w:rPr>
          <w:rFonts w:hint="eastAsia" w:ascii="宋体" w:hAnsi="宋体" w:eastAsia="宋体" w:cs="宋体"/>
          <w:color w:val="auto"/>
          <w:sz w:val="24"/>
          <w:szCs w:val="24"/>
          <w:highlight w:val="none"/>
          <w:lang w:val="en-US" w:eastAsia="zh-CN"/>
        </w:rPr>
        <w:t xml:space="preserve">（一）工程设施设备和材料质量总体要求：工程相关设施设备和材料必须货真价实，符合环保要求，假冒伪劣产品不得参与政府采购；设施设备和材料的各项手续、文件必须真实完整有效；其他材料各项质量指标必须符合国家技术质量监督机构及有关管理部门和行业的规定和标准。 </w:t>
      </w:r>
    </w:p>
    <w:p w14:paraId="4BC1E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（二）施工过程应遵照现行国家有关规程规范进行施工，按照有关要求进行检查验收。供应商提供的所有施工设施设备和材料应有完善的质量检测手段和质量保证体系，必须符合国家标准和行业标准。</w:t>
      </w:r>
    </w:p>
    <w:p w14:paraId="5A2AF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（三）供应商保证项目施工期间的安全；项目所需货物到达采购人现场所在地完好无损，如有缺漏、损坏，由供应商负责调换、补齐或赔偿。</w:t>
      </w:r>
      <w:r>
        <w:rPr>
          <w:rFonts w:hint="eastAsia" w:ascii="宋体" w:hAnsi="宋体" w:eastAsia="宋体" w:cs="宋体"/>
          <w:b/>
          <w:bCs/>
          <w:color w:val="auto"/>
          <w:sz w:val="24"/>
          <w:szCs w:val="24"/>
          <w:highlight w:val="none"/>
          <w:lang w:val="en-US" w:eastAsia="zh-CN"/>
        </w:rPr>
        <w:t>（供应商需提供承诺书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p w14:paraId="4A9A6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工程完工后，质量符合国家及重庆市工程验收规范等相关要求，供应商提出验收申请，由采购人组织开展对项目的验收工作，并形成专门的验收报告，如第一次验收不合格，供应商必须在5日内完成整改。供应商在第一次验收后7日内进行第二次验收，如第二次验收仍不合格，采购人终止合同，由此造成的一切损失由中标人自行承担。采购人有权委托第三方检测机构对材料、施工质量进行抽样检测，检测费用由供应商承担。</w:t>
      </w:r>
    </w:p>
    <w:p w14:paraId="1628C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验收合格后双方认可签字。验收合格条件如下：</w:t>
      </w:r>
    </w:p>
    <w:p w14:paraId="4E043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1.项目施工所需货物品种、规格、数量、技术参数等与采购合同一致，性能指标达到国家现行标准；项目施工标准达到国家现行标准及采购人要求。</w:t>
      </w:r>
    </w:p>
    <w:p w14:paraId="31D80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2.项目所需货物技术资料、合格证等资料齐全。</w:t>
      </w:r>
    </w:p>
    <w:p w14:paraId="430A7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3.在规定时间内完工并验收，并经采购人确认。</w:t>
      </w:r>
    </w:p>
    <w:p w14:paraId="05D865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（五）供应商使用的项目所需货物及材料未达到采购文件规定要求，且对采购人造成损失的，由供应商承担一切责任，并赔偿所造成的损失。</w:t>
      </w:r>
      <w:r>
        <w:rPr>
          <w:rFonts w:hint="eastAsia" w:ascii="宋体" w:hAnsi="宋体" w:eastAsia="宋体" w:cs="宋体"/>
          <w:b/>
          <w:bCs/>
          <w:color w:val="auto"/>
          <w:sz w:val="24"/>
          <w:szCs w:val="24"/>
          <w:highlight w:val="none"/>
          <w:lang w:val="en-US" w:eastAsia="zh-CN"/>
        </w:rPr>
        <w:t>（供应商需提供承诺书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p w14:paraId="307B7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（六）工程质保期不低于2年，从施工完毕验收合格之日起计算。</w:t>
      </w:r>
    </w:p>
    <w:p w14:paraId="79C38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（七）工程保修期内施工质量缺陷的维护及维修（非人为损坏）均由成交供应商承担。</w:t>
      </w:r>
    </w:p>
    <w:p w14:paraId="2E9028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五</w:t>
      </w:r>
      <w:r>
        <w:rPr>
          <w:rFonts w:hint="eastAsia" w:ascii="宋体" w:hAnsi="宋体" w:eastAsia="宋体" w:cs="宋体"/>
          <w:b/>
          <w:color w:val="auto"/>
          <w:kern w:val="2"/>
          <w:sz w:val="24"/>
          <w:szCs w:val="24"/>
          <w:highlight w:val="none"/>
          <w:lang w:val="en-US" w:eastAsia="zh-CN" w:bidi="ar-SA"/>
        </w:rPr>
        <w:t>、其他商务要求（包装和运输，保险等）</w:t>
      </w:r>
    </w:p>
    <w:p w14:paraId="19BA6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成交供应商不得将本工程项目转包、违法分包。 否则，采购人有权立即解除合同，因此给采购人造成的损失应由成交供应商承担赔偿责任。</w:t>
      </w:r>
    </w:p>
    <w:bookmarkEnd w:id="96"/>
    <w:bookmarkEnd w:id="97"/>
    <w:bookmarkEnd w:id="98"/>
    <w:bookmarkEnd w:id="99"/>
    <w:bookmarkEnd w:id="100"/>
    <w:p w14:paraId="5A03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p w14:paraId="228D0676">
      <w:pPr>
        <w:pStyle w:val="4"/>
        <w:pageBreakBefore/>
        <w:spacing w:before="0" w:after="0" w:line="360" w:lineRule="auto"/>
        <w:jc w:val="center"/>
        <w:outlineLvl w:val="0"/>
        <w:rPr>
          <w:rFonts w:hint="eastAsia" w:ascii="宋体" w:hAnsi="宋体" w:eastAsia="宋体" w:cs="宋体"/>
          <w:b w:val="0"/>
          <w:color w:val="auto"/>
          <w:spacing w:val="-11"/>
          <w:sz w:val="36"/>
          <w:szCs w:val="30"/>
          <w:highlight w:val="none"/>
        </w:rPr>
      </w:pPr>
      <w:bookmarkStart w:id="101" w:name="_Toc12759"/>
      <w:bookmarkStart w:id="102" w:name="_Toc20152"/>
      <w:r>
        <w:rPr>
          <w:rFonts w:hint="eastAsia" w:ascii="宋体" w:hAnsi="宋体" w:eastAsia="宋体" w:cs="宋体"/>
          <w:b w:val="0"/>
          <w:color w:val="auto"/>
          <w:spacing w:val="-11"/>
          <w:sz w:val="36"/>
          <w:szCs w:val="30"/>
          <w:highlight w:val="none"/>
        </w:rPr>
        <w:t xml:space="preserve">第四篇 </w:t>
      </w:r>
      <w:r>
        <w:rPr>
          <w:rFonts w:hint="eastAsia" w:hAnsi="宋体" w:cs="宋体"/>
          <w:b w:val="0"/>
          <w:color w:val="auto"/>
          <w:spacing w:val="-11"/>
          <w:sz w:val="36"/>
          <w:szCs w:val="30"/>
          <w:highlight w:val="none"/>
          <w:lang w:val="en-US" w:eastAsia="zh-CN"/>
        </w:rPr>
        <w:t xml:space="preserve"> </w:t>
      </w:r>
      <w:r>
        <w:rPr>
          <w:rFonts w:hint="eastAsia" w:ascii="宋体" w:hAnsi="宋体" w:eastAsia="宋体" w:cs="宋体"/>
          <w:b w:val="0"/>
          <w:color w:val="auto"/>
          <w:spacing w:val="-11"/>
          <w:sz w:val="36"/>
          <w:szCs w:val="30"/>
          <w:highlight w:val="none"/>
        </w:rPr>
        <w:t>竞采程序及方法、评审标准、响应无效和</w:t>
      </w:r>
      <w:r>
        <w:rPr>
          <w:rFonts w:hint="eastAsia" w:ascii="宋体" w:hAnsi="宋体" w:eastAsia="宋体" w:cs="宋体"/>
          <w:b w:val="0"/>
          <w:color w:val="auto"/>
          <w:spacing w:val="-11"/>
          <w:sz w:val="36"/>
          <w:szCs w:val="36"/>
          <w:highlight w:val="none"/>
        </w:rPr>
        <w:t>采购终止</w:t>
      </w:r>
      <w:bookmarkEnd w:id="101"/>
      <w:bookmarkEnd w:id="102"/>
    </w:p>
    <w:p w14:paraId="530D0667">
      <w:pPr>
        <w:pStyle w:val="6"/>
        <w:spacing w:before="0" w:after="0" w:line="360" w:lineRule="auto"/>
        <w:rPr>
          <w:rFonts w:hint="eastAsia" w:ascii="宋体" w:hAnsi="宋体" w:eastAsia="宋体" w:cs="宋体"/>
          <w:color w:val="auto"/>
          <w:sz w:val="24"/>
          <w:szCs w:val="24"/>
          <w:highlight w:val="none"/>
        </w:rPr>
      </w:pPr>
      <w:bookmarkStart w:id="103" w:name="_Toc21242"/>
      <w:bookmarkStart w:id="104" w:name="_Toc16836"/>
      <w:bookmarkStart w:id="105" w:name="_Toc1122"/>
      <w:bookmarkStart w:id="106" w:name="_Toc13797"/>
      <w:bookmarkStart w:id="107" w:name="_Toc31206"/>
      <w:r>
        <w:rPr>
          <w:rFonts w:hint="eastAsia" w:ascii="宋体" w:hAnsi="宋体" w:eastAsia="宋体" w:cs="宋体"/>
          <w:color w:val="auto"/>
          <w:sz w:val="24"/>
          <w:szCs w:val="24"/>
          <w:highlight w:val="none"/>
        </w:rPr>
        <w:t>一、竞采程序及方法</w:t>
      </w:r>
      <w:bookmarkEnd w:id="103"/>
      <w:bookmarkEnd w:id="104"/>
      <w:bookmarkEnd w:id="105"/>
      <w:bookmarkEnd w:id="106"/>
      <w:bookmarkEnd w:id="107"/>
    </w:p>
    <w:p w14:paraId="08BB6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）报价截止后评审小组对各供应商的资格条件、响应文件的有效性、完整性和响应程度进行审查。各供应商只有在完全符合要求的前提下，才能参与正式竞采。</w:t>
      </w:r>
    </w:p>
    <w:p w14:paraId="67F0B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资格性检查。依据法律法规和竞采文件的规定，对响应文件中的资格证明、进行审查，以确定供应商是否具备竞采资格。资格性检查资料表如下：</w:t>
      </w:r>
    </w:p>
    <w:tbl>
      <w:tblPr>
        <w:tblStyle w:val="62"/>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5517"/>
      </w:tblGrid>
      <w:tr w14:paraId="2CB4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14:paraId="7718FC54">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095" w:type="dxa"/>
            <w:gridSpan w:val="2"/>
            <w:noWrap w:val="0"/>
            <w:vAlign w:val="center"/>
          </w:tcPr>
          <w:p w14:paraId="6C1DA4A8">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5517" w:type="dxa"/>
            <w:noWrap w:val="0"/>
            <w:vAlign w:val="center"/>
          </w:tcPr>
          <w:p w14:paraId="07C41972">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6FAA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6E58863B">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5" w:type="dxa"/>
            <w:vMerge w:val="restart"/>
            <w:noWrap w:val="0"/>
            <w:vAlign w:val="center"/>
          </w:tcPr>
          <w:p w14:paraId="38DD7131">
            <w:pPr>
              <w:spacing w:line="3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应符合的基本资格条件</w:t>
            </w:r>
          </w:p>
        </w:tc>
        <w:tc>
          <w:tcPr>
            <w:tcW w:w="3130" w:type="dxa"/>
            <w:noWrap w:val="0"/>
            <w:vAlign w:val="center"/>
          </w:tcPr>
          <w:p w14:paraId="56DD45F6">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517" w:type="dxa"/>
            <w:noWrap w:val="0"/>
            <w:vAlign w:val="center"/>
          </w:tcPr>
          <w:p w14:paraId="0B7A16F7">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法人营业执照（副本）或事业单位法人证书（副本）或个体工商户营业执照或有效的自然人身份证明或社会团体法人登记证书（提供复印件</w:t>
            </w:r>
            <w:r>
              <w:rPr>
                <w:rFonts w:hint="eastAsia" w:ascii="宋体" w:hAnsi="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rPr>
              <w:t xml:space="preserve">）。 </w:t>
            </w:r>
          </w:p>
          <w:p w14:paraId="0D67ECFA">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供应商法定代表人身份证明和法定代表人授权代表委托书。</w:t>
            </w:r>
          </w:p>
        </w:tc>
      </w:tr>
      <w:tr w14:paraId="751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B7BA7A7">
            <w:pPr>
              <w:spacing w:before="260" w:after="260" w:line="340" w:lineRule="exact"/>
              <w:jc w:val="center"/>
              <w:outlineLvl w:val="2"/>
              <w:rPr>
                <w:rFonts w:hint="eastAsia" w:ascii="宋体" w:hAnsi="宋体" w:eastAsia="宋体" w:cs="宋体"/>
                <w:color w:val="auto"/>
                <w:sz w:val="21"/>
                <w:szCs w:val="21"/>
                <w:highlight w:val="none"/>
              </w:rPr>
            </w:pPr>
          </w:p>
        </w:tc>
        <w:tc>
          <w:tcPr>
            <w:tcW w:w="965" w:type="dxa"/>
            <w:vMerge w:val="continue"/>
            <w:noWrap w:val="0"/>
            <w:vAlign w:val="center"/>
          </w:tcPr>
          <w:p w14:paraId="3DBC930A">
            <w:pPr>
              <w:spacing w:before="260" w:after="260" w:line="340" w:lineRule="exact"/>
              <w:outlineLvl w:val="2"/>
              <w:rPr>
                <w:rFonts w:hint="eastAsia" w:ascii="宋体" w:hAnsi="宋体" w:eastAsia="宋体" w:cs="宋体"/>
                <w:color w:val="auto"/>
                <w:sz w:val="21"/>
                <w:szCs w:val="21"/>
                <w:highlight w:val="none"/>
                <w:lang w:val="zh-CN"/>
              </w:rPr>
            </w:pPr>
          </w:p>
        </w:tc>
        <w:tc>
          <w:tcPr>
            <w:tcW w:w="3130" w:type="dxa"/>
            <w:noWrap w:val="0"/>
            <w:vAlign w:val="center"/>
          </w:tcPr>
          <w:p w14:paraId="7B229B7D">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517" w:type="dxa"/>
            <w:vMerge w:val="restart"/>
            <w:noWrap w:val="0"/>
            <w:vAlign w:val="center"/>
          </w:tcPr>
          <w:p w14:paraId="4FD722AC">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供应商提供“基本资格条件承诺函”（详见格式文件）</w:t>
            </w:r>
          </w:p>
        </w:tc>
      </w:tr>
      <w:tr w14:paraId="6178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9CCF343">
            <w:pPr>
              <w:spacing w:before="260" w:after="260" w:line="340" w:lineRule="exact"/>
              <w:jc w:val="center"/>
              <w:outlineLvl w:val="2"/>
              <w:rPr>
                <w:rFonts w:hint="eastAsia" w:ascii="宋体" w:hAnsi="宋体" w:eastAsia="宋体" w:cs="宋体"/>
                <w:color w:val="auto"/>
                <w:sz w:val="21"/>
                <w:szCs w:val="21"/>
                <w:highlight w:val="none"/>
              </w:rPr>
            </w:pPr>
          </w:p>
        </w:tc>
        <w:tc>
          <w:tcPr>
            <w:tcW w:w="965" w:type="dxa"/>
            <w:vMerge w:val="continue"/>
            <w:noWrap w:val="0"/>
            <w:vAlign w:val="center"/>
          </w:tcPr>
          <w:p w14:paraId="2E99B88B">
            <w:pPr>
              <w:spacing w:before="260" w:after="260" w:line="340" w:lineRule="exact"/>
              <w:outlineLvl w:val="2"/>
              <w:rPr>
                <w:rFonts w:hint="eastAsia" w:ascii="宋体" w:hAnsi="宋体" w:eastAsia="宋体" w:cs="宋体"/>
                <w:color w:val="auto"/>
                <w:sz w:val="21"/>
                <w:szCs w:val="21"/>
                <w:highlight w:val="none"/>
                <w:lang w:val="zh-CN"/>
              </w:rPr>
            </w:pPr>
          </w:p>
        </w:tc>
        <w:tc>
          <w:tcPr>
            <w:tcW w:w="3130" w:type="dxa"/>
            <w:noWrap w:val="0"/>
            <w:vAlign w:val="center"/>
          </w:tcPr>
          <w:p w14:paraId="50E8A8FE">
            <w:pPr>
              <w:spacing w:line="3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517" w:type="dxa"/>
            <w:vMerge w:val="continue"/>
            <w:noWrap w:val="0"/>
            <w:vAlign w:val="center"/>
          </w:tcPr>
          <w:p w14:paraId="54511AA3">
            <w:pPr>
              <w:spacing w:line="340" w:lineRule="exact"/>
              <w:rPr>
                <w:rFonts w:hint="eastAsia" w:ascii="宋体" w:hAnsi="宋体" w:eastAsia="宋体" w:cs="宋体"/>
                <w:color w:val="auto"/>
                <w:sz w:val="21"/>
                <w:szCs w:val="21"/>
                <w:highlight w:val="none"/>
              </w:rPr>
            </w:pPr>
          </w:p>
        </w:tc>
      </w:tr>
      <w:tr w14:paraId="3B50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57DE9F9">
            <w:pPr>
              <w:spacing w:before="260" w:after="260" w:line="340" w:lineRule="exact"/>
              <w:jc w:val="center"/>
              <w:outlineLvl w:val="2"/>
              <w:rPr>
                <w:rFonts w:hint="eastAsia" w:ascii="宋体" w:hAnsi="宋体" w:eastAsia="宋体" w:cs="宋体"/>
                <w:color w:val="auto"/>
                <w:sz w:val="21"/>
                <w:szCs w:val="21"/>
                <w:highlight w:val="none"/>
              </w:rPr>
            </w:pPr>
          </w:p>
        </w:tc>
        <w:tc>
          <w:tcPr>
            <w:tcW w:w="965" w:type="dxa"/>
            <w:vMerge w:val="continue"/>
            <w:noWrap w:val="0"/>
            <w:vAlign w:val="center"/>
          </w:tcPr>
          <w:p w14:paraId="05769D0C">
            <w:pPr>
              <w:spacing w:before="260" w:after="260" w:line="340" w:lineRule="exact"/>
              <w:outlineLvl w:val="2"/>
              <w:rPr>
                <w:rFonts w:hint="eastAsia" w:ascii="宋体" w:hAnsi="宋体" w:eastAsia="宋体" w:cs="宋体"/>
                <w:color w:val="auto"/>
                <w:sz w:val="21"/>
                <w:szCs w:val="21"/>
                <w:highlight w:val="none"/>
                <w:lang w:val="zh-CN"/>
              </w:rPr>
            </w:pPr>
          </w:p>
        </w:tc>
        <w:tc>
          <w:tcPr>
            <w:tcW w:w="3130" w:type="dxa"/>
            <w:noWrap w:val="0"/>
            <w:vAlign w:val="center"/>
          </w:tcPr>
          <w:p w14:paraId="70FA7FDC">
            <w:pPr>
              <w:spacing w:line="3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517" w:type="dxa"/>
            <w:vMerge w:val="continue"/>
            <w:noWrap w:val="0"/>
            <w:vAlign w:val="center"/>
          </w:tcPr>
          <w:p w14:paraId="2437377A">
            <w:pPr>
              <w:spacing w:line="340" w:lineRule="exact"/>
              <w:rPr>
                <w:rFonts w:hint="eastAsia" w:ascii="宋体" w:hAnsi="宋体" w:eastAsia="宋体" w:cs="宋体"/>
                <w:color w:val="auto"/>
                <w:sz w:val="21"/>
                <w:szCs w:val="21"/>
                <w:highlight w:val="none"/>
              </w:rPr>
            </w:pPr>
          </w:p>
        </w:tc>
      </w:tr>
      <w:tr w14:paraId="514C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5C8B92E0">
            <w:pPr>
              <w:spacing w:line="340" w:lineRule="exact"/>
              <w:jc w:val="center"/>
              <w:rPr>
                <w:rFonts w:hint="eastAsia" w:ascii="宋体" w:hAnsi="宋体" w:eastAsia="宋体" w:cs="宋体"/>
                <w:color w:val="auto"/>
                <w:sz w:val="21"/>
                <w:szCs w:val="21"/>
                <w:highlight w:val="none"/>
              </w:rPr>
            </w:pPr>
          </w:p>
        </w:tc>
        <w:tc>
          <w:tcPr>
            <w:tcW w:w="965" w:type="dxa"/>
            <w:vMerge w:val="continue"/>
            <w:noWrap w:val="0"/>
            <w:vAlign w:val="center"/>
          </w:tcPr>
          <w:p w14:paraId="7E862CA5">
            <w:pPr>
              <w:spacing w:line="340" w:lineRule="exact"/>
              <w:rPr>
                <w:rFonts w:hint="eastAsia" w:ascii="宋体" w:hAnsi="宋体" w:eastAsia="宋体" w:cs="宋体"/>
                <w:color w:val="auto"/>
                <w:sz w:val="21"/>
                <w:szCs w:val="21"/>
                <w:highlight w:val="none"/>
                <w:lang w:val="zh-CN"/>
              </w:rPr>
            </w:pPr>
          </w:p>
        </w:tc>
        <w:tc>
          <w:tcPr>
            <w:tcW w:w="3130" w:type="dxa"/>
            <w:noWrap w:val="0"/>
            <w:vAlign w:val="center"/>
          </w:tcPr>
          <w:p w14:paraId="0117A8E6">
            <w:pPr>
              <w:spacing w:line="3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（5）参加政府采购活动前三年内，在经营活动中没有重大违法记录（注</w:t>
            </w:r>
            <w:r>
              <w:rPr>
                <w:rFonts w:hint="eastAsia" w:ascii="宋体" w:hAnsi="宋体" w:eastAsia="宋体" w:cs="宋体"/>
                <w:color w:val="auto"/>
                <w:kern w:val="0"/>
                <w:sz w:val="21"/>
                <w:szCs w:val="21"/>
                <w:highlight w:val="none"/>
              </w:rPr>
              <w:sym w:font="Wingdings" w:char="F081"/>
            </w:r>
            <w:r>
              <w:rPr>
                <w:rFonts w:hint="eastAsia" w:ascii="宋体" w:hAnsi="宋体" w:eastAsia="宋体" w:cs="宋体"/>
                <w:color w:val="auto"/>
                <w:sz w:val="21"/>
                <w:szCs w:val="21"/>
                <w:highlight w:val="none"/>
              </w:rPr>
              <w:t>）</w:t>
            </w:r>
          </w:p>
        </w:tc>
        <w:tc>
          <w:tcPr>
            <w:tcW w:w="5517" w:type="dxa"/>
            <w:vMerge w:val="continue"/>
            <w:noWrap w:val="0"/>
            <w:vAlign w:val="center"/>
          </w:tcPr>
          <w:p w14:paraId="0BB18348">
            <w:pPr>
              <w:spacing w:line="340" w:lineRule="exact"/>
              <w:rPr>
                <w:rFonts w:hint="eastAsia" w:ascii="宋体" w:hAnsi="宋体" w:eastAsia="宋体" w:cs="宋体"/>
                <w:color w:val="auto"/>
                <w:sz w:val="21"/>
                <w:szCs w:val="21"/>
                <w:highlight w:val="none"/>
              </w:rPr>
            </w:pPr>
          </w:p>
        </w:tc>
      </w:tr>
      <w:tr w14:paraId="6545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C565614">
            <w:pPr>
              <w:spacing w:before="260" w:after="260" w:line="340" w:lineRule="exact"/>
              <w:jc w:val="center"/>
              <w:outlineLvl w:val="2"/>
              <w:rPr>
                <w:rFonts w:hint="eastAsia" w:ascii="宋体" w:hAnsi="宋体" w:eastAsia="宋体" w:cs="宋体"/>
                <w:color w:val="auto"/>
                <w:sz w:val="21"/>
                <w:szCs w:val="21"/>
                <w:highlight w:val="none"/>
              </w:rPr>
            </w:pPr>
          </w:p>
        </w:tc>
        <w:tc>
          <w:tcPr>
            <w:tcW w:w="965" w:type="dxa"/>
            <w:vMerge w:val="continue"/>
            <w:noWrap w:val="0"/>
            <w:vAlign w:val="center"/>
          </w:tcPr>
          <w:p w14:paraId="14E22E71">
            <w:pPr>
              <w:spacing w:before="260" w:after="260" w:line="340" w:lineRule="exact"/>
              <w:outlineLvl w:val="2"/>
              <w:rPr>
                <w:rFonts w:hint="eastAsia" w:ascii="宋体" w:hAnsi="宋体" w:eastAsia="宋体" w:cs="宋体"/>
                <w:color w:val="auto"/>
                <w:sz w:val="21"/>
                <w:szCs w:val="21"/>
                <w:highlight w:val="none"/>
                <w:lang w:val="zh-CN"/>
              </w:rPr>
            </w:pPr>
          </w:p>
        </w:tc>
        <w:tc>
          <w:tcPr>
            <w:tcW w:w="3130" w:type="dxa"/>
            <w:noWrap w:val="0"/>
            <w:vAlign w:val="center"/>
          </w:tcPr>
          <w:p w14:paraId="20DCE87F">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5517" w:type="dxa"/>
            <w:noWrap w:val="0"/>
            <w:vAlign w:val="center"/>
          </w:tcPr>
          <w:p w14:paraId="4F9C3A1B">
            <w:pPr>
              <w:spacing w:before="260" w:after="260" w:line="340" w:lineRule="exact"/>
              <w:jc w:val="left"/>
              <w:outlineLvl w:val="2"/>
              <w:rPr>
                <w:rFonts w:hint="eastAsia" w:ascii="宋体" w:hAnsi="宋体" w:eastAsia="宋体" w:cs="宋体"/>
                <w:color w:val="auto"/>
                <w:sz w:val="21"/>
                <w:szCs w:val="21"/>
                <w:highlight w:val="none"/>
              </w:rPr>
            </w:pPr>
          </w:p>
        </w:tc>
      </w:tr>
      <w:tr w14:paraId="18AB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61" w:type="dxa"/>
            <w:vMerge w:val="continue"/>
            <w:noWrap w:val="0"/>
            <w:vAlign w:val="center"/>
          </w:tcPr>
          <w:p w14:paraId="3A58F546">
            <w:pPr>
              <w:spacing w:before="260" w:after="260" w:line="340" w:lineRule="exact"/>
              <w:jc w:val="center"/>
              <w:outlineLvl w:val="2"/>
              <w:rPr>
                <w:rFonts w:hint="eastAsia" w:ascii="宋体" w:hAnsi="宋体" w:eastAsia="宋体" w:cs="宋体"/>
                <w:color w:val="auto"/>
                <w:sz w:val="21"/>
                <w:szCs w:val="21"/>
                <w:highlight w:val="none"/>
              </w:rPr>
            </w:pPr>
          </w:p>
        </w:tc>
        <w:tc>
          <w:tcPr>
            <w:tcW w:w="965" w:type="dxa"/>
            <w:vMerge w:val="continue"/>
            <w:noWrap w:val="0"/>
            <w:vAlign w:val="center"/>
          </w:tcPr>
          <w:p w14:paraId="1446F0CE">
            <w:pPr>
              <w:spacing w:before="260" w:after="260" w:line="340" w:lineRule="exact"/>
              <w:outlineLvl w:val="2"/>
              <w:rPr>
                <w:rFonts w:hint="eastAsia" w:ascii="宋体" w:hAnsi="宋体" w:eastAsia="宋体" w:cs="宋体"/>
                <w:color w:val="auto"/>
                <w:sz w:val="21"/>
                <w:szCs w:val="21"/>
                <w:highlight w:val="none"/>
                <w:lang w:val="zh-CN"/>
              </w:rPr>
            </w:pPr>
          </w:p>
        </w:tc>
        <w:tc>
          <w:tcPr>
            <w:tcW w:w="3130" w:type="dxa"/>
            <w:noWrap w:val="0"/>
            <w:vAlign w:val="center"/>
          </w:tcPr>
          <w:p w14:paraId="0F1E6043">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（7）本项目的特定资格条件</w:t>
            </w:r>
          </w:p>
        </w:tc>
        <w:tc>
          <w:tcPr>
            <w:tcW w:w="5517" w:type="dxa"/>
            <w:noWrap w:val="0"/>
            <w:vAlign w:val="center"/>
          </w:tcPr>
          <w:p w14:paraId="1DCB96BE">
            <w:pPr>
              <w:spacing w:before="260" w:after="260" w:line="340" w:lineRule="exact"/>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按第一篇“三、供应商资格条件 （三）本项目的特定资格要求”的要求提交。</w:t>
            </w:r>
          </w:p>
        </w:tc>
      </w:tr>
      <w:tr w14:paraId="4E17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61" w:type="dxa"/>
            <w:noWrap w:val="0"/>
            <w:vAlign w:val="center"/>
          </w:tcPr>
          <w:p w14:paraId="049796EF">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095" w:type="dxa"/>
            <w:gridSpan w:val="2"/>
            <w:noWrap w:val="0"/>
            <w:vAlign w:val="center"/>
          </w:tcPr>
          <w:p w14:paraId="4E43913A">
            <w:pPr>
              <w:spacing w:before="260" w:after="260" w:line="340" w:lineRule="exact"/>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5517" w:type="dxa"/>
            <w:noWrap w:val="0"/>
            <w:vAlign w:val="center"/>
          </w:tcPr>
          <w:p w14:paraId="6BF9478B">
            <w:pPr>
              <w:spacing w:before="260" w:after="260" w:line="340" w:lineRule="exact"/>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w:t>
            </w:r>
          </w:p>
        </w:tc>
      </w:tr>
    </w:tbl>
    <w:p w14:paraId="31D0E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9486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EBE78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2.符合性检查。依据竞采文件的规定，从响应文件的有效性、完整性和对竞采文件的响应程度进行审查，以确定是否对竞采文件的实质性要求作出响应。符合性检查资料表如下：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1142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14:paraId="58B10BF7">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3FB4E3F9">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33BE8540">
            <w:pPr>
              <w:spacing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BA4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14:paraId="0F5C5486">
            <w:pPr>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401A6E28">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115EF99">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1C6D5B0">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按“第七篇</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响应文件</w:t>
            </w:r>
            <w:r>
              <w:rPr>
                <w:rFonts w:hint="eastAsia" w:ascii="宋体" w:hAnsi="宋体" w:cs="宋体"/>
                <w:color w:val="auto"/>
                <w:kern w:val="0"/>
                <w:sz w:val="21"/>
                <w:szCs w:val="21"/>
                <w:highlight w:val="none"/>
                <w:lang w:eastAsia="zh-CN"/>
              </w:rPr>
              <w:t>编制</w:t>
            </w:r>
            <w:r>
              <w:rPr>
                <w:rFonts w:hint="eastAsia" w:ascii="宋体" w:hAnsi="宋体" w:eastAsia="宋体" w:cs="宋体"/>
                <w:color w:val="auto"/>
                <w:kern w:val="0"/>
                <w:sz w:val="21"/>
                <w:szCs w:val="21"/>
                <w:highlight w:val="none"/>
              </w:rPr>
              <w:t>要求”要求签署或盖章</w:t>
            </w:r>
            <w:r>
              <w:rPr>
                <w:rFonts w:hint="eastAsia" w:ascii="宋体" w:hAnsi="宋体" w:cs="宋体"/>
                <w:color w:val="auto"/>
                <w:kern w:val="0"/>
                <w:sz w:val="21"/>
                <w:szCs w:val="21"/>
                <w:highlight w:val="none"/>
                <w:lang w:eastAsia="zh-CN"/>
              </w:rPr>
              <w:t>。</w:t>
            </w:r>
          </w:p>
        </w:tc>
      </w:tr>
      <w:tr w14:paraId="611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66A64507">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97D9006">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761E4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2163A204">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法定代表人身份证明及授权委托书有效，符合</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采文件规定的格式，签字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盖章齐全。</w:t>
            </w:r>
          </w:p>
        </w:tc>
      </w:tr>
      <w:tr w14:paraId="1D54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4E556DCA">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44E77164">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9BA7B25">
            <w:pPr>
              <w:spacing w:line="3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9538EB3">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只能有一个</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方案。</w:t>
            </w:r>
          </w:p>
        </w:tc>
      </w:tr>
      <w:tr w14:paraId="1B8F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6533E8AB">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33682E73">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5D1A99">
            <w:pPr>
              <w:spacing w:line="3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748A8C85">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只能在</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lang w:val="zh-CN"/>
              </w:rPr>
              <w:t>范围内报价，</w:t>
            </w:r>
            <w:r>
              <w:rPr>
                <w:rFonts w:hint="eastAsia" w:ascii="宋体" w:hAnsi="宋体" w:eastAsia="宋体" w:cs="宋体"/>
                <w:color w:val="auto"/>
                <w:kern w:val="0"/>
                <w:sz w:val="21"/>
                <w:szCs w:val="21"/>
                <w:highlight w:val="none"/>
              </w:rPr>
              <w:t>只能有一个有效报价，不得提交选择性报价。</w:t>
            </w:r>
          </w:p>
        </w:tc>
      </w:tr>
      <w:tr w14:paraId="5007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14:paraId="5B777220">
            <w:pPr>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54ED58F">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3B8229C">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4CD2EA4C">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文件数量符合</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采</w:t>
            </w:r>
            <w:r>
              <w:rPr>
                <w:rFonts w:hint="eastAsia" w:ascii="宋体" w:hAnsi="宋体" w:eastAsia="宋体" w:cs="宋体"/>
                <w:color w:val="auto"/>
                <w:kern w:val="0"/>
                <w:sz w:val="21"/>
                <w:szCs w:val="21"/>
                <w:highlight w:val="none"/>
                <w:lang w:val="zh-CN"/>
              </w:rPr>
              <w:t>文件要求。</w:t>
            </w:r>
          </w:p>
        </w:tc>
      </w:tr>
      <w:tr w14:paraId="0C79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14:paraId="336B4DA0">
            <w:pPr>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6829DDBD">
            <w:pPr>
              <w:spacing w:line="3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A66A1A">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FF0D334">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对网上竞采文件第二、三篇规定的网上竞采内容作出响应。</w:t>
            </w:r>
          </w:p>
        </w:tc>
      </w:tr>
      <w:tr w14:paraId="2175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0F150E8A">
            <w:pPr>
              <w:keepNext/>
              <w:keepLines/>
              <w:widowControl/>
              <w:spacing w:before="260" w:after="260" w:line="380" w:lineRule="exact"/>
              <w:jc w:val="left"/>
              <w:outlineLvl w:val="2"/>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6359BBCA">
            <w:pPr>
              <w:keepNext/>
              <w:keepLines/>
              <w:widowControl/>
              <w:spacing w:before="260" w:after="260" w:line="380" w:lineRule="exact"/>
              <w:jc w:val="left"/>
              <w:outlineLvl w:val="2"/>
              <w:rPr>
                <w:rFonts w:hint="eastAsia" w:ascii="宋体" w:hAnsi="宋体" w:eastAsia="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7929AF1">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2219BC0">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满足竞采文件规定。</w:t>
            </w:r>
          </w:p>
        </w:tc>
      </w:tr>
    </w:tbl>
    <w:p w14:paraId="42B92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61C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3BC7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评审小组采用综合评分法对合格的供应商的响应文件进行综合评分。</w:t>
      </w:r>
      <w:r>
        <w:rPr>
          <w:rFonts w:hint="eastAsia" w:ascii="宋体" w:hAnsi="宋体" w:eastAsia="宋体" w:cs="宋体"/>
          <w:color w:val="auto"/>
          <w:kern w:val="0"/>
          <w:sz w:val="24"/>
          <w:szCs w:val="24"/>
          <w:highlight w:val="none"/>
        </w:rPr>
        <w:t>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color w:val="auto"/>
          <w:sz w:val="24"/>
          <w:szCs w:val="24"/>
          <w:highlight w:val="none"/>
        </w:rPr>
        <w:t>。</w:t>
      </w:r>
    </w:p>
    <w:p w14:paraId="42FDD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）评审小组各成员独立对每个有效响应（通过资格性检查、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成交候选供应商，并编写评审报告。若供应商的评审得分相同的，按照竞采报价由低到高的顺序排列推荐。评审得分且竞采报价相同的，按照技术部分得分高低顺序排列推荐。以上都相同的，按商务部分得分高低顺序排列推荐。</w:t>
      </w:r>
    </w:p>
    <w:p w14:paraId="7D65D42A">
      <w:pPr>
        <w:pStyle w:val="6"/>
        <w:spacing w:before="0" w:after="0" w:line="360" w:lineRule="auto"/>
        <w:rPr>
          <w:rFonts w:hint="eastAsia" w:ascii="宋体" w:hAnsi="宋体" w:eastAsia="宋体" w:cs="宋体"/>
          <w:color w:val="auto"/>
          <w:sz w:val="24"/>
          <w:szCs w:val="24"/>
          <w:highlight w:val="none"/>
          <w:lang w:eastAsia="zh-CN"/>
        </w:rPr>
      </w:pPr>
      <w:bookmarkStart w:id="108" w:name="_Toc25183"/>
      <w:bookmarkStart w:id="109" w:name="_Toc29771"/>
      <w:bookmarkStart w:id="110" w:name="_Toc32208"/>
      <w:bookmarkStart w:id="111" w:name="_Toc13147"/>
      <w:bookmarkStart w:id="112" w:name="_Toc30876"/>
      <w:r>
        <w:rPr>
          <w:rFonts w:hint="eastAsia" w:ascii="宋体" w:hAnsi="宋体" w:eastAsia="宋体" w:cs="宋体"/>
          <w:color w:val="auto"/>
          <w:sz w:val="24"/>
          <w:szCs w:val="24"/>
          <w:highlight w:val="none"/>
          <w:lang w:eastAsia="zh-CN"/>
        </w:rPr>
        <w:t>二、评审标准</w:t>
      </w:r>
      <w:bookmarkEnd w:id="108"/>
      <w:bookmarkEnd w:id="109"/>
      <w:bookmarkEnd w:id="110"/>
      <w:bookmarkEnd w:id="111"/>
      <w:bookmarkEnd w:id="112"/>
    </w:p>
    <w:tbl>
      <w:tblPr>
        <w:tblStyle w:val="6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32"/>
        <w:gridCol w:w="960"/>
        <w:gridCol w:w="5008"/>
        <w:gridCol w:w="2378"/>
      </w:tblGrid>
      <w:tr w14:paraId="464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dxa"/>
            <w:noWrap w:val="0"/>
            <w:vAlign w:val="center"/>
          </w:tcPr>
          <w:p w14:paraId="46441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rPr>
                <w:rFonts w:hint="eastAsia" w:ascii="宋体" w:hAnsi="宋体" w:eastAsia="宋体" w:cs="宋体"/>
                <w:b/>
                <w:color w:val="auto"/>
                <w:sz w:val="21"/>
                <w:szCs w:val="21"/>
                <w:highlight w:val="none"/>
              </w:rPr>
            </w:pPr>
            <w:bookmarkStart w:id="113" w:name="_Toc102227320"/>
            <w:bookmarkStart w:id="114" w:name="_Toc426965635"/>
            <w:bookmarkStart w:id="115" w:name="_Toc32110"/>
            <w:bookmarkStart w:id="116" w:name="_Toc342913394"/>
            <w:bookmarkStart w:id="117" w:name="_Toc487204784"/>
            <w:r>
              <w:rPr>
                <w:rFonts w:hint="eastAsia" w:ascii="宋体" w:hAnsi="宋体" w:eastAsia="宋体" w:cs="宋体"/>
                <w:b/>
                <w:color w:val="auto"/>
                <w:sz w:val="21"/>
                <w:szCs w:val="21"/>
                <w:highlight w:val="none"/>
              </w:rPr>
              <w:t>序号</w:t>
            </w:r>
          </w:p>
        </w:tc>
        <w:tc>
          <w:tcPr>
            <w:tcW w:w="932" w:type="dxa"/>
            <w:noWrap w:val="0"/>
            <w:vAlign w:val="center"/>
          </w:tcPr>
          <w:p w14:paraId="2953E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960" w:type="dxa"/>
            <w:noWrap w:val="0"/>
            <w:vAlign w:val="center"/>
          </w:tcPr>
          <w:p w14:paraId="2B1EA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008" w:type="dxa"/>
            <w:noWrap w:val="0"/>
            <w:vAlign w:val="center"/>
          </w:tcPr>
          <w:p w14:paraId="202F1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378" w:type="dxa"/>
            <w:noWrap w:val="0"/>
            <w:vAlign w:val="center"/>
          </w:tcPr>
          <w:p w14:paraId="0ADEB4FB">
            <w:pPr>
              <w:keepNext w:val="0"/>
              <w:keepLines w:val="0"/>
              <w:pageBreakBefore w:val="0"/>
              <w:widowControl w:val="0"/>
              <w:suppressLineNumbers w:val="0"/>
              <w:kinsoku/>
              <w:wordWrap/>
              <w:overflowPunct/>
              <w:topLinePunct w:val="0"/>
              <w:autoSpaceDE/>
              <w:autoSpaceDN/>
              <w:bidi w:val="0"/>
              <w:adjustRightInd/>
              <w:snapToGrid/>
              <w:spacing w:before="240" w:beforeAutospacing="0" w:after="24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4FA4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497" w:type="dxa"/>
            <w:noWrap w:val="0"/>
            <w:vAlign w:val="center"/>
          </w:tcPr>
          <w:p w14:paraId="151DB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2" w:type="dxa"/>
            <w:tcBorders>
              <w:bottom w:val="single" w:color="auto" w:sz="4" w:space="0"/>
            </w:tcBorders>
            <w:noWrap w:val="0"/>
            <w:vAlign w:val="center"/>
          </w:tcPr>
          <w:p w14:paraId="305CC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w:t>
            </w:r>
          </w:p>
          <w:p w14:paraId="5CBC58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960" w:type="dxa"/>
            <w:tcBorders>
              <w:bottom w:val="single" w:color="auto" w:sz="4" w:space="0"/>
            </w:tcBorders>
            <w:noWrap w:val="0"/>
            <w:vAlign w:val="center"/>
          </w:tcPr>
          <w:p w14:paraId="6D46F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008" w:type="dxa"/>
            <w:tcBorders>
              <w:bottom w:val="single" w:color="auto" w:sz="4" w:space="0"/>
            </w:tcBorders>
            <w:noWrap w:val="0"/>
            <w:vAlign w:val="center"/>
          </w:tcPr>
          <w:p w14:paraId="366AB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38" w:firstLineChars="209"/>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满足资格性、符合性要求且报价最低的供应商的价格为竞采基准价，按照下列公式计算每个供应商的竞采报价得分。</w:t>
            </w:r>
          </w:p>
          <w:p w14:paraId="1C716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38" w:firstLineChars="20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竞采报价得分=（竞采基准价/竞采报价）×价格权重×100</w:t>
            </w:r>
          </w:p>
        </w:tc>
        <w:tc>
          <w:tcPr>
            <w:tcW w:w="2378" w:type="dxa"/>
            <w:tcBorders>
              <w:bottom w:val="single" w:color="auto" w:sz="4" w:space="0"/>
            </w:tcBorders>
            <w:noWrap w:val="0"/>
            <w:vAlign w:val="center"/>
          </w:tcPr>
          <w:p w14:paraId="7B33F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高于最高限价为无效报价。</w:t>
            </w:r>
          </w:p>
        </w:tc>
      </w:tr>
      <w:tr w14:paraId="47E4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97" w:type="dxa"/>
            <w:tcBorders>
              <w:right w:val="single" w:color="auto" w:sz="4" w:space="0"/>
            </w:tcBorders>
            <w:noWrap w:val="0"/>
            <w:vAlign w:val="center"/>
          </w:tcPr>
          <w:p w14:paraId="420EF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32" w:type="dxa"/>
            <w:tcBorders>
              <w:top w:val="single" w:color="auto" w:sz="4" w:space="0"/>
              <w:left w:val="single" w:color="auto" w:sz="4" w:space="0"/>
              <w:right w:val="single" w:color="auto" w:sz="4" w:space="0"/>
            </w:tcBorders>
            <w:noWrap w:val="0"/>
            <w:vAlign w:val="center"/>
          </w:tcPr>
          <w:p w14:paraId="767EF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技术部分</w:t>
            </w:r>
          </w:p>
          <w:p w14:paraId="18197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32D1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55分</w:t>
            </w:r>
          </w:p>
        </w:tc>
        <w:tc>
          <w:tcPr>
            <w:tcW w:w="5008" w:type="dxa"/>
            <w:tcBorders>
              <w:top w:val="single" w:color="auto" w:sz="4" w:space="0"/>
              <w:left w:val="single" w:color="auto" w:sz="4" w:space="0"/>
              <w:bottom w:val="single" w:color="auto" w:sz="4" w:space="0"/>
              <w:right w:val="single" w:color="auto" w:sz="4" w:space="0"/>
            </w:tcBorders>
            <w:noWrap w:val="0"/>
            <w:vAlign w:val="center"/>
          </w:tcPr>
          <w:p w14:paraId="39C76BA4">
            <w:pPr>
              <w:snapToGrid w:val="0"/>
              <w:spacing w:line="360" w:lineRule="auto"/>
              <w:rPr>
                <w:rFonts w:hint="eastAsia"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1、工程施工方案与技术措施（</w:t>
            </w:r>
            <w:r>
              <w:rPr>
                <w:rFonts w:hint="eastAsia" w:cs="仿宋" w:asciiTheme="minorEastAsia" w:hAnsiTheme="minorEastAsia" w:eastAsiaTheme="minorEastAsia"/>
                <w:b/>
                <w:bCs/>
                <w:color w:val="auto"/>
                <w:sz w:val="21"/>
                <w:szCs w:val="21"/>
                <w:highlight w:val="none"/>
                <w:lang w:val="en-US" w:eastAsia="zh-CN"/>
              </w:rPr>
              <w:t>20</w:t>
            </w:r>
            <w:r>
              <w:rPr>
                <w:rFonts w:hint="eastAsia" w:cs="仿宋" w:asciiTheme="minorEastAsia" w:hAnsiTheme="minorEastAsia" w:eastAsiaTheme="minorEastAsia"/>
                <w:b/>
                <w:bCs/>
                <w:color w:val="auto"/>
                <w:sz w:val="21"/>
                <w:szCs w:val="21"/>
                <w:highlight w:val="none"/>
              </w:rPr>
              <w:t>分）</w:t>
            </w:r>
          </w:p>
          <w:p w14:paraId="3BFC5F5E">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总施工方案：内容完整，针对性、指导性、可操作性强，技术措施可行、可靠为优，得</w:t>
            </w:r>
            <w:r>
              <w:rPr>
                <w:rFonts w:hint="eastAsia" w:cs="仿宋" w:asciiTheme="minorEastAsia" w:hAnsiTheme="minorEastAsia" w:eastAsiaTheme="minorEastAsia"/>
                <w:color w:val="auto"/>
                <w:sz w:val="21"/>
                <w:szCs w:val="21"/>
                <w:highlight w:val="none"/>
                <w:lang w:val="en-US" w:eastAsia="zh-CN"/>
              </w:rPr>
              <w:t>2</w:t>
            </w:r>
            <w:r>
              <w:rPr>
                <w:rFonts w:hint="eastAsia" w:cs="仿宋" w:asciiTheme="minorEastAsia" w:hAnsiTheme="minorEastAsia" w:eastAsiaTheme="minorEastAsia"/>
                <w:color w:val="auto"/>
                <w:sz w:val="21"/>
                <w:szCs w:val="21"/>
                <w:highlight w:val="none"/>
              </w:rPr>
              <w:t>0分；</w:t>
            </w:r>
          </w:p>
          <w:p w14:paraId="2D921918">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施工方案内容完整，针对性、指导性、可操作性较强，技术措施可行性、可靠性一般为良，得</w:t>
            </w:r>
            <w:r>
              <w:rPr>
                <w:rFonts w:hint="eastAsia" w:cs="仿宋" w:asciiTheme="minorEastAsia" w:hAnsiTheme="minorEastAsia" w:eastAsiaTheme="minorEastAsia"/>
                <w:color w:val="auto"/>
                <w:sz w:val="21"/>
                <w:szCs w:val="21"/>
                <w:highlight w:val="none"/>
                <w:lang w:val="en-US" w:eastAsia="zh-CN"/>
              </w:rPr>
              <w:t>15</w:t>
            </w:r>
            <w:r>
              <w:rPr>
                <w:rFonts w:hint="eastAsia" w:cs="仿宋" w:asciiTheme="minorEastAsia" w:hAnsiTheme="minorEastAsia" w:eastAsiaTheme="minorEastAsia"/>
                <w:color w:val="auto"/>
                <w:sz w:val="21"/>
                <w:szCs w:val="21"/>
                <w:highlight w:val="none"/>
              </w:rPr>
              <w:t>分；</w:t>
            </w:r>
          </w:p>
          <w:p w14:paraId="30DD22C1">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施工方案内容基本完整，针对性、指导性、可操作性一般，技术措施可行性、可靠性一般为一般，得</w:t>
            </w:r>
            <w:r>
              <w:rPr>
                <w:rFonts w:hint="eastAsia" w:cs="仿宋" w:asciiTheme="minorEastAsia" w:hAnsiTheme="minorEastAsia" w:eastAsiaTheme="minorEastAsia"/>
                <w:color w:val="auto"/>
                <w:sz w:val="21"/>
                <w:szCs w:val="21"/>
                <w:highlight w:val="none"/>
                <w:lang w:val="en-US" w:eastAsia="zh-CN"/>
              </w:rPr>
              <w:t>10</w:t>
            </w:r>
            <w:r>
              <w:rPr>
                <w:rFonts w:hint="eastAsia" w:cs="仿宋" w:asciiTheme="minorEastAsia" w:hAnsiTheme="minorEastAsia" w:eastAsiaTheme="minorEastAsia"/>
                <w:color w:val="auto"/>
                <w:sz w:val="21"/>
                <w:szCs w:val="21"/>
                <w:highlight w:val="none"/>
              </w:rPr>
              <w:t>分；</w:t>
            </w:r>
          </w:p>
          <w:p w14:paraId="2A3B1C4C">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施工方案内容不够完整，针对性、指导性、可操作性差，技术措施可行性、可靠性差为差，得</w:t>
            </w:r>
            <w:r>
              <w:rPr>
                <w:rFonts w:hint="eastAsia" w:cs="仿宋" w:asciiTheme="minorEastAsia" w:hAnsiTheme="minorEastAsia" w:eastAsiaTheme="minorEastAsia"/>
                <w:color w:val="auto"/>
                <w:sz w:val="21"/>
                <w:szCs w:val="21"/>
                <w:highlight w:val="none"/>
                <w:lang w:val="en-US" w:eastAsia="zh-CN"/>
              </w:rPr>
              <w:t>5</w:t>
            </w:r>
            <w:r>
              <w:rPr>
                <w:rFonts w:hint="eastAsia" w:cs="仿宋" w:asciiTheme="minorEastAsia" w:hAnsiTheme="minorEastAsia" w:eastAsiaTheme="minorEastAsia"/>
                <w:color w:val="auto"/>
                <w:sz w:val="21"/>
                <w:szCs w:val="21"/>
                <w:highlight w:val="none"/>
              </w:rPr>
              <w:t>分；</w:t>
            </w:r>
          </w:p>
          <w:p w14:paraId="22094933">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未提供不得分。</w:t>
            </w:r>
          </w:p>
          <w:p w14:paraId="445849AB">
            <w:pPr>
              <w:snapToGrid w:val="0"/>
              <w:spacing w:line="360" w:lineRule="auto"/>
              <w:rPr>
                <w:rFonts w:hint="eastAsia"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2、质量管理体系与措施（5分）</w:t>
            </w:r>
          </w:p>
          <w:p w14:paraId="0A0EEBEF">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施工项目质量保证目标明确程度、施工质量保证体系和质量检查监督机构设置、质量保证措施进行评判。内容完整，针对性、指导性、可操作性强，技术措施可行、可靠为优，得5分；</w:t>
            </w:r>
          </w:p>
          <w:p w14:paraId="797DD5E2">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施工方案内容较完整，针对性、指导性、可操作性较强，技术措施可行性、可靠性一般为良，得3分；</w:t>
            </w:r>
          </w:p>
          <w:p w14:paraId="6B8349CB">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施工方案内容基本完整，针对性、指导性、可操作性一般，技术措施可行性、可靠性一般为一般，得2分；</w:t>
            </w:r>
          </w:p>
          <w:p w14:paraId="26B2D2FB">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施工方案内容不够完整，针对性、指导性、可操作性差，技术措施可行性、可靠性差为差，得1分；</w:t>
            </w:r>
          </w:p>
          <w:p w14:paraId="35549FC1">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未提供不得分。</w:t>
            </w:r>
          </w:p>
          <w:p w14:paraId="0A818E47">
            <w:pPr>
              <w:snapToGrid w:val="0"/>
              <w:spacing w:line="360" w:lineRule="auto"/>
              <w:rPr>
                <w:rFonts w:hint="eastAsia"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3、工程进度计划与措施（5分）</w:t>
            </w:r>
          </w:p>
          <w:p w14:paraId="273BE122">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计划与资源配备完全满足工程施工进度计划的需求为优，得5分；</w:t>
            </w:r>
          </w:p>
          <w:p w14:paraId="3F3896B0">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计划与资源配备基本满足工程施工进度计划的需求为良，得3分；</w:t>
            </w:r>
          </w:p>
          <w:p w14:paraId="78F9C6C2">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计划与资源配备一般满足工程施工进度计划的需求为一般，得2分；</w:t>
            </w:r>
          </w:p>
          <w:p w14:paraId="214B051A">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计划与资源配备不满足工程施工进度计划的需求为差，得1分。</w:t>
            </w:r>
          </w:p>
          <w:p w14:paraId="560F7D67">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未提供不得分。</w:t>
            </w:r>
          </w:p>
          <w:p w14:paraId="2B4AB2C8">
            <w:pPr>
              <w:snapToGrid w:val="0"/>
              <w:spacing w:line="360" w:lineRule="auto"/>
              <w:rPr>
                <w:rFonts w:hint="eastAsia"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4、对工程施工重点、技术关键点的理解和认识（15分）</w:t>
            </w:r>
          </w:p>
          <w:p w14:paraId="6BB97EBE">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重难点分析完全符合项目实际情况且相应解决措施切合实际，可操作性强为优，得15分；</w:t>
            </w:r>
          </w:p>
          <w:p w14:paraId="464021EE">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重难点分析基本符合项目实际情况，相应解决措施基本符合实际，可操作性较强为良，得10分；</w:t>
            </w:r>
          </w:p>
          <w:p w14:paraId="2562784F">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重难点分析基本符合项目实际情况，相应解决措施基本符合实际，可操作性不强为一般，得6分；</w:t>
            </w:r>
          </w:p>
          <w:p w14:paraId="4DAE482A">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重难点分析基本符合项目实际情况，相应解决措施基本符合实际，可操作性不强为差，得</w:t>
            </w:r>
            <w:r>
              <w:rPr>
                <w:rFonts w:hint="eastAsia" w:cs="仿宋" w:asciiTheme="minorEastAsia" w:hAnsiTheme="minorEastAsia" w:eastAsiaTheme="minorEastAsia"/>
                <w:color w:val="auto"/>
                <w:sz w:val="21"/>
                <w:szCs w:val="21"/>
                <w:highlight w:val="none"/>
                <w:lang w:val="en-US" w:eastAsia="zh-CN"/>
              </w:rPr>
              <w:t>3</w:t>
            </w:r>
            <w:r>
              <w:rPr>
                <w:rFonts w:hint="eastAsia" w:cs="仿宋" w:asciiTheme="minorEastAsia" w:hAnsiTheme="minorEastAsia" w:eastAsiaTheme="minorEastAsia"/>
                <w:color w:val="auto"/>
                <w:sz w:val="21"/>
                <w:szCs w:val="21"/>
                <w:highlight w:val="none"/>
              </w:rPr>
              <w:t>分；</w:t>
            </w:r>
          </w:p>
          <w:p w14:paraId="32134874">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未提供不得分。</w:t>
            </w:r>
          </w:p>
          <w:p w14:paraId="28CF51C6">
            <w:pPr>
              <w:snapToGrid w:val="0"/>
              <w:spacing w:line="360" w:lineRule="auto"/>
              <w:rPr>
                <w:rFonts w:hint="eastAsia"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5、安全管理体系与措施（1</w:t>
            </w:r>
            <w:r>
              <w:rPr>
                <w:rFonts w:hint="eastAsia" w:cs="仿宋" w:asciiTheme="minorEastAsia" w:hAnsiTheme="minorEastAsia" w:eastAsiaTheme="minorEastAsia"/>
                <w:b/>
                <w:bCs/>
                <w:color w:val="auto"/>
                <w:sz w:val="21"/>
                <w:szCs w:val="21"/>
                <w:highlight w:val="none"/>
                <w:lang w:val="en-US" w:eastAsia="zh-CN"/>
              </w:rPr>
              <w:t>0</w:t>
            </w:r>
            <w:r>
              <w:rPr>
                <w:rFonts w:hint="eastAsia" w:cs="仿宋" w:asciiTheme="minorEastAsia" w:hAnsiTheme="minorEastAsia" w:eastAsiaTheme="minorEastAsia"/>
                <w:b/>
                <w:bCs/>
                <w:color w:val="auto"/>
                <w:sz w:val="21"/>
                <w:szCs w:val="21"/>
                <w:highlight w:val="none"/>
              </w:rPr>
              <w:t>分）</w:t>
            </w:r>
          </w:p>
          <w:p w14:paraId="3480E548">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施工项目安全保证目标明确程度、施工安全保证体系和安全检查监督机构设置、安全保证措施进行评判。内容完整，针对性、指导性、可操作性强，技术措施可行、可靠为优，得1</w:t>
            </w:r>
            <w:r>
              <w:rPr>
                <w:rFonts w:hint="eastAsia" w:cs="仿宋" w:asciiTheme="minorEastAsia" w:hAnsiTheme="minorEastAsia" w:eastAsiaTheme="minorEastAsia"/>
                <w:color w:val="auto"/>
                <w:sz w:val="21"/>
                <w:szCs w:val="21"/>
                <w:highlight w:val="none"/>
                <w:lang w:val="en-US" w:eastAsia="zh-CN"/>
              </w:rPr>
              <w:t>0</w:t>
            </w:r>
            <w:r>
              <w:rPr>
                <w:rFonts w:hint="eastAsia" w:cs="仿宋" w:asciiTheme="minorEastAsia" w:hAnsiTheme="minorEastAsia" w:eastAsiaTheme="minorEastAsia"/>
                <w:color w:val="auto"/>
                <w:sz w:val="21"/>
                <w:szCs w:val="21"/>
                <w:highlight w:val="none"/>
              </w:rPr>
              <w:t>分；</w:t>
            </w:r>
          </w:p>
          <w:p w14:paraId="4FE8D884">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施工方案内容较完整，针对性、指导性、可操作性较强，技术措施可行性、可靠性一般为良，得</w:t>
            </w:r>
            <w:r>
              <w:rPr>
                <w:rFonts w:hint="eastAsia" w:cs="仿宋" w:asciiTheme="minorEastAsia" w:hAnsiTheme="minorEastAsia" w:eastAsiaTheme="minorEastAsia"/>
                <w:color w:val="auto"/>
                <w:sz w:val="21"/>
                <w:szCs w:val="21"/>
                <w:highlight w:val="none"/>
                <w:lang w:val="en-US" w:eastAsia="zh-CN"/>
              </w:rPr>
              <w:t>8</w:t>
            </w:r>
            <w:r>
              <w:rPr>
                <w:rFonts w:hint="eastAsia" w:cs="仿宋" w:asciiTheme="minorEastAsia" w:hAnsiTheme="minorEastAsia" w:eastAsiaTheme="minorEastAsia"/>
                <w:color w:val="auto"/>
                <w:sz w:val="21"/>
                <w:szCs w:val="21"/>
                <w:highlight w:val="none"/>
              </w:rPr>
              <w:t>分；</w:t>
            </w:r>
          </w:p>
          <w:p w14:paraId="32C7263B">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施工方案内容基本完整，针对性、指导性、可操作性一般，技术措施可行性、可靠性一般为一般，得</w:t>
            </w:r>
            <w:r>
              <w:rPr>
                <w:rFonts w:hint="eastAsia" w:cs="仿宋" w:asciiTheme="minorEastAsia" w:hAnsiTheme="minorEastAsia" w:eastAsiaTheme="minorEastAsia"/>
                <w:color w:val="auto"/>
                <w:sz w:val="21"/>
                <w:szCs w:val="21"/>
                <w:highlight w:val="none"/>
                <w:lang w:val="en-US" w:eastAsia="zh-CN"/>
              </w:rPr>
              <w:t>5</w:t>
            </w:r>
            <w:r>
              <w:rPr>
                <w:rFonts w:hint="eastAsia" w:cs="仿宋" w:asciiTheme="minorEastAsia" w:hAnsiTheme="minorEastAsia" w:eastAsiaTheme="minorEastAsia"/>
                <w:color w:val="auto"/>
                <w:sz w:val="21"/>
                <w:szCs w:val="21"/>
                <w:highlight w:val="none"/>
              </w:rPr>
              <w:t>分；</w:t>
            </w:r>
          </w:p>
          <w:p w14:paraId="1D127CF4">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施工方案内容不够完整，针对性、指导性、可操作性差，技术措施可行性、可靠性差为差，得</w:t>
            </w:r>
            <w:r>
              <w:rPr>
                <w:rFonts w:hint="eastAsia" w:cs="仿宋" w:asciiTheme="minorEastAsia" w:hAnsiTheme="minorEastAsia" w:eastAsiaTheme="minorEastAsia"/>
                <w:color w:val="auto"/>
                <w:sz w:val="21"/>
                <w:szCs w:val="21"/>
                <w:highlight w:val="none"/>
                <w:lang w:val="en-US" w:eastAsia="zh-CN"/>
              </w:rPr>
              <w:t>2</w:t>
            </w:r>
            <w:r>
              <w:rPr>
                <w:rFonts w:hint="eastAsia" w:cs="仿宋" w:asciiTheme="minorEastAsia" w:hAnsiTheme="minorEastAsia" w:eastAsiaTheme="minorEastAsia"/>
                <w:color w:val="auto"/>
                <w:sz w:val="21"/>
                <w:szCs w:val="21"/>
                <w:highlight w:val="none"/>
              </w:rPr>
              <w:t>分；</w:t>
            </w:r>
          </w:p>
          <w:p w14:paraId="00AD0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38" w:firstLineChars="209"/>
              <w:jc w:val="left"/>
              <w:textAlignment w:val="auto"/>
              <w:rPr>
                <w:rFonts w:hint="eastAsia" w:ascii="宋体" w:hAnsi="宋体" w:eastAsia="宋体" w:cs="宋体"/>
                <w:color w:val="auto"/>
                <w:sz w:val="21"/>
                <w:szCs w:val="21"/>
                <w:highlight w:val="none"/>
                <w:lang w:eastAsia="zh-CN"/>
              </w:rPr>
            </w:pPr>
            <w:r>
              <w:rPr>
                <w:rFonts w:hint="eastAsia" w:cs="仿宋" w:asciiTheme="minorEastAsia" w:hAnsiTheme="minorEastAsia" w:eastAsiaTheme="minorEastAsia"/>
                <w:color w:val="auto"/>
                <w:sz w:val="21"/>
                <w:szCs w:val="21"/>
                <w:highlight w:val="none"/>
              </w:rPr>
              <w:t>未提供不得分。</w:t>
            </w:r>
          </w:p>
        </w:tc>
        <w:tc>
          <w:tcPr>
            <w:tcW w:w="2378" w:type="dxa"/>
            <w:tcBorders>
              <w:top w:val="single" w:color="auto" w:sz="4" w:space="0"/>
              <w:left w:val="single" w:color="auto" w:sz="4" w:space="0"/>
              <w:right w:val="single" w:color="auto" w:sz="4" w:space="0"/>
            </w:tcBorders>
            <w:noWrap w:val="0"/>
            <w:vAlign w:val="center"/>
          </w:tcPr>
          <w:p w14:paraId="4A045639">
            <w:pPr>
              <w:ind w:firstLine="210" w:firstLineChars="1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评审小组各成员独立对技术部分进行评价打分，得分平均值为供应商技术部分得分。</w:t>
            </w:r>
          </w:p>
          <w:p w14:paraId="236CB1AF">
            <w:pPr>
              <w:ind w:firstLine="211" w:firstLineChars="100"/>
              <w:rPr>
                <w:rFonts w:hint="eastAsia" w:cs="仿宋" w:asciiTheme="minorEastAsia" w:hAnsiTheme="minorEastAsia" w:eastAsiaTheme="minorEastAsia"/>
                <w:b/>
                <w:bCs/>
                <w:color w:val="auto"/>
                <w:sz w:val="21"/>
                <w:szCs w:val="21"/>
                <w:highlight w:val="none"/>
              </w:rPr>
            </w:pPr>
          </w:p>
          <w:p w14:paraId="1E078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2" w:firstLineChars="200"/>
              <w:textAlignment w:val="auto"/>
              <w:rPr>
                <w:rFonts w:hint="eastAsia" w:ascii="宋体" w:hAnsi="宋体" w:eastAsia="宋体" w:cs="宋体"/>
                <w:b/>
                <w:bCs/>
                <w:color w:val="auto"/>
                <w:sz w:val="21"/>
                <w:szCs w:val="21"/>
                <w:highlight w:val="none"/>
              </w:rPr>
            </w:pPr>
            <w:r>
              <w:rPr>
                <w:rFonts w:hint="eastAsia" w:cs="仿宋" w:asciiTheme="minorEastAsia" w:hAnsiTheme="minorEastAsia" w:eastAsiaTheme="minorEastAsia"/>
                <w:b/>
                <w:bCs/>
                <w:color w:val="auto"/>
                <w:sz w:val="21"/>
                <w:szCs w:val="21"/>
                <w:highlight w:val="none"/>
              </w:rPr>
              <w:t>供应商提供书面方案，格式自拟</w:t>
            </w:r>
            <w:r>
              <w:rPr>
                <w:rFonts w:hint="eastAsia" w:cs="仿宋" w:asciiTheme="minorEastAsia" w:hAnsiTheme="minorEastAsia" w:eastAsiaTheme="minorEastAsia"/>
                <w:color w:val="auto"/>
                <w:sz w:val="21"/>
                <w:szCs w:val="21"/>
                <w:highlight w:val="none"/>
              </w:rPr>
              <w:t>（技术部分双面打印不超过200页，单面打印不超过300页。）</w:t>
            </w:r>
          </w:p>
        </w:tc>
      </w:tr>
      <w:tr w14:paraId="0DC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97" w:type="dxa"/>
            <w:noWrap w:val="0"/>
            <w:vAlign w:val="center"/>
          </w:tcPr>
          <w:p w14:paraId="4981E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32" w:type="dxa"/>
            <w:tcBorders>
              <w:top w:val="single" w:color="auto" w:sz="4" w:space="0"/>
              <w:right w:val="single" w:color="auto" w:sz="4" w:space="0"/>
            </w:tcBorders>
            <w:noWrap w:val="0"/>
            <w:vAlign w:val="center"/>
          </w:tcPr>
          <w:p w14:paraId="184FA68D">
            <w:pPr>
              <w:ind w:firstLine="28"/>
              <w:jc w:val="center"/>
              <w:rPr>
                <w:rFonts w:hint="eastAsia" w:ascii="宋体" w:hAnsi="宋体" w:eastAsia="宋体" w:cs="宋体"/>
                <w:color w:val="auto"/>
                <w:sz w:val="21"/>
                <w:szCs w:val="21"/>
                <w:highlight w:val="none"/>
              </w:rPr>
            </w:pPr>
            <w:r>
              <w:rPr>
                <w:rFonts w:hint="eastAsia" w:cs="仿宋" w:asciiTheme="minorEastAsia" w:hAnsiTheme="minorEastAsia" w:eastAsiaTheme="minorEastAsia"/>
                <w:color w:val="auto"/>
                <w:sz w:val="21"/>
                <w:szCs w:val="21"/>
                <w:highlight w:val="none"/>
              </w:rPr>
              <w:t>商务部分（</w:t>
            </w:r>
            <w:r>
              <w:rPr>
                <w:rFonts w:hint="eastAsia" w:cs="仿宋" w:asciiTheme="minorEastAsia" w:hAnsiTheme="minorEastAsia" w:eastAsiaTheme="minorEastAsia"/>
                <w:color w:val="auto"/>
                <w:sz w:val="21"/>
                <w:szCs w:val="21"/>
                <w:highlight w:val="none"/>
                <w:lang w:val="en-US" w:eastAsia="zh-CN"/>
              </w:rPr>
              <w:t>15</w:t>
            </w:r>
            <w:r>
              <w:rPr>
                <w:rFonts w:hint="eastAsia" w:cs="仿宋" w:asciiTheme="minorEastAsia" w:hAnsiTheme="minorEastAsia" w:eastAsiaTheme="minorEastAsia"/>
                <w:color w:val="auto"/>
                <w:sz w:val="21"/>
                <w:szCs w:val="21"/>
                <w:highlight w:val="none"/>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48DD04">
            <w:pPr>
              <w:jc w:val="center"/>
              <w:rPr>
                <w:rFonts w:hint="eastAsia" w:ascii="宋体" w:hAnsi="宋体" w:eastAsia="宋体" w:cs="宋体"/>
                <w:color w:val="auto"/>
                <w:sz w:val="21"/>
                <w:szCs w:val="21"/>
                <w:highlight w:val="none"/>
                <w:lang w:val="en-US" w:eastAsia="zh-CN"/>
              </w:rPr>
            </w:pPr>
            <w:r>
              <w:rPr>
                <w:rFonts w:hint="eastAsia" w:cs="仿宋" w:asciiTheme="minorEastAsia" w:hAnsiTheme="minorEastAsia" w:eastAsiaTheme="minorEastAsia"/>
                <w:color w:val="auto"/>
                <w:sz w:val="21"/>
                <w:szCs w:val="21"/>
                <w:highlight w:val="none"/>
              </w:rPr>
              <w:t>业绩</w:t>
            </w:r>
            <w:r>
              <w:rPr>
                <w:rFonts w:hint="eastAsia" w:cs="仿宋" w:asciiTheme="minorEastAsia" w:hAnsiTheme="minorEastAsia" w:eastAsiaTheme="minorEastAsia"/>
                <w:color w:val="auto"/>
                <w:sz w:val="21"/>
                <w:szCs w:val="21"/>
                <w:highlight w:val="none"/>
                <w:lang w:val="en-US" w:eastAsia="zh-CN"/>
              </w:rPr>
              <w:t>15</w:t>
            </w:r>
            <w:r>
              <w:rPr>
                <w:rFonts w:hint="eastAsia" w:cs="仿宋" w:asciiTheme="minorEastAsia" w:hAnsiTheme="minorEastAsia" w:eastAsiaTheme="minorEastAsia"/>
                <w:color w:val="auto"/>
                <w:sz w:val="21"/>
                <w:szCs w:val="21"/>
                <w:highlight w:val="none"/>
              </w:rPr>
              <w:t>分</w:t>
            </w:r>
          </w:p>
        </w:tc>
        <w:tc>
          <w:tcPr>
            <w:tcW w:w="5008" w:type="dxa"/>
            <w:tcBorders>
              <w:top w:val="single" w:color="auto" w:sz="4" w:space="0"/>
              <w:left w:val="single" w:color="auto" w:sz="4" w:space="0"/>
              <w:bottom w:val="single" w:color="auto" w:sz="4" w:space="0"/>
              <w:right w:val="single" w:color="auto" w:sz="4" w:space="0"/>
            </w:tcBorders>
            <w:noWrap w:val="0"/>
            <w:vAlign w:val="center"/>
          </w:tcPr>
          <w:p w14:paraId="7F17B131">
            <w:pPr>
              <w:ind w:firstLine="28" w:firstLineChars="0"/>
              <w:jc w:val="left"/>
              <w:rPr>
                <w:rFonts w:hint="default" w:ascii="宋体" w:hAnsi="宋体" w:eastAsia="宋体" w:cs="宋体"/>
                <w:color w:val="auto"/>
                <w:sz w:val="21"/>
                <w:szCs w:val="21"/>
                <w:highlight w:val="none"/>
                <w:lang w:val="en-US" w:eastAsia="zh-CN"/>
              </w:rPr>
            </w:pPr>
            <w:r>
              <w:rPr>
                <w:rFonts w:hint="eastAsia"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lang w:val="en-US" w:eastAsia="zh-CN"/>
              </w:rPr>
              <w:t xml:space="preserve"> </w:t>
            </w:r>
            <w:r>
              <w:rPr>
                <w:rFonts w:hint="eastAsia" w:cs="仿宋" w:asciiTheme="minorEastAsia" w:hAnsiTheme="minorEastAsia" w:eastAsiaTheme="minorEastAsia"/>
                <w:color w:val="auto"/>
                <w:sz w:val="21"/>
                <w:szCs w:val="21"/>
                <w:highlight w:val="none"/>
              </w:rPr>
              <w:t>202</w:t>
            </w:r>
            <w:r>
              <w:rPr>
                <w:rFonts w:hint="eastAsia" w:cs="仿宋" w:asciiTheme="minorEastAsia" w:hAnsiTheme="minorEastAsia" w:eastAsiaTheme="minorEastAsia"/>
                <w:color w:val="auto"/>
                <w:sz w:val="21"/>
                <w:szCs w:val="21"/>
                <w:highlight w:val="none"/>
                <w:lang w:val="en-US" w:eastAsia="zh-CN"/>
              </w:rPr>
              <w:t>2</w:t>
            </w:r>
            <w:r>
              <w:rPr>
                <w:rFonts w:hint="eastAsia" w:cs="仿宋" w:asciiTheme="minorEastAsia" w:hAnsiTheme="minorEastAsia" w:eastAsiaTheme="minorEastAsia"/>
                <w:color w:val="auto"/>
                <w:sz w:val="21"/>
                <w:szCs w:val="21"/>
                <w:highlight w:val="none"/>
              </w:rPr>
              <w:t>年1月1日以来（以合同签订时间为准），供应商有类似施工业绩的，每提供1个可得</w:t>
            </w:r>
            <w:r>
              <w:rPr>
                <w:rFonts w:hint="eastAsia" w:cs="仿宋" w:asciiTheme="minorEastAsia" w:hAnsiTheme="minorEastAsia" w:eastAsiaTheme="minorEastAsia"/>
                <w:color w:val="auto"/>
                <w:sz w:val="21"/>
                <w:szCs w:val="21"/>
                <w:highlight w:val="none"/>
                <w:lang w:val="en-US" w:eastAsia="zh-CN"/>
              </w:rPr>
              <w:t>3</w:t>
            </w:r>
            <w:r>
              <w:rPr>
                <w:rFonts w:hint="eastAsia" w:cs="仿宋" w:asciiTheme="minorEastAsia" w:hAnsiTheme="minorEastAsia" w:eastAsiaTheme="minorEastAsia"/>
                <w:color w:val="auto"/>
                <w:sz w:val="21"/>
                <w:szCs w:val="21"/>
                <w:highlight w:val="none"/>
              </w:rPr>
              <w:t>分，最多得</w:t>
            </w:r>
            <w:r>
              <w:rPr>
                <w:rFonts w:hint="eastAsia" w:cs="仿宋" w:asciiTheme="minorEastAsia" w:hAnsiTheme="minorEastAsia" w:eastAsiaTheme="minorEastAsia"/>
                <w:color w:val="auto"/>
                <w:sz w:val="21"/>
                <w:szCs w:val="21"/>
                <w:highlight w:val="none"/>
                <w:lang w:val="en-US" w:eastAsia="zh-CN"/>
              </w:rPr>
              <w:t>15</w:t>
            </w:r>
            <w:r>
              <w:rPr>
                <w:rFonts w:hint="eastAsia" w:cs="仿宋" w:asciiTheme="minorEastAsia" w:hAnsiTheme="minorEastAsia" w:eastAsiaTheme="minorEastAsia"/>
                <w:color w:val="auto"/>
                <w:sz w:val="21"/>
                <w:szCs w:val="21"/>
                <w:highlight w:val="none"/>
              </w:rPr>
              <w:t>分。</w:t>
            </w:r>
          </w:p>
        </w:tc>
        <w:tc>
          <w:tcPr>
            <w:tcW w:w="2378" w:type="dxa"/>
            <w:tcBorders>
              <w:top w:val="single" w:color="auto" w:sz="4" w:space="0"/>
              <w:left w:val="single" w:color="auto" w:sz="4" w:space="0"/>
              <w:bottom w:val="single" w:color="auto" w:sz="4" w:space="0"/>
              <w:right w:val="single" w:color="auto" w:sz="4" w:space="0"/>
            </w:tcBorders>
            <w:noWrap w:val="0"/>
            <w:vAlign w:val="center"/>
          </w:tcPr>
          <w:p w14:paraId="61DC667F">
            <w:pPr>
              <w:ind w:firstLine="210" w:firstLineChars="100"/>
              <w:rPr>
                <w:rFonts w:hint="eastAsia" w:ascii="宋体" w:hAnsi="宋体" w:eastAsia="宋体" w:cs="宋体"/>
                <w:color w:val="auto"/>
                <w:sz w:val="21"/>
                <w:szCs w:val="21"/>
                <w:highlight w:val="none"/>
                <w:lang w:val="en-US" w:eastAsia="zh-CN"/>
              </w:rPr>
            </w:pPr>
            <w:r>
              <w:rPr>
                <w:rFonts w:hint="eastAsia" w:cs="仿宋" w:asciiTheme="minorEastAsia" w:hAnsiTheme="minorEastAsia" w:eastAsiaTheme="minorEastAsia"/>
                <w:color w:val="auto"/>
                <w:sz w:val="21"/>
                <w:szCs w:val="21"/>
                <w:highlight w:val="none"/>
              </w:rPr>
              <w:t>提供合同复印件</w:t>
            </w:r>
            <w:r>
              <w:rPr>
                <w:rFonts w:hint="eastAsia" w:cs="仿宋" w:asciiTheme="minorEastAsia" w:hAnsiTheme="minorEastAsia" w:eastAsiaTheme="minorEastAsia"/>
                <w:color w:val="auto"/>
                <w:sz w:val="21"/>
                <w:szCs w:val="21"/>
                <w:highlight w:val="none"/>
                <w:lang w:val="en-US" w:eastAsia="zh-CN"/>
              </w:rPr>
              <w:t>并加盖公章</w:t>
            </w:r>
            <w:r>
              <w:rPr>
                <w:rFonts w:hint="eastAsia" w:cs="仿宋" w:asciiTheme="minorEastAsia" w:hAnsiTheme="minorEastAsia" w:eastAsiaTheme="minorEastAsia"/>
                <w:color w:val="auto"/>
                <w:sz w:val="21"/>
                <w:szCs w:val="21"/>
                <w:highlight w:val="none"/>
              </w:rPr>
              <w:t>。</w:t>
            </w:r>
          </w:p>
        </w:tc>
      </w:tr>
      <w:bookmarkEnd w:id="113"/>
      <w:bookmarkEnd w:id="114"/>
      <w:bookmarkEnd w:id="115"/>
      <w:bookmarkEnd w:id="116"/>
      <w:bookmarkEnd w:id="117"/>
    </w:tbl>
    <w:p w14:paraId="48CAA6D4">
      <w:pPr>
        <w:snapToGrid w:val="0"/>
        <w:spacing w:line="360" w:lineRule="auto"/>
        <w:ind w:firstLine="465"/>
        <w:rPr>
          <w:rFonts w:hint="eastAsia" w:ascii="宋体" w:hAnsi="宋体" w:eastAsia="宋体" w:cs="宋体"/>
          <w:color w:val="auto"/>
          <w:sz w:val="24"/>
          <w:szCs w:val="24"/>
          <w:highlight w:val="none"/>
          <w:lang w:val="en-US" w:eastAsia="zh-CN"/>
        </w:rPr>
      </w:pPr>
      <w:bookmarkStart w:id="118" w:name="_Toc102227313"/>
      <w:r>
        <w:rPr>
          <w:rFonts w:hint="eastAsia" w:ascii="宋体" w:hAnsi="宋体" w:eastAsia="宋体" w:cs="宋体"/>
          <w:color w:val="auto"/>
          <w:sz w:val="24"/>
          <w:szCs w:val="24"/>
          <w:highlight w:val="none"/>
          <w:lang w:val="en-US" w:eastAsia="zh-CN"/>
        </w:rPr>
        <w:t>说明：</w:t>
      </w:r>
      <w:r>
        <w:rPr>
          <w:rFonts w:hint="eastAsia" w:ascii="宋体" w:hAnsi="宋体" w:cs="宋体"/>
          <w:color w:val="auto"/>
          <w:sz w:val="24"/>
          <w:szCs w:val="24"/>
          <w:highlight w:val="none"/>
          <w:lang w:val="en-US" w:eastAsia="zh-CN"/>
        </w:rPr>
        <w:t>评审小组</w:t>
      </w:r>
      <w:r>
        <w:rPr>
          <w:rFonts w:hint="eastAsia" w:ascii="宋体" w:hAnsi="宋体" w:eastAsia="宋体" w:cs="宋体"/>
          <w:color w:val="auto"/>
          <w:sz w:val="24"/>
          <w:szCs w:val="24"/>
          <w:highlight w:val="none"/>
          <w:lang w:val="en-US" w:eastAsia="zh-CN"/>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cs="宋体"/>
          <w:color w:val="auto"/>
          <w:sz w:val="24"/>
          <w:szCs w:val="24"/>
          <w:highlight w:val="none"/>
          <w:lang w:val="en-US" w:eastAsia="zh-CN"/>
        </w:rPr>
        <w:t>评审小组</w:t>
      </w:r>
      <w:r>
        <w:rPr>
          <w:rFonts w:hint="eastAsia" w:ascii="宋体" w:hAnsi="宋体" w:eastAsia="宋体" w:cs="宋体"/>
          <w:color w:val="auto"/>
          <w:sz w:val="24"/>
          <w:szCs w:val="24"/>
          <w:highlight w:val="none"/>
          <w:lang w:val="en-US" w:eastAsia="zh-CN"/>
        </w:rPr>
        <w:t>应当将其作为无效投标处理。</w:t>
      </w:r>
    </w:p>
    <w:p w14:paraId="3A33F88C">
      <w:pPr>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三、无效响应</w:t>
      </w:r>
    </w:p>
    <w:p w14:paraId="2D19088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发生以下条款情况之一者，视为无效响应，其响应文件将被拒绝：</w:t>
      </w:r>
    </w:p>
    <w:p w14:paraId="6A3D905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5C2232B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（二）供应商的法定代表人或其授权代表未参加竞采采购；</w:t>
      </w:r>
    </w:p>
    <w:p w14:paraId="5BD834F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（三）供应商所提交的响应文件不按第七篇“响应文件编制要求”规定填报、</w:t>
      </w:r>
      <w:r>
        <w:rPr>
          <w:rFonts w:hint="eastAsia" w:ascii="宋体" w:hAnsi="宋体" w:eastAsia="宋体" w:cs="宋体"/>
          <w:color w:val="auto"/>
          <w:sz w:val="24"/>
          <w:szCs w:val="24"/>
          <w:highlight w:val="none"/>
          <w:lang w:val="en-US" w:eastAsia="zh-CN"/>
        </w:rPr>
        <w:t>签署</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p>
    <w:p w14:paraId="7860004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rPr>
        <w:t>报价函中的</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报价与已标价工程量清单总报价不一致的；</w:t>
      </w:r>
    </w:p>
    <w:p w14:paraId="083E1396">
      <w:pPr>
        <w:snapToGrid w:val="0"/>
        <w:spacing w:line="360" w:lineRule="auto"/>
        <w:ind w:firstLine="4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eastAsia="zh-CN"/>
        </w:rPr>
        <w:t>报价函》中的安全文明施工费金额或工程量清单中安全文明施工费的汇总金额未按照采购人给出的暂定金额填报的；</w:t>
      </w:r>
    </w:p>
    <w:p w14:paraId="3739D1E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报价超过采购预算或最高限价的；</w:t>
      </w:r>
    </w:p>
    <w:p w14:paraId="54B8F97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）法定代表人为同一个人的两个及两个以上法人，母公司、全资子公司及其控股公司，在同一分包采购中同时参与竞采采购；</w:t>
      </w:r>
    </w:p>
    <w:p w14:paraId="7497BFB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）单位负责人为同一人或者存在直接控股、管理关系的不同供应商，参加同一合同项下的政府采购活动的；</w:t>
      </w:r>
    </w:p>
    <w:p w14:paraId="0215387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w:t>
      </w:r>
    </w:p>
    <w:p w14:paraId="42BE38FD">
      <w:pPr>
        <w:snapToGrid w:val="0"/>
        <w:spacing w:line="360" w:lineRule="auto"/>
        <w:ind w:firstLine="4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）供应商响应文件内容有与国家现行法律法规相违背的内容，或附有采购人无法接受的条件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p>
    <w:p w14:paraId="7760FAC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）法律、法规和竞采文件规定的其他无效情形。</w:t>
      </w:r>
    </w:p>
    <w:p w14:paraId="6F8C785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（十二）供应商的平台报价与响应文件电子档或纸质文件正本竞采报价函中的报价不一致的。</w:t>
      </w:r>
    </w:p>
    <w:p w14:paraId="5AE22E82">
      <w:pPr>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四、采购终止</w:t>
      </w:r>
    </w:p>
    <w:p w14:paraId="164B5E0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rPr>
        <w:t>采购活动，发布项目终止公告并说明原因，重新开展采购活动：</w:t>
      </w:r>
    </w:p>
    <w:p w14:paraId="0D6014E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网上竞采</w:t>
      </w:r>
      <w:r>
        <w:rPr>
          <w:rFonts w:hint="eastAsia" w:ascii="宋体" w:hAnsi="宋体" w:eastAsia="宋体" w:cs="宋体"/>
          <w:color w:val="auto"/>
          <w:sz w:val="24"/>
          <w:szCs w:val="24"/>
          <w:highlight w:val="none"/>
        </w:rPr>
        <w:t>采购方式适用情形的；</w:t>
      </w:r>
    </w:p>
    <w:p w14:paraId="2FF5D66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CE9F20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或者报价未超过采购预算的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w:t>
      </w:r>
    </w:p>
    <w:p w14:paraId="4CB8740B">
      <w:pPr>
        <w:rPr>
          <w:rFonts w:hint="eastAsia" w:ascii="宋体" w:hAnsi="宋体" w:eastAsia="宋体" w:cs="宋体"/>
          <w:b w:val="0"/>
          <w:color w:val="auto"/>
          <w:sz w:val="36"/>
          <w:szCs w:val="30"/>
          <w:highlight w:val="none"/>
        </w:rPr>
      </w:pPr>
      <w:bookmarkStart w:id="119" w:name="_Toc21054"/>
      <w:r>
        <w:rPr>
          <w:rFonts w:hint="eastAsia" w:ascii="宋体" w:hAnsi="宋体" w:eastAsia="宋体" w:cs="宋体"/>
          <w:b w:val="0"/>
          <w:color w:val="auto"/>
          <w:sz w:val="36"/>
          <w:szCs w:val="30"/>
          <w:highlight w:val="none"/>
        </w:rPr>
        <w:br w:type="page"/>
      </w:r>
    </w:p>
    <w:p w14:paraId="2C5CF9CF">
      <w:pPr>
        <w:pStyle w:val="4"/>
        <w:spacing w:line="360" w:lineRule="auto"/>
        <w:jc w:val="center"/>
        <w:outlineLvl w:val="0"/>
        <w:rPr>
          <w:rFonts w:hint="eastAsia" w:ascii="宋体" w:hAnsi="宋体" w:eastAsia="宋体" w:cs="宋体"/>
          <w:b w:val="0"/>
          <w:color w:val="auto"/>
          <w:szCs w:val="30"/>
          <w:highlight w:val="none"/>
        </w:rPr>
      </w:pPr>
      <w:bookmarkStart w:id="120" w:name="_Toc12492"/>
      <w:r>
        <w:rPr>
          <w:rFonts w:hint="eastAsia" w:ascii="宋体" w:hAnsi="宋体" w:eastAsia="宋体" w:cs="宋体"/>
          <w:b w:val="0"/>
          <w:color w:val="auto"/>
          <w:sz w:val="36"/>
          <w:szCs w:val="30"/>
          <w:highlight w:val="none"/>
        </w:rPr>
        <w:t>第五篇 供应商须知</w:t>
      </w:r>
      <w:bookmarkEnd w:id="118"/>
      <w:bookmarkEnd w:id="119"/>
      <w:bookmarkEnd w:id="120"/>
    </w:p>
    <w:p w14:paraId="563C6837">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bookmarkStart w:id="121" w:name="_Toc18927"/>
      <w:bookmarkStart w:id="122" w:name="_Toc30342"/>
      <w:bookmarkStart w:id="123" w:name="_Toc82"/>
      <w:bookmarkStart w:id="124" w:name="_Toc342913389"/>
      <w:bookmarkStart w:id="125" w:name="_Toc7941"/>
      <w:bookmarkStart w:id="126" w:name="_Toc22766"/>
      <w:r>
        <w:rPr>
          <w:rFonts w:hint="eastAsia" w:ascii="宋体" w:hAnsi="宋体" w:eastAsia="宋体" w:cs="宋体"/>
          <w:color w:val="auto"/>
          <w:sz w:val="24"/>
          <w:szCs w:val="24"/>
          <w:highlight w:val="none"/>
        </w:rPr>
        <w:t>一、竞采费用</w:t>
      </w:r>
      <w:bookmarkEnd w:id="121"/>
      <w:bookmarkEnd w:id="122"/>
      <w:bookmarkEnd w:id="123"/>
      <w:bookmarkEnd w:id="124"/>
      <w:bookmarkEnd w:id="125"/>
      <w:bookmarkEnd w:id="126"/>
    </w:p>
    <w:p w14:paraId="284C811E">
      <w:pPr>
        <w:pStyle w:val="26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1DF28890">
      <w:pPr>
        <w:pStyle w:val="6"/>
        <w:keepNext w:val="0"/>
        <w:keepLines w:val="0"/>
        <w:pageBreakBefore w:val="0"/>
        <w:widowControl w:val="0"/>
        <w:tabs>
          <w:tab w:val="left" w:pos="2640"/>
        </w:tabs>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bookmarkStart w:id="127" w:name="_Toc21216"/>
      <w:bookmarkStart w:id="128" w:name="_Toc25299"/>
      <w:bookmarkStart w:id="129" w:name="_Toc17076"/>
      <w:bookmarkStart w:id="130" w:name="_Toc27825"/>
      <w:bookmarkStart w:id="131" w:name="_Toc342913391"/>
      <w:bookmarkStart w:id="132" w:name="_Toc17774"/>
      <w:r>
        <w:rPr>
          <w:rFonts w:hint="eastAsia" w:ascii="宋体" w:hAnsi="宋体" w:eastAsia="宋体" w:cs="宋体"/>
          <w:color w:val="auto"/>
          <w:sz w:val="24"/>
          <w:szCs w:val="24"/>
          <w:highlight w:val="none"/>
        </w:rPr>
        <w:t>二、竞采文件</w:t>
      </w:r>
      <w:bookmarkEnd w:id="127"/>
      <w:bookmarkEnd w:id="128"/>
      <w:bookmarkEnd w:id="129"/>
      <w:bookmarkEnd w:id="130"/>
      <w:bookmarkEnd w:id="131"/>
      <w:bookmarkEnd w:id="132"/>
    </w:p>
    <w:p w14:paraId="37795D7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bookmarkStart w:id="133" w:name="_Toc102227318"/>
      <w:bookmarkStart w:id="134" w:name="_Toc179714297"/>
      <w:bookmarkStart w:id="135" w:name="_Toc31150"/>
      <w:bookmarkStart w:id="136" w:name="_Toc13364"/>
      <w:bookmarkStart w:id="137" w:name="_Toc342913392"/>
      <w:bookmarkStart w:id="138" w:name="_Toc16283"/>
      <w:bookmarkStart w:id="139" w:name="_Toc16028"/>
      <w:bookmarkStart w:id="140" w:name="_Toc18241"/>
      <w:r>
        <w:rPr>
          <w:rFonts w:hint="eastAsia" w:ascii="宋体" w:hAnsi="宋体" w:eastAsia="宋体" w:cs="宋体"/>
          <w:color w:val="auto"/>
          <w:sz w:val="24"/>
          <w:szCs w:val="24"/>
          <w:highlight w:val="none"/>
        </w:rPr>
        <w:t>（一）竞采文件由采购邀请书、采购项目</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需求、采购项目商务需求、竞采程序及方法、评审标准、响应无效和采购终止、供应商须知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1E6D1F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（二）采购人（或采购代理机构）所作的一切有效的书面通知、修改及补充，都是竞采文件不可分割的部分。</w:t>
      </w:r>
    </w:p>
    <w:p w14:paraId="3ABF7C4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bookmarkStart w:id="141" w:name="_Toc318159160"/>
      <w:bookmarkStart w:id="142" w:name="_Toc318166429"/>
      <w:bookmarkStart w:id="143" w:name="_Toc318159349"/>
      <w:bookmarkStart w:id="144" w:name="_Toc318159780"/>
      <w:r>
        <w:rPr>
          <w:rFonts w:hint="eastAsia" w:ascii="宋体" w:hAnsi="宋体" w:eastAsia="宋体" w:cs="宋体"/>
          <w:color w:val="auto"/>
          <w:sz w:val="24"/>
          <w:szCs w:val="24"/>
          <w:highlight w:val="none"/>
        </w:rPr>
        <w:t>本竞采文件中，竞采小组根据与供应商进行竞采可能实质性变动的内容为竞采文件第二、三、六篇全部内容。</w:t>
      </w:r>
    </w:p>
    <w:p w14:paraId="5278B3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）评审的依据为竞采文件和响应文件（含有效的书面承诺）。评审小组判断响应文件对竞采文件的响应，仅基于响应文件本身而不靠外部证据。</w:t>
      </w:r>
    </w:p>
    <w:bookmarkEnd w:id="141"/>
    <w:bookmarkEnd w:id="142"/>
    <w:bookmarkEnd w:id="143"/>
    <w:bookmarkEnd w:id="144"/>
    <w:p w14:paraId="225FA1C8">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三、竞采要求</w:t>
      </w:r>
      <w:bookmarkEnd w:id="133"/>
      <w:bookmarkEnd w:id="134"/>
      <w:bookmarkEnd w:id="135"/>
      <w:bookmarkEnd w:id="136"/>
      <w:bookmarkEnd w:id="137"/>
      <w:bookmarkEnd w:id="138"/>
      <w:bookmarkEnd w:id="139"/>
      <w:bookmarkEnd w:id="140"/>
    </w:p>
    <w:p w14:paraId="2494B50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F878C1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1.供应商应当按照竞采文件的要求编制响应文件，并对竞采文件提出的要求和条件作出实质性响应，响应文件原则上应编制完整的页码、目录。</w:t>
      </w:r>
    </w:p>
    <w:p w14:paraId="393080A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46419AA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8BBD8B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1D7EDA33">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w:t>
      </w:r>
      <w:r>
        <w:rPr>
          <w:rFonts w:hint="eastAsia" w:ascii="宋体" w:hAnsi="宋体" w:eastAsia="宋体" w:cs="宋体"/>
          <w:b/>
          <w:color w:val="auto"/>
          <w:sz w:val="24"/>
          <w:szCs w:val="24"/>
          <w:highlight w:val="none"/>
          <w:lang w:val="en-US" w:eastAsia="zh-CN"/>
        </w:rPr>
        <w:t>参与竞采</w:t>
      </w:r>
      <w:r>
        <w:rPr>
          <w:rFonts w:hint="eastAsia" w:ascii="宋体" w:hAnsi="宋体" w:eastAsia="宋体" w:cs="宋体"/>
          <w:b/>
          <w:color w:val="auto"/>
          <w:sz w:val="24"/>
          <w:szCs w:val="24"/>
          <w:highlight w:val="none"/>
        </w:rPr>
        <w:t>。</w:t>
      </w:r>
    </w:p>
    <w:p w14:paraId="2E86C93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（三）竞采有效期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响应文件及有关承诺文件有效期为提交响应文件截止时间起90天。</w:t>
      </w:r>
    </w:p>
    <w:p w14:paraId="1C8311C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42D952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1.若供应商所递交的响应文件中的价格出现大写金额和小写金额不一致的错误，以大写金额修正为准。</w:t>
      </w:r>
    </w:p>
    <w:p w14:paraId="03BBBE0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供应商的资格。</w:t>
      </w:r>
    </w:p>
    <w:p w14:paraId="6906160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7B84F49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w:t>
      </w:r>
      <w:r>
        <w:rPr>
          <w:rFonts w:hint="eastAsia" w:ascii="宋体" w:hAnsi="宋体" w:eastAsia="宋体" w:cs="宋体"/>
          <w:color w:val="auto"/>
          <w:sz w:val="24"/>
          <w:szCs w:val="24"/>
          <w:highlight w:val="none"/>
          <w:lang w:eastAsia="zh-CN"/>
        </w:rPr>
        <w:t>并上传盖章后的响应文件电子文档一份</w:t>
      </w:r>
      <w:r>
        <w:rPr>
          <w:rFonts w:hint="eastAsia" w:ascii="宋体" w:hAnsi="宋体" w:eastAsia="宋体" w:cs="宋体"/>
          <w:color w:val="auto"/>
          <w:sz w:val="24"/>
          <w:szCs w:val="24"/>
          <w:highlight w:val="none"/>
        </w:rPr>
        <w:t>。</w:t>
      </w:r>
    </w:p>
    <w:p w14:paraId="25086FA3">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2.纸质版线下响应文件须按采购文件要求装订，一式三份，其中正本一份，副本二份；副本可为正本的复印件，应与正本一致，如出现不一致情况以正本为准。</w:t>
      </w:r>
    </w:p>
    <w:p w14:paraId="132E3DF9">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3.网上递交的响应文件电子文档与线下递交的响应文件纸质件不一致时，以线下递交的纸质响应文件为准。</w:t>
      </w:r>
    </w:p>
    <w:p w14:paraId="716A128C">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响应文件按竞采文件“第七篇响应文件编制要求”要求签署或盖章。</w:t>
      </w:r>
    </w:p>
    <w:p w14:paraId="07AFAC0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（六）响应文件的递交</w:t>
      </w:r>
    </w:p>
    <w:p w14:paraId="5444C7D8">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1.响应文件的电子文档应在有效报名时间段内，通过竞采系统在线提交。</w:t>
      </w:r>
    </w:p>
    <w:p w14:paraId="1102DBAB">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纸质版响应文件的正本、副本均应密封送达递交响应文件地点，应在封套上注明项目名称、供应商名称。若正本、副本分别进行密封的，还应在封套上注明“正本”、“副本”字样，否则采购代理机构有权拒收。</w:t>
      </w:r>
    </w:p>
    <w:p w14:paraId="2C3ABD6B">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bookmarkStart w:id="145" w:name="_Toc12210"/>
      <w:bookmarkStart w:id="146" w:name="_Toc1882"/>
      <w:bookmarkStart w:id="147" w:name="_Toc8387"/>
      <w:bookmarkStart w:id="148" w:name="_Toc18881"/>
      <w:bookmarkStart w:id="149" w:name="_Toc22553"/>
      <w:r>
        <w:rPr>
          <w:rFonts w:hint="eastAsia" w:ascii="宋体" w:hAnsi="宋体" w:eastAsia="宋体" w:cs="宋体"/>
          <w:color w:val="auto"/>
          <w:sz w:val="24"/>
          <w:szCs w:val="24"/>
          <w:highlight w:val="none"/>
        </w:rPr>
        <w:t>四、成交供应商的确认和变更</w:t>
      </w:r>
      <w:bookmarkEnd w:id="145"/>
      <w:bookmarkEnd w:id="146"/>
      <w:bookmarkEnd w:id="147"/>
      <w:bookmarkEnd w:id="148"/>
      <w:bookmarkEnd w:id="149"/>
    </w:p>
    <w:p w14:paraId="3B55B5D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36665A1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29BB5C7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8905A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73D16B05">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bookmarkStart w:id="150" w:name="_Toc342913395"/>
      <w:bookmarkStart w:id="151" w:name="_Toc102227321"/>
      <w:bookmarkStart w:id="152" w:name="_Toc8451"/>
      <w:bookmarkStart w:id="153" w:name="_Toc22558"/>
      <w:bookmarkStart w:id="154" w:name="_Toc16678"/>
      <w:bookmarkStart w:id="155" w:name="_Toc30729"/>
      <w:bookmarkStart w:id="156" w:name="_Toc8128"/>
      <w:r>
        <w:rPr>
          <w:rFonts w:hint="eastAsia" w:ascii="宋体" w:hAnsi="宋体" w:eastAsia="宋体" w:cs="宋体"/>
          <w:color w:val="auto"/>
          <w:sz w:val="24"/>
          <w:szCs w:val="24"/>
          <w:highlight w:val="none"/>
        </w:rPr>
        <w:t>五、成交通知</w:t>
      </w:r>
      <w:bookmarkEnd w:id="150"/>
      <w:bookmarkEnd w:id="151"/>
      <w:bookmarkEnd w:id="152"/>
      <w:bookmarkEnd w:id="153"/>
      <w:bookmarkEnd w:id="154"/>
      <w:bookmarkEnd w:id="155"/>
      <w:bookmarkEnd w:id="156"/>
    </w:p>
    <w:p w14:paraId="59313E9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bookmarkStart w:id="157" w:name="_Toc29030"/>
      <w:bookmarkStart w:id="158" w:name="_Toc29209"/>
      <w:bookmarkStart w:id="159" w:name="_Toc6917"/>
      <w:bookmarkStart w:id="160" w:name="_Toc8904"/>
      <w:bookmarkStart w:id="161" w:name="_Toc31861"/>
      <w:r>
        <w:rPr>
          <w:rFonts w:hint="eastAsia" w:ascii="宋体" w:hAnsi="宋体" w:eastAsia="宋体" w:cs="宋体"/>
          <w:color w:val="auto"/>
          <w:sz w:val="24"/>
          <w:szCs w:val="24"/>
          <w:highlight w:val="none"/>
        </w:rPr>
        <w:t>（一）成交供应商确定后，采购人或采购代理机构将在</w:t>
      </w:r>
      <w:r>
        <w:rPr>
          <w:rFonts w:hint="eastAsia" w:ascii="宋体" w:hAnsi="宋体" w:cs="宋体"/>
          <w:color w:val="auto"/>
          <w:sz w:val="24"/>
          <w:szCs w:val="24"/>
          <w:highlight w:val="none"/>
          <w:lang w:eastAsia="zh-CN"/>
        </w:rPr>
        <w:t>行采家电子竞采平台（https://www.gec123.com/xe/）</w:t>
      </w:r>
      <w:r>
        <w:rPr>
          <w:rFonts w:hint="eastAsia" w:ascii="宋体" w:hAnsi="宋体" w:eastAsia="宋体" w:cs="宋体"/>
          <w:color w:val="auto"/>
          <w:sz w:val="24"/>
          <w:szCs w:val="24"/>
          <w:highlight w:val="none"/>
        </w:rPr>
        <w:t>上发布成交结果公告。</w:t>
      </w:r>
    </w:p>
    <w:p w14:paraId="55326B9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468E7DB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B0450CF">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六、采购代理服务费</w:t>
      </w:r>
      <w:bookmarkEnd w:id="157"/>
      <w:bookmarkEnd w:id="158"/>
      <w:bookmarkEnd w:id="159"/>
      <w:bookmarkEnd w:id="160"/>
      <w:bookmarkEnd w:id="161"/>
    </w:p>
    <w:p w14:paraId="762E97B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本项目采购代理服务费按照定额</w:t>
      </w:r>
      <w:r>
        <w:rPr>
          <w:rFonts w:hint="eastAsia" w:ascii="宋体" w:hAnsi="宋体" w:cs="宋体"/>
          <w:color w:val="auto"/>
          <w:sz w:val="24"/>
          <w:szCs w:val="24"/>
          <w:highlight w:val="none"/>
          <w:u w:val="single"/>
          <w:lang w:val="en-US" w:eastAsia="zh-CN"/>
        </w:rPr>
        <w:t>75</w:t>
      </w:r>
      <w:r>
        <w:rPr>
          <w:rFonts w:hint="eastAsia" w:ascii="宋体" w:hAnsi="宋体" w:eastAsia="宋体" w:cs="宋体"/>
          <w:color w:val="auto"/>
          <w:sz w:val="24"/>
          <w:szCs w:val="24"/>
          <w:highlight w:val="none"/>
          <w:u w:val="single"/>
        </w:rPr>
        <w:t>00元（大写：</w:t>
      </w:r>
      <w:r>
        <w:rPr>
          <w:rFonts w:hint="eastAsia" w:ascii="宋体" w:hAnsi="宋体" w:cs="宋体"/>
          <w:color w:val="auto"/>
          <w:sz w:val="24"/>
          <w:szCs w:val="24"/>
          <w:highlight w:val="none"/>
          <w:u w:val="single"/>
          <w:lang w:val="en-US" w:eastAsia="zh-CN"/>
        </w:rPr>
        <w:t>柒仟伍佰元整</w:t>
      </w:r>
      <w:r>
        <w:rPr>
          <w:rFonts w:hint="eastAsia" w:ascii="宋体" w:hAnsi="宋体" w:eastAsia="宋体" w:cs="宋体"/>
          <w:color w:val="auto"/>
          <w:sz w:val="24"/>
          <w:szCs w:val="24"/>
          <w:highlight w:val="none"/>
          <w:u w:val="single"/>
        </w:rPr>
        <w:t>）收取，含税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完成后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领取成交通知书之前</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供应商向</w:t>
      </w:r>
      <w:r>
        <w:rPr>
          <w:rFonts w:hint="eastAsia" w:ascii="宋体" w:hAnsi="宋体" w:cs="宋体"/>
          <w:color w:val="auto"/>
          <w:sz w:val="24"/>
          <w:szCs w:val="24"/>
          <w:highlight w:val="none"/>
          <w:lang w:val="en-US" w:eastAsia="zh-CN"/>
        </w:rPr>
        <w:t>采购代理机构一次性</w:t>
      </w:r>
      <w:r>
        <w:rPr>
          <w:rFonts w:hint="eastAsia" w:ascii="宋体" w:hAnsi="宋体" w:eastAsia="宋体" w:cs="宋体"/>
          <w:color w:val="auto"/>
          <w:sz w:val="24"/>
          <w:szCs w:val="24"/>
          <w:highlight w:val="none"/>
        </w:rPr>
        <w:t>支付。</w:t>
      </w:r>
    </w:p>
    <w:p w14:paraId="6D269E47">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bookmarkStart w:id="162" w:name="_Toc12301"/>
      <w:bookmarkStart w:id="163" w:name="_Toc15612"/>
      <w:bookmarkStart w:id="164" w:name="_Toc20443"/>
      <w:bookmarkStart w:id="165" w:name="_Toc8778"/>
      <w:bookmarkStart w:id="166" w:name="_Toc22531"/>
      <w:r>
        <w:rPr>
          <w:rFonts w:hint="eastAsia" w:ascii="宋体" w:hAnsi="宋体" w:eastAsia="宋体" w:cs="宋体"/>
          <w:color w:val="auto"/>
          <w:sz w:val="24"/>
          <w:szCs w:val="24"/>
          <w:highlight w:val="none"/>
        </w:rPr>
        <w:t>七、关于质疑和投诉</w:t>
      </w:r>
      <w:bookmarkEnd w:id="162"/>
      <w:bookmarkEnd w:id="163"/>
      <w:bookmarkEnd w:id="164"/>
      <w:bookmarkEnd w:id="165"/>
      <w:bookmarkEnd w:id="166"/>
    </w:p>
    <w:p w14:paraId="06CC1CD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167" w:name="_Toc102227322"/>
      <w:bookmarkStart w:id="168" w:name="_Toc14365"/>
      <w:bookmarkStart w:id="169" w:name="_Toc11644"/>
      <w:bookmarkStart w:id="170" w:name="_Toc342913396"/>
      <w:bookmarkStart w:id="171" w:name="_Toc12282"/>
      <w:bookmarkStart w:id="172" w:name="_Toc24830"/>
      <w:bookmarkStart w:id="173" w:name="_Toc19771"/>
      <w:bookmarkStart w:id="174" w:name="_Toc11641055"/>
      <w:bookmarkStart w:id="175" w:name="_Toc12789059"/>
      <w:r>
        <w:rPr>
          <w:rFonts w:hint="eastAsia" w:asciiTheme="minorEastAsia" w:hAnsiTheme="minorEastAsia" w:eastAsiaTheme="minorEastAsia" w:cstheme="minorEastAsia"/>
          <w:color w:val="auto"/>
          <w:sz w:val="24"/>
          <w:szCs w:val="24"/>
          <w:highlight w:val="none"/>
        </w:rPr>
        <w:t>（一）质疑内容、时限</w:t>
      </w:r>
    </w:p>
    <w:p w14:paraId="3425174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1、供应商对成交结果有异议的，应当在结果公示发布之日起</w:t>
      </w:r>
      <w:r>
        <w:rPr>
          <w:rFonts w:hint="eastAsia" w:asciiTheme="minorEastAsia" w:hAnsiTheme="minorEastAsia" w:eastAsiaTheme="minorEastAsia" w:cstheme="minorEastAsia"/>
          <w:color w:val="auto"/>
          <w:sz w:val="24"/>
          <w:szCs w:val="24"/>
          <w:highlight w:val="none"/>
          <w:lang w:val="en-US" w:eastAsia="zh-CN"/>
        </w:rPr>
        <w:t>三个日历日</w:t>
      </w:r>
      <w:r>
        <w:rPr>
          <w:rFonts w:hint="eastAsia" w:asciiTheme="minorEastAsia" w:hAnsiTheme="minorEastAsia" w:eastAsiaTheme="minorEastAsia" w:cstheme="minorEastAsia"/>
          <w:color w:val="auto"/>
          <w:sz w:val="24"/>
          <w:szCs w:val="24"/>
          <w:highlight w:val="none"/>
        </w:rPr>
        <w:t>内以书面形式向采购人、采购代理机构提出质疑，并附相关证明材料。</w:t>
      </w:r>
    </w:p>
    <w:p w14:paraId="3D2EAB9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2、供应商对竞采文件中供应商特定资格条件、技术</w:t>
      </w:r>
      <w:r>
        <w:rPr>
          <w:rFonts w:hint="eastAsia" w:asciiTheme="minorEastAsia" w:hAnsiTheme="minorEastAsia" w:eastAsiaTheme="minorEastAsia" w:cstheme="minorEastAsia"/>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rPr>
        <w:t>和商务要求、评审标准及评审细则有异议的，应主要向采购人提出质疑，其他问题可向采购代理机构提出质疑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且须以书面形式在提交</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响应文件截止时间1个工作日前提出</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采购人（或采购代理机构）可视具体情况做出处理或答复。如供应商未提出疑问，视为完全理解并同意本竞采文件。一经进入竞采程序，即视为供应商已详细阅读全部文件资料，完全理解竞采文件所有条款内容并同意放弃对这方面有不明白及误解的权利。</w:t>
      </w:r>
    </w:p>
    <w:p w14:paraId="3E6DE85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（二）质疑答复</w:t>
      </w:r>
    </w:p>
    <w:p w14:paraId="2809F113">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采购人、采购代理机构将参照《重庆市政府采购供应商质疑投诉处理暂行规定》的相关规定对质疑内容作出答复和处理。</w:t>
      </w:r>
    </w:p>
    <w:p w14:paraId="38945B0E">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八、签订</w:t>
      </w:r>
      <w:bookmarkEnd w:id="167"/>
      <w:r>
        <w:rPr>
          <w:rFonts w:hint="eastAsia" w:ascii="宋体" w:hAnsi="宋体" w:eastAsia="宋体" w:cs="宋体"/>
          <w:color w:val="auto"/>
          <w:sz w:val="24"/>
          <w:szCs w:val="24"/>
          <w:highlight w:val="none"/>
        </w:rPr>
        <w:t>合同</w:t>
      </w:r>
      <w:bookmarkEnd w:id="168"/>
      <w:bookmarkEnd w:id="169"/>
      <w:bookmarkEnd w:id="170"/>
      <w:bookmarkEnd w:id="171"/>
      <w:bookmarkEnd w:id="172"/>
      <w:bookmarkEnd w:id="173"/>
    </w:p>
    <w:p w14:paraId="315EC22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bookmarkStart w:id="176" w:name="_Toc28948"/>
      <w:bookmarkStart w:id="177" w:name="_Toc13139"/>
      <w:bookmarkStart w:id="178" w:name="_Toc21116"/>
      <w:bookmarkStart w:id="179" w:name="_Toc478"/>
      <w:bookmarkStart w:id="180" w:name="_Toc106030902"/>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日内，按照竞采文件和成交供应商响应文件的约定，与成交供应商签订书面合同。所签订的合同不得对竞采文件和供应商的响应文件作实质性修改。</w:t>
      </w:r>
    </w:p>
    <w:p w14:paraId="3A8263C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（二）竞采文件、供应商的响应文件及澄清文件等，均为签订采购合同的依据。</w:t>
      </w:r>
    </w:p>
    <w:p w14:paraId="08CA8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225C9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567DF65B">
      <w:pPr>
        <w:pStyle w:val="6"/>
        <w:keepNext w:val="0"/>
        <w:keepLines w:val="0"/>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九、项目验收</w:t>
      </w:r>
      <w:bookmarkEnd w:id="176"/>
      <w:bookmarkEnd w:id="177"/>
      <w:bookmarkEnd w:id="178"/>
      <w:bookmarkEnd w:id="179"/>
      <w:bookmarkEnd w:id="180"/>
    </w:p>
    <w:bookmarkEnd w:id="174"/>
    <w:bookmarkEnd w:id="175"/>
    <w:p w14:paraId="054351A6">
      <w:pPr>
        <w:pStyle w:val="280"/>
        <w:ind w:firstLine="480"/>
        <w:rPr>
          <w:rFonts w:hint="eastAsia" w:ascii="宋体" w:hAnsi="宋体" w:eastAsia="宋体" w:cs="宋体"/>
          <w:color w:val="auto"/>
          <w:szCs w:val="28"/>
          <w:highlight w:val="none"/>
        </w:rPr>
      </w:pPr>
      <w:bookmarkStart w:id="181" w:name="_Toc27139866"/>
      <w:bookmarkStart w:id="182" w:name="_Toc28449"/>
      <w:r>
        <w:rPr>
          <w:rFonts w:hint="eastAsia" w:ascii="宋体" w:hAnsi="宋体" w:eastAsia="宋体" w:cs="宋体"/>
          <w:color w:val="auto"/>
          <w:szCs w:val="28"/>
          <w:highlight w:val="none"/>
        </w:rPr>
        <w:t>合同执行完毕，采购人或采购代理机构原则上应在</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个工作日内组织履约情况验收，不得无故拖延或附加额外条件。</w:t>
      </w:r>
    </w:p>
    <w:p w14:paraId="08D8C2EE">
      <w:pPr>
        <w:widowControl/>
        <w:jc w:val="left"/>
        <w:rPr>
          <w:rFonts w:hint="eastAsia" w:ascii="宋体" w:hAnsi="宋体" w:eastAsia="宋体" w:cs="宋体"/>
          <w:b/>
          <w:color w:val="auto"/>
          <w:sz w:val="36"/>
          <w:szCs w:val="30"/>
          <w:highlight w:val="none"/>
        </w:rPr>
      </w:pPr>
      <w:r>
        <w:rPr>
          <w:rFonts w:hint="eastAsia" w:ascii="宋体" w:hAnsi="宋体" w:eastAsia="宋体" w:cs="宋体"/>
          <w:color w:val="auto"/>
          <w:sz w:val="36"/>
          <w:szCs w:val="30"/>
          <w:highlight w:val="none"/>
        </w:rPr>
        <w:br w:type="page"/>
      </w:r>
    </w:p>
    <w:p w14:paraId="68662B1E">
      <w:pPr>
        <w:pStyle w:val="4"/>
        <w:spacing w:line="360" w:lineRule="auto"/>
        <w:jc w:val="center"/>
        <w:outlineLvl w:val="0"/>
        <w:rPr>
          <w:rFonts w:hint="eastAsia" w:ascii="宋体" w:hAnsi="宋体" w:eastAsia="宋体" w:cs="宋体"/>
          <w:b/>
          <w:bCs/>
          <w:color w:val="auto"/>
          <w:sz w:val="36"/>
          <w:szCs w:val="30"/>
          <w:highlight w:val="none"/>
        </w:rPr>
      </w:pPr>
      <w:bookmarkStart w:id="183" w:name="_Toc7606"/>
      <w:r>
        <w:rPr>
          <w:rFonts w:hint="eastAsia" w:ascii="宋体" w:hAnsi="宋体" w:eastAsia="宋体" w:cs="宋体"/>
          <w:b/>
          <w:bCs/>
          <w:color w:val="auto"/>
          <w:sz w:val="36"/>
          <w:szCs w:val="30"/>
          <w:highlight w:val="none"/>
        </w:rPr>
        <w:t>第六篇</w:t>
      </w:r>
      <w:bookmarkEnd w:id="181"/>
      <w:r>
        <w:rPr>
          <w:rFonts w:hint="eastAsia" w:ascii="宋体" w:hAnsi="宋体" w:eastAsia="宋体" w:cs="宋体"/>
          <w:b/>
          <w:bCs/>
          <w:color w:val="auto"/>
          <w:sz w:val="36"/>
          <w:szCs w:val="30"/>
          <w:highlight w:val="none"/>
        </w:rPr>
        <w:t xml:space="preserve"> </w:t>
      </w:r>
      <w:bookmarkEnd w:id="182"/>
      <w:r>
        <w:rPr>
          <w:rFonts w:hint="eastAsia" w:ascii="宋体" w:hAnsi="宋体" w:eastAsia="宋体" w:cs="宋体"/>
          <w:b/>
          <w:bCs/>
          <w:color w:val="auto"/>
          <w:sz w:val="36"/>
          <w:szCs w:val="30"/>
          <w:highlight w:val="none"/>
        </w:rPr>
        <w:t>采购合同（仅供参考）</w:t>
      </w:r>
      <w:bookmarkEnd w:id="183"/>
    </w:p>
    <w:p w14:paraId="64F0BC38">
      <w:pPr>
        <w:snapToGrid w:val="0"/>
        <w:spacing w:line="400" w:lineRule="exact"/>
        <w:rPr>
          <w:rFonts w:hint="eastAsia" w:ascii="宋体" w:hAnsi="宋体" w:eastAsia="宋体" w:cs="宋体"/>
          <w:color w:val="auto"/>
          <w:sz w:val="24"/>
          <w:szCs w:val="24"/>
          <w:highlight w:val="none"/>
        </w:rPr>
      </w:pPr>
      <w:bookmarkStart w:id="184" w:name="_Toc30030"/>
      <w:r>
        <w:rPr>
          <w:rFonts w:hint="eastAsia" w:ascii="宋体" w:hAnsi="宋体" w:eastAsia="宋体" w:cs="宋体"/>
          <w:color w:val="auto"/>
          <w:sz w:val="24"/>
          <w:szCs w:val="24"/>
          <w:highlight w:val="none"/>
        </w:rPr>
        <w:t>附件：</w:t>
      </w:r>
    </w:p>
    <w:p w14:paraId="449FDB4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重庆市政府采购合同</w:t>
      </w:r>
    </w:p>
    <w:p w14:paraId="0B3536B4">
      <w:pPr>
        <w:snapToGrid w:val="0"/>
        <w:spacing w:line="400" w:lineRule="exact"/>
        <w:rPr>
          <w:rFonts w:hint="eastAsia" w:ascii="宋体" w:hAnsi="宋体" w:eastAsia="宋体" w:cs="宋体"/>
          <w:color w:val="auto"/>
          <w:sz w:val="24"/>
          <w:szCs w:val="24"/>
          <w:highlight w:val="none"/>
        </w:rPr>
      </w:pPr>
    </w:p>
    <w:p w14:paraId="1C9DF71A">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      计价单位：____________</w:t>
      </w:r>
    </w:p>
    <w:p w14:paraId="181A0AD4">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     计量单位：_____________</w:t>
      </w:r>
    </w:p>
    <w:p w14:paraId="506226F4">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62"/>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001"/>
        <w:gridCol w:w="601"/>
        <w:gridCol w:w="719"/>
        <w:gridCol w:w="1153"/>
        <w:gridCol w:w="1586"/>
        <w:gridCol w:w="1594"/>
        <w:gridCol w:w="22"/>
      </w:tblGrid>
      <w:tr w14:paraId="4D04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3124" w:type="dxa"/>
            <w:noWrap w:val="0"/>
            <w:vAlign w:val="center"/>
          </w:tcPr>
          <w:p w14:paraId="2A5CD3A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01" w:type="dxa"/>
            <w:noWrap w:val="0"/>
            <w:vAlign w:val="center"/>
          </w:tcPr>
          <w:p w14:paraId="2FC57A0E">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20" w:type="dxa"/>
            <w:gridSpan w:val="2"/>
            <w:noWrap w:val="0"/>
            <w:vAlign w:val="center"/>
          </w:tcPr>
          <w:p w14:paraId="3113E4A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tc>
        <w:tc>
          <w:tcPr>
            <w:tcW w:w="1153" w:type="dxa"/>
            <w:noWrap w:val="0"/>
            <w:vAlign w:val="center"/>
          </w:tcPr>
          <w:p w14:paraId="6932DE60">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86" w:type="dxa"/>
            <w:noWrap w:val="0"/>
            <w:vAlign w:val="center"/>
          </w:tcPr>
          <w:p w14:paraId="79E6618A">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实施时间</w:t>
            </w:r>
          </w:p>
        </w:tc>
        <w:tc>
          <w:tcPr>
            <w:tcW w:w="1594" w:type="dxa"/>
            <w:noWrap w:val="0"/>
            <w:vAlign w:val="center"/>
          </w:tcPr>
          <w:p w14:paraId="41BCBCED">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实施地点</w:t>
            </w:r>
          </w:p>
        </w:tc>
      </w:tr>
      <w:tr w14:paraId="1977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3124" w:type="dxa"/>
            <w:noWrap w:val="0"/>
            <w:vAlign w:val="center"/>
          </w:tcPr>
          <w:p w14:paraId="11B9DABD">
            <w:pPr>
              <w:snapToGrid w:val="0"/>
              <w:spacing w:line="400" w:lineRule="exact"/>
              <w:rPr>
                <w:rFonts w:hint="eastAsia" w:ascii="宋体" w:hAnsi="宋体" w:eastAsia="宋体" w:cs="宋体"/>
                <w:color w:val="auto"/>
                <w:sz w:val="24"/>
                <w:szCs w:val="24"/>
                <w:highlight w:val="none"/>
              </w:rPr>
            </w:pPr>
          </w:p>
        </w:tc>
        <w:tc>
          <w:tcPr>
            <w:tcW w:w="1001" w:type="dxa"/>
            <w:noWrap w:val="0"/>
            <w:vAlign w:val="center"/>
          </w:tcPr>
          <w:p w14:paraId="7B71CE85">
            <w:pPr>
              <w:snapToGrid w:val="0"/>
              <w:spacing w:line="400" w:lineRule="exact"/>
              <w:rPr>
                <w:rFonts w:hint="eastAsia" w:ascii="宋体" w:hAnsi="宋体" w:eastAsia="宋体" w:cs="宋体"/>
                <w:color w:val="auto"/>
                <w:sz w:val="24"/>
                <w:szCs w:val="24"/>
                <w:highlight w:val="none"/>
              </w:rPr>
            </w:pPr>
          </w:p>
        </w:tc>
        <w:tc>
          <w:tcPr>
            <w:tcW w:w="1320" w:type="dxa"/>
            <w:gridSpan w:val="2"/>
            <w:noWrap w:val="0"/>
            <w:vAlign w:val="center"/>
          </w:tcPr>
          <w:p w14:paraId="1F236998">
            <w:pPr>
              <w:snapToGrid w:val="0"/>
              <w:spacing w:line="400" w:lineRule="exact"/>
              <w:rPr>
                <w:rFonts w:hint="eastAsia" w:ascii="宋体" w:hAnsi="宋体" w:eastAsia="宋体" w:cs="宋体"/>
                <w:color w:val="auto"/>
                <w:sz w:val="24"/>
                <w:szCs w:val="24"/>
                <w:highlight w:val="none"/>
              </w:rPr>
            </w:pPr>
          </w:p>
        </w:tc>
        <w:tc>
          <w:tcPr>
            <w:tcW w:w="1153" w:type="dxa"/>
            <w:noWrap w:val="0"/>
            <w:vAlign w:val="center"/>
          </w:tcPr>
          <w:p w14:paraId="1B2651D9">
            <w:pPr>
              <w:snapToGrid w:val="0"/>
              <w:spacing w:line="400" w:lineRule="exact"/>
              <w:rPr>
                <w:rFonts w:hint="eastAsia" w:ascii="宋体" w:hAnsi="宋体" w:eastAsia="宋体" w:cs="宋体"/>
                <w:color w:val="auto"/>
                <w:sz w:val="24"/>
                <w:szCs w:val="24"/>
                <w:highlight w:val="none"/>
              </w:rPr>
            </w:pPr>
          </w:p>
        </w:tc>
        <w:tc>
          <w:tcPr>
            <w:tcW w:w="1586" w:type="dxa"/>
            <w:noWrap w:val="0"/>
            <w:vAlign w:val="center"/>
          </w:tcPr>
          <w:p w14:paraId="70891ADD">
            <w:pPr>
              <w:snapToGrid w:val="0"/>
              <w:spacing w:line="400" w:lineRule="exact"/>
              <w:rPr>
                <w:rFonts w:hint="eastAsia" w:ascii="宋体" w:hAnsi="宋体" w:eastAsia="宋体" w:cs="宋体"/>
                <w:color w:val="auto"/>
                <w:sz w:val="24"/>
                <w:szCs w:val="24"/>
                <w:highlight w:val="none"/>
              </w:rPr>
            </w:pPr>
          </w:p>
        </w:tc>
        <w:tc>
          <w:tcPr>
            <w:tcW w:w="1594" w:type="dxa"/>
            <w:noWrap w:val="0"/>
            <w:vAlign w:val="center"/>
          </w:tcPr>
          <w:p w14:paraId="0C317892">
            <w:pPr>
              <w:snapToGrid w:val="0"/>
              <w:spacing w:line="400" w:lineRule="exact"/>
              <w:rPr>
                <w:rFonts w:hint="eastAsia" w:ascii="宋体" w:hAnsi="宋体" w:eastAsia="宋体" w:cs="宋体"/>
                <w:color w:val="auto"/>
                <w:sz w:val="24"/>
                <w:szCs w:val="24"/>
                <w:highlight w:val="none"/>
              </w:rPr>
            </w:pPr>
          </w:p>
        </w:tc>
      </w:tr>
      <w:tr w14:paraId="765F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3124" w:type="dxa"/>
            <w:noWrap w:val="0"/>
            <w:vAlign w:val="center"/>
          </w:tcPr>
          <w:p w14:paraId="400E1EAF">
            <w:pPr>
              <w:snapToGrid w:val="0"/>
              <w:spacing w:line="400" w:lineRule="exact"/>
              <w:rPr>
                <w:rFonts w:hint="eastAsia" w:ascii="宋体" w:hAnsi="宋体" w:eastAsia="宋体" w:cs="宋体"/>
                <w:color w:val="auto"/>
                <w:sz w:val="24"/>
                <w:szCs w:val="24"/>
                <w:highlight w:val="none"/>
              </w:rPr>
            </w:pPr>
          </w:p>
        </w:tc>
        <w:tc>
          <w:tcPr>
            <w:tcW w:w="1001" w:type="dxa"/>
            <w:noWrap w:val="0"/>
            <w:vAlign w:val="center"/>
          </w:tcPr>
          <w:p w14:paraId="6966C4DC">
            <w:pPr>
              <w:snapToGrid w:val="0"/>
              <w:spacing w:line="400" w:lineRule="exact"/>
              <w:rPr>
                <w:rFonts w:hint="eastAsia" w:ascii="宋体" w:hAnsi="宋体" w:eastAsia="宋体" w:cs="宋体"/>
                <w:color w:val="auto"/>
                <w:sz w:val="24"/>
                <w:szCs w:val="24"/>
                <w:highlight w:val="none"/>
              </w:rPr>
            </w:pPr>
          </w:p>
        </w:tc>
        <w:tc>
          <w:tcPr>
            <w:tcW w:w="1320" w:type="dxa"/>
            <w:gridSpan w:val="2"/>
            <w:noWrap w:val="0"/>
            <w:vAlign w:val="center"/>
          </w:tcPr>
          <w:p w14:paraId="18DF169F">
            <w:pPr>
              <w:snapToGrid w:val="0"/>
              <w:spacing w:line="400" w:lineRule="exact"/>
              <w:rPr>
                <w:rFonts w:hint="eastAsia" w:ascii="宋体" w:hAnsi="宋体" w:eastAsia="宋体" w:cs="宋体"/>
                <w:color w:val="auto"/>
                <w:sz w:val="24"/>
                <w:szCs w:val="24"/>
                <w:highlight w:val="none"/>
              </w:rPr>
            </w:pPr>
          </w:p>
        </w:tc>
        <w:tc>
          <w:tcPr>
            <w:tcW w:w="1153" w:type="dxa"/>
            <w:noWrap w:val="0"/>
            <w:vAlign w:val="center"/>
          </w:tcPr>
          <w:p w14:paraId="2D6B5CBA">
            <w:pPr>
              <w:snapToGrid w:val="0"/>
              <w:spacing w:line="400" w:lineRule="exact"/>
              <w:rPr>
                <w:rFonts w:hint="eastAsia" w:ascii="宋体" w:hAnsi="宋体" w:eastAsia="宋体" w:cs="宋体"/>
                <w:color w:val="auto"/>
                <w:sz w:val="24"/>
                <w:szCs w:val="24"/>
                <w:highlight w:val="none"/>
              </w:rPr>
            </w:pPr>
          </w:p>
        </w:tc>
        <w:tc>
          <w:tcPr>
            <w:tcW w:w="1586" w:type="dxa"/>
            <w:noWrap w:val="0"/>
            <w:vAlign w:val="center"/>
          </w:tcPr>
          <w:p w14:paraId="226F6650">
            <w:pPr>
              <w:snapToGrid w:val="0"/>
              <w:spacing w:line="400" w:lineRule="exact"/>
              <w:rPr>
                <w:rFonts w:hint="eastAsia" w:ascii="宋体" w:hAnsi="宋体" w:eastAsia="宋体" w:cs="宋体"/>
                <w:color w:val="auto"/>
                <w:sz w:val="24"/>
                <w:szCs w:val="24"/>
                <w:highlight w:val="none"/>
              </w:rPr>
            </w:pPr>
          </w:p>
        </w:tc>
        <w:tc>
          <w:tcPr>
            <w:tcW w:w="1594" w:type="dxa"/>
            <w:noWrap w:val="0"/>
            <w:vAlign w:val="center"/>
          </w:tcPr>
          <w:p w14:paraId="18157DDF">
            <w:pPr>
              <w:snapToGrid w:val="0"/>
              <w:spacing w:line="400" w:lineRule="exact"/>
              <w:rPr>
                <w:rFonts w:hint="eastAsia" w:ascii="宋体" w:hAnsi="宋体" w:eastAsia="宋体" w:cs="宋体"/>
                <w:color w:val="auto"/>
                <w:sz w:val="24"/>
                <w:szCs w:val="24"/>
                <w:highlight w:val="none"/>
              </w:rPr>
            </w:pPr>
          </w:p>
        </w:tc>
      </w:tr>
      <w:tr w14:paraId="36D7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9778" w:type="dxa"/>
            <w:gridSpan w:val="7"/>
            <w:noWrap w:val="0"/>
            <w:vAlign w:val="center"/>
          </w:tcPr>
          <w:p w14:paraId="0582233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6CEA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9778" w:type="dxa"/>
            <w:gridSpan w:val="7"/>
            <w:noWrap w:val="0"/>
            <w:vAlign w:val="center"/>
          </w:tcPr>
          <w:p w14:paraId="412F678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3E46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 w:hRule="atLeast"/>
        </w:trPr>
        <w:tc>
          <w:tcPr>
            <w:tcW w:w="9778" w:type="dxa"/>
            <w:gridSpan w:val="7"/>
            <w:noWrap w:val="0"/>
            <w:vAlign w:val="top"/>
          </w:tcPr>
          <w:p w14:paraId="27C9FBCB">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一、服务要求</w:t>
            </w:r>
          </w:p>
        </w:tc>
      </w:tr>
      <w:tr w14:paraId="124B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800" w:type="dxa"/>
            <w:gridSpan w:val="8"/>
            <w:noWrap w:val="0"/>
            <w:vAlign w:val="top"/>
          </w:tcPr>
          <w:p w14:paraId="7C94EAC2">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二、验收方式</w:t>
            </w:r>
          </w:p>
        </w:tc>
      </w:tr>
      <w:tr w14:paraId="074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00" w:type="dxa"/>
            <w:gridSpan w:val="8"/>
            <w:noWrap w:val="0"/>
            <w:vAlign w:val="top"/>
          </w:tcPr>
          <w:p w14:paraId="39764760">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p w14:paraId="4B7BE1A7">
            <w:pPr>
              <w:snapToGrid w:val="0"/>
              <w:spacing w:line="400" w:lineRule="exact"/>
              <w:rPr>
                <w:rFonts w:hint="eastAsia" w:ascii="宋体" w:hAnsi="宋体" w:eastAsia="宋体" w:cs="宋体"/>
                <w:color w:val="auto"/>
                <w:sz w:val="24"/>
                <w:szCs w:val="24"/>
                <w:highlight w:val="none"/>
              </w:rPr>
            </w:pPr>
          </w:p>
        </w:tc>
      </w:tr>
      <w:tr w14:paraId="7E1B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00" w:type="dxa"/>
            <w:gridSpan w:val="8"/>
            <w:noWrap w:val="0"/>
            <w:vAlign w:val="top"/>
          </w:tcPr>
          <w:p w14:paraId="1976ABB0">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四、违约责任：</w:t>
            </w:r>
          </w:p>
          <w:p w14:paraId="5F49584B">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按《中华人民共和国民法典》《中华人民共和国政府采购法》执行，或按双方约定。</w:t>
            </w:r>
          </w:p>
        </w:tc>
      </w:tr>
      <w:tr w14:paraId="1B80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9800" w:type="dxa"/>
            <w:gridSpan w:val="8"/>
            <w:noWrap w:val="0"/>
            <w:vAlign w:val="top"/>
          </w:tcPr>
          <w:p w14:paraId="7F1640B4">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五、其他约定事项：</w:t>
            </w:r>
          </w:p>
          <w:p w14:paraId="684C0F5D">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1.采购文件及其补遗文件、响应文件和承诺是本合同不可分割的部分。</w:t>
            </w:r>
          </w:p>
          <w:p w14:paraId="3FFCF3E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2.本合同如发生争议由双方协商解决，协商不成向需方住所地人民法院提起民事诉讼。</w:t>
            </w:r>
          </w:p>
          <w:p w14:paraId="55463C74">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3.本合同一式__份，需方__份，供方__份，具同等法律效力。</w:t>
            </w:r>
          </w:p>
          <w:p w14:paraId="042216C5">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6CE7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4726" w:type="dxa"/>
            <w:gridSpan w:val="3"/>
            <w:noWrap w:val="0"/>
            <w:vAlign w:val="top"/>
          </w:tcPr>
          <w:p w14:paraId="5E99CB8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1647565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401D995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1FA318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5074" w:type="dxa"/>
            <w:gridSpan w:val="5"/>
            <w:noWrap w:val="0"/>
            <w:vAlign w:val="top"/>
          </w:tcPr>
          <w:p w14:paraId="5A2506E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26724F9E">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6A1625D">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0D3F712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807709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448A0CF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6500BF33">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3C5D9A0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630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9800" w:type="dxa"/>
            <w:gridSpan w:val="8"/>
            <w:noWrap w:val="0"/>
            <w:vAlign w:val="top"/>
          </w:tcPr>
          <w:p w14:paraId="0CB95D5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6966657C">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签约地点：</w:t>
      </w:r>
    </w:p>
    <w:p w14:paraId="3DAD6C08">
      <w:pPr>
        <w:snapToGrid w:val="0"/>
        <w:spacing w:line="400" w:lineRule="exact"/>
        <w:rPr>
          <w:rFonts w:hint="eastAsia" w:ascii="宋体" w:hAnsi="宋体" w:eastAsia="宋体" w:cs="宋体"/>
          <w:color w:val="auto"/>
          <w:sz w:val="24"/>
          <w:szCs w:val="24"/>
          <w:highlight w:val="none"/>
        </w:rPr>
      </w:pPr>
    </w:p>
    <w:p w14:paraId="390EFF3F">
      <w:pPr>
        <w:rPr>
          <w:rFonts w:hint="eastAsia" w:ascii="宋体" w:hAnsi="宋体" w:eastAsia="宋体" w:cs="宋体"/>
          <w:bCs/>
          <w:color w:val="auto"/>
          <w:sz w:val="36"/>
          <w:szCs w:val="30"/>
          <w:highlight w:val="none"/>
        </w:rPr>
      </w:pPr>
    </w:p>
    <w:p w14:paraId="1D400EB4">
      <w:pPr>
        <w:pStyle w:val="4"/>
        <w:spacing w:before="0" w:after="0" w:line="360" w:lineRule="auto"/>
        <w:jc w:val="center"/>
        <w:outlineLvl w:val="0"/>
        <w:rPr>
          <w:rFonts w:hint="eastAsia" w:ascii="宋体" w:hAnsi="宋体" w:eastAsia="宋体" w:cs="宋体"/>
          <w:bCs/>
          <w:color w:val="auto"/>
          <w:sz w:val="36"/>
          <w:szCs w:val="30"/>
          <w:highlight w:val="none"/>
        </w:rPr>
      </w:pPr>
      <w:bookmarkStart w:id="185" w:name="_Toc9476"/>
      <w:r>
        <w:rPr>
          <w:rFonts w:hint="eastAsia" w:ascii="宋体" w:hAnsi="宋体" w:eastAsia="宋体" w:cs="宋体"/>
          <w:bCs/>
          <w:color w:val="auto"/>
          <w:sz w:val="36"/>
          <w:szCs w:val="30"/>
          <w:highlight w:val="none"/>
        </w:rPr>
        <w:t>第七篇 响应文件编制要求</w:t>
      </w:r>
      <w:bookmarkEnd w:id="184"/>
      <w:bookmarkEnd w:id="185"/>
    </w:p>
    <w:p w14:paraId="1986F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3617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（一）竞采报价函</w:t>
      </w:r>
    </w:p>
    <w:p w14:paraId="6DA07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（二）已标价工程量清单</w:t>
      </w:r>
    </w:p>
    <w:p w14:paraId="7FF7E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7C1FB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5A6E5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w:t>
      </w:r>
    </w:p>
    <w:p w14:paraId="3EAF7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57E5C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72166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w:t>
      </w:r>
    </w:p>
    <w:p w14:paraId="2AEF4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3AFD02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E5AD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606F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F5E8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8B0D05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6205460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）中小企业声明函、监狱企业证明文件、残疾人福利性单位声明函</w:t>
      </w:r>
    </w:p>
    <w:p w14:paraId="7EDBB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111F4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86" w:name="_Toc313888360"/>
      <w:bookmarkStart w:id="187" w:name="_Toc313008356"/>
      <w:bookmarkStart w:id="188" w:name="_Toc342913419"/>
      <w:bookmarkStart w:id="189" w:name="_Toc283382454"/>
      <w:bookmarkStart w:id="190" w:name="_Toc12789073"/>
      <w:r>
        <w:rPr>
          <w:rFonts w:hint="eastAsia" w:ascii="宋体" w:hAnsi="宋体" w:eastAsia="宋体" w:cs="宋体"/>
          <w:color w:val="auto"/>
          <w:sz w:val="24"/>
          <w:szCs w:val="24"/>
          <w:highlight w:val="none"/>
        </w:rPr>
        <w:t>其他与项目有关的资料（自附）</w:t>
      </w:r>
    </w:p>
    <w:p w14:paraId="246859E8">
      <w:pPr>
        <w:snapToGrid w:val="0"/>
        <w:spacing w:line="360" w:lineRule="auto"/>
        <w:rPr>
          <w:rFonts w:hint="eastAsia" w:ascii="宋体" w:hAnsi="宋体" w:eastAsia="宋体" w:cs="宋体"/>
          <w:color w:val="auto"/>
          <w:sz w:val="24"/>
          <w:szCs w:val="24"/>
          <w:highlight w:val="none"/>
          <w:bdr w:val="single" w:color="auto" w:sz="4" w:space="0"/>
        </w:rPr>
        <w:sectPr>
          <w:headerReference r:id="rId7" w:type="default"/>
          <w:footerReference r:id="rId8" w:type="default"/>
          <w:pgSz w:w="11907" w:h="16840"/>
          <w:pgMar w:top="1134" w:right="1191" w:bottom="1134" w:left="1304" w:header="851" w:footer="992" w:gutter="0"/>
          <w:pgNumType w:fmt="numberInDash" w:start="1"/>
          <w:cols w:space="720" w:num="1"/>
          <w:docGrid w:linePitch="380" w:charSpace="-5735"/>
        </w:sectPr>
      </w:pPr>
    </w:p>
    <w:p w14:paraId="29922BEC">
      <w:pPr>
        <w:pStyle w:val="6"/>
        <w:spacing w:before="0" w:after="0" w:line="360" w:lineRule="auto"/>
        <w:rPr>
          <w:rFonts w:hint="eastAsia" w:ascii="宋体" w:hAnsi="宋体" w:eastAsia="宋体" w:cs="宋体"/>
          <w:color w:val="auto"/>
          <w:sz w:val="24"/>
          <w:szCs w:val="24"/>
          <w:highlight w:val="none"/>
        </w:rPr>
      </w:pPr>
      <w:bookmarkStart w:id="191" w:name="_Toc25359"/>
      <w:bookmarkStart w:id="192" w:name="_Toc11510"/>
      <w:bookmarkStart w:id="193" w:name="_Toc9788"/>
      <w:bookmarkStart w:id="194" w:name="_Toc11121"/>
      <w:bookmarkStart w:id="195" w:name="_Toc32614"/>
      <w:r>
        <w:rPr>
          <w:rFonts w:hint="eastAsia" w:ascii="宋体" w:hAnsi="宋体" w:eastAsia="宋体" w:cs="宋体"/>
          <w:color w:val="auto"/>
          <w:sz w:val="24"/>
          <w:szCs w:val="24"/>
          <w:highlight w:val="none"/>
        </w:rPr>
        <w:t>一、经济部分</w:t>
      </w:r>
      <w:bookmarkEnd w:id="186"/>
      <w:bookmarkEnd w:id="187"/>
      <w:bookmarkEnd w:id="188"/>
      <w:bookmarkEnd w:id="191"/>
      <w:bookmarkEnd w:id="192"/>
      <w:bookmarkEnd w:id="193"/>
      <w:bookmarkEnd w:id="194"/>
      <w:bookmarkEnd w:id="195"/>
    </w:p>
    <w:bookmarkEnd w:id="189"/>
    <w:bookmarkEnd w:id="190"/>
    <w:p w14:paraId="2027E22C">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（一）竞采报价函</w:t>
      </w:r>
    </w:p>
    <w:p w14:paraId="402E0077">
      <w:pPr>
        <w:tabs>
          <w:tab w:val="left" w:pos="6300"/>
        </w:tabs>
        <w:snapToGrid w:val="0"/>
        <w:spacing w:line="312"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竞采报价函</w:t>
      </w:r>
    </w:p>
    <w:p w14:paraId="00F74A7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0C34028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（项目名称）的竞采文件，经详细研究，决定参加该项目的竞采。</w:t>
      </w:r>
    </w:p>
    <w:p w14:paraId="5FE4BBBF">
      <w:pPr>
        <w:numPr>
          <w:ilvl w:val="0"/>
          <w:numId w:val="0"/>
        </w:num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愿意按照竞采文件中的一切要求，提供本项目采购内容及相关服务，竞采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元（其中安全文明施工费暂定金额为：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拟派项目经理为：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58EAD2E">
      <w:pPr>
        <w:tabs>
          <w:tab w:val="left" w:pos="6300"/>
        </w:tabs>
        <w:snapToGrid w:val="0"/>
        <w:spacing w:line="312"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2.我方现提交的响应文件为：响应文件</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其中正本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份。</w:t>
      </w:r>
    </w:p>
    <w:p w14:paraId="3EE1505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3.我方承诺：本次竞采的有效期为90天。</w:t>
      </w:r>
    </w:p>
    <w:p w14:paraId="62FD941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4.我方完全理解和接受贵方竞采文件的一切规定和要求及评审办法。</w:t>
      </w:r>
    </w:p>
    <w:p w14:paraId="3FA03BA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5.在整个竞采过程中，我方若有违规行为，接受按照《中华人民共和国政府采购法》和《竞采文件》之规定给予惩罚。</w:t>
      </w:r>
    </w:p>
    <w:p w14:paraId="3D0A83A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6.我方若成为成交供应商，将按照最终竞采结果签订合同，并且严格履行合同义务。本承诺函将成为合同不可分割的一部分，与合同具有同等的法律效力。</w:t>
      </w:r>
    </w:p>
    <w:p w14:paraId="03AC376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p>
    <w:p w14:paraId="1D9F772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我方同意按竞采文件规定。如果我方成为成交供应商，保证在接到成交通知书前，向采购代理机构缴纳竞采文件规定的采购代理服务费。</w:t>
      </w:r>
    </w:p>
    <w:p w14:paraId="21A644F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07BC2670">
      <w:pPr>
        <w:tabs>
          <w:tab w:val="left" w:pos="6300"/>
        </w:tabs>
        <w:snapToGrid w:val="0"/>
        <w:spacing w:line="312" w:lineRule="auto"/>
        <w:ind w:firstLine="570"/>
        <w:rPr>
          <w:rFonts w:hint="eastAsia" w:ascii="宋体" w:hAnsi="宋体" w:eastAsia="宋体" w:cs="宋体"/>
          <w:color w:val="auto"/>
          <w:sz w:val="24"/>
          <w:szCs w:val="24"/>
          <w:highlight w:val="none"/>
        </w:rPr>
      </w:pPr>
    </w:p>
    <w:p w14:paraId="6323F59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59CDBA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604F7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7D84F51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7300C3C">
      <w:pPr>
        <w:snapToGrid w:val="0"/>
        <w:spacing w:line="312"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0DDE248">
      <w:pPr>
        <w:pStyle w:val="74"/>
        <w:rPr>
          <w:rFonts w:hint="eastAsia" w:ascii="宋体" w:hAnsi="宋体" w:eastAsia="宋体" w:cs="宋体"/>
          <w:color w:val="auto"/>
          <w:highlight w:val="none"/>
        </w:rPr>
      </w:pPr>
    </w:p>
    <w:p w14:paraId="096F20D8">
      <w:pPr>
        <w:pStyle w:val="74"/>
        <w:rPr>
          <w:rFonts w:hint="eastAsia" w:ascii="宋体" w:hAnsi="宋体" w:eastAsia="宋体" w:cs="宋体"/>
          <w:color w:val="auto"/>
          <w:highlight w:val="none"/>
        </w:rPr>
      </w:pPr>
    </w:p>
    <w:p w14:paraId="7BC8E811">
      <w:pPr>
        <w:pStyle w:val="74"/>
        <w:rPr>
          <w:rFonts w:hint="eastAsia" w:ascii="宋体" w:hAnsi="宋体" w:eastAsia="宋体" w:cs="宋体"/>
          <w:color w:val="auto"/>
          <w:highlight w:val="none"/>
        </w:rPr>
      </w:pPr>
    </w:p>
    <w:p w14:paraId="637ABA7C">
      <w:pPr>
        <w:pStyle w:val="74"/>
        <w:rPr>
          <w:rFonts w:hint="eastAsia" w:ascii="宋体" w:hAnsi="宋体" w:eastAsia="宋体" w:cs="宋体"/>
          <w:color w:val="auto"/>
          <w:highlight w:val="none"/>
        </w:rPr>
      </w:pPr>
    </w:p>
    <w:p w14:paraId="71385436">
      <w:pPr>
        <w:pStyle w:val="74"/>
        <w:rPr>
          <w:rFonts w:hint="eastAsia" w:ascii="宋体" w:hAnsi="宋体" w:eastAsia="宋体" w:cs="宋体"/>
          <w:color w:val="auto"/>
          <w:highlight w:val="none"/>
        </w:rPr>
      </w:pPr>
    </w:p>
    <w:p w14:paraId="282DC967">
      <w:pPr>
        <w:pStyle w:val="74"/>
        <w:rPr>
          <w:rFonts w:hint="eastAsia" w:ascii="宋体" w:hAnsi="宋体" w:eastAsia="宋体" w:cs="宋体"/>
          <w:color w:val="auto"/>
          <w:highlight w:val="none"/>
        </w:rPr>
      </w:pPr>
    </w:p>
    <w:p w14:paraId="3A1137E4">
      <w:pPr>
        <w:pStyle w:val="74"/>
        <w:rPr>
          <w:rFonts w:hint="eastAsia" w:ascii="宋体" w:hAnsi="宋体" w:eastAsia="宋体" w:cs="宋体"/>
          <w:color w:val="auto"/>
          <w:highlight w:val="none"/>
        </w:rPr>
      </w:pPr>
    </w:p>
    <w:p w14:paraId="7E758EAF">
      <w:pPr>
        <w:pStyle w:val="74"/>
        <w:rPr>
          <w:rFonts w:hint="eastAsia" w:ascii="宋体" w:hAnsi="宋体" w:eastAsia="宋体" w:cs="宋体"/>
          <w:color w:val="auto"/>
          <w:highlight w:val="none"/>
        </w:rPr>
      </w:pPr>
    </w:p>
    <w:p w14:paraId="58BEBDFF">
      <w:pPr>
        <w:pStyle w:val="74"/>
        <w:rPr>
          <w:rFonts w:hint="eastAsia" w:ascii="宋体" w:hAnsi="宋体" w:eastAsia="宋体" w:cs="宋体"/>
          <w:color w:val="auto"/>
          <w:highlight w:val="none"/>
        </w:rPr>
      </w:pPr>
    </w:p>
    <w:p w14:paraId="1F4EE691">
      <w:pPr>
        <w:pStyle w:val="74"/>
        <w:rPr>
          <w:rFonts w:hint="eastAsia" w:ascii="宋体" w:hAnsi="宋体" w:eastAsia="宋体" w:cs="宋体"/>
          <w:color w:val="auto"/>
          <w:highlight w:val="none"/>
        </w:rPr>
      </w:pPr>
    </w:p>
    <w:p w14:paraId="491D0639">
      <w:pPr>
        <w:pStyle w:val="74"/>
        <w:rPr>
          <w:rFonts w:hint="eastAsia" w:ascii="宋体" w:hAnsi="宋体" w:eastAsia="宋体" w:cs="宋体"/>
          <w:color w:val="auto"/>
          <w:highlight w:val="none"/>
        </w:rPr>
      </w:pPr>
    </w:p>
    <w:p w14:paraId="74325FC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84BBB4">
      <w:pPr>
        <w:pStyle w:val="74"/>
        <w:rPr>
          <w:rFonts w:hint="eastAsia" w:ascii="宋体" w:hAnsi="宋体" w:eastAsia="宋体" w:cs="宋体"/>
          <w:color w:val="auto"/>
          <w:highlight w:val="none"/>
        </w:rPr>
      </w:pPr>
    </w:p>
    <w:p w14:paraId="13FAB540">
      <w:pPr>
        <w:pStyle w:val="74"/>
        <w:rPr>
          <w:rFonts w:hint="eastAsia" w:ascii="宋体" w:hAnsi="宋体" w:eastAsia="宋体" w:cs="宋体"/>
          <w:color w:val="auto"/>
          <w:highlight w:val="none"/>
        </w:rPr>
      </w:pPr>
    </w:p>
    <w:p w14:paraId="19DBD9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（二）已标价工程量清单</w:t>
      </w:r>
    </w:p>
    <w:p w14:paraId="5F9AEAB6">
      <w:pPr>
        <w:tabs>
          <w:tab w:val="left" w:pos="6300"/>
        </w:tabs>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（供应商提供已标价工程量清单）</w:t>
      </w:r>
    </w:p>
    <w:p w14:paraId="4661F6C3">
      <w:pPr>
        <w:tabs>
          <w:tab w:val="left" w:pos="6300"/>
        </w:tabs>
        <w:snapToGrid w:val="0"/>
        <w:spacing w:line="31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注：工程量清单</w:t>
      </w:r>
      <w:r>
        <w:rPr>
          <w:rFonts w:hint="eastAsia" w:ascii="宋体" w:hAnsi="宋体" w:cs="宋体"/>
          <w:color w:val="auto"/>
          <w:sz w:val="24"/>
          <w:szCs w:val="24"/>
          <w:highlight w:val="none"/>
          <w:lang w:val="en-US" w:eastAsia="zh-CN"/>
        </w:rPr>
        <w:t>可不</w:t>
      </w:r>
      <w:r>
        <w:rPr>
          <w:rFonts w:hint="eastAsia" w:ascii="宋体" w:hAnsi="宋体" w:eastAsia="宋体" w:cs="宋体"/>
          <w:color w:val="auto"/>
          <w:sz w:val="24"/>
          <w:szCs w:val="24"/>
          <w:highlight w:val="none"/>
        </w:rPr>
        <w:t>提供单价分析表</w:t>
      </w:r>
    </w:p>
    <w:p w14:paraId="44D18D42">
      <w:pPr>
        <w:snapToGrid w:val="0"/>
        <w:spacing w:line="500" w:lineRule="exact"/>
        <w:jc w:val="right"/>
        <w:rPr>
          <w:rFonts w:hint="eastAsia" w:ascii="宋体" w:hAnsi="宋体" w:eastAsia="宋体" w:cs="宋体"/>
          <w:color w:val="auto"/>
          <w:sz w:val="24"/>
          <w:highlight w:val="none"/>
        </w:rPr>
      </w:pPr>
    </w:p>
    <w:p w14:paraId="20D1F125">
      <w:pPr>
        <w:snapToGrid w:val="0"/>
        <w:spacing w:line="500" w:lineRule="exact"/>
        <w:ind w:firstLine="480"/>
        <w:rPr>
          <w:rFonts w:hint="eastAsia" w:ascii="宋体" w:hAnsi="宋体" w:eastAsia="宋体" w:cs="宋体"/>
          <w:color w:val="auto"/>
          <w:sz w:val="24"/>
          <w:highlight w:val="none"/>
        </w:rPr>
      </w:pPr>
    </w:p>
    <w:p w14:paraId="6FB2B838">
      <w:pPr>
        <w:snapToGrid w:val="0"/>
        <w:spacing w:line="500" w:lineRule="exact"/>
        <w:ind w:firstLine="7128" w:firstLineChars="2970"/>
        <w:jc w:val="left"/>
        <w:rPr>
          <w:rFonts w:hint="eastAsia" w:ascii="宋体" w:hAnsi="宋体" w:eastAsia="宋体" w:cs="宋体"/>
          <w:color w:val="auto"/>
          <w:sz w:val="24"/>
          <w:highlight w:val="none"/>
        </w:rPr>
      </w:pPr>
    </w:p>
    <w:p w14:paraId="67A3FBBB">
      <w:pPr>
        <w:pStyle w:val="2"/>
        <w:rPr>
          <w:rFonts w:hint="eastAsia" w:ascii="宋体" w:hAnsi="宋体" w:eastAsia="宋体" w:cs="宋体"/>
          <w:color w:val="auto"/>
          <w:sz w:val="24"/>
          <w:highlight w:val="none"/>
        </w:rPr>
      </w:pPr>
    </w:p>
    <w:p w14:paraId="14D3CF87">
      <w:pPr>
        <w:rPr>
          <w:rFonts w:hint="eastAsia" w:ascii="宋体" w:hAnsi="宋体" w:eastAsia="宋体" w:cs="宋体"/>
          <w:color w:val="auto"/>
          <w:sz w:val="24"/>
          <w:highlight w:val="none"/>
        </w:rPr>
      </w:pPr>
    </w:p>
    <w:p w14:paraId="05786E1C">
      <w:pPr>
        <w:pStyle w:val="2"/>
        <w:rPr>
          <w:rFonts w:hint="eastAsia" w:ascii="宋体" w:hAnsi="宋体" w:eastAsia="宋体" w:cs="宋体"/>
          <w:color w:val="auto"/>
          <w:sz w:val="24"/>
          <w:highlight w:val="none"/>
        </w:rPr>
      </w:pPr>
    </w:p>
    <w:p w14:paraId="5D000E64">
      <w:pPr>
        <w:rPr>
          <w:rFonts w:hint="eastAsia" w:ascii="宋体" w:hAnsi="宋体" w:eastAsia="宋体" w:cs="宋体"/>
          <w:color w:val="auto"/>
          <w:sz w:val="24"/>
          <w:highlight w:val="none"/>
        </w:rPr>
      </w:pPr>
    </w:p>
    <w:p w14:paraId="1BF00A1F">
      <w:pPr>
        <w:pStyle w:val="2"/>
        <w:rPr>
          <w:rFonts w:hint="eastAsia" w:ascii="宋体" w:hAnsi="宋体" w:eastAsia="宋体" w:cs="宋体"/>
          <w:color w:val="auto"/>
          <w:sz w:val="24"/>
          <w:highlight w:val="none"/>
        </w:rPr>
      </w:pPr>
    </w:p>
    <w:p w14:paraId="00E463F0">
      <w:pPr>
        <w:rPr>
          <w:rFonts w:hint="eastAsia" w:ascii="宋体" w:hAnsi="宋体" w:eastAsia="宋体" w:cs="宋体"/>
          <w:color w:val="auto"/>
          <w:sz w:val="24"/>
          <w:highlight w:val="none"/>
        </w:rPr>
      </w:pPr>
    </w:p>
    <w:p w14:paraId="6F70B4D1">
      <w:pPr>
        <w:pStyle w:val="2"/>
        <w:rPr>
          <w:rFonts w:hint="eastAsia" w:ascii="宋体" w:hAnsi="宋体" w:eastAsia="宋体" w:cs="宋体"/>
          <w:color w:val="auto"/>
          <w:sz w:val="24"/>
          <w:highlight w:val="none"/>
        </w:rPr>
      </w:pPr>
    </w:p>
    <w:p w14:paraId="3BB10393">
      <w:pPr>
        <w:rPr>
          <w:rFonts w:hint="eastAsia" w:ascii="宋体" w:hAnsi="宋体" w:eastAsia="宋体" w:cs="宋体"/>
          <w:color w:val="auto"/>
          <w:sz w:val="24"/>
          <w:highlight w:val="none"/>
        </w:rPr>
      </w:pPr>
    </w:p>
    <w:p w14:paraId="37166A01">
      <w:pPr>
        <w:pStyle w:val="2"/>
        <w:rPr>
          <w:rFonts w:hint="eastAsia" w:ascii="宋体" w:hAnsi="宋体" w:eastAsia="宋体" w:cs="宋体"/>
          <w:color w:val="auto"/>
          <w:sz w:val="24"/>
          <w:highlight w:val="none"/>
        </w:rPr>
      </w:pPr>
    </w:p>
    <w:p w14:paraId="32454355">
      <w:pPr>
        <w:rPr>
          <w:rFonts w:hint="eastAsia" w:ascii="宋体" w:hAnsi="宋体" w:eastAsia="宋体" w:cs="宋体"/>
          <w:color w:val="auto"/>
          <w:sz w:val="24"/>
          <w:highlight w:val="none"/>
        </w:rPr>
      </w:pPr>
    </w:p>
    <w:p w14:paraId="5DE50E3D">
      <w:pPr>
        <w:pStyle w:val="2"/>
        <w:rPr>
          <w:rFonts w:hint="eastAsia" w:ascii="宋体" w:hAnsi="宋体" w:eastAsia="宋体" w:cs="宋体"/>
          <w:color w:val="auto"/>
          <w:sz w:val="24"/>
          <w:highlight w:val="none"/>
        </w:rPr>
      </w:pPr>
    </w:p>
    <w:p w14:paraId="37085819">
      <w:pPr>
        <w:rPr>
          <w:rFonts w:hint="eastAsia" w:ascii="宋体" w:hAnsi="宋体" w:eastAsia="宋体" w:cs="宋体"/>
          <w:color w:val="auto"/>
          <w:sz w:val="24"/>
          <w:highlight w:val="none"/>
        </w:rPr>
      </w:pPr>
    </w:p>
    <w:p w14:paraId="4FFC8D2E">
      <w:pPr>
        <w:pStyle w:val="2"/>
        <w:rPr>
          <w:rFonts w:hint="eastAsia" w:ascii="宋体" w:hAnsi="宋体" w:eastAsia="宋体" w:cs="宋体"/>
          <w:color w:val="auto"/>
          <w:sz w:val="24"/>
          <w:highlight w:val="none"/>
        </w:rPr>
      </w:pPr>
    </w:p>
    <w:p w14:paraId="0AE12351">
      <w:pPr>
        <w:rPr>
          <w:rFonts w:hint="eastAsia" w:ascii="宋体" w:hAnsi="宋体" w:eastAsia="宋体" w:cs="宋体"/>
          <w:color w:val="auto"/>
          <w:sz w:val="24"/>
          <w:highlight w:val="none"/>
        </w:rPr>
      </w:pPr>
    </w:p>
    <w:p w14:paraId="6BE18990">
      <w:pPr>
        <w:pStyle w:val="2"/>
        <w:rPr>
          <w:rFonts w:hint="eastAsia" w:ascii="宋体" w:hAnsi="宋体" w:eastAsia="宋体" w:cs="宋体"/>
          <w:color w:val="auto"/>
          <w:highlight w:val="none"/>
        </w:rPr>
      </w:pPr>
    </w:p>
    <w:p w14:paraId="2488269B">
      <w:pPr>
        <w:snapToGrid w:val="0"/>
        <w:spacing w:line="500" w:lineRule="exact"/>
        <w:ind w:firstLine="480"/>
        <w:rPr>
          <w:rFonts w:hint="eastAsia" w:ascii="宋体" w:hAnsi="宋体" w:eastAsia="宋体" w:cs="宋体"/>
          <w:color w:val="auto"/>
          <w:sz w:val="24"/>
          <w:highlight w:val="none"/>
        </w:rPr>
      </w:pPr>
    </w:p>
    <w:p w14:paraId="666B54A8">
      <w:pPr>
        <w:rPr>
          <w:rFonts w:hint="eastAsia" w:ascii="宋体" w:hAnsi="宋体" w:eastAsia="宋体" w:cs="宋体"/>
          <w:color w:val="auto"/>
          <w:sz w:val="24"/>
          <w:szCs w:val="24"/>
          <w:highlight w:val="none"/>
        </w:rPr>
      </w:pPr>
      <w:bookmarkStart w:id="196" w:name="_Toc313888361"/>
      <w:bookmarkStart w:id="197" w:name="_Toc21280"/>
      <w:bookmarkStart w:id="198" w:name="_Toc313008357"/>
      <w:bookmarkStart w:id="199" w:name="_Toc342913420"/>
      <w:r>
        <w:rPr>
          <w:rFonts w:hint="eastAsia" w:ascii="宋体" w:hAnsi="宋体" w:eastAsia="宋体" w:cs="宋体"/>
          <w:color w:val="auto"/>
          <w:sz w:val="24"/>
          <w:szCs w:val="24"/>
          <w:highlight w:val="none"/>
        </w:rPr>
        <w:br w:type="page"/>
      </w:r>
    </w:p>
    <w:p w14:paraId="0C2079B4">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Cs w:val="28"/>
          <w:highlight w:val="none"/>
        </w:rPr>
      </w:pPr>
      <w:bookmarkStart w:id="200" w:name="_Toc17260"/>
      <w:bookmarkStart w:id="201" w:name="_Toc31048"/>
      <w:bookmarkStart w:id="202" w:name="_Toc7716"/>
      <w:bookmarkStart w:id="203" w:name="_Toc30362"/>
      <w:r>
        <w:rPr>
          <w:rFonts w:hint="eastAsia" w:ascii="宋体" w:hAnsi="宋体" w:eastAsia="宋体" w:cs="宋体"/>
          <w:color w:val="auto"/>
          <w:sz w:val="24"/>
          <w:szCs w:val="24"/>
          <w:highlight w:val="none"/>
        </w:rPr>
        <w:t>二、技术部分</w:t>
      </w:r>
      <w:bookmarkEnd w:id="196"/>
      <w:bookmarkEnd w:id="197"/>
      <w:bookmarkEnd w:id="198"/>
      <w:bookmarkEnd w:id="199"/>
      <w:bookmarkEnd w:id="200"/>
      <w:bookmarkEnd w:id="201"/>
      <w:bookmarkEnd w:id="202"/>
      <w:bookmarkEnd w:id="203"/>
    </w:p>
    <w:p w14:paraId="2F22799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（一）技术响应偏离表</w:t>
      </w:r>
    </w:p>
    <w:p w14:paraId="77A37A2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技术响应偏离表</w:t>
      </w:r>
    </w:p>
    <w:p w14:paraId="6C9D723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50F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52223D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448431C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09D11AA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5325AF41">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41C9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1A7AE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B93EEA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0BE34F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b/>
                <w:bCs/>
                <w:color w:val="auto"/>
                <w:sz w:val="21"/>
                <w:szCs w:val="24"/>
                <w:highlight w:val="none"/>
              </w:rPr>
              <w:t>提醒：请注明具体内容</w:t>
            </w:r>
          </w:p>
        </w:tc>
        <w:tc>
          <w:tcPr>
            <w:tcW w:w="2355" w:type="dxa"/>
            <w:vAlign w:val="center"/>
          </w:tcPr>
          <w:p w14:paraId="4F8F68C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8DB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2B7E1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7F7977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D2F133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ACC53A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731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2A58B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0A5A57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2DE739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0374F7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A9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F852B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0C18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871950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EAD68C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82D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4A385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FE60D0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5B27E2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D51834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2E6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DFFEB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B4C09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0F15B9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63D2C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B7CEDAE">
      <w:pPr>
        <w:snapToGrid w:val="0"/>
        <w:spacing w:line="360" w:lineRule="auto"/>
        <w:ind w:firstLine="465"/>
        <w:rPr>
          <w:rFonts w:hint="eastAsia" w:ascii="宋体" w:hAnsi="宋体" w:eastAsia="宋体" w:cs="宋体"/>
          <w:color w:val="auto"/>
          <w:sz w:val="24"/>
          <w:szCs w:val="24"/>
          <w:highlight w:val="none"/>
        </w:rPr>
      </w:pPr>
    </w:p>
    <w:p w14:paraId="5975C0F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w:t>
      </w:r>
      <w:r>
        <w:rPr>
          <w:rFonts w:hint="eastAsia" w:ascii="宋体" w:hAnsi="宋体" w:eastAsia="宋体" w:cs="宋体"/>
          <w:color w:val="auto"/>
          <w:sz w:val="24"/>
          <w:szCs w:val="28"/>
          <w:highlight w:val="none"/>
          <w:lang w:val="en-US" w:eastAsia="zh-CN"/>
        </w:rPr>
        <w:t>或其</w:t>
      </w:r>
      <w:r>
        <w:rPr>
          <w:rFonts w:hint="eastAsia" w:ascii="宋体" w:hAnsi="宋体" w:eastAsia="宋体" w:cs="宋体"/>
          <w:color w:val="auto"/>
          <w:sz w:val="24"/>
          <w:szCs w:val="28"/>
          <w:highlight w:val="none"/>
        </w:rPr>
        <w:t>授权代表：</w:t>
      </w:r>
    </w:p>
    <w:p w14:paraId="44977983">
      <w:pPr>
        <w:spacing w:line="500" w:lineRule="exact"/>
        <w:rPr>
          <w:rFonts w:hint="eastAsia" w:ascii="宋体" w:hAnsi="宋体" w:eastAsia="宋体" w:cs="宋体"/>
          <w:color w:val="auto"/>
          <w:sz w:val="24"/>
          <w:szCs w:val="28"/>
          <w:highlight w:val="none"/>
        </w:rPr>
      </w:pPr>
    </w:p>
    <w:p w14:paraId="29B51662">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5B6B28A6">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w:t>
      </w:r>
      <w:r>
        <w:rPr>
          <w:rFonts w:hint="eastAsia" w:ascii="宋体" w:hAnsi="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月</w:t>
      </w:r>
      <w:r>
        <w:rPr>
          <w:rFonts w:hint="eastAsia" w:ascii="宋体" w:hAnsi="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w:t>
      </w:r>
    </w:p>
    <w:p w14:paraId="3136193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5078C9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采购项目技术需求”中所列</w:t>
      </w:r>
      <w:r>
        <w:rPr>
          <w:rFonts w:hint="eastAsia" w:ascii="宋体" w:hAnsi="宋体" w:cs="宋体"/>
          <w:b/>
          <w:bCs/>
          <w:color w:val="auto"/>
          <w:sz w:val="24"/>
          <w:highlight w:val="none"/>
          <w:lang w:val="en-US" w:eastAsia="zh-CN"/>
        </w:rPr>
        <w:t>全部要求</w:t>
      </w:r>
      <w:r>
        <w:rPr>
          <w:rFonts w:hint="eastAsia" w:ascii="宋体" w:hAnsi="宋体" w:eastAsia="宋体" w:cs="宋体"/>
          <w:color w:val="auto"/>
          <w:sz w:val="24"/>
          <w:highlight w:val="none"/>
        </w:rPr>
        <w:t>进行比较和响应；</w:t>
      </w:r>
    </w:p>
    <w:p w14:paraId="6B1D3B0C">
      <w:pPr>
        <w:tabs>
          <w:tab w:val="left" w:pos="6300"/>
        </w:tabs>
        <w:snapToGrid w:val="0"/>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2、该表必须按照竞采要求</w:t>
      </w:r>
      <w:r>
        <w:rPr>
          <w:rFonts w:hint="eastAsia" w:ascii="宋体" w:hAnsi="宋体" w:eastAsia="宋体" w:cs="宋体"/>
          <w:b/>
          <w:bCs/>
          <w:color w:val="auto"/>
          <w:sz w:val="24"/>
          <w:highlight w:val="none"/>
        </w:rPr>
        <w:t>逐条</w:t>
      </w:r>
      <w:r>
        <w:rPr>
          <w:rFonts w:hint="eastAsia" w:ascii="宋体" w:hAnsi="宋体" w:eastAsia="宋体" w:cs="宋体"/>
          <w:color w:val="auto"/>
          <w:sz w:val="24"/>
          <w:highlight w:val="none"/>
        </w:rPr>
        <w:t>如实填写，根据响应情况在“差异说明”项填写正</w:t>
      </w:r>
      <w:r>
        <w:rPr>
          <w:rFonts w:hint="eastAsia" w:ascii="宋体" w:hAnsi="宋体" w:eastAsia="宋体" w:cs="宋体"/>
          <w:color w:val="auto"/>
          <w:sz w:val="24"/>
          <w:szCs w:val="22"/>
          <w:highlight w:val="none"/>
        </w:rPr>
        <w:t>偏离或负偏离及原因，完全符合的填写“无差异”；</w:t>
      </w:r>
    </w:p>
    <w:p w14:paraId="366EE9FE">
      <w:pPr>
        <w:tabs>
          <w:tab w:val="left" w:pos="6300"/>
        </w:tabs>
        <w:snapToGrid w:val="0"/>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3、该表可扩展，并逐页签字或盖章。</w:t>
      </w:r>
    </w:p>
    <w:p w14:paraId="15C2FFDE">
      <w:pPr>
        <w:tabs>
          <w:tab w:val="left" w:pos="6300"/>
        </w:tabs>
        <w:snapToGrid w:val="0"/>
        <w:spacing w:line="500" w:lineRule="exact"/>
        <w:ind w:firstLine="480" w:firstLineChars="200"/>
        <w:rPr>
          <w:rFonts w:hint="eastAsia" w:ascii="宋体" w:hAnsi="宋体" w:eastAsia="宋体" w:cs="宋体"/>
          <w:color w:val="auto"/>
          <w:sz w:val="24"/>
          <w:szCs w:val="22"/>
          <w:highlight w:val="none"/>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2"/>
          <w:highlight w:val="none"/>
          <w:lang w:val="en-US" w:eastAsia="zh-CN"/>
        </w:rPr>
        <w:t>4、若“响应情况”栏仅填写“无偏离”或“有偏离”等内容而未作实质性参数描述，该供应商将失去成为成交供应商的资格。</w:t>
      </w:r>
    </w:p>
    <w:p w14:paraId="7BA4521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方案（格式自定，建议</w:t>
      </w:r>
      <w:r>
        <w:rPr>
          <w:rFonts w:hint="eastAsia" w:ascii="宋体" w:hAnsi="宋体" w:cs="宋体"/>
          <w:b/>
          <w:bCs/>
          <w:color w:val="auto"/>
          <w:sz w:val="24"/>
          <w:szCs w:val="24"/>
          <w:highlight w:val="none"/>
          <w:lang w:val="en-US" w:eastAsia="zh-CN"/>
        </w:rPr>
        <w:t>结合项目实际情况</w:t>
      </w:r>
      <w:r>
        <w:rPr>
          <w:rFonts w:hint="eastAsia" w:ascii="宋体" w:hAnsi="宋体" w:eastAsia="宋体" w:cs="宋体"/>
          <w:b/>
          <w:bCs/>
          <w:color w:val="auto"/>
          <w:sz w:val="24"/>
          <w:szCs w:val="24"/>
          <w:highlight w:val="none"/>
        </w:rPr>
        <w:t>按照评审标准技术部分内容编写）</w:t>
      </w:r>
    </w:p>
    <w:p w14:paraId="4C08EDC0">
      <w:pPr>
        <w:pStyle w:val="74"/>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linePitch="380" w:charSpace="-5735"/>
        </w:sectPr>
      </w:pPr>
    </w:p>
    <w:p w14:paraId="665C1B2C">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204" w:name="_Toc313888362"/>
      <w:bookmarkStart w:id="205" w:name="_Toc27608"/>
      <w:bookmarkStart w:id="206" w:name="_Toc342913421"/>
      <w:bookmarkStart w:id="207" w:name="_Toc313008358"/>
      <w:bookmarkStart w:id="208" w:name="_Toc26718"/>
      <w:bookmarkStart w:id="209" w:name="_Toc20784"/>
      <w:bookmarkStart w:id="210" w:name="_Toc23508"/>
      <w:bookmarkStart w:id="211" w:name="_Toc24479"/>
      <w:r>
        <w:rPr>
          <w:rFonts w:hint="eastAsia" w:ascii="宋体" w:hAnsi="宋体" w:eastAsia="宋体" w:cs="宋体"/>
          <w:color w:val="auto"/>
          <w:sz w:val="24"/>
          <w:szCs w:val="24"/>
          <w:highlight w:val="none"/>
        </w:rPr>
        <w:t>三、商务部分</w:t>
      </w:r>
      <w:bookmarkEnd w:id="204"/>
      <w:bookmarkEnd w:id="205"/>
      <w:bookmarkEnd w:id="206"/>
      <w:bookmarkEnd w:id="207"/>
      <w:bookmarkEnd w:id="208"/>
      <w:bookmarkEnd w:id="209"/>
      <w:bookmarkEnd w:id="210"/>
      <w:bookmarkEnd w:id="211"/>
    </w:p>
    <w:p w14:paraId="6CEAA7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212" w:name="_Toc283382459"/>
      <w:r>
        <w:rPr>
          <w:rFonts w:hint="eastAsia" w:ascii="宋体" w:hAnsi="宋体" w:eastAsia="宋体" w:cs="宋体"/>
          <w:b/>
          <w:bCs/>
          <w:color w:val="auto"/>
          <w:sz w:val="24"/>
          <w:szCs w:val="24"/>
          <w:highlight w:val="none"/>
        </w:rPr>
        <w:t>（一）商务响应偏离表</w:t>
      </w:r>
    </w:p>
    <w:p w14:paraId="3CB0EF91">
      <w:pPr>
        <w:snapToGrid w:val="0"/>
        <w:spacing w:line="360" w:lineRule="auto"/>
        <w:jc w:val="cente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商务响应偏离表</w:t>
      </w:r>
    </w:p>
    <w:p w14:paraId="3948602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对于竞采文件的商务要求，如有任何偏离请如实填写下表：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D69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C7800A1">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B6D55A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3C2BBC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3EB30A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27CB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E8EEA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3FFBAE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66ACD6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b/>
                <w:bCs/>
                <w:color w:val="auto"/>
                <w:sz w:val="21"/>
                <w:szCs w:val="24"/>
                <w:highlight w:val="none"/>
              </w:rPr>
              <w:t>提醒：请注明具体内容</w:t>
            </w:r>
          </w:p>
        </w:tc>
        <w:tc>
          <w:tcPr>
            <w:tcW w:w="2355" w:type="dxa"/>
            <w:vAlign w:val="center"/>
          </w:tcPr>
          <w:p w14:paraId="65FE939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FC7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74461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B7DD07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5C8D50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C82F6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7A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6E023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2E1718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0A40C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22985D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55F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3CEB6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2F91C0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76387C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443000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157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4B14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5984C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02F571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E853D2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E0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77D8E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A39CA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DDB3CC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27C653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46810A45">
      <w:pPr>
        <w:snapToGrid w:val="0"/>
        <w:spacing w:line="360" w:lineRule="auto"/>
        <w:ind w:firstLine="465"/>
        <w:rPr>
          <w:rFonts w:hint="eastAsia" w:ascii="宋体" w:hAnsi="宋体" w:eastAsia="宋体" w:cs="宋体"/>
          <w:color w:val="auto"/>
          <w:sz w:val="24"/>
          <w:szCs w:val="24"/>
          <w:highlight w:val="none"/>
        </w:rPr>
      </w:pPr>
    </w:p>
    <w:p w14:paraId="711704D3">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w:t>
      </w:r>
      <w:r>
        <w:rPr>
          <w:rFonts w:hint="eastAsia" w:ascii="宋体" w:hAnsi="宋体" w:eastAsia="宋体" w:cs="宋体"/>
          <w:color w:val="auto"/>
          <w:sz w:val="24"/>
          <w:szCs w:val="28"/>
          <w:highlight w:val="none"/>
          <w:lang w:val="en-US" w:eastAsia="zh-CN"/>
        </w:rPr>
        <w:t>或其</w:t>
      </w:r>
      <w:r>
        <w:rPr>
          <w:rFonts w:hint="eastAsia" w:ascii="宋体" w:hAnsi="宋体" w:eastAsia="宋体" w:cs="宋体"/>
          <w:color w:val="auto"/>
          <w:sz w:val="24"/>
          <w:szCs w:val="28"/>
          <w:highlight w:val="none"/>
        </w:rPr>
        <w:t>授权代表：</w:t>
      </w:r>
    </w:p>
    <w:p w14:paraId="5504D06F">
      <w:pPr>
        <w:spacing w:line="500" w:lineRule="exact"/>
        <w:rPr>
          <w:rFonts w:hint="eastAsia" w:ascii="宋体" w:hAnsi="宋体" w:eastAsia="宋体" w:cs="宋体"/>
          <w:color w:val="auto"/>
          <w:sz w:val="24"/>
          <w:szCs w:val="28"/>
          <w:highlight w:val="none"/>
        </w:rPr>
      </w:pPr>
    </w:p>
    <w:p w14:paraId="3A6919FD">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0FE0B661">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w:t>
      </w:r>
    </w:p>
    <w:p w14:paraId="5917CE2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9DC887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采购项目商务需求”中所列</w:t>
      </w:r>
      <w:r>
        <w:rPr>
          <w:rFonts w:hint="eastAsia" w:ascii="宋体" w:hAnsi="宋体" w:cs="宋体"/>
          <w:b/>
          <w:bCs/>
          <w:color w:val="auto"/>
          <w:sz w:val="24"/>
          <w:highlight w:val="none"/>
          <w:lang w:eastAsia="zh-CN"/>
        </w:rPr>
        <w:t>全部</w:t>
      </w:r>
      <w:r>
        <w:rPr>
          <w:rFonts w:hint="eastAsia" w:ascii="宋体" w:hAnsi="宋体" w:eastAsia="宋体" w:cs="宋体"/>
          <w:b/>
          <w:bCs/>
          <w:color w:val="auto"/>
          <w:sz w:val="24"/>
          <w:highlight w:val="none"/>
        </w:rPr>
        <w:t>要求</w:t>
      </w:r>
      <w:r>
        <w:rPr>
          <w:rFonts w:hint="eastAsia" w:ascii="宋体" w:hAnsi="宋体" w:eastAsia="宋体" w:cs="宋体"/>
          <w:color w:val="auto"/>
          <w:sz w:val="24"/>
          <w:highlight w:val="none"/>
        </w:rPr>
        <w:t>进行比较和响应；</w:t>
      </w:r>
    </w:p>
    <w:p w14:paraId="7F7A24B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2.该表必须按照竞采要求</w:t>
      </w:r>
      <w:r>
        <w:rPr>
          <w:rFonts w:hint="eastAsia" w:ascii="宋体" w:hAnsi="宋体" w:eastAsia="宋体" w:cs="宋体"/>
          <w:b/>
          <w:bCs/>
          <w:color w:val="auto"/>
          <w:sz w:val="24"/>
          <w:highlight w:val="none"/>
        </w:rPr>
        <w:t>逐条</w:t>
      </w:r>
      <w:r>
        <w:rPr>
          <w:rFonts w:hint="eastAsia" w:ascii="宋体" w:hAnsi="宋体" w:eastAsia="宋体" w:cs="宋体"/>
          <w:color w:val="auto"/>
          <w:sz w:val="24"/>
          <w:highlight w:val="none"/>
        </w:rPr>
        <w:t>如实填写，根据响应情况在“差异说明”项填写正偏离或负偏离及原因，完全符合的填写“无差异”；</w:t>
      </w:r>
    </w:p>
    <w:p w14:paraId="262C786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8"/>
          <w:highlight w:val="none"/>
        </w:rPr>
        <w:t>，并逐页签字或盖章</w:t>
      </w:r>
      <w:r>
        <w:rPr>
          <w:rFonts w:hint="eastAsia" w:ascii="宋体" w:hAnsi="宋体" w:eastAsia="宋体" w:cs="宋体"/>
          <w:color w:val="auto"/>
          <w:sz w:val="24"/>
          <w:highlight w:val="none"/>
        </w:rPr>
        <w:t>。</w:t>
      </w:r>
    </w:p>
    <w:p w14:paraId="1EFA92A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2"/>
          <w:highlight w:val="none"/>
          <w:lang w:val="en-US" w:eastAsia="zh-CN"/>
        </w:rPr>
        <w:t>4.若“响应情况”栏仅填写“无偏离”或“有偏离”等内容而未作实质性参数描述，该供应商将失去成为成交供应商的资格。</w:t>
      </w:r>
    </w:p>
    <w:p w14:paraId="7BB157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（二）其它优惠服务承诺（格式自定）</w:t>
      </w:r>
    </w:p>
    <w:p w14:paraId="767D00C6">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212"/>
      <w:bookmarkStart w:id="213" w:name="_Toc1030"/>
      <w:bookmarkStart w:id="214" w:name="_Toc18217"/>
      <w:bookmarkStart w:id="215" w:name="_Toc313888363"/>
      <w:bookmarkStart w:id="216" w:name="_Toc16681"/>
      <w:bookmarkStart w:id="217" w:name="_Toc32295"/>
      <w:bookmarkStart w:id="218" w:name="_Toc29807"/>
      <w:bookmarkStart w:id="219" w:name="_Toc313008359"/>
      <w:bookmarkStart w:id="220" w:name="_Toc342913422"/>
      <w:r>
        <w:rPr>
          <w:rFonts w:hint="eastAsia" w:ascii="宋体" w:hAnsi="宋体" w:eastAsia="宋体" w:cs="宋体"/>
          <w:color w:val="auto"/>
          <w:sz w:val="24"/>
          <w:szCs w:val="24"/>
          <w:highlight w:val="none"/>
        </w:rPr>
        <w:t>四、资格条件及其他</w:t>
      </w:r>
      <w:bookmarkEnd w:id="213"/>
      <w:bookmarkEnd w:id="214"/>
      <w:bookmarkEnd w:id="215"/>
      <w:bookmarkEnd w:id="216"/>
      <w:bookmarkEnd w:id="217"/>
      <w:bookmarkEnd w:id="218"/>
      <w:bookmarkEnd w:id="219"/>
      <w:bookmarkEnd w:id="220"/>
    </w:p>
    <w:p w14:paraId="1D9D1D4F">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0E1AA022">
      <w:pPr>
        <w:tabs>
          <w:tab w:val="left" w:pos="6300"/>
        </w:tabs>
        <w:snapToGrid w:val="0"/>
        <w:spacing w:line="500" w:lineRule="exact"/>
        <w:ind w:firstLine="570"/>
        <w:rPr>
          <w:rFonts w:hint="eastAsia" w:ascii="宋体" w:hAnsi="宋体" w:eastAsia="宋体" w:cs="宋体"/>
          <w:color w:val="auto"/>
          <w:sz w:val="24"/>
          <w:szCs w:val="24"/>
          <w:highlight w:val="none"/>
        </w:rPr>
      </w:pPr>
    </w:p>
    <w:p w14:paraId="385CA401">
      <w:pPr>
        <w:tabs>
          <w:tab w:val="left" w:pos="6300"/>
        </w:tabs>
        <w:snapToGrid w:val="0"/>
        <w:spacing w:line="500" w:lineRule="exact"/>
        <w:ind w:firstLine="570"/>
        <w:rPr>
          <w:rFonts w:hint="eastAsia" w:ascii="宋体" w:hAnsi="宋体" w:eastAsia="宋体" w:cs="宋体"/>
          <w:color w:val="auto"/>
          <w:highlight w:val="none"/>
        </w:rPr>
      </w:pPr>
    </w:p>
    <w:p w14:paraId="348AA5E6">
      <w:pPr>
        <w:tabs>
          <w:tab w:val="left" w:pos="6300"/>
        </w:tabs>
        <w:snapToGrid w:val="0"/>
        <w:spacing w:line="500" w:lineRule="exact"/>
        <w:ind w:firstLine="570"/>
        <w:rPr>
          <w:rFonts w:hint="eastAsia" w:ascii="宋体" w:hAnsi="宋体" w:eastAsia="宋体" w:cs="宋体"/>
          <w:color w:val="auto"/>
          <w:highlight w:val="none"/>
        </w:rPr>
      </w:pPr>
    </w:p>
    <w:p w14:paraId="3FC7A1A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204ADD7">
      <w:pPr>
        <w:tabs>
          <w:tab w:val="left" w:pos="6300"/>
        </w:tabs>
        <w:snapToGrid w:val="0"/>
        <w:spacing w:line="500" w:lineRule="exact"/>
        <w:ind w:firstLine="570"/>
        <w:rPr>
          <w:rFonts w:hint="eastAsia" w:ascii="宋体" w:hAnsi="宋体" w:eastAsia="宋体" w:cs="宋体"/>
          <w:color w:val="auto"/>
          <w:sz w:val="24"/>
          <w:highlight w:val="none"/>
        </w:rPr>
      </w:pPr>
    </w:p>
    <w:p w14:paraId="4AA46EB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03D6B1C">
      <w:pPr>
        <w:tabs>
          <w:tab w:val="left" w:pos="6300"/>
        </w:tabs>
        <w:snapToGrid w:val="0"/>
        <w:spacing w:line="500" w:lineRule="exact"/>
        <w:ind w:firstLine="570"/>
        <w:rPr>
          <w:rFonts w:hint="eastAsia" w:ascii="宋体" w:hAnsi="宋体" w:eastAsia="宋体" w:cs="宋体"/>
          <w:color w:val="auto"/>
          <w:sz w:val="24"/>
          <w:highlight w:val="none"/>
        </w:rPr>
      </w:pPr>
    </w:p>
    <w:p w14:paraId="6BC88EA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D60A09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3DB86EE4">
      <w:pPr>
        <w:tabs>
          <w:tab w:val="left" w:pos="6300"/>
        </w:tabs>
        <w:snapToGrid w:val="0"/>
        <w:spacing w:line="500" w:lineRule="exact"/>
        <w:ind w:firstLine="570"/>
        <w:rPr>
          <w:rFonts w:hint="eastAsia" w:ascii="宋体" w:hAnsi="宋体" w:eastAsia="宋体" w:cs="宋体"/>
          <w:color w:val="auto"/>
          <w:sz w:val="24"/>
          <w:highlight w:val="none"/>
        </w:rPr>
      </w:pPr>
    </w:p>
    <w:p w14:paraId="6632DB2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E650CDC">
      <w:pPr>
        <w:tabs>
          <w:tab w:val="left" w:pos="6300"/>
        </w:tabs>
        <w:snapToGrid w:val="0"/>
        <w:spacing w:line="500" w:lineRule="exact"/>
        <w:ind w:firstLine="570"/>
        <w:rPr>
          <w:rFonts w:hint="eastAsia" w:ascii="宋体" w:hAnsi="宋体" w:eastAsia="宋体" w:cs="宋体"/>
          <w:color w:val="auto"/>
          <w:sz w:val="24"/>
          <w:highlight w:val="none"/>
        </w:rPr>
      </w:pPr>
    </w:p>
    <w:p w14:paraId="7C08ACA5">
      <w:pPr>
        <w:tabs>
          <w:tab w:val="left" w:pos="6300"/>
        </w:tabs>
        <w:snapToGrid w:val="0"/>
        <w:spacing w:line="500" w:lineRule="exact"/>
        <w:ind w:firstLine="570"/>
        <w:rPr>
          <w:rFonts w:hint="eastAsia" w:ascii="宋体" w:hAnsi="宋体" w:eastAsia="宋体" w:cs="宋体"/>
          <w:color w:val="auto"/>
          <w:sz w:val="24"/>
          <w:highlight w:val="none"/>
        </w:rPr>
      </w:pPr>
    </w:p>
    <w:p w14:paraId="3D30A5DA">
      <w:pPr>
        <w:tabs>
          <w:tab w:val="left" w:pos="6300"/>
        </w:tabs>
        <w:snapToGrid w:val="0"/>
        <w:spacing w:line="500" w:lineRule="exact"/>
        <w:ind w:firstLine="570"/>
        <w:rPr>
          <w:rFonts w:hint="eastAsia" w:ascii="宋体" w:hAnsi="宋体" w:eastAsia="宋体" w:cs="宋体"/>
          <w:color w:val="auto"/>
          <w:sz w:val="24"/>
          <w:highlight w:val="none"/>
        </w:rPr>
      </w:pPr>
    </w:p>
    <w:p w14:paraId="4FBFFCF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64C653E3">
      <w:pPr>
        <w:tabs>
          <w:tab w:val="left" w:pos="6300"/>
        </w:tabs>
        <w:snapToGrid w:val="0"/>
        <w:spacing w:line="500" w:lineRule="exact"/>
        <w:ind w:firstLine="570"/>
        <w:rPr>
          <w:rFonts w:hint="eastAsia" w:ascii="宋体" w:hAnsi="宋体" w:eastAsia="宋体" w:cs="宋体"/>
          <w:color w:val="auto"/>
          <w:sz w:val="24"/>
          <w:highlight w:val="none"/>
        </w:rPr>
      </w:pPr>
    </w:p>
    <w:p w14:paraId="51CF7A1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B1A81A3">
      <w:pPr>
        <w:tabs>
          <w:tab w:val="left" w:pos="6300"/>
        </w:tabs>
        <w:snapToGrid w:val="0"/>
        <w:spacing w:line="500" w:lineRule="exact"/>
        <w:ind w:firstLine="570"/>
        <w:rPr>
          <w:rFonts w:hint="eastAsia" w:ascii="宋体" w:hAnsi="宋体" w:eastAsia="宋体" w:cs="宋体"/>
          <w:color w:val="auto"/>
          <w:sz w:val="24"/>
          <w:highlight w:val="none"/>
        </w:rPr>
      </w:pPr>
    </w:p>
    <w:p w14:paraId="7EABCE0C">
      <w:pPr>
        <w:tabs>
          <w:tab w:val="left" w:pos="6300"/>
        </w:tabs>
        <w:snapToGrid w:val="0"/>
        <w:spacing w:line="500" w:lineRule="exact"/>
        <w:ind w:firstLine="57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法定代表人电话：XXXXXXX      电子邮箱：XXXXXX@XXXXX（若授权他人办理并签署响应文件的可不填写）</w:t>
      </w:r>
    </w:p>
    <w:p w14:paraId="6B4F15BC">
      <w:pPr>
        <w:tabs>
          <w:tab w:val="left" w:pos="6300"/>
        </w:tabs>
        <w:snapToGrid w:val="0"/>
        <w:spacing w:line="500" w:lineRule="exact"/>
        <w:ind w:firstLine="570"/>
        <w:rPr>
          <w:rFonts w:hint="eastAsia" w:ascii="宋体" w:hAnsi="宋体" w:eastAsia="宋体" w:cs="宋体"/>
          <w:color w:val="auto"/>
          <w:sz w:val="24"/>
          <w:highlight w:val="none"/>
        </w:rPr>
      </w:pPr>
    </w:p>
    <w:p w14:paraId="61AC77B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07EE6ACC">
      <w:pPr>
        <w:tabs>
          <w:tab w:val="left" w:pos="6300"/>
        </w:tabs>
        <w:snapToGrid w:val="0"/>
        <w:spacing w:line="500" w:lineRule="exact"/>
        <w:ind w:firstLine="570"/>
        <w:rPr>
          <w:rFonts w:hint="eastAsia" w:ascii="宋体" w:hAnsi="宋体" w:eastAsia="宋体" w:cs="宋体"/>
          <w:color w:val="auto"/>
          <w:sz w:val="24"/>
          <w:highlight w:val="none"/>
        </w:rPr>
      </w:pPr>
    </w:p>
    <w:p w14:paraId="54318C22">
      <w:pPr>
        <w:tabs>
          <w:tab w:val="left" w:pos="6300"/>
        </w:tabs>
        <w:snapToGrid w:val="0"/>
        <w:spacing w:line="500" w:lineRule="exact"/>
        <w:ind w:firstLine="570"/>
        <w:rPr>
          <w:rFonts w:hint="eastAsia" w:ascii="宋体" w:hAnsi="宋体" w:eastAsia="宋体" w:cs="宋体"/>
          <w:color w:val="auto"/>
          <w:sz w:val="24"/>
          <w:highlight w:val="none"/>
        </w:rPr>
      </w:pPr>
    </w:p>
    <w:p w14:paraId="1666A5BE">
      <w:pPr>
        <w:tabs>
          <w:tab w:val="left" w:pos="6300"/>
        </w:tabs>
        <w:snapToGrid w:val="0"/>
        <w:spacing w:line="500" w:lineRule="exact"/>
        <w:ind w:firstLine="570"/>
        <w:rPr>
          <w:rFonts w:hint="eastAsia" w:ascii="宋体" w:hAnsi="宋体" w:eastAsia="宋体" w:cs="宋体"/>
          <w:color w:val="auto"/>
          <w:sz w:val="24"/>
          <w:highlight w:val="none"/>
        </w:rPr>
      </w:pPr>
    </w:p>
    <w:p w14:paraId="27F342E4">
      <w:pPr>
        <w:tabs>
          <w:tab w:val="left" w:pos="6300"/>
        </w:tabs>
        <w:snapToGrid w:val="0"/>
        <w:spacing w:line="500" w:lineRule="exact"/>
        <w:ind w:firstLine="570"/>
        <w:rPr>
          <w:rFonts w:hint="eastAsia" w:ascii="宋体" w:hAnsi="宋体" w:eastAsia="宋体" w:cs="宋体"/>
          <w:color w:val="auto"/>
          <w:sz w:val="24"/>
          <w:highlight w:val="none"/>
        </w:rPr>
      </w:pPr>
    </w:p>
    <w:p w14:paraId="3143630B">
      <w:pPr>
        <w:tabs>
          <w:tab w:val="left" w:pos="6300"/>
        </w:tabs>
        <w:snapToGrid w:val="0"/>
        <w:spacing w:line="500" w:lineRule="exact"/>
        <w:ind w:firstLine="570"/>
        <w:rPr>
          <w:rFonts w:hint="eastAsia" w:ascii="宋体" w:hAnsi="宋体" w:eastAsia="宋体" w:cs="宋体"/>
          <w:color w:val="auto"/>
          <w:sz w:val="24"/>
          <w:highlight w:val="none"/>
        </w:rPr>
      </w:pPr>
    </w:p>
    <w:p w14:paraId="33EA6997">
      <w:pPr>
        <w:tabs>
          <w:tab w:val="left" w:pos="6300"/>
        </w:tabs>
        <w:snapToGrid w:val="0"/>
        <w:spacing w:line="500" w:lineRule="exact"/>
        <w:ind w:firstLine="570"/>
        <w:rPr>
          <w:rFonts w:hint="eastAsia" w:ascii="宋体" w:hAnsi="宋体" w:eastAsia="宋体" w:cs="宋体"/>
          <w:color w:val="auto"/>
          <w:sz w:val="24"/>
          <w:highlight w:val="none"/>
        </w:rPr>
      </w:pPr>
    </w:p>
    <w:p w14:paraId="6408376E">
      <w:pPr>
        <w:tabs>
          <w:tab w:val="left" w:pos="6300"/>
        </w:tabs>
        <w:snapToGrid w:val="0"/>
        <w:spacing w:line="500" w:lineRule="exact"/>
        <w:ind w:firstLine="570"/>
        <w:rPr>
          <w:rFonts w:hint="eastAsia" w:ascii="宋体" w:hAnsi="宋体" w:eastAsia="宋体" w:cs="宋体"/>
          <w:color w:val="auto"/>
          <w:sz w:val="24"/>
          <w:highlight w:val="none"/>
        </w:rPr>
      </w:pPr>
    </w:p>
    <w:p w14:paraId="641FF2F4">
      <w:pPr>
        <w:tabs>
          <w:tab w:val="left" w:pos="6300"/>
        </w:tabs>
        <w:snapToGrid w:val="0"/>
        <w:spacing w:line="500" w:lineRule="exact"/>
        <w:ind w:firstLine="570"/>
        <w:rPr>
          <w:rFonts w:hint="eastAsia" w:ascii="宋体" w:hAnsi="宋体" w:eastAsia="宋体" w:cs="宋体"/>
          <w:color w:val="auto"/>
          <w:sz w:val="24"/>
          <w:highlight w:val="none"/>
        </w:rPr>
      </w:pPr>
    </w:p>
    <w:p w14:paraId="36C6A802">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794F7AD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052CB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8ECDAA5">
      <w:pPr>
        <w:tabs>
          <w:tab w:val="left" w:pos="6300"/>
        </w:tabs>
        <w:snapToGrid w:val="0"/>
        <w:spacing w:line="500" w:lineRule="exact"/>
        <w:ind w:firstLine="570"/>
        <w:rPr>
          <w:rFonts w:hint="eastAsia" w:ascii="宋体" w:hAnsi="宋体" w:eastAsia="宋体" w:cs="宋体"/>
          <w:color w:val="auto"/>
          <w:sz w:val="24"/>
          <w:highlight w:val="none"/>
        </w:rPr>
      </w:pPr>
    </w:p>
    <w:p w14:paraId="1DA1652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AF800C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w:t>
      </w:r>
      <w:r>
        <w:rPr>
          <w:rFonts w:hint="eastAsia" w:ascii="宋体" w:hAnsi="宋体" w:eastAsia="宋体" w:cs="宋体"/>
          <w:b/>
          <w:bCs/>
          <w:color w:val="auto"/>
          <w:sz w:val="24"/>
          <w:highlight w:val="none"/>
        </w:rPr>
        <w:t>及身份证号码</w:t>
      </w:r>
      <w:r>
        <w:rPr>
          <w:rFonts w:hint="eastAsia" w:ascii="宋体" w:hAnsi="宋体" w:eastAsia="宋体" w:cs="宋体"/>
          <w:color w:val="auto"/>
          <w:sz w:val="24"/>
          <w:highlight w:val="none"/>
        </w:rPr>
        <w:t>）代表我单位全权办理上述项目的磋商、签约等具体工作，并签署全部有关文件、协议及合同。</w:t>
      </w:r>
    </w:p>
    <w:p w14:paraId="43BF60D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08B6FD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507F7E19">
      <w:pPr>
        <w:tabs>
          <w:tab w:val="left" w:pos="6300"/>
        </w:tabs>
        <w:snapToGrid w:val="0"/>
        <w:spacing w:line="500" w:lineRule="exact"/>
        <w:ind w:firstLine="570"/>
        <w:rPr>
          <w:rFonts w:hint="eastAsia" w:ascii="宋体" w:hAnsi="宋体" w:eastAsia="宋体" w:cs="宋体"/>
          <w:color w:val="auto"/>
          <w:sz w:val="24"/>
          <w:highlight w:val="none"/>
        </w:rPr>
      </w:pPr>
    </w:p>
    <w:p w14:paraId="6DB2529F">
      <w:pPr>
        <w:tabs>
          <w:tab w:val="left" w:pos="6300"/>
        </w:tabs>
        <w:snapToGrid w:val="0"/>
        <w:spacing w:line="500" w:lineRule="exact"/>
        <w:ind w:firstLine="570"/>
        <w:rPr>
          <w:rFonts w:hint="eastAsia" w:ascii="宋体" w:hAnsi="宋体" w:eastAsia="宋体" w:cs="宋体"/>
          <w:color w:val="auto"/>
          <w:sz w:val="24"/>
          <w:highlight w:val="none"/>
        </w:rPr>
      </w:pPr>
    </w:p>
    <w:p w14:paraId="0A6F381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5721773D">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4588FCE8">
      <w:pPr>
        <w:tabs>
          <w:tab w:val="left" w:pos="6300"/>
        </w:tabs>
        <w:snapToGrid w:val="0"/>
        <w:spacing w:line="500" w:lineRule="exact"/>
        <w:ind w:firstLine="570"/>
        <w:rPr>
          <w:rFonts w:hint="eastAsia" w:ascii="宋体" w:hAnsi="宋体" w:eastAsia="宋体" w:cs="宋体"/>
          <w:color w:val="auto"/>
          <w:sz w:val="24"/>
          <w:szCs w:val="28"/>
          <w:highlight w:val="none"/>
        </w:rPr>
      </w:pPr>
    </w:p>
    <w:p w14:paraId="413B3F14">
      <w:pPr>
        <w:tabs>
          <w:tab w:val="left" w:pos="6300"/>
        </w:tabs>
        <w:snapToGrid w:val="0"/>
        <w:spacing w:line="500" w:lineRule="exact"/>
        <w:ind w:firstLine="570"/>
        <w:rPr>
          <w:rFonts w:hint="eastAsia" w:ascii="宋体" w:hAnsi="宋体" w:eastAsia="宋体" w:cs="宋体"/>
          <w:color w:val="auto"/>
          <w:sz w:val="24"/>
          <w:highlight w:val="none"/>
        </w:rPr>
      </w:pPr>
    </w:p>
    <w:p w14:paraId="325BE30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被授权人电话：XXXXXXX     电子邮箱：XXXXXX@XXXXX（若法定代表人办理并签署响应文件的可不填写）</w:t>
      </w:r>
    </w:p>
    <w:p w14:paraId="35E5173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A120C7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6913E9">
      <w:pPr>
        <w:tabs>
          <w:tab w:val="left" w:pos="6300"/>
        </w:tabs>
        <w:snapToGrid w:val="0"/>
        <w:spacing w:line="500" w:lineRule="exact"/>
        <w:ind w:firstLine="570"/>
        <w:rPr>
          <w:rFonts w:hint="eastAsia" w:ascii="宋体" w:hAnsi="宋体" w:eastAsia="宋体" w:cs="宋体"/>
          <w:color w:val="auto"/>
          <w:sz w:val="24"/>
          <w:highlight w:val="none"/>
        </w:rPr>
      </w:pPr>
    </w:p>
    <w:p w14:paraId="7D97CC91">
      <w:pPr>
        <w:tabs>
          <w:tab w:val="left" w:pos="6300"/>
        </w:tabs>
        <w:snapToGrid w:val="0"/>
        <w:spacing w:line="500" w:lineRule="exact"/>
        <w:ind w:firstLine="570"/>
        <w:rPr>
          <w:rFonts w:hint="eastAsia" w:ascii="宋体" w:hAnsi="宋体" w:eastAsia="宋体" w:cs="宋体"/>
          <w:color w:val="auto"/>
          <w:sz w:val="24"/>
          <w:highlight w:val="none"/>
        </w:rPr>
      </w:pPr>
    </w:p>
    <w:p w14:paraId="6498852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532A208">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A5076E0">
      <w:pPr>
        <w:tabs>
          <w:tab w:val="left" w:pos="6300"/>
        </w:tabs>
        <w:snapToGrid w:val="0"/>
        <w:spacing w:line="500" w:lineRule="exact"/>
        <w:ind w:firstLine="57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注：若为法定代表人办理并签署响应文件的，</w:t>
      </w:r>
      <w:r>
        <w:rPr>
          <w:rFonts w:hint="eastAsia" w:ascii="宋体" w:hAnsi="宋体" w:cs="宋体"/>
          <w:color w:val="auto"/>
          <w:sz w:val="24"/>
          <w:szCs w:val="22"/>
          <w:highlight w:val="none"/>
          <w:lang w:val="en-US" w:eastAsia="zh-CN"/>
        </w:rPr>
        <w:t>可</w:t>
      </w:r>
      <w:r>
        <w:rPr>
          <w:rFonts w:hint="eastAsia" w:ascii="宋体" w:hAnsi="宋体" w:eastAsia="宋体" w:cs="宋体"/>
          <w:color w:val="auto"/>
          <w:sz w:val="24"/>
          <w:szCs w:val="22"/>
          <w:highlight w:val="none"/>
        </w:rPr>
        <w:t>不提供此文件。</w:t>
      </w:r>
    </w:p>
    <w:p w14:paraId="4D872667">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43232DC2">
      <w:pPr>
        <w:tabs>
          <w:tab w:val="left" w:pos="6300"/>
        </w:tabs>
        <w:snapToGrid w:val="0"/>
        <w:spacing w:line="500" w:lineRule="exact"/>
        <w:rPr>
          <w:rFonts w:hint="eastAsia" w:ascii="宋体" w:hAnsi="宋体" w:eastAsia="宋体" w:cs="宋体"/>
          <w:color w:val="auto"/>
          <w:sz w:val="24"/>
          <w:szCs w:val="24"/>
          <w:highlight w:val="none"/>
        </w:rPr>
      </w:pPr>
    </w:p>
    <w:p w14:paraId="700574A4">
      <w:pPr>
        <w:keepNext w:val="0"/>
        <w:keepLines w:val="0"/>
        <w:pageBreakBefore w:val="0"/>
        <w:widowControl w:val="0"/>
        <w:tabs>
          <w:tab w:val="left" w:pos="63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38C03306">
      <w:pPr>
        <w:tabs>
          <w:tab w:val="left" w:pos="6300"/>
        </w:tabs>
        <w:snapToGrid w:val="0"/>
        <w:spacing w:line="500" w:lineRule="exact"/>
        <w:ind w:firstLine="570"/>
        <w:rPr>
          <w:rFonts w:hint="eastAsia" w:ascii="宋体" w:hAnsi="宋体" w:eastAsia="宋体" w:cs="宋体"/>
          <w:color w:val="auto"/>
          <w:sz w:val="24"/>
          <w:highlight w:val="none"/>
        </w:rPr>
      </w:pPr>
    </w:p>
    <w:p w14:paraId="42F1C51B">
      <w:pPr>
        <w:tabs>
          <w:tab w:val="left" w:pos="6300"/>
        </w:tabs>
        <w:snapToGrid w:val="0"/>
        <w:spacing w:line="5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p w14:paraId="446DD81F">
      <w:pPr>
        <w:tabs>
          <w:tab w:val="left" w:pos="6300"/>
        </w:tabs>
        <w:snapToGrid w:val="0"/>
        <w:spacing w:line="530" w:lineRule="exact"/>
        <w:rPr>
          <w:rFonts w:hint="eastAsia" w:ascii="宋体" w:hAnsi="宋体" w:eastAsia="宋体" w:cs="宋体"/>
          <w:color w:val="auto"/>
          <w:sz w:val="24"/>
          <w:szCs w:val="24"/>
          <w:highlight w:val="none"/>
        </w:rPr>
      </w:pPr>
    </w:p>
    <w:p w14:paraId="2C1C3E3C">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FB6846E">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062B46DB">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94CAC4C">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639394A">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25235171">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41810A6">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2B09DBA">
      <w:pPr>
        <w:tabs>
          <w:tab w:val="left" w:pos="6300"/>
        </w:tabs>
        <w:snapToGrid w:val="0"/>
        <w:spacing w:line="530" w:lineRule="exact"/>
        <w:rPr>
          <w:rFonts w:hint="eastAsia" w:ascii="宋体" w:hAnsi="宋体" w:eastAsia="宋体" w:cs="宋体"/>
          <w:color w:val="auto"/>
          <w:sz w:val="24"/>
          <w:szCs w:val="24"/>
          <w:highlight w:val="none"/>
        </w:rPr>
      </w:pPr>
    </w:p>
    <w:p w14:paraId="1AAEF64A">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07AF792E">
      <w:pPr>
        <w:tabs>
          <w:tab w:val="left" w:pos="6300"/>
        </w:tabs>
        <w:snapToGrid w:val="0"/>
        <w:spacing w:line="500" w:lineRule="exact"/>
        <w:ind w:firstLine="7680" w:firstLineChars="3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C48B3CE">
      <w:pPr>
        <w:tabs>
          <w:tab w:val="left" w:pos="6300"/>
        </w:tabs>
        <w:snapToGrid w:val="0"/>
        <w:spacing w:line="500" w:lineRule="exact"/>
        <w:ind w:right="424" w:firstLine="570"/>
        <w:jc w:val="right"/>
        <w:rPr>
          <w:rFonts w:hint="eastAsia" w:ascii="宋体" w:hAnsi="宋体" w:eastAsia="宋体" w:cs="宋体"/>
          <w:color w:val="auto"/>
          <w:sz w:val="24"/>
          <w:szCs w:val="24"/>
          <w:highlight w:val="none"/>
        </w:rPr>
      </w:pPr>
    </w:p>
    <w:p w14:paraId="5EDE48F6">
      <w:pPr>
        <w:tabs>
          <w:tab w:val="left" w:pos="6300"/>
        </w:tabs>
        <w:snapToGrid w:val="0"/>
        <w:spacing w:line="500" w:lineRule="exact"/>
        <w:ind w:right="1680"/>
        <w:rPr>
          <w:rFonts w:hint="eastAsia" w:ascii="宋体" w:hAnsi="宋体" w:eastAsia="宋体" w:cs="宋体"/>
          <w:color w:val="auto"/>
          <w:sz w:val="24"/>
          <w:highlight w:val="none"/>
        </w:rPr>
      </w:pPr>
    </w:p>
    <w:p w14:paraId="61B2AE3C">
      <w:pPr>
        <w:tabs>
          <w:tab w:val="left" w:pos="6300"/>
        </w:tabs>
        <w:snapToGrid w:val="0"/>
        <w:spacing w:line="360"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5AEBB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21" w:name="_Toc14422"/>
      <w:r>
        <w:rPr>
          <w:rFonts w:hint="eastAsia" w:ascii="宋体" w:hAnsi="宋体" w:eastAsia="宋体" w:cs="宋体"/>
          <w:color w:val="auto"/>
          <w:sz w:val="24"/>
          <w:szCs w:val="24"/>
          <w:highlight w:val="none"/>
        </w:rPr>
        <w:t>（五）特定资格条件证明文件（如有）</w:t>
      </w:r>
    </w:p>
    <w:p w14:paraId="646D0385">
      <w:pPr>
        <w:rPr>
          <w:rFonts w:hint="eastAsia" w:ascii="宋体" w:hAnsi="宋体" w:eastAsia="宋体" w:cs="宋体"/>
          <w:b w:val="0"/>
          <w:color w:val="auto"/>
          <w:sz w:val="28"/>
          <w:highlight w:val="none"/>
        </w:rPr>
      </w:pPr>
      <w:r>
        <w:rPr>
          <w:rFonts w:hint="eastAsia" w:ascii="宋体" w:hAnsi="宋体" w:eastAsia="宋体" w:cs="宋体"/>
          <w:b w:val="0"/>
          <w:color w:val="auto"/>
          <w:sz w:val="28"/>
          <w:highlight w:val="none"/>
        </w:rPr>
        <w:br w:type="page"/>
      </w:r>
    </w:p>
    <w:p w14:paraId="16445B77">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）中小企业声明函、监狱企业证明文件、残疾人福利性单位声明函</w:t>
      </w:r>
    </w:p>
    <w:p w14:paraId="1E8784EF">
      <w:pPr>
        <w:tabs>
          <w:tab w:val="left" w:pos="6300"/>
        </w:tabs>
        <w:snapToGrid w:val="0"/>
        <w:spacing w:line="360" w:lineRule="auto"/>
        <w:jc w:val="center"/>
        <w:rPr>
          <w:rFonts w:hint="eastAsia" w:ascii="宋体" w:hAnsi="宋体" w:eastAsia="宋体" w:cs="宋体"/>
          <w:color w:val="auto"/>
          <w:sz w:val="28"/>
          <w:szCs w:val="28"/>
          <w:highlight w:val="none"/>
        </w:rPr>
      </w:pPr>
    </w:p>
    <w:p w14:paraId="63D2E1D6">
      <w:pPr>
        <w:tabs>
          <w:tab w:val="left" w:pos="630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中小企业声明函（工程类）</w:t>
      </w:r>
    </w:p>
    <w:p w14:paraId="1CC139E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（采购人单位名称）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采购活动，工程的施工单位全部为符合政策要求的中小企业。相关企业的具体情况如下：</w:t>
      </w:r>
    </w:p>
    <w:p w14:paraId="19D5741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重庆市竞技体育训练中心食堂升级改造项目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5C1E32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重庆市竞技体育训练中心食堂升级改造项目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402BA3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612EBD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6A547E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9965037">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9A9FDC">
      <w:pPr>
        <w:tabs>
          <w:tab w:val="left" w:pos="6300"/>
        </w:tabs>
        <w:snapToGrid w:val="0"/>
        <w:spacing w:line="360" w:lineRule="auto"/>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5FFD2D9C">
      <w:pPr>
        <w:tabs>
          <w:tab w:val="left" w:pos="6300"/>
        </w:tabs>
        <w:snapToGrid w:val="0"/>
        <w:spacing w:line="360" w:lineRule="auto"/>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B6C877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4A633964">
      <w:pPr>
        <w:tabs>
          <w:tab w:val="left" w:pos="6300"/>
        </w:tabs>
        <w:snapToGrid w:val="0"/>
        <w:spacing w:line="360" w:lineRule="auto"/>
        <w:rPr>
          <w:rFonts w:hint="eastAsia" w:ascii="宋体" w:hAnsi="宋体" w:eastAsia="宋体" w:cs="宋体"/>
          <w:color w:val="auto"/>
          <w:sz w:val="24"/>
          <w:szCs w:val="24"/>
          <w:highlight w:val="none"/>
        </w:rPr>
      </w:pPr>
    </w:p>
    <w:p w14:paraId="3FD9404C">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填写时应注意以下事项：</w:t>
      </w:r>
    </w:p>
    <w:p w14:paraId="455D9D4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57E5E9D8">
      <w:pPr>
        <w:tabs>
          <w:tab w:val="left" w:pos="6300"/>
        </w:tabs>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2.中小企业应当按照《中小企业划型标准规定》（工信部联企业〔2011〕300号），如实填写并提交《中小企业声明函》。</w:t>
      </w:r>
    </w:p>
    <w:p w14:paraId="792B51F8">
      <w:pPr>
        <w:tabs>
          <w:tab w:val="left" w:pos="6300"/>
        </w:tabs>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3.供应商填写《中小企业声明函》中所属行业时，应与采购文件第一篇“采购标的对应的中小企业划分标准所属行业”中填写的所属行业一致。</w:t>
      </w:r>
    </w:p>
    <w:p w14:paraId="4EEF30D5">
      <w:pPr>
        <w:tabs>
          <w:tab w:val="left" w:pos="6300"/>
        </w:tabs>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4.本声明函“企业名称（盖章）”处为供应商盖章。</w:t>
      </w:r>
    </w:p>
    <w:p w14:paraId="6E9CDD9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注：各行业划型标准：</w:t>
      </w:r>
    </w:p>
    <w:p w14:paraId="41140E2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3ACB35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8CFD01">
      <w:pPr>
        <w:snapToGrid w:val="0"/>
        <w:spacing w:line="360" w:lineRule="auto"/>
        <w:ind w:firstLine="4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E4F28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368C3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4CF91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14D44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9831D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4C1CE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419B8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A9626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536C1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C4E0C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02D9C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A83FA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1F430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4"/>
          <w:highlight w:val="none"/>
        </w:rPr>
        <w:br w:type="page"/>
      </w:r>
    </w:p>
    <w:p w14:paraId="13572BC5">
      <w:pPr>
        <w:tabs>
          <w:tab w:val="left" w:pos="6300"/>
        </w:tabs>
        <w:snapToGrid w:val="0"/>
        <w:spacing w:line="360" w:lineRule="auto"/>
        <w:jc w:val="center"/>
        <w:rPr>
          <w:rFonts w:hint="eastAsia" w:ascii="宋体" w:hAnsi="宋体" w:eastAsia="宋体" w:cs="宋体"/>
          <w:color w:val="auto"/>
          <w:sz w:val="24"/>
          <w:szCs w:val="24"/>
          <w:highlight w:val="none"/>
        </w:rPr>
      </w:pPr>
    </w:p>
    <w:p w14:paraId="5CF6F3EC">
      <w:pPr>
        <w:tabs>
          <w:tab w:val="left" w:pos="6300"/>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监狱企业证明文件</w:t>
      </w:r>
    </w:p>
    <w:p w14:paraId="72ED99B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5E2B3ED3">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9F561C">
      <w:pPr>
        <w:tabs>
          <w:tab w:val="left" w:pos="6300"/>
        </w:tabs>
        <w:snapToGrid w:val="0"/>
        <w:spacing w:line="360" w:lineRule="auto"/>
        <w:rPr>
          <w:rFonts w:hint="eastAsia" w:ascii="宋体" w:hAnsi="宋体" w:eastAsia="宋体" w:cs="宋体"/>
          <w:color w:val="auto"/>
          <w:sz w:val="24"/>
          <w:szCs w:val="24"/>
          <w:highlight w:val="none"/>
        </w:rPr>
      </w:pPr>
    </w:p>
    <w:p w14:paraId="46F9EA77">
      <w:pPr>
        <w:tabs>
          <w:tab w:val="left" w:pos="6300"/>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残疾人福利性单位声明函</w:t>
      </w:r>
    </w:p>
    <w:p w14:paraId="408DF24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5DFA78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A6EE8C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391D59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01DDD63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供应商名称（盖章）：</w:t>
      </w:r>
    </w:p>
    <w:p w14:paraId="0B10D07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229CCB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0D8875A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381F73B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7F26F96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31227E4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4035E66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19E5058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7816C4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37CDB5BA">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10E06F6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520D868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4821FC7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7880639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18DCC0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5030B6B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6E61613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p>
    <w:p w14:paraId="70BC5433">
      <w:pPr>
        <w:pStyle w:val="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sz w:val="28"/>
          <w:highlight w:val="none"/>
        </w:rPr>
        <w:br w:type="page"/>
      </w:r>
      <w:bookmarkStart w:id="222" w:name="_Toc15318"/>
      <w:bookmarkStart w:id="223" w:name="_Toc6707"/>
      <w:bookmarkStart w:id="224" w:name="_Toc10602"/>
      <w:bookmarkStart w:id="225" w:name="_Toc15245"/>
      <w:bookmarkStart w:id="226" w:name="_Toc31778"/>
      <w:r>
        <w:rPr>
          <w:rFonts w:hint="eastAsia" w:ascii="宋体" w:hAnsi="宋体" w:eastAsia="宋体" w:cs="宋体"/>
          <w:b/>
          <w:bCs/>
          <w:color w:val="auto"/>
          <w:kern w:val="2"/>
          <w:sz w:val="24"/>
          <w:szCs w:val="24"/>
          <w:highlight w:val="none"/>
          <w:lang w:val="en-US" w:eastAsia="zh-CN" w:bidi="ar-SA"/>
        </w:rPr>
        <w:t>五、其他应提供的资料</w:t>
      </w:r>
      <w:bookmarkEnd w:id="221"/>
      <w:bookmarkEnd w:id="222"/>
      <w:bookmarkEnd w:id="223"/>
      <w:bookmarkEnd w:id="224"/>
      <w:bookmarkEnd w:id="225"/>
      <w:bookmarkEnd w:id="226"/>
    </w:p>
    <w:p w14:paraId="64F7D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其他与项目有关的资料（自附）</w:t>
      </w:r>
    </w:p>
    <w:p w14:paraId="0348DC80">
      <w:pPr>
        <w:pStyle w:val="74"/>
        <w:rPr>
          <w:rFonts w:hint="eastAsia" w:ascii="宋体" w:hAnsi="宋体" w:eastAsia="宋体" w:cs="宋体"/>
          <w:color w:val="auto"/>
          <w:sz w:val="24"/>
          <w:szCs w:val="24"/>
          <w:highlight w:val="none"/>
        </w:rPr>
      </w:pPr>
    </w:p>
    <w:p w14:paraId="08F3CA75">
      <w:pPr>
        <w:pStyle w:val="74"/>
        <w:rPr>
          <w:rFonts w:hint="eastAsia" w:ascii="宋体" w:hAnsi="宋体" w:eastAsia="宋体" w:cs="宋体"/>
          <w:color w:val="auto"/>
          <w:sz w:val="24"/>
          <w:szCs w:val="24"/>
          <w:highlight w:val="none"/>
        </w:rPr>
      </w:pPr>
    </w:p>
    <w:p w14:paraId="0CD4DC8E">
      <w:pPr>
        <w:pStyle w:val="74"/>
        <w:rPr>
          <w:rFonts w:hint="eastAsia" w:ascii="宋体" w:hAnsi="宋体" w:eastAsia="宋体" w:cs="宋体"/>
          <w:color w:val="auto"/>
          <w:sz w:val="24"/>
          <w:szCs w:val="24"/>
          <w:highlight w:val="none"/>
        </w:rPr>
      </w:pPr>
    </w:p>
    <w:p w14:paraId="0642DE19">
      <w:pPr>
        <w:pStyle w:val="74"/>
        <w:rPr>
          <w:rFonts w:hint="eastAsia" w:ascii="宋体" w:hAnsi="宋体" w:eastAsia="宋体" w:cs="宋体"/>
          <w:color w:val="auto"/>
          <w:sz w:val="24"/>
          <w:szCs w:val="24"/>
          <w:highlight w:val="none"/>
        </w:rPr>
      </w:pPr>
    </w:p>
    <w:p w14:paraId="1D113C68">
      <w:pPr>
        <w:pStyle w:val="74"/>
        <w:rPr>
          <w:rFonts w:hint="eastAsia" w:ascii="宋体" w:hAnsi="宋体" w:eastAsia="宋体" w:cs="宋体"/>
          <w:color w:val="auto"/>
          <w:sz w:val="24"/>
          <w:szCs w:val="24"/>
          <w:highlight w:val="none"/>
        </w:rPr>
      </w:pPr>
    </w:p>
    <w:p w14:paraId="6500277A">
      <w:pPr>
        <w:pStyle w:val="74"/>
        <w:rPr>
          <w:rFonts w:hint="eastAsia" w:ascii="宋体" w:hAnsi="宋体" w:eastAsia="宋体" w:cs="宋体"/>
          <w:color w:val="auto"/>
          <w:sz w:val="24"/>
          <w:szCs w:val="24"/>
          <w:highlight w:val="none"/>
        </w:rPr>
      </w:pPr>
    </w:p>
    <w:p w14:paraId="0EA4189B">
      <w:pPr>
        <w:pStyle w:val="74"/>
        <w:rPr>
          <w:rFonts w:hint="eastAsia" w:ascii="宋体" w:hAnsi="宋体" w:eastAsia="宋体" w:cs="宋体"/>
          <w:color w:val="auto"/>
          <w:sz w:val="24"/>
          <w:szCs w:val="24"/>
          <w:highlight w:val="none"/>
        </w:rPr>
      </w:pPr>
    </w:p>
    <w:p w14:paraId="6EFFB315">
      <w:pPr>
        <w:pStyle w:val="74"/>
        <w:rPr>
          <w:rFonts w:hint="eastAsia" w:ascii="宋体" w:hAnsi="宋体" w:eastAsia="宋体" w:cs="宋体"/>
          <w:color w:val="auto"/>
          <w:sz w:val="24"/>
          <w:szCs w:val="24"/>
          <w:highlight w:val="none"/>
        </w:rPr>
      </w:pPr>
    </w:p>
    <w:p w14:paraId="28B2557E">
      <w:pPr>
        <w:pStyle w:val="74"/>
        <w:rPr>
          <w:rFonts w:hint="eastAsia" w:ascii="宋体" w:hAnsi="宋体" w:eastAsia="宋体" w:cs="宋体"/>
          <w:color w:val="auto"/>
          <w:sz w:val="24"/>
          <w:szCs w:val="24"/>
          <w:highlight w:val="none"/>
        </w:rPr>
      </w:pPr>
    </w:p>
    <w:p w14:paraId="13155487">
      <w:pPr>
        <w:pStyle w:val="74"/>
        <w:rPr>
          <w:rFonts w:hint="eastAsia" w:ascii="宋体" w:hAnsi="宋体" w:eastAsia="宋体" w:cs="宋体"/>
          <w:color w:val="auto"/>
          <w:sz w:val="24"/>
          <w:szCs w:val="24"/>
          <w:highlight w:val="none"/>
        </w:rPr>
      </w:pPr>
    </w:p>
    <w:p w14:paraId="1A5859F2">
      <w:pPr>
        <w:pStyle w:val="74"/>
        <w:rPr>
          <w:rFonts w:hint="eastAsia" w:ascii="宋体" w:hAnsi="宋体" w:eastAsia="宋体" w:cs="宋体"/>
          <w:color w:val="auto"/>
          <w:sz w:val="24"/>
          <w:szCs w:val="24"/>
          <w:highlight w:val="none"/>
        </w:rPr>
      </w:pPr>
    </w:p>
    <w:p w14:paraId="7E13771C">
      <w:pPr>
        <w:pStyle w:val="74"/>
        <w:rPr>
          <w:rFonts w:hint="eastAsia" w:ascii="宋体" w:hAnsi="宋体" w:eastAsia="宋体" w:cs="宋体"/>
          <w:color w:val="auto"/>
          <w:sz w:val="24"/>
          <w:szCs w:val="24"/>
          <w:highlight w:val="none"/>
        </w:rPr>
      </w:pPr>
    </w:p>
    <w:p w14:paraId="47D87D60">
      <w:pPr>
        <w:pStyle w:val="74"/>
        <w:rPr>
          <w:rFonts w:hint="eastAsia" w:ascii="宋体" w:hAnsi="宋体" w:eastAsia="宋体" w:cs="宋体"/>
          <w:color w:val="auto"/>
          <w:sz w:val="24"/>
          <w:szCs w:val="24"/>
          <w:highlight w:val="none"/>
        </w:rPr>
      </w:pPr>
    </w:p>
    <w:p w14:paraId="4FCC9211">
      <w:pPr>
        <w:pStyle w:val="74"/>
        <w:rPr>
          <w:rFonts w:hint="eastAsia" w:ascii="宋体" w:hAnsi="宋体" w:eastAsia="宋体" w:cs="宋体"/>
          <w:color w:val="auto"/>
          <w:sz w:val="24"/>
          <w:szCs w:val="24"/>
          <w:highlight w:val="none"/>
        </w:rPr>
      </w:pPr>
    </w:p>
    <w:p w14:paraId="40CD0007">
      <w:pPr>
        <w:pStyle w:val="74"/>
        <w:rPr>
          <w:rFonts w:hint="eastAsia" w:ascii="宋体" w:hAnsi="宋体" w:eastAsia="宋体" w:cs="宋体"/>
          <w:color w:val="auto"/>
          <w:sz w:val="24"/>
          <w:szCs w:val="24"/>
          <w:highlight w:val="none"/>
        </w:rPr>
      </w:pPr>
    </w:p>
    <w:p w14:paraId="29423994">
      <w:pPr>
        <w:pStyle w:val="74"/>
        <w:rPr>
          <w:rFonts w:hint="eastAsia" w:ascii="宋体" w:hAnsi="宋体" w:eastAsia="宋体" w:cs="宋体"/>
          <w:color w:val="auto"/>
          <w:sz w:val="24"/>
          <w:szCs w:val="24"/>
          <w:highlight w:val="none"/>
        </w:rPr>
      </w:pPr>
    </w:p>
    <w:p w14:paraId="74664FDF">
      <w:pPr>
        <w:pStyle w:val="74"/>
        <w:rPr>
          <w:rFonts w:hint="eastAsia" w:ascii="宋体" w:hAnsi="宋体" w:eastAsia="宋体" w:cs="宋体"/>
          <w:color w:val="auto"/>
          <w:sz w:val="24"/>
          <w:szCs w:val="24"/>
          <w:highlight w:val="none"/>
        </w:rPr>
      </w:pPr>
    </w:p>
    <w:p w14:paraId="79B1A36D">
      <w:pPr>
        <w:pStyle w:val="74"/>
        <w:rPr>
          <w:rFonts w:hint="eastAsia" w:ascii="宋体" w:hAnsi="宋体" w:eastAsia="宋体" w:cs="宋体"/>
          <w:color w:val="auto"/>
          <w:sz w:val="24"/>
          <w:szCs w:val="24"/>
          <w:highlight w:val="none"/>
        </w:rPr>
      </w:pPr>
    </w:p>
    <w:p w14:paraId="6DE5CCAB">
      <w:pPr>
        <w:pStyle w:val="74"/>
        <w:rPr>
          <w:rFonts w:hint="eastAsia" w:ascii="宋体" w:hAnsi="宋体" w:eastAsia="宋体" w:cs="宋体"/>
          <w:color w:val="auto"/>
          <w:sz w:val="24"/>
          <w:szCs w:val="24"/>
          <w:highlight w:val="none"/>
        </w:rPr>
      </w:pPr>
    </w:p>
    <w:p w14:paraId="0A03FC41">
      <w:pPr>
        <w:pStyle w:val="74"/>
        <w:rPr>
          <w:rFonts w:hint="eastAsia" w:ascii="宋体" w:hAnsi="宋体" w:eastAsia="宋体" w:cs="宋体"/>
          <w:color w:val="auto"/>
          <w:sz w:val="24"/>
          <w:szCs w:val="24"/>
          <w:highlight w:val="none"/>
        </w:rPr>
      </w:pPr>
    </w:p>
    <w:p w14:paraId="79104B42">
      <w:pPr>
        <w:pStyle w:val="74"/>
        <w:rPr>
          <w:rFonts w:hint="eastAsia" w:ascii="宋体" w:hAnsi="宋体" w:eastAsia="宋体" w:cs="宋体"/>
          <w:color w:val="auto"/>
          <w:sz w:val="24"/>
          <w:szCs w:val="24"/>
          <w:highlight w:val="none"/>
        </w:rPr>
      </w:pPr>
    </w:p>
    <w:p w14:paraId="3E1E52D3">
      <w:pPr>
        <w:pStyle w:val="74"/>
        <w:rPr>
          <w:rFonts w:hint="eastAsia" w:ascii="宋体" w:hAnsi="宋体" w:eastAsia="宋体" w:cs="宋体"/>
          <w:color w:val="auto"/>
          <w:sz w:val="24"/>
          <w:szCs w:val="24"/>
          <w:highlight w:val="none"/>
        </w:rPr>
      </w:pPr>
    </w:p>
    <w:p w14:paraId="4E9C26CB">
      <w:pPr>
        <w:pStyle w:val="74"/>
        <w:rPr>
          <w:rFonts w:hint="eastAsia" w:ascii="宋体" w:hAnsi="宋体" w:eastAsia="宋体" w:cs="宋体"/>
          <w:color w:val="auto"/>
          <w:sz w:val="24"/>
          <w:szCs w:val="24"/>
          <w:highlight w:val="none"/>
        </w:rPr>
      </w:pPr>
    </w:p>
    <w:p w14:paraId="27D7910E">
      <w:pPr>
        <w:pStyle w:val="74"/>
        <w:rPr>
          <w:rFonts w:hint="eastAsia" w:ascii="宋体" w:hAnsi="宋体" w:eastAsia="宋体" w:cs="宋体"/>
          <w:color w:val="auto"/>
          <w:sz w:val="24"/>
          <w:szCs w:val="24"/>
          <w:highlight w:val="none"/>
        </w:rPr>
      </w:pPr>
    </w:p>
    <w:p w14:paraId="494523CE">
      <w:pPr>
        <w:pStyle w:val="74"/>
        <w:rPr>
          <w:rFonts w:hint="eastAsia" w:ascii="宋体" w:hAnsi="宋体" w:eastAsia="宋体" w:cs="宋体"/>
          <w:color w:val="auto"/>
          <w:sz w:val="24"/>
          <w:szCs w:val="24"/>
          <w:highlight w:val="none"/>
        </w:rPr>
      </w:pPr>
    </w:p>
    <w:p w14:paraId="4DBEC71C">
      <w:pPr>
        <w:pStyle w:val="74"/>
        <w:rPr>
          <w:rFonts w:hint="eastAsia" w:ascii="宋体" w:hAnsi="宋体" w:eastAsia="宋体" w:cs="宋体"/>
          <w:color w:val="auto"/>
          <w:sz w:val="24"/>
          <w:szCs w:val="24"/>
          <w:highlight w:val="none"/>
        </w:rPr>
      </w:pPr>
    </w:p>
    <w:p w14:paraId="201F3BAE">
      <w:pPr>
        <w:pStyle w:val="74"/>
        <w:rPr>
          <w:rFonts w:hint="eastAsia" w:ascii="宋体" w:hAnsi="宋体" w:eastAsia="宋体" w:cs="宋体"/>
          <w:color w:val="auto"/>
          <w:sz w:val="24"/>
          <w:szCs w:val="24"/>
          <w:highlight w:val="none"/>
        </w:rPr>
      </w:pPr>
    </w:p>
    <w:p w14:paraId="2A65C9EE">
      <w:pPr>
        <w:pStyle w:val="74"/>
        <w:spacing w:line="20" w:lineRule="atLeast"/>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昆仑楷体">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975D">
    <w:pPr>
      <w:pStyle w:val="37"/>
      <w:framePr w:wrap="around" w:vAnchor="text" w:hAnchor="margin" w:xAlign="center" w:y="1"/>
      <w:rPr>
        <w:rStyle w:val="66"/>
      </w:rPr>
    </w:pPr>
    <w:r>
      <w:fldChar w:fldCharType="begin"/>
    </w:r>
    <w:r>
      <w:rPr>
        <w:rStyle w:val="66"/>
      </w:rPr>
      <w:instrText xml:space="preserve">PAGE  </w:instrText>
    </w:r>
    <w:r>
      <w:fldChar w:fldCharType="end"/>
    </w:r>
  </w:p>
  <w:p w14:paraId="23CE408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7406">
    <w:pPr>
      <w:pStyle w:val="37"/>
      <w:framePr w:wrap="around" w:vAnchor="text" w:hAnchor="margin" w:xAlign="center" w:y="1"/>
      <w:rPr>
        <w:rStyle w:val="66"/>
      </w:rPr>
    </w:pPr>
  </w:p>
  <w:p w14:paraId="7D4D8507">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82B7">
    <w:pPr>
      <w:pStyle w:val="3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5B3F9">
                          <w:pPr>
                            <w:pStyle w:val="37"/>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65B3F9">
                    <w:pPr>
                      <w:pStyle w:val="3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E3F2">
    <w:pPr>
      <w:pStyle w:val="37"/>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DB2E9">
                          <w:pPr>
                            <w:pStyle w:val="37"/>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3DB2E9">
                    <w:pPr>
                      <w:pStyle w:val="37"/>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F677">
    <w:pPr>
      <w:pStyle w:val="38"/>
      <w:pBdr>
        <w:bottom w:val="none" w:color="auto" w:sz="0" w:space="1"/>
      </w:pBdr>
      <w:jc w:val="left"/>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CD29">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34AA">
    <w:pPr>
      <w:pStyle w:val="38"/>
      <w:pBdr>
        <w:bottom w:val="none" w:color="auto" w:sz="0" w:space="1"/>
      </w:pBdr>
      <w:jc w:val="left"/>
    </w:pPr>
    <w:r>
      <w:rPr>
        <w:rFonts w:hint="eastAsia" w:ascii="方正仿宋_GBK" w:eastAsia="方正仿宋_GBK"/>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3AB6">
    <w:pPr>
      <w:pStyle w:val="38"/>
      <w:pBdr>
        <w:bottom w:val="none" w:color="auto" w:sz="0" w:space="1"/>
      </w:pBdr>
      <w:jc w:val="left"/>
    </w:pPr>
    <w:r>
      <w:rPr>
        <w:rFonts w:hint="eastAsia" w:ascii="方正仿宋_GBK" w:eastAsia="方正仿宋_GBK"/>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4989">
    <w:pPr>
      <w:pStyle w:val="38"/>
      <w:pBdr>
        <w:bottom w:val="none" w:color="auto" w:sz="0" w:space="1"/>
      </w:pBdr>
      <w:jc w:val="left"/>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2"/>
  </w:num>
  <w:num w:numId="10">
    <w:abstractNumId w:val="6"/>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k2NzY4YWIyYWVmYTI0MTlmNjc5YTMzZTJjNmI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563"/>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704"/>
    <w:rsid w:val="00070F05"/>
    <w:rsid w:val="00072ED6"/>
    <w:rsid w:val="000745D7"/>
    <w:rsid w:val="00075B87"/>
    <w:rsid w:val="00075D20"/>
    <w:rsid w:val="00076322"/>
    <w:rsid w:val="00080858"/>
    <w:rsid w:val="000820FF"/>
    <w:rsid w:val="000834C1"/>
    <w:rsid w:val="00083A03"/>
    <w:rsid w:val="00084999"/>
    <w:rsid w:val="00090C5A"/>
    <w:rsid w:val="00091B1C"/>
    <w:rsid w:val="00091D22"/>
    <w:rsid w:val="000A164E"/>
    <w:rsid w:val="000A3057"/>
    <w:rsid w:val="000A7112"/>
    <w:rsid w:val="000B42F4"/>
    <w:rsid w:val="000B6731"/>
    <w:rsid w:val="000B7377"/>
    <w:rsid w:val="000B7F54"/>
    <w:rsid w:val="000C37C8"/>
    <w:rsid w:val="000C6553"/>
    <w:rsid w:val="000C65C8"/>
    <w:rsid w:val="000C6D89"/>
    <w:rsid w:val="000D160F"/>
    <w:rsid w:val="000D1A63"/>
    <w:rsid w:val="000D787D"/>
    <w:rsid w:val="000E01C9"/>
    <w:rsid w:val="000E0DD7"/>
    <w:rsid w:val="000E3259"/>
    <w:rsid w:val="000E5799"/>
    <w:rsid w:val="000F1AEC"/>
    <w:rsid w:val="000F7DBF"/>
    <w:rsid w:val="0010014A"/>
    <w:rsid w:val="00100639"/>
    <w:rsid w:val="00105638"/>
    <w:rsid w:val="00107162"/>
    <w:rsid w:val="00111729"/>
    <w:rsid w:val="0011315B"/>
    <w:rsid w:val="00113E9D"/>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73BF"/>
    <w:rsid w:val="00171E05"/>
    <w:rsid w:val="00172A27"/>
    <w:rsid w:val="001738A2"/>
    <w:rsid w:val="001757CE"/>
    <w:rsid w:val="0018099E"/>
    <w:rsid w:val="00180ACB"/>
    <w:rsid w:val="00183B60"/>
    <w:rsid w:val="00183F9B"/>
    <w:rsid w:val="00186623"/>
    <w:rsid w:val="001879FD"/>
    <w:rsid w:val="00194CF2"/>
    <w:rsid w:val="001A6DCC"/>
    <w:rsid w:val="001B16EE"/>
    <w:rsid w:val="001B25AF"/>
    <w:rsid w:val="001B2D3D"/>
    <w:rsid w:val="001B3DBD"/>
    <w:rsid w:val="001B4377"/>
    <w:rsid w:val="001B666A"/>
    <w:rsid w:val="001C50F0"/>
    <w:rsid w:val="001C7054"/>
    <w:rsid w:val="001C7351"/>
    <w:rsid w:val="001D2321"/>
    <w:rsid w:val="001D2DCD"/>
    <w:rsid w:val="001D494B"/>
    <w:rsid w:val="001D4F36"/>
    <w:rsid w:val="001D5055"/>
    <w:rsid w:val="001D630C"/>
    <w:rsid w:val="001E1304"/>
    <w:rsid w:val="001E191D"/>
    <w:rsid w:val="001E201B"/>
    <w:rsid w:val="001E2873"/>
    <w:rsid w:val="001E5CAC"/>
    <w:rsid w:val="001E6841"/>
    <w:rsid w:val="001E70DC"/>
    <w:rsid w:val="001E725F"/>
    <w:rsid w:val="001F1AF7"/>
    <w:rsid w:val="001F4964"/>
    <w:rsid w:val="001F7063"/>
    <w:rsid w:val="00202B04"/>
    <w:rsid w:val="00204936"/>
    <w:rsid w:val="002051CF"/>
    <w:rsid w:val="002074FD"/>
    <w:rsid w:val="00207C32"/>
    <w:rsid w:val="002100EE"/>
    <w:rsid w:val="00210E74"/>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57D7B"/>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485C"/>
    <w:rsid w:val="002B51B5"/>
    <w:rsid w:val="002B578B"/>
    <w:rsid w:val="002B7904"/>
    <w:rsid w:val="002C2507"/>
    <w:rsid w:val="002C268C"/>
    <w:rsid w:val="002C2E6E"/>
    <w:rsid w:val="002C3623"/>
    <w:rsid w:val="002C3ACC"/>
    <w:rsid w:val="002C6C41"/>
    <w:rsid w:val="002C75D0"/>
    <w:rsid w:val="002C7927"/>
    <w:rsid w:val="002D269B"/>
    <w:rsid w:val="002D5F4A"/>
    <w:rsid w:val="002D7725"/>
    <w:rsid w:val="002E4BD9"/>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27191"/>
    <w:rsid w:val="00341DEB"/>
    <w:rsid w:val="00346A3D"/>
    <w:rsid w:val="00350C20"/>
    <w:rsid w:val="00351616"/>
    <w:rsid w:val="0035412A"/>
    <w:rsid w:val="003548FA"/>
    <w:rsid w:val="00355A74"/>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23A9"/>
    <w:rsid w:val="003934A6"/>
    <w:rsid w:val="00395C2F"/>
    <w:rsid w:val="00396304"/>
    <w:rsid w:val="003973D3"/>
    <w:rsid w:val="00397F89"/>
    <w:rsid w:val="003A0892"/>
    <w:rsid w:val="003A449E"/>
    <w:rsid w:val="003A5701"/>
    <w:rsid w:val="003A71F3"/>
    <w:rsid w:val="003A7A91"/>
    <w:rsid w:val="003B19F5"/>
    <w:rsid w:val="003B787B"/>
    <w:rsid w:val="003C0734"/>
    <w:rsid w:val="003D0404"/>
    <w:rsid w:val="003D0E0A"/>
    <w:rsid w:val="003D1C64"/>
    <w:rsid w:val="003D3684"/>
    <w:rsid w:val="003D3B22"/>
    <w:rsid w:val="003D4380"/>
    <w:rsid w:val="003D7B3D"/>
    <w:rsid w:val="003E1D18"/>
    <w:rsid w:val="003E2A0F"/>
    <w:rsid w:val="003E2F53"/>
    <w:rsid w:val="003E30AE"/>
    <w:rsid w:val="003E5DE4"/>
    <w:rsid w:val="003F626F"/>
    <w:rsid w:val="00401C02"/>
    <w:rsid w:val="00402B32"/>
    <w:rsid w:val="004061B4"/>
    <w:rsid w:val="00407B9C"/>
    <w:rsid w:val="00410C93"/>
    <w:rsid w:val="00411B4A"/>
    <w:rsid w:val="004134DD"/>
    <w:rsid w:val="0041463E"/>
    <w:rsid w:val="0041477F"/>
    <w:rsid w:val="00415A50"/>
    <w:rsid w:val="00417E99"/>
    <w:rsid w:val="00421AF3"/>
    <w:rsid w:val="004227C5"/>
    <w:rsid w:val="00423088"/>
    <w:rsid w:val="00424DE6"/>
    <w:rsid w:val="004326E4"/>
    <w:rsid w:val="00432B1D"/>
    <w:rsid w:val="00433249"/>
    <w:rsid w:val="00435C5E"/>
    <w:rsid w:val="00442061"/>
    <w:rsid w:val="00443B7E"/>
    <w:rsid w:val="0044758D"/>
    <w:rsid w:val="00447EBD"/>
    <w:rsid w:val="0045120D"/>
    <w:rsid w:val="00453B8F"/>
    <w:rsid w:val="00460B42"/>
    <w:rsid w:val="004618C1"/>
    <w:rsid w:val="00462878"/>
    <w:rsid w:val="00462B7C"/>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69B3"/>
    <w:rsid w:val="004A7BA2"/>
    <w:rsid w:val="004B2216"/>
    <w:rsid w:val="004B2C62"/>
    <w:rsid w:val="004B7322"/>
    <w:rsid w:val="004C1DD0"/>
    <w:rsid w:val="004C4D05"/>
    <w:rsid w:val="004C64E4"/>
    <w:rsid w:val="004D1B31"/>
    <w:rsid w:val="004D2334"/>
    <w:rsid w:val="004D3ED5"/>
    <w:rsid w:val="004D43AC"/>
    <w:rsid w:val="004D4C7A"/>
    <w:rsid w:val="004E156F"/>
    <w:rsid w:val="004E55DB"/>
    <w:rsid w:val="004E67C6"/>
    <w:rsid w:val="004F294F"/>
    <w:rsid w:val="004F7957"/>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77280"/>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F1360"/>
    <w:rsid w:val="005F7390"/>
    <w:rsid w:val="0060078B"/>
    <w:rsid w:val="00601DEA"/>
    <w:rsid w:val="00602911"/>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B48"/>
    <w:rsid w:val="00693F89"/>
    <w:rsid w:val="00696C07"/>
    <w:rsid w:val="006A064C"/>
    <w:rsid w:val="006A100B"/>
    <w:rsid w:val="006A143A"/>
    <w:rsid w:val="006A3285"/>
    <w:rsid w:val="006B0567"/>
    <w:rsid w:val="006B31C3"/>
    <w:rsid w:val="006B5B5E"/>
    <w:rsid w:val="006B5FA2"/>
    <w:rsid w:val="006B72DE"/>
    <w:rsid w:val="006B763A"/>
    <w:rsid w:val="006C32C0"/>
    <w:rsid w:val="006C4949"/>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56BC"/>
    <w:rsid w:val="006F5925"/>
    <w:rsid w:val="00701D7F"/>
    <w:rsid w:val="00702166"/>
    <w:rsid w:val="00704569"/>
    <w:rsid w:val="00704E5D"/>
    <w:rsid w:val="00705739"/>
    <w:rsid w:val="00705B4D"/>
    <w:rsid w:val="00707482"/>
    <w:rsid w:val="00710AE5"/>
    <w:rsid w:val="00714BF1"/>
    <w:rsid w:val="00714F38"/>
    <w:rsid w:val="00715BCB"/>
    <w:rsid w:val="00715EFF"/>
    <w:rsid w:val="00715FB5"/>
    <w:rsid w:val="007171A6"/>
    <w:rsid w:val="0071799D"/>
    <w:rsid w:val="00726088"/>
    <w:rsid w:val="00730B6A"/>
    <w:rsid w:val="0073172B"/>
    <w:rsid w:val="00736D88"/>
    <w:rsid w:val="00736DD2"/>
    <w:rsid w:val="00740EC7"/>
    <w:rsid w:val="0074681C"/>
    <w:rsid w:val="00746EC2"/>
    <w:rsid w:val="00757E02"/>
    <w:rsid w:val="0077305F"/>
    <w:rsid w:val="00776469"/>
    <w:rsid w:val="007821BD"/>
    <w:rsid w:val="00787FCA"/>
    <w:rsid w:val="00790B21"/>
    <w:rsid w:val="00794382"/>
    <w:rsid w:val="007959AC"/>
    <w:rsid w:val="007A0CDD"/>
    <w:rsid w:val="007A20E0"/>
    <w:rsid w:val="007B2204"/>
    <w:rsid w:val="007B4B60"/>
    <w:rsid w:val="007B4D85"/>
    <w:rsid w:val="007B6BEB"/>
    <w:rsid w:val="007C17F1"/>
    <w:rsid w:val="007C4014"/>
    <w:rsid w:val="007C610F"/>
    <w:rsid w:val="007C62A7"/>
    <w:rsid w:val="007C6B0F"/>
    <w:rsid w:val="007D47A4"/>
    <w:rsid w:val="007D5365"/>
    <w:rsid w:val="007D763D"/>
    <w:rsid w:val="007D7A44"/>
    <w:rsid w:val="007D7E65"/>
    <w:rsid w:val="007E19E0"/>
    <w:rsid w:val="007E2EAF"/>
    <w:rsid w:val="007E78B4"/>
    <w:rsid w:val="007F411F"/>
    <w:rsid w:val="008041D4"/>
    <w:rsid w:val="0081156A"/>
    <w:rsid w:val="00812C9B"/>
    <w:rsid w:val="00813391"/>
    <w:rsid w:val="00816212"/>
    <w:rsid w:val="00825D43"/>
    <w:rsid w:val="00827398"/>
    <w:rsid w:val="00830FAD"/>
    <w:rsid w:val="00830FE9"/>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A068B"/>
    <w:rsid w:val="008A19AF"/>
    <w:rsid w:val="008A20FB"/>
    <w:rsid w:val="008A34D7"/>
    <w:rsid w:val="008A77DF"/>
    <w:rsid w:val="008C2CDC"/>
    <w:rsid w:val="008C3A07"/>
    <w:rsid w:val="008C4C84"/>
    <w:rsid w:val="008C510F"/>
    <w:rsid w:val="008C7C27"/>
    <w:rsid w:val="008D067F"/>
    <w:rsid w:val="008D599A"/>
    <w:rsid w:val="008E510A"/>
    <w:rsid w:val="008E66B8"/>
    <w:rsid w:val="008E7F09"/>
    <w:rsid w:val="008F06F0"/>
    <w:rsid w:val="008F0A2E"/>
    <w:rsid w:val="008F0CD0"/>
    <w:rsid w:val="008F1988"/>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7713"/>
    <w:rsid w:val="009460FF"/>
    <w:rsid w:val="0094759E"/>
    <w:rsid w:val="00947BE4"/>
    <w:rsid w:val="00950969"/>
    <w:rsid w:val="0095455E"/>
    <w:rsid w:val="0095547F"/>
    <w:rsid w:val="0096045D"/>
    <w:rsid w:val="00961363"/>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938"/>
    <w:rsid w:val="00A12A3A"/>
    <w:rsid w:val="00A13E12"/>
    <w:rsid w:val="00A15281"/>
    <w:rsid w:val="00A22646"/>
    <w:rsid w:val="00A230F5"/>
    <w:rsid w:val="00A26FF7"/>
    <w:rsid w:val="00A30230"/>
    <w:rsid w:val="00A31363"/>
    <w:rsid w:val="00A33077"/>
    <w:rsid w:val="00A37A20"/>
    <w:rsid w:val="00A4348E"/>
    <w:rsid w:val="00A445DC"/>
    <w:rsid w:val="00A44BEA"/>
    <w:rsid w:val="00A50CC8"/>
    <w:rsid w:val="00A51253"/>
    <w:rsid w:val="00A515AC"/>
    <w:rsid w:val="00A52F5E"/>
    <w:rsid w:val="00A55B14"/>
    <w:rsid w:val="00A569E8"/>
    <w:rsid w:val="00A57FAF"/>
    <w:rsid w:val="00A601C4"/>
    <w:rsid w:val="00A62C1D"/>
    <w:rsid w:val="00A711C6"/>
    <w:rsid w:val="00A715DC"/>
    <w:rsid w:val="00A73ED0"/>
    <w:rsid w:val="00A74A25"/>
    <w:rsid w:val="00A76720"/>
    <w:rsid w:val="00A831ED"/>
    <w:rsid w:val="00A839D5"/>
    <w:rsid w:val="00A84863"/>
    <w:rsid w:val="00A86A72"/>
    <w:rsid w:val="00A9064A"/>
    <w:rsid w:val="00A94259"/>
    <w:rsid w:val="00A95D95"/>
    <w:rsid w:val="00A977EC"/>
    <w:rsid w:val="00AA3FD1"/>
    <w:rsid w:val="00AA52DE"/>
    <w:rsid w:val="00AA61AF"/>
    <w:rsid w:val="00AB11B3"/>
    <w:rsid w:val="00AB2AE5"/>
    <w:rsid w:val="00AB5C37"/>
    <w:rsid w:val="00AB5ED3"/>
    <w:rsid w:val="00AB6B0C"/>
    <w:rsid w:val="00AB70CD"/>
    <w:rsid w:val="00AC0153"/>
    <w:rsid w:val="00AC4898"/>
    <w:rsid w:val="00AC48B3"/>
    <w:rsid w:val="00AC7AC9"/>
    <w:rsid w:val="00AD0FB6"/>
    <w:rsid w:val="00AD387D"/>
    <w:rsid w:val="00AD7A01"/>
    <w:rsid w:val="00AE1920"/>
    <w:rsid w:val="00AF01B3"/>
    <w:rsid w:val="00AF0F13"/>
    <w:rsid w:val="00AF1E76"/>
    <w:rsid w:val="00AF7992"/>
    <w:rsid w:val="00AF7CDD"/>
    <w:rsid w:val="00B00AB3"/>
    <w:rsid w:val="00B100B0"/>
    <w:rsid w:val="00B11266"/>
    <w:rsid w:val="00B12F22"/>
    <w:rsid w:val="00B14C52"/>
    <w:rsid w:val="00B1648A"/>
    <w:rsid w:val="00B200AA"/>
    <w:rsid w:val="00B2010B"/>
    <w:rsid w:val="00B2231D"/>
    <w:rsid w:val="00B24669"/>
    <w:rsid w:val="00B2488E"/>
    <w:rsid w:val="00B25EB3"/>
    <w:rsid w:val="00B30F32"/>
    <w:rsid w:val="00B310AA"/>
    <w:rsid w:val="00B35AD9"/>
    <w:rsid w:val="00B40808"/>
    <w:rsid w:val="00B40B6C"/>
    <w:rsid w:val="00B414F1"/>
    <w:rsid w:val="00B469DA"/>
    <w:rsid w:val="00B478C3"/>
    <w:rsid w:val="00B504BC"/>
    <w:rsid w:val="00B52715"/>
    <w:rsid w:val="00B55E04"/>
    <w:rsid w:val="00B5720F"/>
    <w:rsid w:val="00B57C81"/>
    <w:rsid w:val="00B60B09"/>
    <w:rsid w:val="00B60EF6"/>
    <w:rsid w:val="00B61348"/>
    <w:rsid w:val="00B6263F"/>
    <w:rsid w:val="00B67114"/>
    <w:rsid w:val="00B7521D"/>
    <w:rsid w:val="00B75449"/>
    <w:rsid w:val="00B76409"/>
    <w:rsid w:val="00B7754B"/>
    <w:rsid w:val="00B81284"/>
    <w:rsid w:val="00B8134B"/>
    <w:rsid w:val="00B81DB1"/>
    <w:rsid w:val="00B878A8"/>
    <w:rsid w:val="00B97CB5"/>
    <w:rsid w:val="00BA29D8"/>
    <w:rsid w:val="00BA527C"/>
    <w:rsid w:val="00BA7F6B"/>
    <w:rsid w:val="00BB17AE"/>
    <w:rsid w:val="00BB69A7"/>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1090C"/>
    <w:rsid w:val="00C229E8"/>
    <w:rsid w:val="00C240C8"/>
    <w:rsid w:val="00C26513"/>
    <w:rsid w:val="00C328C9"/>
    <w:rsid w:val="00C3366E"/>
    <w:rsid w:val="00C35BA8"/>
    <w:rsid w:val="00C37F72"/>
    <w:rsid w:val="00C40FC5"/>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54A3"/>
    <w:rsid w:val="00CF156B"/>
    <w:rsid w:val="00CF1E02"/>
    <w:rsid w:val="00CF3752"/>
    <w:rsid w:val="00CF5056"/>
    <w:rsid w:val="00CF597A"/>
    <w:rsid w:val="00D0103F"/>
    <w:rsid w:val="00D05BAA"/>
    <w:rsid w:val="00D06BC8"/>
    <w:rsid w:val="00D07904"/>
    <w:rsid w:val="00D07F26"/>
    <w:rsid w:val="00D10F16"/>
    <w:rsid w:val="00D11A09"/>
    <w:rsid w:val="00D13B7A"/>
    <w:rsid w:val="00D15EF7"/>
    <w:rsid w:val="00D1725B"/>
    <w:rsid w:val="00D226DA"/>
    <w:rsid w:val="00D22C4B"/>
    <w:rsid w:val="00D230C7"/>
    <w:rsid w:val="00D23E7D"/>
    <w:rsid w:val="00D2405F"/>
    <w:rsid w:val="00D2499D"/>
    <w:rsid w:val="00D25F38"/>
    <w:rsid w:val="00D30C7F"/>
    <w:rsid w:val="00D358A0"/>
    <w:rsid w:val="00D40324"/>
    <w:rsid w:val="00D41BA9"/>
    <w:rsid w:val="00D429B6"/>
    <w:rsid w:val="00D4511A"/>
    <w:rsid w:val="00D46443"/>
    <w:rsid w:val="00D50ED7"/>
    <w:rsid w:val="00D52376"/>
    <w:rsid w:val="00D54487"/>
    <w:rsid w:val="00D55000"/>
    <w:rsid w:val="00D57DC0"/>
    <w:rsid w:val="00D57EF8"/>
    <w:rsid w:val="00D612C2"/>
    <w:rsid w:val="00D61FE1"/>
    <w:rsid w:val="00D62AF2"/>
    <w:rsid w:val="00D66427"/>
    <w:rsid w:val="00D745E0"/>
    <w:rsid w:val="00D7537C"/>
    <w:rsid w:val="00D76AA3"/>
    <w:rsid w:val="00D80136"/>
    <w:rsid w:val="00D80604"/>
    <w:rsid w:val="00D841D8"/>
    <w:rsid w:val="00D86F6B"/>
    <w:rsid w:val="00D870DF"/>
    <w:rsid w:val="00D87346"/>
    <w:rsid w:val="00D901C3"/>
    <w:rsid w:val="00D92475"/>
    <w:rsid w:val="00D96413"/>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E1E39"/>
    <w:rsid w:val="00DE20B3"/>
    <w:rsid w:val="00DE79FC"/>
    <w:rsid w:val="00DF3959"/>
    <w:rsid w:val="00DF47D6"/>
    <w:rsid w:val="00DF4D5A"/>
    <w:rsid w:val="00DF5425"/>
    <w:rsid w:val="00DF70A5"/>
    <w:rsid w:val="00DF782C"/>
    <w:rsid w:val="00E030A0"/>
    <w:rsid w:val="00E04F16"/>
    <w:rsid w:val="00E075A1"/>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7F6B"/>
    <w:rsid w:val="00E6234F"/>
    <w:rsid w:val="00E62E89"/>
    <w:rsid w:val="00E654CC"/>
    <w:rsid w:val="00E67AC7"/>
    <w:rsid w:val="00E7076B"/>
    <w:rsid w:val="00E720F4"/>
    <w:rsid w:val="00E7342C"/>
    <w:rsid w:val="00E736F7"/>
    <w:rsid w:val="00E753F9"/>
    <w:rsid w:val="00E75D8A"/>
    <w:rsid w:val="00E76363"/>
    <w:rsid w:val="00E77C78"/>
    <w:rsid w:val="00E84D0F"/>
    <w:rsid w:val="00E90BE3"/>
    <w:rsid w:val="00E90D6F"/>
    <w:rsid w:val="00E91D81"/>
    <w:rsid w:val="00E9272C"/>
    <w:rsid w:val="00E92BC2"/>
    <w:rsid w:val="00E97617"/>
    <w:rsid w:val="00EA010E"/>
    <w:rsid w:val="00EA5B63"/>
    <w:rsid w:val="00EA5E18"/>
    <w:rsid w:val="00EB1E33"/>
    <w:rsid w:val="00EB700A"/>
    <w:rsid w:val="00EC06D9"/>
    <w:rsid w:val="00EC0881"/>
    <w:rsid w:val="00EC1CF8"/>
    <w:rsid w:val="00ED12BA"/>
    <w:rsid w:val="00EE1C19"/>
    <w:rsid w:val="00EE2501"/>
    <w:rsid w:val="00EE6911"/>
    <w:rsid w:val="00EF6D51"/>
    <w:rsid w:val="00F018DF"/>
    <w:rsid w:val="00F0650A"/>
    <w:rsid w:val="00F131D1"/>
    <w:rsid w:val="00F16313"/>
    <w:rsid w:val="00F20FF1"/>
    <w:rsid w:val="00F26039"/>
    <w:rsid w:val="00F27592"/>
    <w:rsid w:val="00F27654"/>
    <w:rsid w:val="00F3217B"/>
    <w:rsid w:val="00F32641"/>
    <w:rsid w:val="00F35457"/>
    <w:rsid w:val="00F3595B"/>
    <w:rsid w:val="00F367F3"/>
    <w:rsid w:val="00F36A26"/>
    <w:rsid w:val="00F41F54"/>
    <w:rsid w:val="00F426A6"/>
    <w:rsid w:val="00F429FD"/>
    <w:rsid w:val="00F4623C"/>
    <w:rsid w:val="00F56399"/>
    <w:rsid w:val="00F605BB"/>
    <w:rsid w:val="00F614F8"/>
    <w:rsid w:val="00F62561"/>
    <w:rsid w:val="00F73226"/>
    <w:rsid w:val="00F7709C"/>
    <w:rsid w:val="00F7750A"/>
    <w:rsid w:val="00F80006"/>
    <w:rsid w:val="00F80084"/>
    <w:rsid w:val="00F807B0"/>
    <w:rsid w:val="00F811C7"/>
    <w:rsid w:val="00F81700"/>
    <w:rsid w:val="00F90355"/>
    <w:rsid w:val="00F905AD"/>
    <w:rsid w:val="00F906FC"/>
    <w:rsid w:val="00F91B07"/>
    <w:rsid w:val="00F92C65"/>
    <w:rsid w:val="00F95676"/>
    <w:rsid w:val="00F96401"/>
    <w:rsid w:val="00FA3F8B"/>
    <w:rsid w:val="00FA5808"/>
    <w:rsid w:val="00FA767D"/>
    <w:rsid w:val="00FB10C5"/>
    <w:rsid w:val="00FB5358"/>
    <w:rsid w:val="00FC3C96"/>
    <w:rsid w:val="00FC4EC2"/>
    <w:rsid w:val="00FC63AB"/>
    <w:rsid w:val="00FC7633"/>
    <w:rsid w:val="00FD05E5"/>
    <w:rsid w:val="00FD2470"/>
    <w:rsid w:val="00FD5823"/>
    <w:rsid w:val="00FD6DD9"/>
    <w:rsid w:val="00FE1C27"/>
    <w:rsid w:val="00FE1CF1"/>
    <w:rsid w:val="00FE34AE"/>
    <w:rsid w:val="00FE5C31"/>
    <w:rsid w:val="00FE5F64"/>
    <w:rsid w:val="00FF1B0E"/>
    <w:rsid w:val="00FF748B"/>
    <w:rsid w:val="00FF77B6"/>
    <w:rsid w:val="01056664"/>
    <w:rsid w:val="011C0103"/>
    <w:rsid w:val="0123584C"/>
    <w:rsid w:val="01246812"/>
    <w:rsid w:val="01266B4B"/>
    <w:rsid w:val="012F50E1"/>
    <w:rsid w:val="0132783D"/>
    <w:rsid w:val="01327A82"/>
    <w:rsid w:val="01372DC6"/>
    <w:rsid w:val="013A66DD"/>
    <w:rsid w:val="013A68B9"/>
    <w:rsid w:val="013F3A77"/>
    <w:rsid w:val="014207E1"/>
    <w:rsid w:val="014B4F7B"/>
    <w:rsid w:val="01514AC5"/>
    <w:rsid w:val="01530B13"/>
    <w:rsid w:val="015D6670"/>
    <w:rsid w:val="016246EC"/>
    <w:rsid w:val="01673A74"/>
    <w:rsid w:val="0168051F"/>
    <w:rsid w:val="016D351E"/>
    <w:rsid w:val="0172227D"/>
    <w:rsid w:val="01747E56"/>
    <w:rsid w:val="017768FF"/>
    <w:rsid w:val="017C6D0A"/>
    <w:rsid w:val="01815229"/>
    <w:rsid w:val="0184770E"/>
    <w:rsid w:val="01962FD2"/>
    <w:rsid w:val="01964B22"/>
    <w:rsid w:val="01985A6F"/>
    <w:rsid w:val="019953A2"/>
    <w:rsid w:val="019A5CA0"/>
    <w:rsid w:val="019C7C78"/>
    <w:rsid w:val="01AE557C"/>
    <w:rsid w:val="01C50B57"/>
    <w:rsid w:val="01C94987"/>
    <w:rsid w:val="01CE3A0A"/>
    <w:rsid w:val="01D435A5"/>
    <w:rsid w:val="01D61794"/>
    <w:rsid w:val="01D978C9"/>
    <w:rsid w:val="01DC464C"/>
    <w:rsid w:val="01DD59FB"/>
    <w:rsid w:val="01DE7DB1"/>
    <w:rsid w:val="01EC5C3E"/>
    <w:rsid w:val="01EC6ED3"/>
    <w:rsid w:val="01F37D39"/>
    <w:rsid w:val="02064FCA"/>
    <w:rsid w:val="020940A9"/>
    <w:rsid w:val="02111989"/>
    <w:rsid w:val="0213766F"/>
    <w:rsid w:val="02147E04"/>
    <w:rsid w:val="021C2BDE"/>
    <w:rsid w:val="021E44BA"/>
    <w:rsid w:val="021F0D77"/>
    <w:rsid w:val="02210B4C"/>
    <w:rsid w:val="0232034D"/>
    <w:rsid w:val="02337D11"/>
    <w:rsid w:val="02381D9F"/>
    <w:rsid w:val="02393119"/>
    <w:rsid w:val="02395941"/>
    <w:rsid w:val="023D0B8F"/>
    <w:rsid w:val="023D5DE9"/>
    <w:rsid w:val="02401FE2"/>
    <w:rsid w:val="02420477"/>
    <w:rsid w:val="02440CF8"/>
    <w:rsid w:val="02441F1E"/>
    <w:rsid w:val="024D3FD4"/>
    <w:rsid w:val="02516F48"/>
    <w:rsid w:val="025A529E"/>
    <w:rsid w:val="025C1016"/>
    <w:rsid w:val="02637303"/>
    <w:rsid w:val="0265564A"/>
    <w:rsid w:val="026F7C66"/>
    <w:rsid w:val="027431B7"/>
    <w:rsid w:val="027B7EDC"/>
    <w:rsid w:val="027E07FC"/>
    <w:rsid w:val="027E49FA"/>
    <w:rsid w:val="02821EC7"/>
    <w:rsid w:val="02830AE3"/>
    <w:rsid w:val="028A358E"/>
    <w:rsid w:val="029307AF"/>
    <w:rsid w:val="0294463C"/>
    <w:rsid w:val="02981BF3"/>
    <w:rsid w:val="02A15075"/>
    <w:rsid w:val="02A20E42"/>
    <w:rsid w:val="02A93D50"/>
    <w:rsid w:val="02AA6018"/>
    <w:rsid w:val="02AC72EA"/>
    <w:rsid w:val="02B01361"/>
    <w:rsid w:val="02B04B7F"/>
    <w:rsid w:val="02B16EA6"/>
    <w:rsid w:val="02B3728F"/>
    <w:rsid w:val="02B726F0"/>
    <w:rsid w:val="02B75B9A"/>
    <w:rsid w:val="02BB20F9"/>
    <w:rsid w:val="02CB04E9"/>
    <w:rsid w:val="02D00C06"/>
    <w:rsid w:val="02D4293B"/>
    <w:rsid w:val="02DA57A9"/>
    <w:rsid w:val="02E0420E"/>
    <w:rsid w:val="02E45CCA"/>
    <w:rsid w:val="02F41B9B"/>
    <w:rsid w:val="02F474A0"/>
    <w:rsid w:val="02F9535C"/>
    <w:rsid w:val="02FA3649"/>
    <w:rsid w:val="0302061B"/>
    <w:rsid w:val="03021945"/>
    <w:rsid w:val="03041A7E"/>
    <w:rsid w:val="03096539"/>
    <w:rsid w:val="030A0A72"/>
    <w:rsid w:val="03167325"/>
    <w:rsid w:val="031D766C"/>
    <w:rsid w:val="031F5CCD"/>
    <w:rsid w:val="03224369"/>
    <w:rsid w:val="03232523"/>
    <w:rsid w:val="032A353E"/>
    <w:rsid w:val="032A6C66"/>
    <w:rsid w:val="032F2286"/>
    <w:rsid w:val="0332621A"/>
    <w:rsid w:val="033705FE"/>
    <w:rsid w:val="03391357"/>
    <w:rsid w:val="033C5E0D"/>
    <w:rsid w:val="034B7137"/>
    <w:rsid w:val="034E6B36"/>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219EA"/>
    <w:rsid w:val="03A5079A"/>
    <w:rsid w:val="03AA6D8F"/>
    <w:rsid w:val="03AD2F6B"/>
    <w:rsid w:val="03AD58A1"/>
    <w:rsid w:val="03B4319F"/>
    <w:rsid w:val="03B70147"/>
    <w:rsid w:val="03B8409E"/>
    <w:rsid w:val="03BA26C0"/>
    <w:rsid w:val="03BB5EB1"/>
    <w:rsid w:val="03BF010F"/>
    <w:rsid w:val="03C06164"/>
    <w:rsid w:val="03C63FB3"/>
    <w:rsid w:val="03C920ED"/>
    <w:rsid w:val="03CF3C93"/>
    <w:rsid w:val="03CF4D7B"/>
    <w:rsid w:val="03D313B2"/>
    <w:rsid w:val="03D35563"/>
    <w:rsid w:val="03DA0D79"/>
    <w:rsid w:val="03DA330E"/>
    <w:rsid w:val="03DD130B"/>
    <w:rsid w:val="03E27CBD"/>
    <w:rsid w:val="03E47515"/>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55AD9"/>
    <w:rsid w:val="04480C5A"/>
    <w:rsid w:val="044B17BC"/>
    <w:rsid w:val="04581CB1"/>
    <w:rsid w:val="045A3333"/>
    <w:rsid w:val="04621119"/>
    <w:rsid w:val="04642403"/>
    <w:rsid w:val="046B5540"/>
    <w:rsid w:val="046F18B1"/>
    <w:rsid w:val="047240A1"/>
    <w:rsid w:val="047418B2"/>
    <w:rsid w:val="047832FC"/>
    <w:rsid w:val="04792E06"/>
    <w:rsid w:val="047F307B"/>
    <w:rsid w:val="04894A74"/>
    <w:rsid w:val="048D46C1"/>
    <w:rsid w:val="049115B6"/>
    <w:rsid w:val="04916795"/>
    <w:rsid w:val="049422C9"/>
    <w:rsid w:val="049C61FC"/>
    <w:rsid w:val="04A974FE"/>
    <w:rsid w:val="04AA40EF"/>
    <w:rsid w:val="04AB3B8E"/>
    <w:rsid w:val="04AD368C"/>
    <w:rsid w:val="04AF4C7D"/>
    <w:rsid w:val="04AF678D"/>
    <w:rsid w:val="04B32ED9"/>
    <w:rsid w:val="04B5719B"/>
    <w:rsid w:val="04BE6918"/>
    <w:rsid w:val="04C44478"/>
    <w:rsid w:val="04C904B8"/>
    <w:rsid w:val="04C92FB5"/>
    <w:rsid w:val="04DA7714"/>
    <w:rsid w:val="04E5490C"/>
    <w:rsid w:val="04EC056D"/>
    <w:rsid w:val="04F60562"/>
    <w:rsid w:val="04F86C6C"/>
    <w:rsid w:val="04FF4BFD"/>
    <w:rsid w:val="05055A52"/>
    <w:rsid w:val="05073D2D"/>
    <w:rsid w:val="050C6C36"/>
    <w:rsid w:val="050F6813"/>
    <w:rsid w:val="05177476"/>
    <w:rsid w:val="051B572E"/>
    <w:rsid w:val="051D030C"/>
    <w:rsid w:val="05205AFD"/>
    <w:rsid w:val="05261CB8"/>
    <w:rsid w:val="05334DC9"/>
    <w:rsid w:val="05380D96"/>
    <w:rsid w:val="053E4293"/>
    <w:rsid w:val="05401C2D"/>
    <w:rsid w:val="054D6798"/>
    <w:rsid w:val="05515A58"/>
    <w:rsid w:val="055A7C97"/>
    <w:rsid w:val="05634469"/>
    <w:rsid w:val="056E3781"/>
    <w:rsid w:val="057220CC"/>
    <w:rsid w:val="05793650"/>
    <w:rsid w:val="05795B43"/>
    <w:rsid w:val="057C6238"/>
    <w:rsid w:val="05883ED0"/>
    <w:rsid w:val="058B3E67"/>
    <w:rsid w:val="059554DA"/>
    <w:rsid w:val="059850E1"/>
    <w:rsid w:val="059A7E4B"/>
    <w:rsid w:val="059C5893"/>
    <w:rsid w:val="05A253A9"/>
    <w:rsid w:val="05A41DF0"/>
    <w:rsid w:val="05A4669D"/>
    <w:rsid w:val="05A625A8"/>
    <w:rsid w:val="05A9002C"/>
    <w:rsid w:val="05A946D5"/>
    <w:rsid w:val="05AC4BAC"/>
    <w:rsid w:val="05B03EDB"/>
    <w:rsid w:val="05B61ED4"/>
    <w:rsid w:val="05B86E6A"/>
    <w:rsid w:val="05BC4295"/>
    <w:rsid w:val="05BF1F25"/>
    <w:rsid w:val="05C236AF"/>
    <w:rsid w:val="05C50CB2"/>
    <w:rsid w:val="05C55124"/>
    <w:rsid w:val="05CA5AEF"/>
    <w:rsid w:val="05CF5FA2"/>
    <w:rsid w:val="05D019F1"/>
    <w:rsid w:val="05D11D1B"/>
    <w:rsid w:val="05DF3456"/>
    <w:rsid w:val="05E11883"/>
    <w:rsid w:val="05E65019"/>
    <w:rsid w:val="05E666F6"/>
    <w:rsid w:val="05EB6B22"/>
    <w:rsid w:val="05F2358A"/>
    <w:rsid w:val="05FC6EA6"/>
    <w:rsid w:val="060471D3"/>
    <w:rsid w:val="0608308D"/>
    <w:rsid w:val="060D7B7F"/>
    <w:rsid w:val="061614DB"/>
    <w:rsid w:val="061D727E"/>
    <w:rsid w:val="06220888"/>
    <w:rsid w:val="06243E1D"/>
    <w:rsid w:val="062A71AC"/>
    <w:rsid w:val="062C51A3"/>
    <w:rsid w:val="06325BF4"/>
    <w:rsid w:val="06367DD0"/>
    <w:rsid w:val="063B590B"/>
    <w:rsid w:val="063D2F0C"/>
    <w:rsid w:val="063D47E5"/>
    <w:rsid w:val="063E0174"/>
    <w:rsid w:val="06401EF3"/>
    <w:rsid w:val="06415F8F"/>
    <w:rsid w:val="06431377"/>
    <w:rsid w:val="06547798"/>
    <w:rsid w:val="06587D46"/>
    <w:rsid w:val="06615EC2"/>
    <w:rsid w:val="06645072"/>
    <w:rsid w:val="066E0546"/>
    <w:rsid w:val="067322B0"/>
    <w:rsid w:val="06747E2F"/>
    <w:rsid w:val="06795232"/>
    <w:rsid w:val="067B126A"/>
    <w:rsid w:val="067D21B2"/>
    <w:rsid w:val="06833B6B"/>
    <w:rsid w:val="068511F9"/>
    <w:rsid w:val="068D312B"/>
    <w:rsid w:val="06921C7D"/>
    <w:rsid w:val="069D20B4"/>
    <w:rsid w:val="06A04B10"/>
    <w:rsid w:val="06A36508"/>
    <w:rsid w:val="06AC2ACE"/>
    <w:rsid w:val="06AC6D49"/>
    <w:rsid w:val="06AF22F7"/>
    <w:rsid w:val="06C71E01"/>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560B6"/>
    <w:rsid w:val="072A2D82"/>
    <w:rsid w:val="072E57F1"/>
    <w:rsid w:val="0735351D"/>
    <w:rsid w:val="07381E43"/>
    <w:rsid w:val="073836D3"/>
    <w:rsid w:val="07392F8E"/>
    <w:rsid w:val="073C2AFB"/>
    <w:rsid w:val="073C66EB"/>
    <w:rsid w:val="073C7668"/>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5A9B"/>
    <w:rsid w:val="07A025FC"/>
    <w:rsid w:val="07A30258"/>
    <w:rsid w:val="07A37377"/>
    <w:rsid w:val="07A50D69"/>
    <w:rsid w:val="07A65996"/>
    <w:rsid w:val="07B0189D"/>
    <w:rsid w:val="07B01B10"/>
    <w:rsid w:val="07B21FEE"/>
    <w:rsid w:val="07C5140B"/>
    <w:rsid w:val="07CB5F71"/>
    <w:rsid w:val="07CE6F21"/>
    <w:rsid w:val="07D11D9F"/>
    <w:rsid w:val="07D751EE"/>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06969"/>
    <w:rsid w:val="084105D1"/>
    <w:rsid w:val="08430A92"/>
    <w:rsid w:val="0844358D"/>
    <w:rsid w:val="084F54D5"/>
    <w:rsid w:val="08520E83"/>
    <w:rsid w:val="085B790A"/>
    <w:rsid w:val="086234FA"/>
    <w:rsid w:val="086B2057"/>
    <w:rsid w:val="086F0BD1"/>
    <w:rsid w:val="087A025D"/>
    <w:rsid w:val="087A061F"/>
    <w:rsid w:val="087A48E9"/>
    <w:rsid w:val="087C41AE"/>
    <w:rsid w:val="087C5E83"/>
    <w:rsid w:val="088613DE"/>
    <w:rsid w:val="08982261"/>
    <w:rsid w:val="089963F4"/>
    <w:rsid w:val="089C5A04"/>
    <w:rsid w:val="08A0467E"/>
    <w:rsid w:val="08A444E1"/>
    <w:rsid w:val="08B002B5"/>
    <w:rsid w:val="08B20F06"/>
    <w:rsid w:val="08BA3379"/>
    <w:rsid w:val="08C84E5F"/>
    <w:rsid w:val="08CF4B03"/>
    <w:rsid w:val="08D15B8E"/>
    <w:rsid w:val="08D16C79"/>
    <w:rsid w:val="08D40888"/>
    <w:rsid w:val="08D91607"/>
    <w:rsid w:val="08DC6402"/>
    <w:rsid w:val="08E13590"/>
    <w:rsid w:val="08E21B49"/>
    <w:rsid w:val="08E82B72"/>
    <w:rsid w:val="08EB57B3"/>
    <w:rsid w:val="08EC4981"/>
    <w:rsid w:val="08F12AD4"/>
    <w:rsid w:val="08F24482"/>
    <w:rsid w:val="08F71A98"/>
    <w:rsid w:val="08FA76FC"/>
    <w:rsid w:val="08FC5DC2"/>
    <w:rsid w:val="08FD01AA"/>
    <w:rsid w:val="08FF77BF"/>
    <w:rsid w:val="0902043D"/>
    <w:rsid w:val="09067A3E"/>
    <w:rsid w:val="09172553"/>
    <w:rsid w:val="092343EE"/>
    <w:rsid w:val="0925342B"/>
    <w:rsid w:val="09265C5A"/>
    <w:rsid w:val="09274E52"/>
    <w:rsid w:val="092D053D"/>
    <w:rsid w:val="092E42B3"/>
    <w:rsid w:val="093729E1"/>
    <w:rsid w:val="093802CC"/>
    <w:rsid w:val="093B1C38"/>
    <w:rsid w:val="093B47AB"/>
    <w:rsid w:val="093C1419"/>
    <w:rsid w:val="093C56FD"/>
    <w:rsid w:val="093D6E32"/>
    <w:rsid w:val="09460B2C"/>
    <w:rsid w:val="095078F6"/>
    <w:rsid w:val="09547283"/>
    <w:rsid w:val="0955056D"/>
    <w:rsid w:val="095C1E56"/>
    <w:rsid w:val="09617E80"/>
    <w:rsid w:val="09657494"/>
    <w:rsid w:val="09741D15"/>
    <w:rsid w:val="0978475E"/>
    <w:rsid w:val="097C06E7"/>
    <w:rsid w:val="097D1872"/>
    <w:rsid w:val="09811362"/>
    <w:rsid w:val="099059EB"/>
    <w:rsid w:val="099318F4"/>
    <w:rsid w:val="09945541"/>
    <w:rsid w:val="099948FD"/>
    <w:rsid w:val="099F010E"/>
    <w:rsid w:val="09A02008"/>
    <w:rsid w:val="09A950C0"/>
    <w:rsid w:val="09AA41BB"/>
    <w:rsid w:val="09AE1D08"/>
    <w:rsid w:val="09B03B97"/>
    <w:rsid w:val="09B57309"/>
    <w:rsid w:val="09BE4364"/>
    <w:rsid w:val="09C003E3"/>
    <w:rsid w:val="09C4222A"/>
    <w:rsid w:val="09C450C5"/>
    <w:rsid w:val="09C9564B"/>
    <w:rsid w:val="09CC24CE"/>
    <w:rsid w:val="09D03ABE"/>
    <w:rsid w:val="09D22C8E"/>
    <w:rsid w:val="09D97A7C"/>
    <w:rsid w:val="09DA7220"/>
    <w:rsid w:val="09E85885"/>
    <w:rsid w:val="0A037FC9"/>
    <w:rsid w:val="0A0855DF"/>
    <w:rsid w:val="0A110978"/>
    <w:rsid w:val="0A1165D8"/>
    <w:rsid w:val="0A1B48E6"/>
    <w:rsid w:val="0A1D023F"/>
    <w:rsid w:val="0A1D319C"/>
    <w:rsid w:val="0A1F5F84"/>
    <w:rsid w:val="0A2A3A0C"/>
    <w:rsid w:val="0A2E4B32"/>
    <w:rsid w:val="0A2F3035"/>
    <w:rsid w:val="0A3012D1"/>
    <w:rsid w:val="0A31311B"/>
    <w:rsid w:val="0A317AB6"/>
    <w:rsid w:val="0A33186E"/>
    <w:rsid w:val="0A3522FF"/>
    <w:rsid w:val="0A3C4E60"/>
    <w:rsid w:val="0A42023E"/>
    <w:rsid w:val="0A477CF0"/>
    <w:rsid w:val="0A4A0770"/>
    <w:rsid w:val="0A4B7454"/>
    <w:rsid w:val="0A4F35AF"/>
    <w:rsid w:val="0A4F467E"/>
    <w:rsid w:val="0A51425D"/>
    <w:rsid w:val="0A5A1ABE"/>
    <w:rsid w:val="0A5D1DCF"/>
    <w:rsid w:val="0A5D1EFF"/>
    <w:rsid w:val="0A615356"/>
    <w:rsid w:val="0A6305E4"/>
    <w:rsid w:val="0A6632A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CE593B"/>
    <w:rsid w:val="0AD007F3"/>
    <w:rsid w:val="0ADF0E97"/>
    <w:rsid w:val="0AE24082"/>
    <w:rsid w:val="0AE47F3E"/>
    <w:rsid w:val="0AE76079"/>
    <w:rsid w:val="0AEA05E4"/>
    <w:rsid w:val="0AF32F38"/>
    <w:rsid w:val="0B024FFB"/>
    <w:rsid w:val="0B034DC8"/>
    <w:rsid w:val="0B062F5C"/>
    <w:rsid w:val="0B0B7F7B"/>
    <w:rsid w:val="0B0C1812"/>
    <w:rsid w:val="0B0C5B9C"/>
    <w:rsid w:val="0B0F74C9"/>
    <w:rsid w:val="0B1535D5"/>
    <w:rsid w:val="0B1773D1"/>
    <w:rsid w:val="0B1C6496"/>
    <w:rsid w:val="0B1E164C"/>
    <w:rsid w:val="0B26105B"/>
    <w:rsid w:val="0B2D5E77"/>
    <w:rsid w:val="0B32462C"/>
    <w:rsid w:val="0B3463AF"/>
    <w:rsid w:val="0B383554"/>
    <w:rsid w:val="0B394341"/>
    <w:rsid w:val="0B3C19E4"/>
    <w:rsid w:val="0B41349E"/>
    <w:rsid w:val="0B4B60CB"/>
    <w:rsid w:val="0B5C547F"/>
    <w:rsid w:val="0B5D0762"/>
    <w:rsid w:val="0B5F0E66"/>
    <w:rsid w:val="0B68270C"/>
    <w:rsid w:val="0B6A614B"/>
    <w:rsid w:val="0B726562"/>
    <w:rsid w:val="0B800A52"/>
    <w:rsid w:val="0B8234F5"/>
    <w:rsid w:val="0B8E5257"/>
    <w:rsid w:val="0B945521"/>
    <w:rsid w:val="0B9B5591"/>
    <w:rsid w:val="0BA12F8A"/>
    <w:rsid w:val="0BA428EE"/>
    <w:rsid w:val="0BA8707A"/>
    <w:rsid w:val="0BA92DF2"/>
    <w:rsid w:val="0BAB0918"/>
    <w:rsid w:val="0BAC5E56"/>
    <w:rsid w:val="0BAE00DB"/>
    <w:rsid w:val="0BBA5F6F"/>
    <w:rsid w:val="0BBD3C62"/>
    <w:rsid w:val="0BC07C10"/>
    <w:rsid w:val="0BC12B5D"/>
    <w:rsid w:val="0BC7722C"/>
    <w:rsid w:val="0BC82FE5"/>
    <w:rsid w:val="0BC83278"/>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72694"/>
    <w:rsid w:val="0C2B38F0"/>
    <w:rsid w:val="0C2E7655"/>
    <w:rsid w:val="0C311A54"/>
    <w:rsid w:val="0C316624"/>
    <w:rsid w:val="0C377C06"/>
    <w:rsid w:val="0C4055A2"/>
    <w:rsid w:val="0C426BA3"/>
    <w:rsid w:val="0C43388C"/>
    <w:rsid w:val="0C4C60A6"/>
    <w:rsid w:val="0C4F5B19"/>
    <w:rsid w:val="0C5D2722"/>
    <w:rsid w:val="0C5E145C"/>
    <w:rsid w:val="0C612659"/>
    <w:rsid w:val="0C612C5C"/>
    <w:rsid w:val="0C6A2581"/>
    <w:rsid w:val="0C6F2BF3"/>
    <w:rsid w:val="0C7117A3"/>
    <w:rsid w:val="0C716AE3"/>
    <w:rsid w:val="0C743400"/>
    <w:rsid w:val="0C744453"/>
    <w:rsid w:val="0C8068C9"/>
    <w:rsid w:val="0C833FFA"/>
    <w:rsid w:val="0C843673"/>
    <w:rsid w:val="0C865540"/>
    <w:rsid w:val="0C8C699B"/>
    <w:rsid w:val="0C8E44C1"/>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C46135"/>
    <w:rsid w:val="0CD257B7"/>
    <w:rsid w:val="0CD93263"/>
    <w:rsid w:val="0CD970CC"/>
    <w:rsid w:val="0CDA7707"/>
    <w:rsid w:val="0CE865C3"/>
    <w:rsid w:val="0CED11B7"/>
    <w:rsid w:val="0CF2202E"/>
    <w:rsid w:val="0CF32576"/>
    <w:rsid w:val="0CFE728F"/>
    <w:rsid w:val="0D00660C"/>
    <w:rsid w:val="0D0425B6"/>
    <w:rsid w:val="0D075E3F"/>
    <w:rsid w:val="0D0A17D8"/>
    <w:rsid w:val="0D0B0CD9"/>
    <w:rsid w:val="0D0E07AB"/>
    <w:rsid w:val="0D0E115E"/>
    <w:rsid w:val="0D100405"/>
    <w:rsid w:val="0D137A8C"/>
    <w:rsid w:val="0D137FC4"/>
    <w:rsid w:val="0D150730"/>
    <w:rsid w:val="0D1B6603"/>
    <w:rsid w:val="0D242BD2"/>
    <w:rsid w:val="0D2619B3"/>
    <w:rsid w:val="0D2A76B4"/>
    <w:rsid w:val="0D2F0EA5"/>
    <w:rsid w:val="0D383ABB"/>
    <w:rsid w:val="0D3A01A5"/>
    <w:rsid w:val="0D3D123F"/>
    <w:rsid w:val="0D424DB8"/>
    <w:rsid w:val="0D4252AC"/>
    <w:rsid w:val="0D4255C5"/>
    <w:rsid w:val="0D4C4C43"/>
    <w:rsid w:val="0D50721D"/>
    <w:rsid w:val="0D531267"/>
    <w:rsid w:val="0D643474"/>
    <w:rsid w:val="0D681EF8"/>
    <w:rsid w:val="0D6A16EC"/>
    <w:rsid w:val="0D6C2A58"/>
    <w:rsid w:val="0D6C4CD9"/>
    <w:rsid w:val="0D6C5846"/>
    <w:rsid w:val="0D6F20D5"/>
    <w:rsid w:val="0D7D357F"/>
    <w:rsid w:val="0D801F16"/>
    <w:rsid w:val="0D820E50"/>
    <w:rsid w:val="0D8B27AF"/>
    <w:rsid w:val="0D966267"/>
    <w:rsid w:val="0D9E4AD2"/>
    <w:rsid w:val="0DA0060C"/>
    <w:rsid w:val="0DA01C86"/>
    <w:rsid w:val="0DA9532B"/>
    <w:rsid w:val="0DAA07C7"/>
    <w:rsid w:val="0DB2095D"/>
    <w:rsid w:val="0DCA39CE"/>
    <w:rsid w:val="0DCE0DA5"/>
    <w:rsid w:val="0DCE4936"/>
    <w:rsid w:val="0DDD73ED"/>
    <w:rsid w:val="0DE5433B"/>
    <w:rsid w:val="0DE56E50"/>
    <w:rsid w:val="0DE95727"/>
    <w:rsid w:val="0DEA192A"/>
    <w:rsid w:val="0DEA2DB1"/>
    <w:rsid w:val="0DEA5D45"/>
    <w:rsid w:val="0DEB662B"/>
    <w:rsid w:val="0DF01FA3"/>
    <w:rsid w:val="0DF613F1"/>
    <w:rsid w:val="0DF63CF6"/>
    <w:rsid w:val="0DF70922"/>
    <w:rsid w:val="0DFC3F7B"/>
    <w:rsid w:val="0DFF4F4B"/>
    <w:rsid w:val="0E0000AB"/>
    <w:rsid w:val="0E031844"/>
    <w:rsid w:val="0E093542"/>
    <w:rsid w:val="0E0F69C3"/>
    <w:rsid w:val="0E134EB6"/>
    <w:rsid w:val="0E1D3E75"/>
    <w:rsid w:val="0E1E3299"/>
    <w:rsid w:val="0E22513F"/>
    <w:rsid w:val="0E270784"/>
    <w:rsid w:val="0E29090C"/>
    <w:rsid w:val="0E2A1EE7"/>
    <w:rsid w:val="0E316F1C"/>
    <w:rsid w:val="0E331874"/>
    <w:rsid w:val="0E340E7E"/>
    <w:rsid w:val="0E3441DC"/>
    <w:rsid w:val="0E3B4156"/>
    <w:rsid w:val="0E3C619F"/>
    <w:rsid w:val="0E421FA4"/>
    <w:rsid w:val="0E455054"/>
    <w:rsid w:val="0E4968FD"/>
    <w:rsid w:val="0E4F5ED2"/>
    <w:rsid w:val="0E530A5A"/>
    <w:rsid w:val="0E5A35EF"/>
    <w:rsid w:val="0E5C01E8"/>
    <w:rsid w:val="0E5D1038"/>
    <w:rsid w:val="0E625709"/>
    <w:rsid w:val="0E62734D"/>
    <w:rsid w:val="0E640E2C"/>
    <w:rsid w:val="0E786D24"/>
    <w:rsid w:val="0E7F1819"/>
    <w:rsid w:val="0E7F235C"/>
    <w:rsid w:val="0E823C27"/>
    <w:rsid w:val="0E843C55"/>
    <w:rsid w:val="0E8631D1"/>
    <w:rsid w:val="0E8E30AE"/>
    <w:rsid w:val="0E8F20EF"/>
    <w:rsid w:val="0E8F4FB9"/>
    <w:rsid w:val="0E9A6F8B"/>
    <w:rsid w:val="0E9B4C74"/>
    <w:rsid w:val="0E9C6962"/>
    <w:rsid w:val="0EA00B67"/>
    <w:rsid w:val="0EA2615A"/>
    <w:rsid w:val="0EA51EF3"/>
    <w:rsid w:val="0EA65827"/>
    <w:rsid w:val="0EA95DD7"/>
    <w:rsid w:val="0EB41EF8"/>
    <w:rsid w:val="0EB62159"/>
    <w:rsid w:val="0EB66DE3"/>
    <w:rsid w:val="0EB8018E"/>
    <w:rsid w:val="0EC27BE1"/>
    <w:rsid w:val="0EC7294B"/>
    <w:rsid w:val="0EC872A1"/>
    <w:rsid w:val="0ECA57CC"/>
    <w:rsid w:val="0ECB0B43"/>
    <w:rsid w:val="0ED65A7E"/>
    <w:rsid w:val="0EDD4036"/>
    <w:rsid w:val="0EDF2EF7"/>
    <w:rsid w:val="0EE247D9"/>
    <w:rsid w:val="0EE309BA"/>
    <w:rsid w:val="0EE4486D"/>
    <w:rsid w:val="0EEC2D4A"/>
    <w:rsid w:val="0EED7365"/>
    <w:rsid w:val="0EEF4FBF"/>
    <w:rsid w:val="0EF16F8A"/>
    <w:rsid w:val="0EF209AB"/>
    <w:rsid w:val="0EF4268D"/>
    <w:rsid w:val="0EF703A7"/>
    <w:rsid w:val="0F01451B"/>
    <w:rsid w:val="0F016078"/>
    <w:rsid w:val="0F022360"/>
    <w:rsid w:val="0F164AFD"/>
    <w:rsid w:val="0F1E1D6C"/>
    <w:rsid w:val="0F247778"/>
    <w:rsid w:val="0F2B48BF"/>
    <w:rsid w:val="0F2D4960"/>
    <w:rsid w:val="0F375198"/>
    <w:rsid w:val="0F3B3437"/>
    <w:rsid w:val="0F3E1484"/>
    <w:rsid w:val="0F421325"/>
    <w:rsid w:val="0F4366A5"/>
    <w:rsid w:val="0F4437CE"/>
    <w:rsid w:val="0F460CBE"/>
    <w:rsid w:val="0F470958"/>
    <w:rsid w:val="0F474774"/>
    <w:rsid w:val="0F476BAA"/>
    <w:rsid w:val="0F4864ED"/>
    <w:rsid w:val="0F492155"/>
    <w:rsid w:val="0F4C20AF"/>
    <w:rsid w:val="0F4E1CE6"/>
    <w:rsid w:val="0F5565E1"/>
    <w:rsid w:val="0F5B48B6"/>
    <w:rsid w:val="0F6E00F9"/>
    <w:rsid w:val="0F6E5828"/>
    <w:rsid w:val="0F73799F"/>
    <w:rsid w:val="0F790EA8"/>
    <w:rsid w:val="0F792383"/>
    <w:rsid w:val="0F794C09"/>
    <w:rsid w:val="0F7979C1"/>
    <w:rsid w:val="0F824B26"/>
    <w:rsid w:val="0F927F95"/>
    <w:rsid w:val="0F930A6E"/>
    <w:rsid w:val="0F933180"/>
    <w:rsid w:val="0F9B283C"/>
    <w:rsid w:val="0FA37174"/>
    <w:rsid w:val="0FAA274B"/>
    <w:rsid w:val="0FAD464E"/>
    <w:rsid w:val="0FB0279A"/>
    <w:rsid w:val="0FB14BA2"/>
    <w:rsid w:val="0FB24F72"/>
    <w:rsid w:val="0FB513D3"/>
    <w:rsid w:val="0FB5389D"/>
    <w:rsid w:val="0FBC30F4"/>
    <w:rsid w:val="0FBE3C62"/>
    <w:rsid w:val="0FBF5D4B"/>
    <w:rsid w:val="0FC65D20"/>
    <w:rsid w:val="0FC9397E"/>
    <w:rsid w:val="0FD10748"/>
    <w:rsid w:val="0FD22F83"/>
    <w:rsid w:val="0FD64EF6"/>
    <w:rsid w:val="0FD83CA6"/>
    <w:rsid w:val="0FDD2339"/>
    <w:rsid w:val="0FDD306A"/>
    <w:rsid w:val="0FEF0536"/>
    <w:rsid w:val="0FF7237E"/>
    <w:rsid w:val="0FFE195E"/>
    <w:rsid w:val="10004692"/>
    <w:rsid w:val="100346D6"/>
    <w:rsid w:val="10093E5F"/>
    <w:rsid w:val="101008B4"/>
    <w:rsid w:val="101322D8"/>
    <w:rsid w:val="10154594"/>
    <w:rsid w:val="10170DD1"/>
    <w:rsid w:val="10176A43"/>
    <w:rsid w:val="10273A11"/>
    <w:rsid w:val="10283506"/>
    <w:rsid w:val="102A32D9"/>
    <w:rsid w:val="102B5FE0"/>
    <w:rsid w:val="10352179"/>
    <w:rsid w:val="104273E7"/>
    <w:rsid w:val="1043652C"/>
    <w:rsid w:val="10437BBE"/>
    <w:rsid w:val="10465DB3"/>
    <w:rsid w:val="1048276D"/>
    <w:rsid w:val="104B22B9"/>
    <w:rsid w:val="1058227D"/>
    <w:rsid w:val="10644076"/>
    <w:rsid w:val="106C6806"/>
    <w:rsid w:val="106E78E9"/>
    <w:rsid w:val="10735CD5"/>
    <w:rsid w:val="107705D9"/>
    <w:rsid w:val="107E7886"/>
    <w:rsid w:val="10824ED5"/>
    <w:rsid w:val="108304E9"/>
    <w:rsid w:val="10857D2C"/>
    <w:rsid w:val="10864733"/>
    <w:rsid w:val="1092436B"/>
    <w:rsid w:val="109602FB"/>
    <w:rsid w:val="10973B61"/>
    <w:rsid w:val="10973CDC"/>
    <w:rsid w:val="109C77C7"/>
    <w:rsid w:val="10A0111F"/>
    <w:rsid w:val="10AB340E"/>
    <w:rsid w:val="10AC658C"/>
    <w:rsid w:val="10B55FDB"/>
    <w:rsid w:val="10B77D5F"/>
    <w:rsid w:val="10C92680"/>
    <w:rsid w:val="10CF2C7A"/>
    <w:rsid w:val="10D73F5D"/>
    <w:rsid w:val="10E55D23"/>
    <w:rsid w:val="10EE48C8"/>
    <w:rsid w:val="10F76D7B"/>
    <w:rsid w:val="10FA5350"/>
    <w:rsid w:val="10FD29A7"/>
    <w:rsid w:val="10FD540D"/>
    <w:rsid w:val="10FE0287"/>
    <w:rsid w:val="11001706"/>
    <w:rsid w:val="110033E0"/>
    <w:rsid w:val="110C4B24"/>
    <w:rsid w:val="110E2E47"/>
    <w:rsid w:val="110F7ADC"/>
    <w:rsid w:val="11112A4D"/>
    <w:rsid w:val="11195819"/>
    <w:rsid w:val="112B6C8D"/>
    <w:rsid w:val="112D017C"/>
    <w:rsid w:val="112D4261"/>
    <w:rsid w:val="112D4BA4"/>
    <w:rsid w:val="11365128"/>
    <w:rsid w:val="1139431F"/>
    <w:rsid w:val="113D0264"/>
    <w:rsid w:val="113E16DA"/>
    <w:rsid w:val="114268CC"/>
    <w:rsid w:val="1145536B"/>
    <w:rsid w:val="114952B5"/>
    <w:rsid w:val="11496C09"/>
    <w:rsid w:val="114A7A50"/>
    <w:rsid w:val="114C5709"/>
    <w:rsid w:val="114D4E4D"/>
    <w:rsid w:val="1151565E"/>
    <w:rsid w:val="11537A88"/>
    <w:rsid w:val="115A722B"/>
    <w:rsid w:val="1160162E"/>
    <w:rsid w:val="11614235"/>
    <w:rsid w:val="11614619"/>
    <w:rsid w:val="116574D4"/>
    <w:rsid w:val="116C6D9B"/>
    <w:rsid w:val="1179708C"/>
    <w:rsid w:val="117A6C71"/>
    <w:rsid w:val="118D0D7D"/>
    <w:rsid w:val="118E17F0"/>
    <w:rsid w:val="118E434D"/>
    <w:rsid w:val="11915109"/>
    <w:rsid w:val="1195277A"/>
    <w:rsid w:val="11A169D9"/>
    <w:rsid w:val="11A31F0C"/>
    <w:rsid w:val="11A46736"/>
    <w:rsid w:val="11AB1672"/>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1FF2D51"/>
    <w:rsid w:val="12015736"/>
    <w:rsid w:val="120B590B"/>
    <w:rsid w:val="120E21E1"/>
    <w:rsid w:val="12105979"/>
    <w:rsid w:val="12107CE1"/>
    <w:rsid w:val="12174DB0"/>
    <w:rsid w:val="122D5386"/>
    <w:rsid w:val="12397936"/>
    <w:rsid w:val="123C771A"/>
    <w:rsid w:val="12454236"/>
    <w:rsid w:val="12477874"/>
    <w:rsid w:val="124803C3"/>
    <w:rsid w:val="124E2D85"/>
    <w:rsid w:val="124E3344"/>
    <w:rsid w:val="12503FC7"/>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8939F9"/>
    <w:rsid w:val="1290334C"/>
    <w:rsid w:val="1294268A"/>
    <w:rsid w:val="12A8487B"/>
    <w:rsid w:val="12AA3DB2"/>
    <w:rsid w:val="12AD79D4"/>
    <w:rsid w:val="12AF3B4F"/>
    <w:rsid w:val="12AF6B7D"/>
    <w:rsid w:val="12B00A58"/>
    <w:rsid w:val="12B10F0A"/>
    <w:rsid w:val="12B37C61"/>
    <w:rsid w:val="12B52348"/>
    <w:rsid w:val="12CF1470"/>
    <w:rsid w:val="12CF4663"/>
    <w:rsid w:val="12D16100"/>
    <w:rsid w:val="12E72545"/>
    <w:rsid w:val="12F57F45"/>
    <w:rsid w:val="12F901BB"/>
    <w:rsid w:val="13021F82"/>
    <w:rsid w:val="130510AC"/>
    <w:rsid w:val="130E18A1"/>
    <w:rsid w:val="13113756"/>
    <w:rsid w:val="1315662A"/>
    <w:rsid w:val="13164777"/>
    <w:rsid w:val="131A0285"/>
    <w:rsid w:val="132A754F"/>
    <w:rsid w:val="132C0FAA"/>
    <w:rsid w:val="1334293B"/>
    <w:rsid w:val="133435A6"/>
    <w:rsid w:val="13443A11"/>
    <w:rsid w:val="134962B6"/>
    <w:rsid w:val="134A4EBA"/>
    <w:rsid w:val="135416ED"/>
    <w:rsid w:val="13584F08"/>
    <w:rsid w:val="135C1D2F"/>
    <w:rsid w:val="135C674D"/>
    <w:rsid w:val="136366C8"/>
    <w:rsid w:val="13651CF4"/>
    <w:rsid w:val="1367458F"/>
    <w:rsid w:val="13714B77"/>
    <w:rsid w:val="13723DB8"/>
    <w:rsid w:val="13725DAC"/>
    <w:rsid w:val="13760965"/>
    <w:rsid w:val="13774D5E"/>
    <w:rsid w:val="137A3CDA"/>
    <w:rsid w:val="138F4461"/>
    <w:rsid w:val="13A768B9"/>
    <w:rsid w:val="13A92C7E"/>
    <w:rsid w:val="13B17EAB"/>
    <w:rsid w:val="13B30AE3"/>
    <w:rsid w:val="13B52D50"/>
    <w:rsid w:val="13B67C0C"/>
    <w:rsid w:val="13B77589"/>
    <w:rsid w:val="13BD4646"/>
    <w:rsid w:val="13C407D1"/>
    <w:rsid w:val="13C62BBA"/>
    <w:rsid w:val="13C72255"/>
    <w:rsid w:val="13C753D8"/>
    <w:rsid w:val="13CA1D72"/>
    <w:rsid w:val="13CA38C8"/>
    <w:rsid w:val="13CC577E"/>
    <w:rsid w:val="13CD0AB4"/>
    <w:rsid w:val="13D14BEC"/>
    <w:rsid w:val="13D30549"/>
    <w:rsid w:val="13D30C18"/>
    <w:rsid w:val="13D50C28"/>
    <w:rsid w:val="13D52A03"/>
    <w:rsid w:val="13D815DD"/>
    <w:rsid w:val="13D9101B"/>
    <w:rsid w:val="13DC3EC3"/>
    <w:rsid w:val="13EE3A98"/>
    <w:rsid w:val="13F2541E"/>
    <w:rsid w:val="13F7521A"/>
    <w:rsid w:val="13FF5CA5"/>
    <w:rsid w:val="14005867"/>
    <w:rsid w:val="14015067"/>
    <w:rsid w:val="14051B60"/>
    <w:rsid w:val="1405356D"/>
    <w:rsid w:val="1408524F"/>
    <w:rsid w:val="141642BD"/>
    <w:rsid w:val="1418501A"/>
    <w:rsid w:val="14185AFB"/>
    <w:rsid w:val="14191294"/>
    <w:rsid w:val="14193025"/>
    <w:rsid w:val="14221993"/>
    <w:rsid w:val="142A3A14"/>
    <w:rsid w:val="142E590A"/>
    <w:rsid w:val="14327133"/>
    <w:rsid w:val="143369AC"/>
    <w:rsid w:val="14353475"/>
    <w:rsid w:val="1439188B"/>
    <w:rsid w:val="143A631E"/>
    <w:rsid w:val="1441660B"/>
    <w:rsid w:val="144174E6"/>
    <w:rsid w:val="1443582D"/>
    <w:rsid w:val="144834E1"/>
    <w:rsid w:val="144A0171"/>
    <w:rsid w:val="144C5802"/>
    <w:rsid w:val="1469766A"/>
    <w:rsid w:val="146E06FC"/>
    <w:rsid w:val="146F3559"/>
    <w:rsid w:val="147238E6"/>
    <w:rsid w:val="14745611"/>
    <w:rsid w:val="1476702E"/>
    <w:rsid w:val="147A5E14"/>
    <w:rsid w:val="1494473E"/>
    <w:rsid w:val="149A307E"/>
    <w:rsid w:val="149F4798"/>
    <w:rsid w:val="14A0526E"/>
    <w:rsid w:val="14A37835"/>
    <w:rsid w:val="14A87052"/>
    <w:rsid w:val="14B103C4"/>
    <w:rsid w:val="14B11E44"/>
    <w:rsid w:val="14B52807"/>
    <w:rsid w:val="14B64A7C"/>
    <w:rsid w:val="14B7140E"/>
    <w:rsid w:val="14C111AC"/>
    <w:rsid w:val="14C2547A"/>
    <w:rsid w:val="14CA0061"/>
    <w:rsid w:val="14CC4BF5"/>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845FF"/>
    <w:rsid w:val="14FC0436"/>
    <w:rsid w:val="15035FFD"/>
    <w:rsid w:val="150D3DB0"/>
    <w:rsid w:val="150F57E7"/>
    <w:rsid w:val="15114340"/>
    <w:rsid w:val="15153C42"/>
    <w:rsid w:val="15191180"/>
    <w:rsid w:val="151D5395"/>
    <w:rsid w:val="15202377"/>
    <w:rsid w:val="15284C2D"/>
    <w:rsid w:val="152A6C00"/>
    <w:rsid w:val="1530301B"/>
    <w:rsid w:val="153310BF"/>
    <w:rsid w:val="153656F6"/>
    <w:rsid w:val="15376E6C"/>
    <w:rsid w:val="15377344"/>
    <w:rsid w:val="154170A3"/>
    <w:rsid w:val="154C35C8"/>
    <w:rsid w:val="15656C74"/>
    <w:rsid w:val="15686972"/>
    <w:rsid w:val="15695ACC"/>
    <w:rsid w:val="156C7641"/>
    <w:rsid w:val="15724B60"/>
    <w:rsid w:val="15757492"/>
    <w:rsid w:val="15765873"/>
    <w:rsid w:val="15791C5F"/>
    <w:rsid w:val="15825CA2"/>
    <w:rsid w:val="158444BD"/>
    <w:rsid w:val="15916DD0"/>
    <w:rsid w:val="15971754"/>
    <w:rsid w:val="159C62BF"/>
    <w:rsid w:val="159E329B"/>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1D68B6"/>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63C07"/>
    <w:rsid w:val="165E17E3"/>
    <w:rsid w:val="1666735F"/>
    <w:rsid w:val="16736025"/>
    <w:rsid w:val="16761927"/>
    <w:rsid w:val="167F046A"/>
    <w:rsid w:val="167F4E7B"/>
    <w:rsid w:val="16871F10"/>
    <w:rsid w:val="168B5CC5"/>
    <w:rsid w:val="168C2E92"/>
    <w:rsid w:val="168F71CE"/>
    <w:rsid w:val="16997AFA"/>
    <w:rsid w:val="169C52B6"/>
    <w:rsid w:val="169F6627"/>
    <w:rsid w:val="16A20604"/>
    <w:rsid w:val="16A3500D"/>
    <w:rsid w:val="16A61A50"/>
    <w:rsid w:val="16AC1AAD"/>
    <w:rsid w:val="16B427F2"/>
    <w:rsid w:val="16B603BE"/>
    <w:rsid w:val="16BC60CF"/>
    <w:rsid w:val="16CA0087"/>
    <w:rsid w:val="16CB07D4"/>
    <w:rsid w:val="16D10545"/>
    <w:rsid w:val="16D13C7D"/>
    <w:rsid w:val="16DC051F"/>
    <w:rsid w:val="16DC2CCF"/>
    <w:rsid w:val="16DD5051"/>
    <w:rsid w:val="16DF0089"/>
    <w:rsid w:val="16E473A2"/>
    <w:rsid w:val="16EF4171"/>
    <w:rsid w:val="16EF526D"/>
    <w:rsid w:val="16EF68BE"/>
    <w:rsid w:val="16F155A2"/>
    <w:rsid w:val="16F15DB6"/>
    <w:rsid w:val="16F2010D"/>
    <w:rsid w:val="16F2564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397720"/>
    <w:rsid w:val="1746586F"/>
    <w:rsid w:val="1749410C"/>
    <w:rsid w:val="175023C0"/>
    <w:rsid w:val="1750713D"/>
    <w:rsid w:val="17511F3B"/>
    <w:rsid w:val="1757379D"/>
    <w:rsid w:val="17576C19"/>
    <w:rsid w:val="175814B7"/>
    <w:rsid w:val="175C0D00"/>
    <w:rsid w:val="175C5CCB"/>
    <w:rsid w:val="175E69A5"/>
    <w:rsid w:val="176302F9"/>
    <w:rsid w:val="177175A5"/>
    <w:rsid w:val="17740D00"/>
    <w:rsid w:val="17751CDB"/>
    <w:rsid w:val="17831DA7"/>
    <w:rsid w:val="1784519F"/>
    <w:rsid w:val="178A6E8E"/>
    <w:rsid w:val="178F5592"/>
    <w:rsid w:val="179502FD"/>
    <w:rsid w:val="179D306E"/>
    <w:rsid w:val="17A16E3B"/>
    <w:rsid w:val="17A43A96"/>
    <w:rsid w:val="17A51A88"/>
    <w:rsid w:val="17B64846"/>
    <w:rsid w:val="17BE722D"/>
    <w:rsid w:val="17C912AF"/>
    <w:rsid w:val="17C92852"/>
    <w:rsid w:val="17CC7A8D"/>
    <w:rsid w:val="17D21CA8"/>
    <w:rsid w:val="17DE5931"/>
    <w:rsid w:val="17EC3984"/>
    <w:rsid w:val="17EC65EE"/>
    <w:rsid w:val="17EE22B8"/>
    <w:rsid w:val="17F16E39"/>
    <w:rsid w:val="17FA4BA6"/>
    <w:rsid w:val="18073F68"/>
    <w:rsid w:val="180F18CE"/>
    <w:rsid w:val="18107A5B"/>
    <w:rsid w:val="181E077D"/>
    <w:rsid w:val="182201B4"/>
    <w:rsid w:val="182C2055"/>
    <w:rsid w:val="183801FB"/>
    <w:rsid w:val="184243B2"/>
    <w:rsid w:val="18425EE3"/>
    <w:rsid w:val="184616E8"/>
    <w:rsid w:val="184749BF"/>
    <w:rsid w:val="18494338"/>
    <w:rsid w:val="185A16FC"/>
    <w:rsid w:val="185D743E"/>
    <w:rsid w:val="186708C6"/>
    <w:rsid w:val="186B0157"/>
    <w:rsid w:val="18714C97"/>
    <w:rsid w:val="187175BC"/>
    <w:rsid w:val="187219FA"/>
    <w:rsid w:val="18756535"/>
    <w:rsid w:val="18833DE6"/>
    <w:rsid w:val="18835171"/>
    <w:rsid w:val="18882FBE"/>
    <w:rsid w:val="1889049C"/>
    <w:rsid w:val="18924089"/>
    <w:rsid w:val="18997840"/>
    <w:rsid w:val="189C7049"/>
    <w:rsid w:val="18A026D7"/>
    <w:rsid w:val="18A1056B"/>
    <w:rsid w:val="18A34354"/>
    <w:rsid w:val="18A84B5D"/>
    <w:rsid w:val="18AA3680"/>
    <w:rsid w:val="18AE1AD1"/>
    <w:rsid w:val="18B34914"/>
    <w:rsid w:val="18BA27E6"/>
    <w:rsid w:val="18C40CBE"/>
    <w:rsid w:val="18C82B09"/>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8FD52C2"/>
    <w:rsid w:val="190843A5"/>
    <w:rsid w:val="190C6521"/>
    <w:rsid w:val="19135DC5"/>
    <w:rsid w:val="191A18A1"/>
    <w:rsid w:val="192C36FB"/>
    <w:rsid w:val="192D0833"/>
    <w:rsid w:val="192D6E10"/>
    <w:rsid w:val="192E171E"/>
    <w:rsid w:val="192E3783"/>
    <w:rsid w:val="193625B1"/>
    <w:rsid w:val="193A1B5C"/>
    <w:rsid w:val="193F4F8B"/>
    <w:rsid w:val="19466FFD"/>
    <w:rsid w:val="194A2F52"/>
    <w:rsid w:val="194D3ADA"/>
    <w:rsid w:val="194D5C4F"/>
    <w:rsid w:val="19566367"/>
    <w:rsid w:val="196579A7"/>
    <w:rsid w:val="196865C4"/>
    <w:rsid w:val="196B2F1B"/>
    <w:rsid w:val="197A43F7"/>
    <w:rsid w:val="197F583D"/>
    <w:rsid w:val="198033E4"/>
    <w:rsid w:val="19866520"/>
    <w:rsid w:val="198A3101"/>
    <w:rsid w:val="198B41A4"/>
    <w:rsid w:val="198C31F5"/>
    <w:rsid w:val="198E54AB"/>
    <w:rsid w:val="199537B8"/>
    <w:rsid w:val="19996E30"/>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9F52027"/>
    <w:rsid w:val="19FE6A98"/>
    <w:rsid w:val="1A0062D3"/>
    <w:rsid w:val="1A05647A"/>
    <w:rsid w:val="1A0E4AA5"/>
    <w:rsid w:val="1A106391"/>
    <w:rsid w:val="1A122E3C"/>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4608B"/>
    <w:rsid w:val="1A851247"/>
    <w:rsid w:val="1A8A3DEE"/>
    <w:rsid w:val="1A9160A8"/>
    <w:rsid w:val="1A977C51"/>
    <w:rsid w:val="1A99742B"/>
    <w:rsid w:val="1A9A68CF"/>
    <w:rsid w:val="1A9E33B7"/>
    <w:rsid w:val="1AAC42F6"/>
    <w:rsid w:val="1AAE03C2"/>
    <w:rsid w:val="1AC01CFE"/>
    <w:rsid w:val="1AC21897"/>
    <w:rsid w:val="1AC34876"/>
    <w:rsid w:val="1ACB42F3"/>
    <w:rsid w:val="1ACB47AA"/>
    <w:rsid w:val="1AD51F68"/>
    <w:rsid w:val="1AD86A5A"/>
    <w:rsid w:val="1ADB142B"/>
    <w:rsid w:val="1ADD0E39"/>
    <w:rsid w:val="1ADE1523"/>
    <w:rsid w:val="1ADE7643"/>
    <w:rsid w:val="1AE215AB"/>
    <w:rsid w:val="1AE359EE"/>
    <w:rsid w:val="1AE87576"/>
    <w:rsid w:val="1AE9320B"/>
    <w:rsid w:val="1AE96D67"/>
    <w:rsid w:val="1AEB0366"/>
    <w:rsid w:val="1AF37BE5"/>
    <w:rsid w:val="1AF413E9"/>
    <w:rsid w:val="1AFE26C3"/>
    <w:rsid w:val="1AFF01D9"/>
    <w:rsid w:val="1B00762C"/>
    <w:rsid w:val="1B043BA1"/>
    <w:rsid w:val="1B053895"/>
    <w:rsid w:val="1B0E03C5"/>
    <w:rsid w:val="1B193AF0"/>
    <w:rsid w:val="1B1A4FBE"/>
    <w:rsid w:val="1B1D12DD"/>
    <w:rsid w:val="1B1D6885"/>
    <w:rsid w:val="1B1F511F"/>
    <w:rsid w:val="1B2311E9"/>
    <w:rsid w:val="1B243A80"/>
    <w:rsid w:val="1B2A4A71"/>
    <w:rsid w:val="1B2B6313"/>
    <w:rsid w:val="1B384549"/>
    <w:rsid w:val="1B3A75C2"/>
    <w:rsid w:val="1B4737F3"/>
    <w:rsid w:val="1B536C39"/>
    <w:rsid w:val="1B5970F0"/>
    <w:rsid w:val="1B5C048D"/>
    <w:rsid w:val="1B5E7973"/>
    <w:rsid w:val="1B664252"/>
    <w:rsid w:val="1B69651C"/>
    <w:rsid w:val="1B6B20E9"/>
    <w:rsid w:val="1B761F41"/>
    <w:rsid w:val="1B7730C1"/>
    <w:rsid w:val="1B7A75BD"/>
    <w:rsid w:val="1B7C5C55"/>
    <w:rsid w:val="1B8101AF"/>
    <w:rsid w:val="1B816128"/>
    <w:rsid w:val="1B827945"/>
    <w:rsid w:val="1B852F33"/>
    <w:rsid w:val="1B860889"/>
    <w:rsid w:val="1B8962ED"/>
    <w:rsid w:val="1B915C5F"/>
    <w:rsid w:val="1B923200"/>
    <w:rsid w:val="1B9367A2"/>
    <w:rsid w:val="1B9470D9"/>
    <w:rsid w:val="1B962411"/>
    <w:rsid w:val="1B9C5331"/>
    <w:rsid w:val="1BA21D3A"/>
    <w:rsid w:val="1BA91340"/>
    <w:rsid w:val="1BA93A6A"/>
    <w:rsid w:val="1BAA6F6F"/>
    <w:rsid w:val="1BAC0A71"/>
    <w:rsid w:val="1BB04929"/>
    <w:rsid w:val="1BB37083"/>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1170"/>
    <w:rsid w:val="1C9677C5"/>
    <w:rsid w:val="1C99042C"/>
    <w:rsid w:val="1C9A27C7"/>
    <w:rsid w:val="1C9C03E2"/>
    <w:rsid w:val="1C9C519C"/>
    <w:rsid w:val="1CA33281"/>
    <w:rsid w:val="1CA57EED"/>
    <w:rsid w:val="1CA76EDA"/>
    <w:rsid w:val="1CAE4FF3"/>
    <w:rsid w:val="1CB153BD"/>
    <w:rsid w:val="1CBB7B00"/>
    <w:rsid w:val="1CBD15AD"/>
    <w:rsid w:val="1CBE58DB"/>
    <w:rsid w:val="1CBF5FD1"/>
    <w:rsid w:val="1CC60A6A"/>
    <w:rsid w:val="1CCB6E53"/>
    <w:rsid w:val="1CCD7C15"/>
    <w:rsid w:val="1CCE7307"/>
    <w:rsid w:val="1CD22A55"/>
    <w:rsid w:val="1CD614AB"/>
    <w:rsid w:val="1CDB1DBD"/>
    <w:rsid w:val="1CDC3027"/>
    <w:rsid w:val="1CDF00A2"/>
    <w:rsid w:val="1CDF48C5"/>
    <w:rsid w:val="1CDF6673"/>
    <w:rsid w:val="1CE011A0"/>
    <w:rsid w:val="1CE23FA2"/>
    <w:rsid w:val="1CE4528A"/>
    <w:rsid w:val="1CE63109"/>
    <w:rsid w:val="1CE974F2"/>
    <w:rsid w:val="1CEF156C"/>
    <w:rsid w:val="1CF029E0"/>
    <w:rsid w:val="1CF41CE4"/>
    <w:rsid w:val="1CF43EE9"/>
    <w:rsid w:val="1CFD77ED"/>
    <w:rsid w:val="1CFE1560"/>
    <w:rsid w:val="1D057ED5"/>
    <w:rsid w:val="1D073A3F"/>
    <w:rsid w:val="1D08735E"/>
    <w:rsid w:val="1D116AB3"/>
    <w:rsid w:val="1D176430"/>
    <w:rsid w:val="1D1A76AB"/>
    <w:rsid w:val="1D1C71F9"/>
    <w:rsid w:val="1D2015F8"/>
    <w:rsid w:val="1D205498"/>
    <w:rsid w:val="1D300351"/>
    <w:rsid w:val="1D362C59"/>
    <w:rsid w:val="1D392227"/>
    <w:rsid w:val="1D3A318A"/>
    <w:rsid w:val="1D415DAD"/>
    <w:rsid w:val="1D4553E9"/>
    <w:rsid w:val="1D461BF0"/>
    <w:rsid w:val="1D46246F"/>
    <w:rsid w:val="1D491D3F"/>
    <w:rsid w:val="1D5015CB"/>
    <w:rsid w:val="1D507905"/>
    <w:rsid w:val="1D5801D4"/>
    <w:rsid w:val="1D584BAA"/>
    <w:rsid w:val="1D6406CA"/>
    <w:rsid w:val="1D6B3C83"/>
    <w:rsid w:val="1D6E4ADD"/>
    <w:rsid w:val="1D707208"/>
    <w:rsid w:val="1D7C3782"/>
    <w:rsid w:val="1D817FA0"/>
    <w:rsid w:val="1D855523"/>
    <w:rsid w:val="1D885CCC"/>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1221D"/>
    <w:rsid w:val="1DC83080"/>
    <w:rsid w:val="1DC945BE"/>
    <w:rsid w:val="1DCC1C5F"/>
    <w:rsid w:val="1DD44E24"/>
    <w:rsid w:val="1DD56B3D"/>
    <w:rsid w:val="1DD731EA"/>
    <w:rsid w:val="1DD96B7E"/>
    <w:rsid w:val="1DDC4B35"/>
    <w:rsid w:val="1DDD69E8"/>
    <w:rsid w:val="1DE627C9"/>
    <w:rsid w:val="1DEA64CB"/>
    <w:rsid w:val="1DEE019F"/>
    <w:rsid w:val="1DF319EF"/>
    <w:rsid w:val="1E013C56"/>
    <w:rsid w:val="1E01633D"/>
    <w:rsid w:val="1E0C11FD"/>
    <w:rsid w:val="1E143C52"/>
    <w:rsid w:val="1E1B095F"/>
    <w:rsid w:val="1E1D1445"/>
    <w:rsid w:val="1E281582"/>
    <w:rsid w:val="1E2846B0"/>
    <w:rsid w:val="1E2F37B8"/>
    <w:rsid w:val="1E3824DF"/>
    <w:rsid w:val="1E3D5D47"/>
    <w:rsid w:val="1E3D6BE6"/>
    <w:rsid w:val="1E413094"/>
    <w:rsid w:val="1E444326"/>
    <w:rsid w:val="1E4A5DFA"/>
    <w:rsid w:val="1E50151E"/>
    <w:rsid w:val="1E603AF0"/>
    <w:rsid w:val="1E653DAE"/>
    <w:rsid w:val="1E6C0801"/>
    <w:rsid w:val="1E6E1460"/>
    <w:rsid w:val="1E723A79"/>
    <w:rsid w:val="1E73014A"/>
    <w:rsid w:val="1E7A16CF"/>
    <w:rsid w:val="1E9240C0"/>
    <w:rsid w:val="1E935AF5"/>
    <w:rsid w:val="1E9B2627"/>
    <w:rsid w:val="1EA142C8"/>
    <w:rsid w:val="1EA263AA"/>
    <w:rsid w:val="1EA26A2B"/>
    <w:rsid w:val="1EA27958"/>
    <w:rsid w:val="1EA3025C"/>
    <w:rsid w:val="1EA336D1"/>
    <w:rsid w:val="1EA65CBE"/>
    <w:rsid w:val="1EAA7408"/>
    <w:rsid w:val="1EAC2737"/>
    <w:rsid w:val="1EC37BCD"/>
    <w:rsid w:val="1EC6368B"/>
    <w:rsid w:val="1EC87D5D"/>
    <w:rsid w:val="1ECB1D80"/>
    <w:rsid w:val="1ECB1DC7"/>
    <w:rsid w:val="1ED22B1C"/>
    <w:rsid w:val="1ED41619"/>
    <w:rsid w:val="1ED536AB"/>
    <w:rsid w:val="1ED90FDB"/>
    <w:rsid w:val="1EDA17A6"/>
    <w:rsid w:val="1EDD0402"/>
    <w:rsid w:val="1EE45408"/>
    <w:rsid w:val="1EE61E60"/>
    <w:rsid w:val="1EE700E8"/>
    <w:rsid w:val="1EF91E69"/>
    <w:rsid w:val="1EFB0950"/>
    <w:rsid w:val="1EFC62F8"/>
    <w:rsid w:val="1F0277FC"/>
    <w:rsid w:val="1F086BF9"/>
    <w:rsid w:val="1F0D218A"/>
    <w:rsid w:val="1F0D396C"/>
    <w:rsid w:val="1F135806"/>
    <w:rsid w:val="1F184345"/>
    <w:rsid w:val="1F194344"/>
    <w:rsid w:val="1F1A4F85"/>
    <w:rsid w:val="1F212F73"/>
    <w:rsid w:val="1F230633"/>
    <w:rsid w:val="1F261ACE"/>
    <w:rsid w:val="1F2A4495"/>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6B347B"/>
    <w:rsid w:val="1F7054D7"/>
    <w:rsid w:val="1F8019D9"/>
    <w:rsid w:val="1F83461E"/>
    <w:rsid w:val="1F846228"/>
    <w:rsid w:val="1F8523D3"/>
    <w:rsid w:val="1F882FF2"/>
    <w:rsid w:val="1F883E3C"/>
    <w:rsid w:val="1F884BE2"/>
    <w:rsid w:val="1F9502EA"/>
    <w:rsid w:val="1F9806CF"/>
    <w:rsid w:val="1F9D1251"/>
    <w:rsid w:val="1F9F20EA"/>
    <w:rsid w:val="1FA0657D"/>
    <w:rsid w:val="1FA407DF"/>
    <w:rsid w:val="1FA75DB9"/>
    <w:rsid w:val="1FA871F0"/>
    <w:rsid w:val="1FA97F72"/>
    <w:rsid w:val="1FAC33EA"/>
    <w:rsid w:val="1FB94B3E"/>
    <w:rsid w:val="1FBD0B14"/>
    <w:rsid w:val="1FC01CD7"/>
    <w:rsid w:val="1FC71731"/>
    <w:rsid w:val="1FC73423"/>
    <w:rsid w:val="1FCA22C7"/>
    <w:rsid w:val="1FD12E7C"/>
    <w:rsid w:val="1FD71884"/>
    <w:rsid w:val="1FDA0433"/>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07660D"/>
    <w:rsid w:val="20131AA5"/>
    <w:rsid w:val="20137C22"/>
    <w:rsid w:val="20180C4E"/>
    <w:rsid w:val="2018573C"/>
    <w:rsid w:val="201E0946"/>
    <w:rsid w:val="20225757"/>
    <w:rsid w:val="20242B64"/>
    <w:rsid w:val="20295D55"/>
    <w:rsid w:val="2029725D"/>
    <w:rsid w:val="202A542E"/>
    <w:rsid w:val="202C7AF7"/>
    <w:rsid w:val="203205C3"/>
    <w:rsid w:val="2037509B"/>
    <w:rsid w:val="203B7034"/>
    <w:rsid w:val="203B74C0"/>
    <w:rsid w:val="20562545"/>
    <w:rsid w:val="20580C04"/>
    <w:rsid w:val="20621A95"/>
    <w:rsid w:val="20633E52"/>
    <w:rsid w:val="20697EC2"/>
    <w:rsid w:val="2073587B"/>
    <w:rsid w:val="20785704"/>
    <w:rsid w:val="20790B8D"/>
    <w:rsid w:val="207A35A6"/>
    <w:rsid w:val="207A41B7"/>
    <w:rsid w:val="207E61A3"/>
    <w:rsid w:val="20841E90"/>
    <w:rsid w:val="208756D8"/>
    <w:rsid w:val="20931D64"/>
    <w:rsid w:val="20983709"/>
    <w:rsid w:val="20A61458"/>
    <w:rsid w:val="20B06444"/>
    <w:rsid w:val="20B36A21"/>
    <w:rsid w:val="20BC4D66"/>
    <w:rsid w:val="20C31E08"/>
    <w:rsid w:val="20C441EE"/>
    <w:rsid w:val="20CA03F2"/>
    <w:rsid w:val="20D96052"/>
    <w:rsid w:val="20E00AB5"/>
    <w:rsid w:val="20E86C14"/>
    <w:rsid w:val="20E97AC1"/>
    <w:rsid w:val="20EA727E"/>
    <w:rsid w:val="20EA756A"/>
    <w:rsid w:val="20EB7717"/>
    <w:rsid w:val="20F326ED"/>
    <w:rsid w:val="20F85F56"/>
    <w:rsid w:val="21076C0E"/>
    <w:rsid w:val="21115CE1"/>
    <w:rsid w:val="211309AB"/>
    <w:rsid w:val="211750E9"/>
    <w:rsid w:val="21186AB6"/>
    <w:rsid w:val="211D566B"/>
    <w:rsid w:val="211E221A"/>
    <w:rsid w:val="212A5BB3"/>
    <w:rsid w:val="21315D0D"/>
    <w:rsid w:val="21333304"/>
    <w:rsid w:val="21350F58"/>
    <w:rsid w:val="21435E09"/>
    <w:rsid w:val="214361CB"/>
    <w:rsid w:val="21474687"/>
    <w:rsid w:val="214A0A6B"/>
    <w:rsid w:val="214A116A"/>
    <w:rsid w:val="214B31F1"/>
    <w:rsid w:val="2153731E"/>
    <w:rsid w:val="21553DA3"/>
    <w:rsid w:val="21573F6C"/>
    <w:rsid w:val="215D4269"/>
    <w:rsid w:val="215D5F2E"/>
    <w:rsid w:val="21640F19"/>
    <w:rsid w:val="216C642E"/>
    <w:rsid w:val="216E72AC"/>
    <w:rsid w:val="21742436"/>
    <w:rsid w:val="21761581"/>
    <w:rsid w:val="217854BE"/>
    <w:rsid w:val="217A351F"/>
    <w:rsid w:val="2188761C"/>
    <w:rsid w:val="218D0D4A"/>
    <w:rsid w:val="219A1503"/>
    <w:rsid w:val="219B1A3A"/>
    <w:rsid w:val="21A1317A"/>
    <w:rsid w:val="21A20898"/>
    <w:rsid w:val="21A41A49"/>
    <w:rsid w:val="21A66877"/>
    <w:rsid w:val="21AA26C4"/>
    <w:rsid w:val="21AB121A"/>
    <w:rsid w:val="21AC384E"/>
    <w:rsid w:val="21AC5C8C"/>
    <w:rsid w:val="21AE4421"/>
    <w:rsid w:val="21B46321"/>
    <w:rsid w:val="21B944CD"/>
    <w:rsid w:val="21BB15CD"/>
    <w:rsid w:val="21BF3717"/>
    <w:rsid w:val="21C03C59"/>
    <w:rsid w:val="21C148E7"/>
    <w:rsid w:val="21C154D0"/>
    <w:rsid w:val="21CD4909"/>
    <w:rsid w:val="21CF76D0"/>
    <w:rsid w:val="21CF78AD"/>
    <w:rsid w:val="21D133B8"/>
    <w:rsid w:val="21D84800"/>
    <w:rsid w:val="21DA40C7"/>
    <w:rsid w:val="21E626CF"/>
    <w:rsid w:val="21EE2E5D"/>
    <w:rsid w:val="21EF7C6B"/>
    <w:rsid w:val="21F36041"/>
    <w:rsid w:val="21F954E1"/>
    <w:rsid w:val="21FC2DBE"/>
    <w:rsid w:val="21FC61E7"/>
    <w:rsid w:val="21FE735B"/>
    <w:rsid w:val="220167C1"/>
    <w:rsid w:val="22024AEB"/>
    <w:rsid w:val="2205092A"/>
    <w:rsid w:val="220A7126"/>
    <w:rsid w:val="220D02F5"/>
    <w:rsid w:val="22130638"/>
    <w:rsid w:val="221A6AEA"/>
    <w:rsid w:val="222A0722"/>
    <w:rsid w:val="222A6A90"/>
    <w:rsid w:val="222D400F"/>
    <w:rsid w:val="22322682"/>
    <w:rsid w:val="223E4A1D"/>
    <w:rsid w:val="22482F0D"/>
    <w:rsid w:val="224972FA"/>
    <w:rsid w:val="224D5EF7"/>
    <w:rsid w:val="225226DF"/>
    <w:rsid w:val="22545ADD"/>
    <w:rsid w:val="225D74EB"/>
    <w:rsid w:val="22625D7D"/>
    <w:rsid w:val="226338A3"/>
    <w:rsid w:val="22645D35"/>
    <w:rsid w:val="22680EB9"/>
    <w:rsid w:val="226E64E4"/>
    <w:rsid w:val="226F278B"/>
    <w:rsid w:val="2273572C"/>
    <w:rsid w:val="22767EAA"/>
    <w:rsid w:val="227C1FE9"/>
    <w:rsid w:val="22800E97"/>
    <w:rsid w:val="2280592C"/>
    <w:rsid w:val="22806203"/>
    <w:rsid w:val="228D1980"/>
    <w:rsid w:val="22903024"/>
    <w:rsid w:val="22905469"/>
    <w:rsid w:val="229359F1"/>
    <w:rsid w:val="229D24E9"/>
    <w:rsid w:val="22A5484F"/>
    <w:rsid w:val="22AA6722"/>
    <w:rsid w:val="22AC524A"/>
    <w:rsid w:val="22AE2B11"/>
    <w:rsid w:val="22B70195"/>
    <w:rsid w:val="22BA2DBA"/>
    <w:rsid w:val="22C0475B"/>
    <w:rsid w:val="22CC733E"/>
    <w:rsid w:val="22D96782"/>
    <w:rsid w:val="22DC6F69"/>
    <w:rsid w:val="22E449E3"/>
    <w:rsid w:val="22E469A1"/>
    <w:rsid w:val="22E5075C"/>
    <w:rsid w:val="22E705F3"/>
    <w:rsid w:val="22F4099F"/>
    <w:rsid w:val="22F62969"/>
    <w:rsid w:val="22F81011"/>
    <w:rsid w:val="2306254D"/>
    <w:rsid w:val="23077789"/>
    <w:rsid w:val="230E044D"/>
    <w:rsid w:val="23107950"/>
    <w:rsid w:val="2319615B"/>
    <w:rsid w:val="23257B58"/>
    <w:rsid w:val="232E2103"/>
    <w:rsid w:val="233E3C9A"/>
    <w:rsid w:val="23414E65"/>
    <w:rsid w:val="2348017C"/>
    <w:rsid w:val="23502079"/>
    <w:rsid w:val="2351194D"/>
    <w:rsid w:val="235377C7"/>
    <w:rsid w:val="235758FC"/>
    <w:rsid w:val="235A5E50"/>
    <w:rsid w:val="235B7383"/>
    <w:rsid w:val="236F3EF7"/>
    <w:rsid w:val="23757D31"/>
    <w:rsid w:val="2378262C"/>
    <w:rsid w:val="237A5348"/>
    <w:rsid w:val="23824830"/>
    <w:rsid w:val="238D0D16"/>
    <w:rsid w:val="238E3552"/>
    <w:rsid w:val="238E494F"/>
    <w:rsid w:val="239E2117"/>
    <w:rsid w:val="23A979DB"/>
    <w:rsid w:val="23AC3027"/>
    <w:rsid w:val="23AE0B4E"/>
    <w:rsid w:val="23B2253D"/>
    <w:rsid w:val="23C4147D"/>
    <w:rsid w:val="23C44080"/>
    <w:rsid w:val="23CD12AE"/>
    <w:rsid w:val="23DD35E4"/>
    <w:rsid w:val="23DE002D"/>
    <w:rsid w:val="23EC42FD"/>
    <w:rsid w:val="23F2607F"/>
    <w:rsid w:val="23F776D8"/>
    <w:rsid w:val="23FD1B6C"/>
    <w:rsid w:val="2400155A"/>
    <w:rsid w:val="2402179C"/>
    <w:rsid w:val="240E6F19"/>
    <w:rsid w:val="24103CC4"/>
    <w:rsid w:val="24105FA5"/>
    <w:rsid w:val="24126CC7"/>
    <w:rsid w:val="241F1CB2"/>
    <w:rsid w:val="242071FD"/>
    <w:rsid w:val="24253506"/>
    <w:rsid w:val="242C2E95"/>
    <w:rsid w:val="24333A79"/>
    <w:rsid w:val="24382188"/>
    <w:rsid w:val="243A72F1"/>
    <w:rsid w:val="243C43AB"/>
    <w:rsid w:val="243C48D8"/>
    <w:rsid w:val="243D7D25"/>
    <w:rsid w:val="24400FCA"/>
    <w:rsid w:val="24463DBE"/>
    <w:rsid w:val="24482D50"/>
    <w:rsid w:val="244E747A"/>
    <w:rsid w:val="244F690B"/>
    <w:rsid w:val="24597766"/>
    <w:rsid w:val="245B63E1"/>
    <w:rsid w:val="245E13E6"/>
    <w:rsid w:val="245E3E0C"/>
    <w:rsid w:val="245E432F"/>
    <w:rsid w:val="2462791D"/>
    <w:rsid w:val="2463402E"/>
    <w:rsid w:val="246767DF"/>
    <w:rsid w:val="246C62EA"/>
    <w:rsid w:val="246F50DB"/>
    <w:rsid w:val="2479295A"/>
    <w:rsid w:val="247C2A99"/>
    <w:rsid w:val="247D28A4"/>
    <w:rsid w:val="247D372C"/>
    <w:rsid w:val="248D1408"/>
    <w:rsid w:val="24911416"/>
    <w:rsid w:val="249127AF"/>
    <w:rsid w:val="249227FD"/>
    <w:rsid w:val="249347F1"/>
    <w:rsid w:val="24982B2B"/>
    <w:rsid w:val="249A2692"/>
    <w:rsid w:val="249B24BC"/>
    <w:rsid w:val="249C261E"/>
    <w:rsid w:val="249E73D3"/>
    <w:rsid w:val="24A02CDA"/>
    <w:rsid w:val="24A3267C"/>
    <w:rsid w:val="24A57C58"/>
    <w:rsid w:val="24A923E3"/>
    <w:rsid w:val="24AD6BD8"/>
    <w:rsid w:val="24AF2491"/>
    <w:rsid w:val="24BF043E"/>
    <w:rsid w:val="24BF0F25"/>
    <w:rsid w:val="24CB67BB"/>
    <w:rsid w:val="24D65EFB"/>
    <w:rsid w:val="24D81F62"/>
    <w:rsid w:val="24D8608C"/>
    <w:rsid w:val="24E01A1C"/>
    <w:rsid w:val="24E251E7"/>
    <w:rsid w:val="24E25C7A"/>
    <w:rsid w:val="24F12FFD"/>
    <w:rsid w:val="24F3770A"/>
    <w:rsid w:val="24F91A87"/>
    <w:rsid w:val="24FF1FDB"/>
    <w:rsid w:val="24FF3D57"/>
    <w:rsid w:val="250004C1"/>
    <w:rsid w:val="25094870"/>
    <w:rsid w:val="2513335E"/>
    <w:rsid w:val="25160DA3"/>
    <w:rsid w:val="251E0AE9"/>
    <w:rsid w:val="251F6ECC"/>
    <w:rsid w:val="25234685"/>
    <w:rsid w:val="252B00EE"/>
    <w:rsid w:val="252E729F"/>
    <w:rsid w:val="25310FEB"/>
    <w:rsid w:val="25350B0A"/>
    <w:rsid w:val="25381017"/>
    <w:rsid w:val="25384EE8"/>
    <w:rsid w:val="253A2A46"/>
    <w:rsid w:val="253D691F"/>
    <w:rsid w:val="253F05F7"/>
    <w:rsid w:val="25487A7F"/>
    <w:rsid w:val="25504B68"/>
    <w:rsid w:val="25550187"/>
    <w:rsid w:val="25550B8A"/>
    <w:rsid w:val="255C6D00"/>
    <w:rsid w:val="255E3FBB"/>
    <w:rsid w:val="25631BB1"/>
    <w:rsid w:val="2566431A"/>
    <w:rsid w:val="25707530"/>
    <w:rsid w:val="25711C1B"/>
    <w:rsid w:val="25745A66"/>
    <w:rsid w:val="257A4807"/>
    <w:rsid w:val="25846666"/>
    <w:rsid w:val="258B0CB9"/>
    <w:rsid w:val="25994967"/>
    <w:rsid w:val="259C7404"/>
    <w:rsid w:val="259D70CC"/>
    <w:rsid w:val="25A3263C"/>
    <w:rsid w:val="25A344DF"/>
    <w:rsid w:val="25AA7315"/>
    <w:rsid w:val="25B612CE"/>
    <w:rsid w:val="25C10173"/>
    <w:rsid w:val="25C30168"/>
    <w:rsid w:val="25C35365"/>
    <w:rsid w:val="25CA22E5"/>
    <w:rsid w:val="25CA3BA8"/>
    <w:rsid w:val="25CB1854"/>
    <w:rsid w:val="25CC2942"/>
    <w:rsid w:val="25CC669B"/>
    <w:rsid w:val="25CC6B47"/>
    <w:rsid w:val="25D01DD5"/>
    <w:rsid w:val="25DC1ECC"/>
    <w:rsid w:val="25E12C4F"/>
    <w:rsid w:val="25E35426"/>
    <w:rsid w:val="25EB42DB"/>
    <w:rsid w:val="25EB7E37"/>
    <w:rsid w:val="25EC0C12"/>
    <w:rsid w:val="25F1288B"/>
    <w:rsid w:val="25F142D9"/>
    <w:rsid w:val="25F21EE0"/>
    <w:rsid w:val="25FC2BC7"/>
    <w:rsid w:val="26011914"/>
    <w:rsid w:val="260B109B"/>
    <w:rsid w:val="2611159E"/>
    <w:rsid w:val="26115306"/>
    <w:rsid w:val="26167EAA"/>
    <w:rsid w:val="2619025D"/>
    <w:rsid w:val="261F13E2"/>
    <w:rsid w:val="26213683"/>
    <w:rsid w:val="262670C1"/>
    <w:rsid w:val="262B727F"/>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03368"/>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23447"/>
    <w:rsid w:val="26F414BD"/>
    <w:rsid w:val="26F50B23"/>
    <w:rsid w:val="26F61BE2"/>
    <w:rsid w:val="270537D9"/>
    <w:rsid w:val="27086959"/>
    <w:rsid w:val="270A47D0"/>
    <w:rsid w:val="270B2296"/>
    <w:rsid w:val="270B489F"/>
    <w:rsid w:val="270E035C"/>
    <w:rsid w:val="271C1B0C"/>
    <w:rsid w:val="271C74C3"/>
    <w:rsid w:val="2720303C"/>
    <w:rsid w:val="27203D0E"/>
    <w:rsid w:val="272715AF"/>
    <w:rsid w:val="27277595"/>
    <w:rsid w:val="27296C05"/>
    <w:rsid w:val="272B5434"/>
    <w:rsid w:val="272B7CE1"/>
    <w:rsid w:val="272C6EB9"/>
    <w:rsid w:val="27365549"/>
    <w:rsid w:val="27366DD7"/>
    <w:rsid w:val="274B78B6"/>
    <w:rsid w:val="274C41A6"/>
    <w:rsid w:val="274D592E"/>
    <w:rsid w:val="27504ECF"/>
    <w:rsid w:val="275821A5"/>
    <w:rsid w:val="27630446"/>
    <w:rsid w:val="27640998"/>
    <w:rsid w:val="276519AC"/>
    <w:rsid w:val="276A122F"/>
    <w:rsid w:val="27711D3B"/>
    <w:rsid w:val="2776060C"/>
    <w:rsid w:val="277C7404"/>
    <w:rsid w:val="277F2B57"/>
    <w:rsid w:val="27822A1D"/>
    <w:rsid w:val="27824C5F"/>
    <w:rsid w:val="278359BC"/>
    <w:rsid w:val="27857434"/>
    <w:rsid w:val="27886B4A"/>
    <w:rsid w:val="279474E1"/>
    <w:rsid w:val="27A10C29"/>
    <w:rsid w:val="27A961FC"/>
    <w:rsid w:val="27AC65CB"/>
    <w:rsid w:val="27AC6781"/>
    <w:rsid w:val="27AD7FAB"/>
    <w:rsid w:val="27AE550B"/>
    <w:rsid w:val="27B00DB9"/>
    <w:rsid w:val="27B01338"/>
    <w:rsid w:val="27B05962"/>
    <w:rsid w:val="27B0758A"/>
    <w:rsid w:val="27B257E6"/>
    <w:rsid w:val="27B57501"/>
    <w:rsid w:val="27BD5803"/>
    <w:rsid w:val="27C065BA"/>
    <w:rsid w:val="27C2427E"/>
    <w:rsid w:val="27C303A3"/>
    <w:rsid w:val="27CE764C"/>
    <w:rsid w:val="27CF5FD4"/>
    <w:rsid w:val="27CF7A19"/>
    <w:rsid w:val="27D16E8D"/>
    <w:rsid w:val="27D52EE1"/>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57E8C"/>
    <w:rsid w:val="28766BC1"/>
    <w:rsid w:val="287828B7"/>
    <w:rsid w:val="28797626"/>
    <w:rsid w:val="287B127F"/>
    <w:rsid w:val="287F6F5C"/>
    <w:rsid w:val="288014B5"/>
    <w:rsid w:val="28812CD5"/>
    <w:rsid w:val="2881461D"/>
    <w:rsid w:val="28882CBE"/>
    <w:rsid w:val="28892808"/>
    <w:rsid w:val="28920D22"/>
    <w:rsid w:val="289742A6"/>
    <w:rsid w:val="289871C2"/>
    <w:rsid w:val="28A40E75"/>
    <w:rsid w:val="28A41443"/>
    <w:rsid w:val="28A7177D"/>
    <w:rsid w:val="28AB65DF"/>
    <w:rsid w:val="28AE27F3"/>
    <w:rsid w:val="28C23A01"/>
    <w:rsid w:val="28C74998"/>
    <w:rsid w:val="28C93AC3"/>
    <w:rsid w:val="28D04EA7"/>
    <w:rsid w:val="28E42158"/>
    <w:rsid w:val="28E8116A"/>
    <w:rsid w:val="28E90F64"/>
    <w:rsid w:val="28EB42A7"/>
    <w:rsid w:val="28EC17CE"/>
    <w:rsid w:val="28F1013D"/>
    <w:rsid w:val="28F96D0F"/>
    <w:rsid w:val="28FB1BAC"/>
    <w:rsid w:val="28FB5C22"/>
    <w:rsid w:val="29077701"/>
    <w:rsid w:val="2909341C"/>
    <w:rsid w:val="290D7642"/>
    <w:rsid w:val="29180602"/>
    <w:rsid w:val="29186E85"/>
    <w:rsid w:val="29194CBB"/>
    <w:rsid w:val="291E5BAE"/>
    <w:rsid w:val="292677B7"/>
    <w:rsid w:val="29332D7E"/>
    <w:rsid w:val="293572B2"/>
    <w:rsid w:val="293B6D30"/>
    <w:rsid w:val="29433A05"/>
    <w:rsid w:val="294D2BB7"/>
    <w:rsid w:val="295120AB"/>
    <w:rsid w:val="296622CE"/>
    <w:rsid w:val="296B4BE6"/>
    <w:rsid w:val="296F7BCF"/>
    <w:rsid w:val="29704B40"/>
    <w:rsid w:val="2976035F"/>
    <w:rsid w:val="29772DD2"/>
    <w:rsid w:val="29797660"/>
    <w:rsid w:val="297C4047"/>
    <w:rsid w:val="2983149E"/>
    <w:rsid w:val="2987256D"/>
    <w:rsid w:val="298C2D60"/>
    <w:rsid w:val="298E0A8B"/>
    <w:rsid w:val="29903309"/>
    <w:rsid w:val="2991426D"/>
    <w:rsid w:val="299444F6"/>
    <w:rsid w:val="299725B2"/>
    <w:rsid w:val="299B791D"/>
    <w:rsid w:val="29A0142B"/>
    <w:rsid w:val="29A45D80"/>
    <w:rsid w:val="29A6119E"/>
    <w:rsid w:val="29A70519"/>
    <w:rsid w:val="29A743F5"/>
    <w:rsid w:val="29AB5CD6"/>
    <w:rsid w:val="29AF561F"/>
    <w:rsid w:val="29B90A5B"/>
    <w:rsid w:val="29BD3616"/>
    <w:rsid w:val="29BF7A57"/>
    <w:rsid w:val="29C311A0"/>
    <w:rsid w:val="29C476DB"/>
    <w:rsid w:val="29CC14CC"/>
    <w:rsid w:val="29CC6864"/>
    <w:rsid w:val="29CF4FC5"/>
    <w:rsid w:val="29CF6B60"/>
    <w:rsid w:val="29D01E9B"/>
    <w:rsid w:val="29DA3A1F"/>
    <w:rsid w:val="29DF45F4"/>
    <w:rsid w:val="29E570DA"/>
    <w:rsid w:val="29E90B31"/>
    <w:rsid w:val="29EB07FA"/>
    <w:rsid w:val="29F13AF3"/>
    <w:rsid w:val="29F1583B"/>
    <w:rsid w:val="29F179E6"/>
    <w:rsid w:val="29F714A0"/>
    <w:rsid w:val="29F9234A"/>
    <w:rsid w:val="29FC6AB7"/>
    <w:rsid w:val="2A04596B"/>
    <w:rsid w:val="2A047719"/>
    <w:rsid w:val="2A053A79"/>
    <w:rsid w:val="2A075DD3"/>
    <w:rsid w:val="2A0E6314"/>
    <w:rsid w:val="2A0F11ED"/>
    <w:rsid w:val="2A132776"/>
    <w:rsid w:val="2A19237C"/>
    <w:rsid w:val="2A1A6D6F"/>
    <w:rsid w:val="2A245CB1"/>
    <w:rsid w:val="2A373419"/>
    <w:rsid w:val="2A3A279C"/>
    <w:rsid w:val="2A3C21D5"/>
    <w:rsid w:val="2A3D3C9E"/>
    <w:rsid w:val="2A461AE0"/>
    <w:rsid w:val="2A4620B2"/>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8F41A9"/>
    <w:rsid w:val="2A900A00"/>
    <w:rsid w:val="2AA247BE"/>
    <w:rsid w:val="2AAA07C5"/>
    <w:rsid w:val="2AAF3887"/>
    <w:rsid w:val="2AB32EED"/>
    <w:rsid w:val="2AB93496"/>
    <w:rsid w:val="2ABB0709"/>
    <w:rsid w:val="2ABC35A1"/>
    <w:rsid w:val="2AC210CC"/>
    <w:rsid w:val="2AD01CF1"/>
    <w:rsid w:val="2AD34A0A"/>
    <w:rsid w:val="2AD6727E"/>
    <w:rsid w:val="2ADA1C3A"/>
    <w:rsid w:val="2AE213F6"/>
    <w:rsid w:val="2AE65071"/>
    <w:rsid w:val="2AE8528D"/>
    <w:rsid w:val="2AF6758A"/>
    <w:rsid w:val="2AFC349E"/>
    <w:rsid w:val="2B0025D7"/>
    <w:rsid w:val="2B044780"/>
    <w:rsid w:val="2B08626C"/>
    <w:rsid w:val="2B105922"/>
    <w:rsid w:val="2B120584"/>
    <w:rsid w:val="2B1F5DEE"/>
    <w:rsid w:val="2B2008F3"/>
    <w:rsid w:val="2B290EC9"/>
    <w:rsid w:val="2B2C493D"/>
    <w:rsid w:val="2B362A0F"/>
    <w:rsid w:val="2B3C674C"/>
    <w:rsid w:val="2B403850"/>
    <w:rsid w:val="2B4201F8"/>
    <w:rsid w:val="2B4926CC"/>
    <w:rsid w:val="2B50238A"/>
    <w:rsid w:val="2B5102DE"/>
    <w:rsid w:val="2B51698E"/>
    <w:rsid w:val="2B574867"/>
    <w:rsid w:val="2B5A47FC"/>
    <w:rsid w:val="2B5B5A5F"/>
    <w:rsid w:val="2B626FC3"/>
    <w:rsid w:val="2B677E47"/>
    <w:rsid w:val="2B710DDE"/>
    <w:rsid w:val="2B7A4A43"/>
    <w:rsid w:val="2B7A51CB"/>
    <w:rsid w:val="2B894C35"/>
    <w:rsid w:val="2B8C45DA"/>
    <w:rsid w:val="2B8F0135"/>
    <w:rsid w:val="2B9274C4"/>
    <w:rsid w:val="2B964E6E"/>
    <w:rsid w:val="2B9733C5"/>
    <w:rsid w:val="2BA64F9D"/>
    <w:rsid w:val="2BA74026"/>
    <w:rsid w:val="2BAD0059"/>
    <w:rsid w:val="2BAF28FF"/>
    <w:rsid w:val="2BB05F93"/>
    <w:rsid w:val="2BB15833"/>
    <w:rsid w:val="2BB208B1"/>
    <w:rsid w:val="2BB222C7"/>
    <w:rsid w:val="2BB9186A"/>
    <w:rsid w:val="2BBA1AB4"/>
    <w:rsid w:val="2BBC2687"/>
    <w:rsid w:val="2BBE3A1E"/>
    <w:rsid w:val="2BCB1289"/>
    <w:rsid w:val="2BCC24B9"/>
    <w:rsid w:val="2BCC5CFB"/>
    <w:rsid w:val="2BD2366F"/>
    <w:rsid w:val="2BD74861"/>
    <w:rsid w:val="2BDE3F6E"/>
    <w:rsid w:val="2BDF043E"/>
    <w:rsid w:val="2BE800C2"/>
    <w:rsid w:val="2BEC1234"/>
    <w:rsid w:val="2BEC4B59"/>
    <w:rsid w:val="2BEF6ED6"/>
    <w:rsid w:val="2BF1308B"/>
    <w:rsid w:val="2BF60C1B"/>
    <w:rsid w:val="2C047D98"/>
    <w:rsid w:val="2C091002"/>
    <w:rsid w:val="2C0B756F"/>
    <w:rsid w:val="2C0F03C8"/>
    <w:rsid w:val="2C10416B"/>
    <w:rsid w:val="2C152C2D"/>
    <w:rsid w:val="2C1A46A5"/>
    <w:rsid w:val="2C2045B2"/>
    <w:rsid w:val="2C2D15DD"/>
    <w:rsid w:val="2C2D3788"/>
    <w:rsid w:val="2C335C64"/>
    <w:rsid w:val="2C3502BE"/>
    <w:rsid w:val="2C3D7EBB"/>
    <w:rsid w:val="2C4341AC"/>
    <w:rsid w:val="2C4958B7"/>
    <w:rsid w:val="2C4C248F"/>
    <w:rsid w:val="2C4E7569"/>
    <w:rsid w:val="2C512033"/>
    <w:rsid w:val="2C513A99"/>
    <w:rsid w:val="2C576511"/>
    <w:rsid w:val="2C5C6B56"/>
    <w:rsid w:val="2C5C7768"/>
    <w:rsid w:val="2C6D67C4"/>
    <w:rsid w:val="2C700266"/>
    <w:rsid w:val="2C730B86"/>
    <w:rsid w:val="2C755126"/>
    <w:rsid w:val="2C7A54B8"/>
    <w:rsid w:val="2C7B7F24"/>
    <w:rsid w:val="2C7E4100"/>
    <w:rsid w:val="2C8132A3"/>
    <w:rsid w:val="2C8233AC"/>
    <w:rsid w:val="2C8632F5"/>
    <w:rsid w:val="2C8A7455"/>
    <w:rsid w:val="2C8D7E9A"/>
    <w:rsid w:val="2C91679C"/>
    <w:rsid w:val="2C92725E"/>
    <w:rsid w:val="2C9307CA"/>
    <w:rsid w:val="2C941177"/>
    <w:rsid w:val="2C9560B2"/>
    <w:rsid w:val="2C994F8D"/>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CEF5816"/>
    <w:rsid w:val="2D052D88"/>
    <w:rsid w:val="2D054D76"/>
    <w:rsid w:val="2D0C0ED6"/>
    <w:rsid w:val="2D113BDA"/>
    <w:rsid w:val="2D150B97"/>
    <w:rsid w:val="2D1E3CB5"/>
    <w:rsid w:val="2D1E5C93"/>
    <w:rsid w:val="2D200D0E"/>
    <w:rsid w:val="2D22026D"/>
    <w:rsid w:val="2D296FEB"/>
    <w:rsid w:val="2D2F0F51"/>
    <w:rsid w:val="2D322D52"/>
    <w:rsid w:val="2D3262D5"/>
    <w:rsid w:val="2D431DB3"/>
    <w:rsid w:val="2D443ED8"/>
    <w:rsid w:val="2D4B565F"/>
    <w:rsid w:val="2D4C1B03"/>
    <w:rsid w:val="2D4C58AE"/>
    <w:rsid w:val="2D4C5F80"/>
    <w:rsid w:val="2D4C7C52"/>
    <w:rsid w:val="2D5015B6"/>
    <w:rsid w:val="2D520565"/>
    <w:rsid w:val="2D5B38DD"/>
    <w:rsid w:val="2D5C151C"/>
    <w:rsid w:val="2D624A33"/>
    <w:rsid w:val="2D642FCF"/>
    <w:rsid w:val="2D693ED2"/>
    <w:rsid w:val="2D6A1952"/>
    <w:rsid w:val="2D746E52"/>
    <w:rsid w:val="2D7B5571"/>
    <w:rsid w:val="2D890723"/>
    <w:rsid w:val="2D9020FB"/>
    <w:rsid w:val="2D9164A7"/>
    <w:rsid w:val="2D917516"/>
    <w:rsid w:val="2D956DC9"/>
    <w:rsid w:val="2D96573A"/>
    <w:rsid w:val="2D981C83"/>
    <w:rsid w:val="2D9D5DE8"/>
    <w:rsid w:val="2DA64C11"/>
    <w:rsid w:val="2DC055A0"/>
    <w:rsid w:val="2DC60312"/>
    <w:rsid w:val="2DC60707"/>
    <w:rsid w:val="2DC80A24"/>
    <w:rsid w:val="2DCA0C7A"/>
    <w:rsid w:val="2DD212F1"/>
    <w:rsid w:val="2DD65871"/>
    <w:rsid w:val="2DDE5CEF"/>
    <w:rsid w:val="2DE20BD4"/>
    <w:rsid w:val="2DEB2C5D"/>
    <w:rsid w:val="2DF5008C"/>
    <w:rsid w:val="2E103E63"/>
    <w:rsid w:val="2E172FC3"/>
    <w:rsid w:val="2E296E5A"/>
    <w:rsid w:val="2E322D3A"/>
    <w:rsid w:val="2E326001"/>
    <w:rsid w:val="2E341DD7"/>
    <w:rsid w:val="2E34221D"/>
    <w:rsid w:val="2E3809D2"/>
    <w:rsid w:val="2E3B55A5"/>
    <w:rsid w:val="2E421EC8"/>
    <w:rsid w:val="2E444D78"/>
    <w:rsid w:val="2E4A16A0"/>
    <w:rsid w:val="2E4C5B33"/>
    <w:rsid w:val="2E4C6A2A"/>
    <w:rsid w:val="2E554436"/>
    <w:rsid w:val="2E56199B"/>
    <w:rsid w:val="2E592149"/>
    <w:rsid w:val="2E636CD0"/>
    <w:rsid w:val="2E642627"/>
    <w:rsid w:val="2E6D5E7D"/>
    <w:rsid w:val="2E7110F5"/>
    <w:rsid w:val="2E7320CE"/>
    <w:rsid w:val="2E757EFF"/>
    <w:rsid w:val="2E7708FA"/>
    <w:rsid w:val="2E805031"/>
    <w:rsid w:val="2E8378F9"/>
    <w:rsid w:val="2E854F07"/>
    <w:rsid w:val="2E861045"/>
    <w:rsid w:val="2E8C23C9"/>
    <w:rsid w:val="2E8C41AB"/>
    <w:rsid w:val="2E933F04"/>
    <w:rsid w:val="2E99421D"/>
    <w:rsid w:val="2E9E21D1"/>
    <w:rsid w:val="2EA25753"/>
    <w:rsid w:val="2EA41C48"/>
    <w:rsid w:val="2EAB22DC"/>
    <w:rsid w:val="2EAE5FB3"/>
    <w:rsid w:val="2EAF4D7A"/>
    <w:rsid w:val="2EB00596"/>
    <w:rsid w:val="2EB21E3A"/>
    <w:rsid w:val="2EB38AA9"/>
    <w:rsid w:val="2EBA587E"/>
    <w:rsid w:val="2EBC6814"/>
    <w:rsid w:val="2EBD3064"/>
    <w:rsid w:val="2EBD59DD"/>
    <w:rsid w:val="2EC05FE7"/>
    <w:rsid w:val="2EC26466"/>
    <w:rsid w:val="2ED43BD2"/>
    <w:rsid w:val="2ED54197"/>
    <w:rsid w:val="2EE9585B"/>
    <w:rsid w:val="2EEB6B28"/>
    <w:rsid w:val="2EEE2378"/>
    <w:rsid w:val="2EF169A6"/>
    <w:rsid w:val="2EF204E5"/>
    <w:rsid w:val="2EFC62E0"/>
    <w:rsid w:val="2F0429CA"/>
    <w:rsid w:val="2F0B46A2"/>
    <w:rsid w:val="2F0E335D"/>
    <w:rsid w:val="2F0E677D"/>
    <w:rsid w:val="2F126459"/>
    <w:rsid w:val="2F144012"/>
    <w:rsid w:val="2F1D5D39"/>
    <w:rsid w:val="2F2617A7"/>
    <w:rsid w:val="2F282F9A"/>
    <w:rsid w:val="2F2B5748"/>
    <w:rsid w:val="2F34515A"/>
    <w:rsid w:val="2F3A539A"/>
    <w:rsid w:val="2F3B7C94"/>
    <w:rsid w:val="2F4108DB"/>
    <w:rsid w:val="2F462582"/>
    <w:rsid w:val="2F4901B4"/>
    <w:rsid w:val="2F4D14F4"/>
    <w:rsid w:val="2F544D2A"/>
    <w:rsid w:val="2F5F0E72"/>
    <w:rsid w:val="2F630CE2"/>
    <w:rsid w:val="2F692E92"/>
    <w:rsid w:val="2F6B6336"/>
    <w:rsid w:val="2F6C3523"/>
    <w:rsid w:val="2F710330"/>
    <w:rsid w:val="2F763D3E"/>
    <w:rsid w:val="2F7B70F8"/>
    <w:rsid w:val="2F811E68"/>
    <w:rsid w:val="2F814135"/>
    <w:rsid w:val="2F83513E"/>
    <w:rsid w:val="2F843D81"/>
    <w:rsid w:val="2F8B4BD7"/>
    <w:rsid w:val="2F8D0F06"/>
    <w:rsid w:val="2F951EFA"/>
    <w:rsid w:val="2F9525CE"/>
    <w:rsid w:val="2FA15554"/>
    <w:rsid w:val="2FAF2E51"/>
    <w:rsid w:val="2FB2109E"/>
    <w:rsid w:val="2FB9600E"/>
    <w:rsid w:val="2FBA3784"/>
    <w:rsid w:val="2FBA5362"/>
    <w:rsid w:val="2FC0182E"/>
    <w:rsid w:val="2FC115B8"/>
    <w:rsid w:val="2FC55434"/>
    <w:rsid w:val="2FC931DC"/>
    <w:rsid w:val="2FCA3920"/>
    <w:rsid w:val="2FCF7B64"/>
    <w:rsid w:val="2FD437A7"/>
    <w:rsid w:val="2FD64A53"/>
    <w:rsid w:val="2FD81D8F"/>
    <w:rsid w:val="2FDA7D46"/>
    <w:rsid w:val="2FDB2CCA"/>
    <w:rsid w:val="2FE17C3A"/>
    <w:rsid w:val="2FEE365E"/>
    <w:rsid w:val="2FF12D33"/>
    <w:rsid w:val="2FF2327A"/>
    <w:rsid w:val="2FF320B7"/>
    <w:rsid w:val="2FF8610C"/>
    <w:rsid w:val="300970E3"/>
    <w:rsid w:val="300B0AFF"/>
    <w:rsid w:val="3012545F"/>
    <w:rsid w:val="301723DF"/>
    <w:rsid w:val="301B48DC"/>
    <w:rsid w:val="30236634"/>
    <w:rsid w:val="3028012C"/>
    <w:rsid w:val="302A32D4"/>
    <w:rsid w:val="302C5C1C"/>
    <w:rsid w:val="302E3742"/>
    <w:rsid w:val="303A44D4"/>
    <w:rsid w:val="303D5733"/>
    <w:rsid w:val="30450A8C"/>
    <w:rsid w:val="30451368"/>
    <w:rsid w:val="304567D2"/>
    <w:rsid w:val="30456BFD"/>
    <w:rsid w:val="30463635"/>
    <w:rsid w:val="304F4103"/>
    <w:rsid w:val="30512815"/>
    <w:rsid w:val="30530618"/>
    <w:rsid w:val="305848C0"/>
    <w:rsid w:val="30625E54"/>
    <w:rsid w:val="30680370"/>
    <w:rsid w:val="3074540F"/>
    <w:rsid w:val="30753DAD"/>
    <w:rsid w:val="3078676B"/>
    <w:rsid w:val="307F507C"/>
    <w:rsid w:val="3083623A"/>
    <w:rsid w:val="3086412A"/>
    <w:rsid w:val="308D5315"/>
    <w:rsid w:val="308F0018"/>
    <w:rsid w:val="30910409"/>
    <w:rsid w:val="30A212D0"/>
    <w:rsid w:val="30A22559"/>
    <w:rsid w:val="30A73F48"/>
    <w:rsid w:val="30A75B39"/>
    <w:rsid w:val="30A92D0C"/>
    <w:rsid w:val="30B31E99"/>
    <w:rsid w:val="30B95E9D"/>
    <w:rsid w:val="30BE2FB2"/>
    <w:rsid w:val="30BF2369"/>
    <w:rsid w:val="30BF2F44"/>
    <w:rsid w:val="30C714A1"/>
    <w:rsid w:val="30C8357A"/>
    <w:rsid w:val="30CC3EF1"/>
    <w:rsid w:val="30CC4D09"/>
    <w:rsid w:val="30CE0A5C"/>
    <w:rsid w:val="30DD67AD"/>
    <w:rsid w:val="30E06F3B"/>
    <w:rsid w:val="30E070DA"/>
    <w:rsid w:val="30E3452C"/>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05F0"/>
    <w:rsid w:val="31393E9B"/>
    <w:rsid w:val="31394140"/>
    <w:rsid w:val="313D2C28"/>
    <w:rsid w:val="31440159"/>
    <w:rsid w:val="314919CF"/>
    <w:rsid w:val="31496535"/>
    <w:rsid w:val="314A2415"/>
    <w:rsid w:val="31542076"/>
    <w:rsid w:val="316173E5"/>
    <w:rsid w:val="316513E5"/>
    <w:rsid w:val="31660DAA"/>
    <w:rsid w:val="316819C0"/>
    <w:rsid w:val="31690E97"/>
    <w:rsid w:val="316E2119"/>
    <w:rsid w:val="316E4789"/>
    <w:rsid w:val="316F58FC"/>
    <w:rsid w:val="317225E5"/>
    <w:rsid w:val="31755F02"/>
    <w:rsid w:val="317E0C7F"/>
    <w:rsid w:val="317F5387"/>
    <w:rsid w:val="318178A1"/>
    <w:rsid w:val="31867E3F"/>
    <w:rsid w:val="318D6246"/>
    <w:rsid w:val="31905D36"/>
    <w:rsid w:val="31915ADF"/>
    <w:rsid w:val="3193495C"/>
    <w:rsid w:val="31995D42"/>
    <w:rsid w:val="319B0FF7"/>
    <w:rsid w:val="319B6B33"/>
    <w:rsid w:val="31A041CB"/>
    <w:rsid w:val="31B1700E"/>
    <w:rsid w:val="31C01CFA"/>
    <w:rsid w:val="31C0317C"/>
    <w:rsid w:val="31C1695C"/>
    <w:rsid w:val="31C346EA"/>
    <w:rsid w:val="31C70DF5"/>
    <w:rsid w:val="31C75A3E"/>
    <w:rsid w:val="31CF0F21"/>
    <w:rsid w:val="31D00075"/>
    <w:rsid w:val="31D27AC8"/>
    <w:rsid w:val="31D35D1B"/>
    <w:rsid w:val="31DB531F"/>
    <w:rsid w:val="31DF692A"/>
    <w:rsid w:val="31E171EF"/>
    <w:rsid w:val="31E542D4"/>
    <w:rsid w:val="31F00560"/>
    <w:rsid w:val="31F72D85"/>
    <w:rsid w:val="31FD646A"/>
    <w:rsid w:val="320E1EBE"/>
    <w:rsid w:val="320E4D35"/>
    <w:rsid w:val="32106011"/>
    <w:rsid w:val="32110852"/>
    <w:rsid w:val="32193E5B"/>
    <w:rsid w:val="322272D6"/>
    <w:rsid w:val="32261DB2"/>
    <w:rsid w:val="32276C78"/>
    <w:rsid w:val="323479E4"/>
    <w:rsid w:val="323B04A4"/>
    <w:rsid w:val="32483CAD"/>
    <w:rsid w:val="32484FEE"/>
    <w:rsid w:val="324B07BD"/>
    <w:rsid w:val="324F24E5"/>
    <w:rsid w:val="3254274E"/>
    <w:rsid w:val="32544BDF"/>
    <w:rsid w:val="32550C70"/>
    <w:rsid w:val="32560617"/>
    <w:rsid w:val="32560D2E"/>
    <w:rsid w:val="325909FD"/>
    <w:rsid w:val="325E6910"/>
    <w:rsid w:val="32701107"/>
    <w:rsid w:val="3274719C"/>
    <w:rsid w:val="327F6D67"/>
    <w:rsid w:val="32821C93"/>
    <w:rsid w:val="328343EB"/>
    <w:rsid w:val="32854A29"/>
    <w:rsid w:val="3288244A"/>
    <w:rsid w:val="328C4750"/>
    <w:rsid w:val="328D7C9C"/>
    <w:rsid w:val="329A7EE5"/>
    <w:rsid w:val="32A36A1D"/>
    <w:rsid w:val="32B461E4"/>
    <w:rsid w:val="32BA306B"/>
    <w:rsid w:val="32C716D6"/>
    <w:rsid w:val="32CA3FBC"/>
    <w:rsid w:val="32D1739F"/>
    <w:rsid w:val="32D940C6"/>
    <w:rsid w:val="32D958F4"/>
    <w:rsid w:val="32DB182E"/>
    <w:rsid w:val="32DD366B"/>
    <w:rsid w:val="32EF0A75"/>
    <w:rsid w:val="32FA541E"/>
    <w:rsid w:val="32FD412F"/>
    <w:rsid w:val="330740DF"/>
    <w:rsid w:val="33084A3B"/>
    <w:rsid w:val="330E4A95"/>
    <w:rsid w:val="331117C0"/>
    <w:rsid w:val="33170080"/>
    <w:rsid w:val="33180BF7"/>
    <w:rsid w:val="331A7C8F"/>
    <w:rsid w:val="332B0710"/>
    <w:rsid w:val="332B5EB5"/>
    <w:rsid w:val="33354DE1"/>
    <w:rsid w:val="33371736"/>
    <w:rsid w:val="3338305B"/>
    <w:rsid w:val="334D0A9F"/>
    <w:rsid w:val="336A6CE7"/>
    <w:rsid w:val="336C266E"/>
    <w:rsid w:val="33792FE2"/>
    <w:rsid w:val="338120A0"/>
    <w:rsid w:val="33837901"/>
    <w:rsid w:val="33845ABC"/>
    <w:rsid w:val="338B5A94"/>
    <w:rsid w:val="338E7B48"/>
    <w:rsid w:val="3390450B"/>
    <w:rsid w:val="33925D96"/>
    <w:rsid w:val="3396271C"/>
    <w:rsid w:val="339E3411"/>
    <w:rsid w:val="339F6214"/>
    <w:rsid w:val="33A35ED7"/>
    <w:rsid w:val="33AD30C5"/>
    <w:rsid w:val="33B05E45"/>
    <w:rsid w:val="33B31AE9"/>
    <w:rsid w:val="33C83B71"/>
    <w:rsid w:val="33C841B4"/>
    <w:rsid w:val="33CD110B"/>
    <w:rsid w:val="33D15F2E"/>
    <w:rsid w:val="33D7795C"/>
    <w:rsid w:val="33DB598F"/>
    <w:rsid w:val="33DD580A"/>
    <w:rsid w:val="33E727C5"/>
    <w:rsid w:val="33E800AC"/>
    <w:rsid w:val="33ED755A"/>
    <w:rsid w:val="33F16EEC"/>
    <w:rsid w:val="33F40E24"/>
    <w:rsid w:val="33FA2F1A"/>
    <w:rsid w:val="33FC25CA"/>
    <w:rsid w:val="3404036F"/>
    <w:rsid w:val="340B4D34"/>
    <w:rsid w:val="340C4058"/>
    <w:rsid w:val="340C4DD2"/>
    <w:rsid w:val="340F3C54"/>
    <w:rsid w:val="341E06F7"/>
    <w:rsid w:val="34243721"/>
    <w:rsid w:val="3428494C"/>
    <w:rsid w:val="342A4F5F"/>
    <w:rsid w:val="342D23D8"/>
    <w:rsid w:val="343132D5"/>
    <w:rsid w:val="3438573F"/>
    <w:rsid w:val="343C247D"/>
    <w:rsid w:val="34414159"/>
    <w:rsid w:val="344E1DC8"/>
    <w:rsid w:val="3455236F"/>
    <w:rsid w:val="34672BEA"/>
    <w:rsid w:val="34690186"/>
    <w:rsid w:val="347B6A3A"/>
    <w:rsid w:val="34802C6C"/>
    <w:rsid w:val="34816DB7"/>
    <w:rsid w:val="34883DF7"/>
    <w:rsid w:val="34947504"/>
    <w:rsid w:val="349640AA"/>
    <w:rsid w:val="349D49F2"/>
    <w:rsid w:val="34A5006C"/>
    <w:rsid w:val="34A8302C"/>
    <w:rsid w:val="34AE0945"/>
    <w:rsid w:val="34B445FB"/>
    <w:rsid w:val="34B455DE"/>
    <w:rsid w:val="34B61F58"/>
    <w:rsid w:val="34B82070"/>
    <w:rsid w:val="34B87FF2"/>
    <w:rsid w:val="34B97917"/>
    <w:rsid w:val="34BC4090"/>
    <w:rsid w:val="34BE672D"/>
    <w:rsid w:val="34BF2DEA"/>
    <w:rsid w:val="34C25AE9"/>
    <w:rsid w:val="34C53F49"/>
    <w:rsid w:val="34CA55B1"/>
    <w:rsid w:val="34CF3529"/>
    <w:rsid w:val="34D7197A"/>
    <w:rsid w:val="34D94DA0"/>
    <w:rsid w:val="34DA7B4B"/>
    <w:rsid w:val="34DB551B"/>
    <w:rsid w:val="34DE7369"/>
    <w:rsid w:val="34E178F1"/>
    <w:rsid w:val="34E70363"/>
    <w:rsid w:val="34E96194"/>
    <w:rsid w:val="34FA4928"/>
    <w:rsid w:val="34FA62E8"/>
    <w:rsid w:val="350A1E75"/>
    <w:rsid w:val="350D4220"/>
    <w:rsid w:val="35132F06"/>
    <w:rsid w:val="35172E58"/>
    <w:rsid w:val="351D6888"/>
    <w:rsid w:val="352073D1"/>
    <w:rsid w:val="3522520D"/>
    <w:rsid w:val="35255923"/>
    <w:rsid w:val="35285BC7"/>
    <w:rsid w:val="353411BC"/>
    <w:rsid w:val="353975A2"/>
    <w:rsid w:val="353A4A31"/>
    <w:rsid w:val="353B0D84"/>
    <w:rsid w:val="353F67B8"/>
    <w:rsid w:val="35414D4C"/>
    <w:rsid w:val="3549014E"/>
    <w:rsid w:val="354E3A78"/>
    <w:rsid w:val="354F1D48"/>
    <w:rsid w:val="354F3CE6"/>
    <w:rsid w:val="35505B43"/>
    <w:rsid w:val="35510E30"/>
    <w:rsid w:val="355B2679"/>
    <w:rsid w:val="356E5AE8"/>
    <w:rsid w:val="357912CE"/>
    <w:rsid w:val="357D67E7"/>
    <w:rsid w:val="358019E7"/>
    <w:rsid w:val="358E021C"/>
    <w:rsid w:val="3599321D"/>
    <w:rsid w:val="359A44C0"/>
    <w:rsid w:val="359E499A"/>
    <w:rsid w:val="359F150F"/>
    <w:rsid w:val="359F4D79"/>
    <w:rsid w:val="35A529C2"/>
    <w:rsid w:val="35A70637"/>
    <w:rsid w:val="35AF1F78"/>
    <w:rsid w:val="35AF5AAB"/>
    <w:rsid w:val="35AF7A0E"/>
    <w:rsid w:val="35B01960"/>
    <w:rsid w:val="35B220D5"/>
    <w:rsid w:val="35B25EB8"/>
    <w:rsid w:val="35B86116"/>
    <w:rsid w:val="35C16399"/>
    <w:rsid w:val="35C34996"/>
    <w:rsid w:val="35C81C5B"/>
    <w:rsid w:val="35CD6421"/>
    <w:rsid w:val="35D51E1D"/>
    <w:rsid w:val="35DA654F"/>
    <w:rsid w:val="35E03A78"/>
    <w:rsid w:val="35EA0FD5"/>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E2205"/>
    <w:rsid w:val="363F0394"/>
    <w:rsid w:val="36484E32"/>
    <w:rsid w:val="364C5483"/>
    <w:rsid w:val="364D71DB"/>
    <w:rsid w:val="365577FA"/>
    <w:rsid w:val="36576F80"/>
    <w:rsid w:val="36590DED"/>
    <w:rsid w:val="365B6913"/>
    <w:rsid w:val="36635E01"/>
    <w:rsid w:val="3666142C"/>
    <w:rsid w:val="36671CC9"/>
    <w:rsid w:val="366F210B"/>
    <w:rsid w:val="36721879"/>
    <w:rsid w:val="367714D5"/>
    <w:rsid w:val="367A071D"/>
    <w:rsid w:val="367F70AF"/>
    <w:rsid w:val="368045CB"/>
    <w:rsid w:val="368712CC"/>
    <w:rsid w:val="368B778C"/>
    <w:rsid w:val="36923452"/>
    <w:rsid w:val="369F24A2"/>
    <w:rsid w:val="36A377DA"/>
    <w:rsid w:val="36A86627"/>
    <w:rsid w:val="36AA05DC"/>
    <w:rsid w:val="36AE247A"/>
    <w:rsid w:val="36B20AA6"/>
    <w:rsid w:val="36B20DD7"/>
    <w:rsid w:val="36B6667B"/>
    <w:rsid w:val="36B72924"/>
    <w:rsid w:val="36B9758D"/>
    <w:rsid w:val="36C13F6C"/>
    <w:rsid w:val="36C6023F"/>
    <w:rsid w:val="36C87B0D"/>
    <w:rsid w:val="36CA2FA3"/>
    <w:rsid w:val="36CA3A99"/>
    <w:rsid w:val="36D10D79"/>
    <w:rsid w:val="36D41AC6"/>
    <w:rsid w:val="36DD2B0C"/>
    <w:rsid w:val="36DD5643"/>
    <w:rsid w:val="36E0116F"/>
    <w:rsid w:val="36ED6F0B"/>
    <w:rsid w:val="36F05B5F"/>
    <w:rsid w:val="36F83F7A"/>
    <w:rsid w:val="36FA5EF0"/>
    <w:rsid w:val="36FC701E"/>
    <w:rsid w:val="36FE7495"/>
    <w:rsid w:val="37000D38"/>
    <w:rsid w:val="37045DE3"/>
    <w:rsid w:val="37047404"/>
    <w:rsid w:val="37057757"/>
    <w:rsid w:val="370D71D9"/>
    <w:rsid w:val="37112659"/>
    <w:rsid w:val="37122F7B"/>
    <w:rsid w:val="371F705A"/>
    <w:rsid w:val="371F7A20"/>
    <w:rsid w:val="37260052"/>
    <w:rsid w:val="37281070"/>
    <w:rsid w:val="372C02AF"/>
    <w:rsid w:val="372C6E27"/>
    <w:rsid w:val="373A29CC"/>
    <w:rsid w:val="373F1567"/>
    <w:rsid w:val="37406625"/>
    <w:rsid w:val="37435DED"/>
    <w:rsid w:val="374970B3"/>
    <w:rsid w:val="374D21C0"/>
    <w:rsid w:val="375542A1"/>
    <w:rsid w:val="37573D84"/>
    <w:rsid w:val="37575797"/>
    <w:rsid w:val="375C0B95"/>
    <w:rsid w:val="376527A3"/>
    <w:rsid w:val="376673D6"/>
    <w:rsid w:val="37673A15"/>
    <w:rsid w:val="376E6B33"/>
    <w:rsid w:val="377135BC"/>
    <w:rsid w:val="3772259C"/>
    <w:rsid w:val="37784F66"/>
    <w:rsid w:val="377B1125"/>
    <w:rsid w:val="377E29AC"/>
    <w:rsid w:val="37822A57"/>
    <w:rsid w:val="3785064C"/>
    <w:rsid w:val="3790495E"/>
    <w:rsid w:val="379D11CC"/>
    <w:rsid w:val="379E0288"/>
    <w:rsid w:val="37A16410"/>
    <w:rsid w:val="37A2367B"/>
    <w:rsid w:val="37A334F6"/>
    <w:rsid w:val="37A637EF"/>
    <w:rsid w:val="37AB13AC"/>
    <w:rsid w:val="37AD7642"/>
    <w:rsid w:val="37B179ED"/>
    <w:rsid w:val="37BE7BCC"/>
    <w:rsid w:val="37C36E66"/>
    <w:rsid w:val="37C95A4C"/>
    <w:rsid w:val="37D16AE0"/>
    <w:rsid w:val="37E25735"/>
    <w:rsid w:val="37E62E65"/>
    <w:rsid w:val="37ED4E22"/>
    <w:rsid w:val="37F7677D"/>
    <w:rsid w:val="37FB9D80"/>
    <w:rsid w:val="37FE5D28"/>
    <w:rsid w:val="38010B31"/>
    <w:rsid w:val="38052BF0"/>
    <w:rsid w:val="38090653"/>
    <w:rsid w:val="380F6B34"/>
    <w:rsid w:val="38153493"/>
    <w:rsid w:val="38207590"/>
    <w:rsid w:val="38210F92"/>
    <w:rsid w:val="3822044B"/>
    <w:rsid w:val="38272059"/>
    <w:rsid w:val="382B6B84"/>
    <w:rsid w:val="382C51B9"/>
    <w:rsid w:val="382D2531"/>
    <w:rsid w:val="38355A6B"/>
    <w:rsid w:val="383800AD"/>
    <w:rsid w:val="38382EB6"/>
    <w:rsid w:val="383C4EC4"/>
    <w:rsid w:val="383C6418"/>
    <w:rsid w:val="383F4FF1"/>
    <w:rsid w:val="38413E85"/>
    <w:rsid w:val="3841574F"/>
    <w:rsid w:val="38433B9D"/>
    <w:rsid w:val="384E69DC"/>
    <w:rsid w:val="385432AE"/>
    <w:rsid w:val="385E0E01"/>
    <w:rsid w:val="386606BD"/>
    <w:rsid w:val="38671983"/>
    <w:rsid w:val="38675216"/>
    <w:rsid w:val="386D2443"/>
    <w:rsid w:val="386D2DD7"/>
    <w:rsid w:val="386D52D3"/>
    <w:rsid w:val="386F66A6"/>
    <w:rsid w:val="3870332A"/>
    <w:rsid w:val="3872150C"/>
    <w:rsid w:val="387271FD"/>
    <w:rsid w:val="387B329C"/>
    <w:rsid w:val="387E44BB"/>
    <w:rsid w:val="387E4B3B"/>
    <w:rsid w:val="388151B6"/>
    <w:rsid w:val="388E5799"/>
    <w:rsid w:val="38911C09"/>
    <w:rsid w:val="38950D8F"/>
    <w:rsid w:val="38984884"/>
    <w:rsid w:val="389D1465"/>
    <w:rsid w:val="38A00F55"/>
    <w:rsid w:val="38A11150"/>
    <w:rsid w:val="38A14DA4"/>
    <w:rsid w:val="38AE3672"/>
    <w:rsid w:val="38B52EC0"/>
    <w:rsid w:val="38B65638"/>
    <w:rsid w:val="38B75506"/>
    <w:rsid w:val="38B95B73"/>
    <w:rsid w:val="38BB2AC2"/>
    <w:rsid w:val="38BC25E2"/>
    <w:rsid w:val="38C17A8E"/>
    <w:rsid w:val="38C36CC3"/>
    <w:rsid w:val="38C4165F"/>
    <w:rsid w:val="38CD4ED7"/>
    <w:rsid w:val="38CF4B39"/>
    <w:rsid w:val="38D315B1"/>
    <w:rsid w:val="38D657A7"/>
    <w:rsid w:val="38D66877"/>
    <w:rsid w:val="38D84957"/>
    <w:rsid w:val="38DC4D15"/>
    <w:rsid w:val="38DF5701"/>
    <w:rsid w:val="38E06774"/>
    <w:rsid w:val="38E2328F"/>
    <w:rsid w:val="38EE0781"/>
    <w:rsid w:val="38EF77E6"/>
    <w:rsid w:val="38F0730D"/>
    <w:rsid w:val="38F16AA5"/>
    <w:rsid w:val="38F63ABA"/>
    <w:rsid w:val="38FD3E94"/>
    <w:rsid w:val="38FF0B5D"/>
    <w:rsid w:val="38FF71D6"/>
    <w:rsid w:val="39047E23"/>
    <w:rsid w:val="39072F01"/>
    <w:rsid w:val="3909573F"/>
    <w:rsid w:val="390A3A3F"/>
    <w:rsid w:val="390E5CB1"/>
    <w:rsid w:val="39153FA6"/>
    <w:rsid w:val="39174618"/>
    <w:rsid w:val="39182BD9"/>
    <w:rsid w:val="391B67FC"/>
    <w:rsid w:val="391D025D"/>
    <w:rsid w:val="39226A2A"/>
    <w:rsid w:val="392A4EC0"/>
    <w:rsid w:val="393570DE"/>
    <w:rsid w:val="39446C9D"/>
    <w:rsid w:val="394A2C6F"/>
    <w:rsid w:val="3954623F"/>
    <w:rsid w:val="39562469"/>
    <w:rsid w:val="39577BCA"/>
    <w:rsid w:val="3958538C"/>
    <w:rsid w:val="395914F0"/>
    <w:rsid w:val="395B071D"/>
    <w:rsid w:val="3966100F"/>
    <w:rsid w:val="39697FA0"/>
    <w:rsid w:val="396A2968"/>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33306"/>
    <w:rsid w:val="39F51F21"/>
    <w:rsid w:val="39F8049F"/>
    <w:rsid w:val="39FA45AC"/>
    <w:rsid w:val="3A0F770C"/>
    <w:rsid w:val="3A115FAE"/>
    <w:rsid w:val="3A1C2DA4"/>
    <w:rsid w:val="3A2033EB"/>
    <w:rsid w:val="3A232A86"/>
    <w:rsid w:val="3A267272"/>
    <w:rsid w:val="3A27373A"/>
    <w:rsid w:val="3A33443A"/>
    <w:rsid w:val="3A340151"/>
    <w:rsid w:val="3A345DF9"/>
    <w:rsid w:val="3A371445"/>
    <w:rsid w:val="3A3858F9"/>
    <w:rsid w:val="3A39340F"/>
    <w:rsid w:val="3A3B2355"/>
    <w:rsid w:val="3A40013B"/>
    <w:rsid w:val="3A421A17"/>
    <w:rsid w:val="3A4224D5"/>
    <w:rsid w:val="3A464B75"/>
    <w:rsid w:val="3A48295E"/>
    <w:rsid w:val="3A4C73EF"/>
    <w:rsid w:val="3A553058"/>
    <w:rsid w:val="3A5F274A"/>
    <w:rsid w:val="3A626D06"/>
    <w:rsid w:val="3A6669D0"/>
    <w:rsid w:val="3A695377"/>
    <w:rsid w:val="3A6A1993"/>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48C5"/>
    <w:rsid w:val="3A947BFC"/>
    <w:rsid w:val="3A9A4C13"/>
    <w:rsid w:val="3A9E7179"/>
    <w:rsid w:val="3AAB33C7"/>
    <w:rsid w:val="3AAE129F"/>
    <w:rsid w:val="3AB5512C"/>
    <w:rsid w:val="3AB71F2C"/>
    <w:rsid w:val="3AB90AF0"/>
    <w:rsid w:val="3ABB0323"/>
    <w:rsid w:val="3ABE1B66"/>
    <w:rsid w:val="3ABE6C61"/>
    <w:rsid w:val="3AC12D54"/>
    <w:rsid w:val="3AC56A30"/>
    <w:rsid w:val="3AD24F08"/>
    <w:rsid w:val="3AD526CE"/>
    <w:rsid w:val="3AD60C5E"/>
    <w:rsid w:val="3AD8001F"/>
    <w:rsid w:val="3ADD6E62"/>
    <w:rsid w:val="3AEC5F22"/>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402BD"/>
    <w:rsid w:val="3B4524D9"/>
    <w:rsid w:val="3B476C55"/>
    <w:rsid w:val="3B5119C7"/>
    <w:rsid w:val="3B567FFE"/>
    <w:rsid w:val="3B64238A"/>
    <w:rsid w:val="3B6746FF"/>
    <w:rsid w:val="3B6A07EB"/>
    <w:rsid w:val="3B6A0EC9"/>
    <w:rsid w:val="3B6C396A"/>
    <w:rsid w:val="3B6D3512"/>
    <w:rsid w:val="3B6F0BFF"/>
    <w:rsid w:val="3B6F7654"/>
    <w:rsid w:val="3B72704A"/>
    <w:rsid w:val="3B7D557D"/>
    <w:rsid w:val="3B7D788E"/>
    <w:rsid w:val="3B8139DF"/>
    <w:rsid w:val="3B844E86"/>
    <w:rsid w:val="3B846452"/>
    <w:rsid w:val="3B8A1951"/>
    <w:rsid w:val="3B96722B"/>
    <w:rsid w:val="3B9A6336"/>
    <w:rsid w:val="3BA3768E"/>
    <w:rsid w:val="3BA4450D"/>
    <w:rsid w:val="3BA66882"/>
    <w:rsid w:val="3BA85A95"/>
    <w:rsid w:val="3BAE1BDB"/>
    <w:rsid w:val="3BAE7642"/>
    <w:rsid w:val="3BB24B3E"/>
    <w:rsid w:val="3BB32E97"/>
    <w:rsid w:val="3BB56AC5"/>
    <w:rsid w:val="3BB65D6F"/>
    <w:rsid w:val="3BB830F6"/>
    <w:rsid w:val="3BBC60A6"/>
    <w:rsid w:val="3BBF02F7"/>
    <w:rsid w:val="3BC91515"/>
    <w:rsid w:val="3BC92571"/>
    <w:rsid w:val="3BC97A93"/>
    <w:rsid w:val="3BCF06D3"/>
    <w:rsid w:val="3BD500FA"/>
    <w:rsid w:val="3BD71E31"/>
    <w:rsid w:val="3BDA06A1"/>
    <w:rsid w:val="3BDF72C0"/>
    <w:rsid w:val="3BDF7FE6"/>
    <w:rsid w:val="3BE7142E"/>
    <w:rsid w:val="3BEE0229"/>
    <w:rsid w:val="3BF27D19"/>
    <w:rsid w:val="3BF375EE"/>
    <w:rsid w:val="3BF41A8F"/>
    <w:rsid w:val="3BF7127B"/>
    <w:rsid w:val="3BFE67AA"/>
    <w:rsid w:val="3C044326"/>
    <w:rsid w:val="3C11731F"/>
    <w:rsid w:val="3C157424"/>
    <w:rsid w:val="3C1608D8"/>
    <w:rsid w:val="3C161A18"/>
    <w:rsid w:val="3C1C0FD0"/>
    <w:rsid w:val="3C1E3B04"/>
    <w:rsid w:val="3C21075D"/>
    <w:rsid w:val="3C221C81"/>
    <w:rsid w:val="3C265C15"/>
    <w:rsid w:val="3C281D3A"/>
    <w:rsid w:val="3C2B7CE1"/>
    <w:rsid w:val="3C3550EA"/>
    <w:rsid w:val="3C3750CA"/>
    <w:rsid w:val="3C38759A"/>
    <w:rsid w:val="3C486978"/>
    <w:rsid w:val="3C4D2A7B"/>
    <w:rsid w:val="3C542BE9"/>
    <w:rsid w:val="3C586FE3"/>
    <w:rsid w:val="3C5930DF"/>
    <w:rsid w:val="3C5E5B97"/>
    <w:rsid w:val="3C6027B1"/>
    <w:rsid w:val="3C66241D"/>
    <w:rsid w:val="3C6A3835"/>
    <w:rsid w:val="3C6A5D2D"/>
    <w:rsid w:val="3C6C104E"/>
    <w:rsid w:val="3C6F5717"/>
    <w:rsid w:val="3C6F5885"/>
    <w:rsid w:val="3C70144A"/>
    <w:rsid w:val="3C7052B5"/>
    <w:rsid w:val="3C7542C9"/>
    <w:rsid w:val="3C760D8C"/>
    <w:rsid w:val="3C7756E2"/>
    <w:rsid w:val="3C7B2E9D"/>
    <w:rsid w:val="3C7C4CCB"/>
    <w:rsid w:val="3C7E15AD"/>
    <w:rsid w:val="3C7F794C"/>
    <w:rsid w:val="3C820466"/>
    <w:rsid w:val="3C827D2F"/>
    <w:rsid w:val="3C8628E4"/>
    <w:rsid w:val="3C8D17F0"/>
    <w:rsid w:val="3C8E192E"/>
    <w:rsid w:val="3C9106DF"/>
    <w:rsid w:val="3C927310"/>
    <w:rsid w:val="3C98563D"/>
    <w:rsid w:val="3C9E57AB"/>
    <w:rsid w:val="3CA60696"/>
    <w:rsid w:val="3CA86681"/>
    <w:rsid w:val="3CAB7F97"/>
    <w:rsid w:val="3CAD1097"/>
    <w:rsid w:val="3CAD7FB2"/>
    <w:rsid w:val="3CB12168"/>
    <w:rsid w:val="3CC307B2"/>
    <w:rsid w:val="3CC33464"/>
    <w:rsid w:val="3CC528C8"/>
    <w:rsid w:val="3CC83503"/>
    <w:rsid w:val="3CD92C87"/>
    <w:rsid w:val="3CDC1A5B"/>
    <w:rsid w:val="3CE82D13"/>
    <w:rsid w:val="3CE85446"/>
    <w:rsid w:val="3CEA1BD9"/>
    <w:rsid w:val="3CEA4811"/>
    <w:rsid w:val="3CEE5571"/>
    <w:rsid w:val="3CF62F13"/>
    <w:rsid w:val="3CF7424C"/>
    <w:rsid w:val="3CFE2018"/>
    <w:rsid w:val="3D070109"/>
    <w:rsid w:val="3D080646"/>
    <w:rsid w:val="3D08531B"/>
    <w:rsid w:val="3D0A7D01"/>
    <w:rsid w:val="3D0F13CC"/>
    <w:rsid w:val="3D0F7BE3"/>
    <w:rsid w:val="3D117B4D"/>
    <w:rsid w:val="3D140DE7"/>
    <w:rsid w:val="3D143CBF"/>
    <w:rsid w:val="3D154789"/>
    <w:rsid w:val="3D197C01"/>
    <w:rsid w:val="3D1F7AE1"/>
    <w:rsid w:val="3D210E7F"/>
    <w:rsid w:val="3D2248E4"/>
    <w:rsid w:val="3D32550F"/>
    <w:rsid w:val="3D331834"/>
    <w:rsid w:val="3D3B5C9C"/>
    <w:rsid w:val="3D3C603D"/>
    <w:rsid w:val="3D3D3216"/>
    <w:rsid w:val="3D424260"/>
    <w:rsid w:val="3D446B0E"/>
    <w:rsid w:val="3D48471F"/>
    <w:rsid w:val="3D503B25"/>
    <w:rsid w:val="3D5310AC"/>
    <w:rsid w:val="3D56190A"/>
    <w:rsid w:val="3D5C2EDA"/>
    <w:rsid w:val="3D6C4CDF"/>
    <w:rsid w:val="3D70175E"/>
    <w:rsid w:val="3D7059F2"/>
    <w:rsid w:val="3D724E90"/>
    <w:rsid w:val="3D747F71"/>
    <w:rsid w:val="3D7A4454"/>
    <w:rsid w:val="3D81153E"/>
    <w:rsid w:val="3D83204D"/>
    <w:rsid w:val="3D857449"/>
    <w:rsid w:val="3D8E41C3"/>
    <w:rsid w:val="3D9226BD"/>
    <w:rsid w:val="3D9461BD"/>
    <w:rsid w:val="3D9A18CD"/>
    <w:rsid w:val="3D9B15D4"/>
    <w:rsid w:val="3DA727AD"/>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10442"/>
    <w:rsid w:val="3E221DB3"/>
    <w:rsid w:val="3E24348A"/>
    <w:rsid w:val="3E24651C"/>
    <w:rsid w:val="3E2F7120"/>
    <w:rsid w:val="3E384399"/>
    <w:rsid w:val="3E396A91"/>
    <w:rsid w:val="3E3A265F"/>
    <w:rsid w:val="3E3F28BA"/>
    <w:rsid w:val="3E47632C"/>
    <w:rsid w:val="3E483328"/>
    <w:rsid w:val="3E4B0167"/>
    <w:rsid w:val="3E4D7D55"/>
    <w:rsid w:val="3E514939"/>
    <w:rsid w:val="3E5720B6"/>
    <w:rsid w:val="3E58649D"/>
    <w:rsid w:val="3E591AE0"/>
    <w:rsid w:val="3E5B30CB"/>
    <w:rsid w:val="3E5C591E"/>
    <w:rsid w:val="3E5F4971"/>
    <w:rsid w:val="3E62067B"/>
    <w:rsid w:val="3E642EC4"/>
    <w:rsid w:val="3E6A3524"/>
    <w:rsid w:val="3E6D2477"/>
    <w:rsid w:val="3E6F5105"/>
    <w:rsid w:val="3E6F5651"/>
    <w:rsid w:val="3E7427B6"/>
    <w:rsid w:val="3E764A60"/>
    <w:rsid w:val="3E7958F9"/>
    <w:rsid w:val="3E7B1C01"/>
    <w:rsid w:val="3E7E5894"/>
    <w:rsid w:val="3E7E5D72"/>
    <w:rsid w:val="3E7E6837"/>
    <w:rsid w:val="3E8279E0"/>
    <w:rsid w:val="3E847EA3"/>
    <w:rsid w:val="3E883E70"/>
    <w:rsid w:val="3E897468"/>
    <w:rsid w:val="3E8B2CD3"/>
    <w:rsid w:val="3E8B5F85"/>
    <w:rsid w:val="3E900F2C"/>
    <w:rsid w:val="3E9055C8"/>
    <w:rsid w:val="3E92636A"/>
    <w:rsid w:val="3E944296"/>
    <w:rsid w:val="3E954BCA"/>
    <w:rsid w:val="3E991957"/>
    <w:rsid w:val="3E9C3F6D"/>
    <w:rsid w:val="3EA13356"/>
    <w:rsid w:val="3EA333E1"/>
    <w:rsid w:val="3EA704CE"/>
    <w:rsid w:val="3EA8181B"/>
    <w:rsid w:val="3EB63280"/>
    <w:rsid w:val="3EBD0528"/>
    <w:rsid w:val="3EBF1D3B"/>
    <w:rsid w:val="3EC01044"/>
    <w:rsid w:val="3EC259BE"/>
    <w:rsid w:val="3EC32EE9"/>
    <w:rsid w:val="3EC87820"/>
    <w:rsid w:val="3ECC0D7E"/>
    <w:rsid w:val="3ED16454"/>
    <w:rsid w:val="3ED21B13"/>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0E415B"/>
    <w:rsid w:val="3F1415AC"/>
    <w:rsid w:val="3F1922E8"/>
    <w:rsid w:val="3F197C8D"/>
    <w:rsid w:val="3F1A5923"/>
    <w:rsid w:val="3F1F53C6"/>
    <w:rsid w:val="3F250DF5"/>
    <w:rsid w:val="3F275F2C"/>
    <w:rsid w:val="3F2B6202"/>
    <w:rsid w:val="3F310C2D"/>
    <w:rsid w:val="3F324920"/>
    <w:rsid w:val="3F374CF1"/>
    <w:rsid w:val="3F376C36"/>
    <w:rsid w:val="3F3A01BA"/>
    <w:rsid w:val="3F403946"/>
    <w:rsid w:val="3F416A05"/>
    <w:rsid w:val="3F437930"/>
    <w:rsid w:val="3F4563B2"/>
    <w:rsid w:val="3F48665F"/>
    <w:rsid w:val="3F4B4736"/>
    <w:rsid w:val="3F4E57AE"/>
    <w:rsid w:val="3F5071B2"/>
    <w:rsid w:val="3F5262EB"/>
    <w:rsid w:val="3F53738E"/>
    <w:rsid w:val="3F592257"/>
    <w:rsid w:val="3F5E25F5"/>
    <w:rsid w:val="3F61086A"/>
    <w:rsid w:val="3F635955"/>
    <w:rsid w:val="3F644891"/>
    <w:rsid w:val="3F677511"/>
    <w:rsid w:val="3F6A2754"/>
    <w:rsid w:val="3F6A3D11"/>
    <w:rsid w:val="3F6C3096"/>
    <w:rsid w:val="3F7A1606"/>
    <w:rsid w:val="3F7A70AC"/>
    <w:rsid w:val="3F7B0DCB"/>
    <w:rsid w:val="3F7B56C0"/>
    <w:rsid w:val="3F853E20"/>
    <w:rsid w:val="3F87017F"/>
    <w:rsid w:val="3F8A6905"/>
    <w:rsid w:val="3F95123E"/>
    <w:rsid w:val="3F9726D8"/>
    <w:rsid w:val="3F980BD8"/>
    <w:rsid w:val="3F990508"/>
    <w:rsid w:val="3FA4757D"/>
    <w:rsid w:val="3FAA4467"/>
    <w:rsid w:val="3FB3366E"/>
    <w:rsid w:val="3FB848CA"/>
    <w:rsid w:val="3FB85481"/>
    <w:rsid w:val="3FB90EE9"/>
    <w:rsid w:val="3FBD43A1"/>
    <w:rsid w:val="3FBE2074"/>
    <w:rsid w:val="3FBF6DA5"/>
    <w:rsid w:val="3FC032C4"/>
    <w:rsid w:val="3FC147C6"/>
    <w:rsid w:val="3FC15000"/>
    <w:rsid w:val="3FC574F3"/>
    <w:rsid w:val="3FC67B65"/>
    <w:rsid w:val="3FC86522"/>
    <w:rsid w:val="3FC86901"/>
    <w:rsid w:val="3FD634AE"/>
    <w:rsid w:val="3FD77807"/>
    <w:rsid w:val="3FE43782"/>
    <w:rsid w:val="3FE918A5"/>
    <w:rsid w:val="3FEF631E"/>
    <w:rsid w:val="3FF873F1"/>
    <w:rsid w:val="3FFC0F28"/>
    <w:rsid w:val="40066124"/>
    <w:rsid w:val="4007780B"/>
    <w:rsid w:val="40122749"/>
    <w:rsid w:val="4012633B"/>
    <w:rsid w:val="40135FA6"/>
    <w:rsid w:val="40137735"/>
    <w:rsid w:val="40181F72"/>
    <w:rsid w:val="40186C21"/>
    <w:rsid w:val="401A525E"/>
    <w:rsid w:val="401B36F8"/>
    <w:rsid w:val="4020422E"/>
    <w:rsid w:val="4021297B"/>
    <w:rsid w:val="402469B4"/>
    <w:rsid w:val="4029483F"/>
    <w:rsid w:val="402D3CFC"/>
    <w:rsid w:val="403846D3"/>
    <w:rsid w:val="4039429A"/>
    <w:rsid w:val="403A000E"/>
    <w:rsid w:val="403D31FE"/>
    <w:rsid w:val="403D445E"/>
    <w:rsid w:val="404300F4"/>
    <w:rsid w:val="40443CF9"/>
    <w:rsid w:val="404848DB"/>
    <w:rsid w:val="404959F7"/>
    <w:rsid w:val="404B053D"/>
    <w:rsid w:val="404B1B2E"/>
    <w:rsid w:val="404C105F"/>
    <w:rsid w:val="40574216"/>
    <w:rsid w:val="405D3E77"/>
    <w:rsid w:val="405E6D54"/>
    <w:rsid w:val="405F34A4"/>
    <w:rsid w:val="40625FCA"/>
    <w:rsid w:val="406A0B8A"/>
    <w:rsid w:val="406A0E43"/>
    <w:rsid w:val="406A1135"/>
    <w:rsid w:val="406C2229"/>
    <w:rsid w:val="406F29D5"/>
    <w:rsid w:val="407603F3"/>
    <w:rsid w:val="40783C0A"/>
    <w:rsid w:val="407C6788"/>
    <w:rsid w:val="407E3667"/>
    <w:rsid w:val="4083714A"/>
    <w:rsid w:val="408A7A3C"/>
    <w:rsid w:val="40996326"/>
    <w:rsid w:val="40A055BA"/>
    <w:rsid w:val="40A267D7"/>
    <w:rsid w:val="40A96292"/>
    <w:rsid w:val="40BA3701"/>
    <w:rsid w:val="40BA6A38"/>
    <w:rsid w:val="40BD78D6"/>
    <w:rsid w:val="40BE500E"/>
    <w:rsid w:val="40D2033D"/>
    <w:rsid w:val="40D272E2"/>
    <w:rsid w:val="40D2748B"/>
    <w:rsid w:val="40D44DD3"/>
    <w:rsid w:val="40EA272D"/>
    <w:rsid w:val="40F233FD"/>
    <w:rsid w:val="40F97CC8"/>
    <w:rsid w:val="410C4224"/>
    <w:rsid w:val="410D1152"/>
    <w:rsid w:val="4110479E"/>
    <w:rsid w:val="411104A2"/>
    <w:rsid w:val="41134423"/>
    <w:rsid w:val="41145753"/>
    <w:rsid w:val="41157FB9"/>
    <w:rsid w:val="411A5FC4"/>
    <w:rsid w:val="411E2FE5"/>
    <w:rsid w:val="41254497"/>
    <w:rsid w:val="41270465"/>
    <w:rsid w:val="4134309E"/>
    <w:rsid w:val="41352357"/>
    <w:rsid w:val="41393B69"/>
    <w:rsid w:val="41407C91"/>
    <w:rsid w:val="414F037B"/>
    <w:rsid w:val="4150378E"/>
    <w:rsid w:val="41575602"/>
    <w:rsid w:val="41594065"/>
    <w:rsid w:val="415A6E4E"/>
    <w:rsid w:val="415B5E34"/>
    <w:rsid w:val="415D0EE1"/>
    <w:rsid w:val="415F127D"/>
    <w:rsid w:val="41601281"/>
    <w:rsid w:val="41657D9D"/>
    <w:rsid w:val="41660088"/>
    <w:rsid w:val="416845DA"/>
    <w:rsid w:val="41686388"/>
    <w:rsid w:val="416923E0"/>
    <w:rsid w:val="416C357C"/>
    <w:rsid w:val="41747D87"/>
    <w:rsid w:val="41760089"/>
    <w:rsid w:val="41773868"/>
    <w:rsid w:val="417B6A91"/>
    <w:rsid w:val="417D3053"/>
    <w:rsid w:val="417F7261"/>
    <w:rsid w:val="41884393"/>
    <w:rsid w:val="418A727F"/>
    <w:rsid w:val="418C0E65"/>
    <w:rsid w:val="418E3C82"/>
    <w:rsid w:val="419054F5"/>
    <w:rsid w:val="419653FB"/>
    <w:rsid w:val="419851F3"/>
    <w:rsid w:val="41A80D37"/>
    <w:rsid w:val="41AA6B42"/>
    <w:rsid w:val="41B66BD7"/>
    <w:rsid w:val="41B80C14"/>
    <w:rsid w:val="41BD1E1F"/>
    <w:rsid w:val="41BD70DE"/>
    <w:rsid w:val="41BF444A"/>
    <w:rsid w:val="41C71300"/>
    <w:rsid w:val="41C72E6A"/>
    <w:rsid w:val="41D47975"/>
    <w:rsid w:val="41D74D4D"/>
    <w:rsid w:val="41E1654B"/>
    <w:rsid w:val="41E35EE7"/>
    <w:rsid w:val="41E576A2"/>
    <w:rsid w:val="41EB28A6"/>
    <w:rsid w:val="41F331FB"/>
    <w:rsid w:val="41F34603"/>
    <w:rsid w:val="41F77287"/>
    <w:rsid w:val="41F801BE"/>
    <w:rsid w:val="42011AC4"/>
    <w:rsid w:val="4207296E"/>
    <w:rsid w:val="42093990"/>
    <w:rsid w:val="4212581D"/>
    <w:rsid w:val="42145338"/>
    <w:rsid w:val="421B789E"/>
    <w:rsid w:val="421D0F3B"/>
    <w:rsid w:val="423050F8"/>
    <w:rsid w:val="423215B5"/>
    <w:rsid w:val="423834B4"/>
    <w:rsid w:val="423861CA"/>
    <w:rsid w:val="423F533B"/>
    <w:rsid w:val="424E5AAB"/>
    <w:rsid w:val="42541CFD"/>
    <w:rsid w:val="42546E00"/>
    <w:rsid w:val="4255725B"/>
    <w:rsid w:val="425A03C6"/>
    <w:rsid w:val="425D7EB7"/>
    <w:rsid w:val="42691F68"/>
    <w:rsid w:val="42743533"/>
    <w:rsid w:val="427E424F"/>
    <w:rsid w:val="42825E27"/>
    <w:rsid w:val="428E12F9"/>
    <w:rsid w:val="42983814"/>
    <w:rsid w:val="42AA5EA1"/>
    <w:rsid w:val="42B20202"/>
    <w:rsid w:val="42BA105B"/>
    <w:rsid w:val="42C5116B"/>
    <w:rsid w:val="42C70A01"/>
    <w:rsid w:val="42C85FA9"/>
    <w:rsid w:val="42CB4E20"/>
    <w:rsid w:val="42CC188F"/>
    <w:rsid w:val="42D27F5D"/>
    <w:rsid w:val="42D8572C"/>
    <w:rsid w:val="42E06908"/>
    <w:rsid w:val="42E14644"/>
    <w:rsid w:val="42E21D93"/>
    <w:rsid w:val="42E962ED"/>
    <w:rsid w:val="42E96C4D"/>
    <w:rsid w:val="42FC4704"/>
    <w:rsid w:val="42FF1BEA"/>
    <w:rsid w:val="43090FA9"/>
    <w:rsid w:val="430B098D"/>
    <w:rsid w:val="43107B89"/>
    <w:rsid w:val="4313214F"/>
    <w:rsid w:val="43137974"/>
    <w:rsid w:val="431465BF"/>
    <w:rsid w:val="43160C20"/>
    <w:rsid w:val="43163927"/>
    <w:rsid w:val="43174550"/>
    <w:rsid w:val="431C7377"/>
    <w:rsid w:val="431F0056"/>
    <w:rsid w:val="43283A45"/>
    <w:rsid w:val="432951DF"/>
    <w:rsid w:val="432B648A"/>
    <w:rsid w:val="433A1B6A"/>
    <w:rsid w:val="433B29DE"/>
    <w:rsid w:val="433B6C54"/>
    <w:rsid w:val="433E6051"/>
    <w:rsid w:val="43436285"/>
    <w:rsid w:val="434626F9"/>
    <w:rsid w:val="435050E9"/>
    <w:rsid w:val="43511BD6"/>
    <w:rsid w:val="43531090"/>
    <w:rsid w:val="43562BAD"/>
    <w:rsid w:val="43582B12"/>
    <w:rsid w:val="43592ADB"/>
    <w:rsid w:val="435F1420"/>
    <w:rsid w:val="4365447B"/>
    <w:rsid w:val="43692A28"/>
    <w:rsid w:val="437454B8"/>
    <w:rsid w:val="437878CE"/>
    <w:rsid w:val="4379767E"/>
    <w:rsid w:val="437D0536"/>
    <w:rsid w:val="438324E2"/>
    <w:rsid w:val="438A4CDB"/>
    <w:rsid w:val="438A5840"/>
    <w:rsid w:val="438C5498"/>
    <w:rsid w:val="43900072"/>
    <w:rsid w:val="439116CF"/>
    <w:rsid w:val="43972123"/>
    <w:rsid w:val="43994D3A"/>
    <w:rsid w:val="439A525B"/>
    <w:rsid w:val="439C6A6F"/>
    <w:rsid w:val="43A26866"/>
    <w:rsid w:val="43A750B5"/>
    <w:rsid w:val="43A905F1"/>
    <w:rsid w:val="43B34873"/>
    <w:rsid w:val="43B93A97"/>
    <w:rsid w:val="43C07F99"/>
    <w:rsid w:val="43C10DD6"/>
    <w:rsid w:val="43C64077"/>
    <w:rsid w:val="43CB7393"/>
    <w:rsid w:val="43D60EE5"/>
    <w:rsid w:val="43DE2CBF"/>
    <w:rsid w:val="43E2349D"/>
    <w:rsid w:val="43E308C1"/>
    <w:rsid w:val="43E9091A"/>
    <w:rsid w:val="43F13A93"/>
    <w:rsid w:val="43F3462F"/>
    <w:rsid w:val="43F63249"/>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E6501"/>
    <w:rsid w:val="444F1769"/>
    <w:rsid w:val="44532C0E"/>
    <w:rsid w:val="44536B0B"/>
    <w:rsid w:val="445E2ECB"/>
    <w:rsid w:val="44613C8E"/>
    <w:rsid w:val="44660DC1"/>
    <w:rsid w:val="446B4FA9"/>
    <w:rsid w:val="447A4D50"/>
    <w:rsid w:val="44827449"/>
    <w:rsid w:val="44894051"/>
    <w:rsid w:val="448B40C8"/>
    <w:rsid w:val="448D5671"/>
    <w:rsid w:val="449617CF"/>
    <w:rsid w:val="449C2CF6"/>
    <w:rsid w:val="449F464A"/>
    <w:rsid w:val="44AB052A"/>
    <w:rsid w:val="44AB284E"/>
    <w:rsid w:val="44AC3B6B"/>
    <w:rsid w:val="44BF10AF"/>
    <w:rsid w:val="44C12064"/>
    <w:rsid w:val="44C164DB"/>
    <w:rsid w:val="44C3143B"/>
    <w:rsid w:val="44C3365F"/>
    <w:rsid w:val="44C7452D"/>
    <w:rsid w:val="44C77869"/>
    <w:rsid w:val="44CD0401"/>
    <w:rsid w:val="44D6350C"/>
    <w:rsid w:val="44D64676"/>
    <w:rsid w:val="44D77066"/>
    <w:rsid w:val="44D84D08"/>
    <w:rsid w:val="44E21AE8"/>
    <w:rsid w:val="44E32F1B"/>
    <w:rsid w:val="44E41861"/>
    <w:rsid w:val="44ED5E56"/>
    <w:rsid w:val="44EF7A37"/>
    <w:rsid w:val="450244F8"/>
    <w:rsid w:val="45034D45"/>
    <w:rsid w:val="45060231"/>
    <w:rsid w:val="450C61F8"/>
    <w:rsid w:val="450D1720"/>
    <w:rsid w:val="450D704A"/>
    <w:rsid w:val="450E7C7C"/>
    <w:rsid w:val="45143D6B"/>
    <w:rsid w:val="45157171"/>
    <w:rsid w:val="451D02E5"/>
    <w:rsid w:val="452151CC"/>
    <w:rsid w:val="452A4C00"/>
    <w:rsid w:val="452D1CC9"/>
    <w:rsid w:val="45374519"/>
    <w:rsid w:val="453C5C7C"/>
    <w:rsid w:val="454364DB"/>
    <w:rsid w:val="454855B2"/>
    <w:rsid w:val="454A4722"/>
    <w:rsid w:val="454E2A38"/>
    <w:rsid w:val="45577E7A"/>
    <w:rsid w:val="45593E62"/>
    <w:rsid w:val="455F1731"/>
    <w:rsid w:val="45605CF4"/>
    <w:rsid w:val="4569773B"/>
    <w:rsid w:val="456A6AE6"/>
    <w:rsid w:val="456C7DC9"/>
    <w:rsid w:val="4577EE25"/>
    <w:rsid w:val="45820E8D"/>
    <w:rsid w:val="45861105"/>
    <w:rsid w:val="458E3CF0"/>
    <w:rsid w:val="459067EA"/>
    <w:rsid w:val="4592157C"/>
    <w:rsid w:val="45A8453A"/>
    <w:rsid w:val="45A86EFB"/>
    <w:rsid w:val="45B818EC"/>
    <w:rsid w:val="45B97CA3"/>
    <w:rsid w:val="45C14D4E"/>
    <w:rsid w:val="45C2075D"/>
    <w:rsid w:val="45C53DA9"/>
    <w:rsid w:val="45CE788C"/>
    <w:rsid w:val="45D64208"/>
    <w:rsid w:val="45DB35CC"/>
    <w:rsid w:val="45ED3300"/>
    <w:rsid w:val="45F450CC"/>
    <w:rsid w:val="45F715AF"/>
    <w:rsid w:val="45F71B3B"/>
    <w:rsid w:val="46081744"/>
    <w:rsid w:val="461476CB"/>
    <w:rsid w:val="46150E98"/>
    <w:rsid w:val="461A1127"/>
    <w:rsid w:val="462346E4"/>
    <w:rsid w:val="462352C8"/>
    <w:rsid w:val="46251554"/>
    <w:rsid w:val="462A4554"/>
    <w:rsid w:val="4632261E"/>
    <w:rsid w:val="46332848"/>
    <w:rsid w:val="4638733C"/>
    <w:rsid w:val="463A6B3C"/>
    <w:rsid w:val="463E0106"/>
    <w:rsid w:val="46405B25"/>
    <w:rsid w:val="46433CCF"/>
    <w:rsid w:val="464376B2"/>
    <w:rsid w:val="464C2012"/>
    <w:rsid w:val="464F300E"/>
    <w:rsid w:val="465957BB"/>
    <w:rsid w:val="46614C45"/>
    <w:rsid w:val="46634905"/>
    <w:rsid w:val="46713370"/>
    <w:rsid w:val="467C0735"/>
    <w:rsid w:val="468204EF"/>
    <w:rsid w:val="46851FED"/>
    <w:rsid w:val="46854215"/>
    <w:rsid w:val="4685496D"/>
    <w:rsid w:val="468A4808"/>
    <w:rsid w:val="468E07DC"/>
    <w:rsid w:val="46970B7E"/>
    <w:rsid w:val="469D5899"/>
    <w:rsid w:val="46A307AE"/>
    <w:rsid w:val="46A34A6C"/>
    <w:rsid w:val="46AE6BB9"/>
    <w:rsid w:val="46B34848"/>
    <w:rsid w:val="46B41765"/>
    <w:rsid w:val="46B63BB4"/>
    <w:rsid w:val="46B66DAB"/>
    <w:rsid w:val="46BE3BC1"/>
    <w:rsid w:val="46C46BFB"/>
    <w:rsid w:val="46C8128E"/>
    <w:rsid w:val="46CE0FC1"/>
    <w:rsid w:val="46D80D6C"/>
    <w:rsid w:val="46F87D23"/>
    <w:rsid w:val="46FA102C"/>
    <w:rsid w:val="46FA687B"/>
    <w:rsid w:val="46FD25C1"/>
    <w:rsid w:val="46FD404E"/>
    <w:rsid w:val="46FD7665"/>
    <w:rsid w:val="46FE49F2"/>
    <w:rsid w:val="47042CE7"/>
    <w:rsid w:val="4713035E"/>
    <w:rsid w:val="471657A9"/>
    <w:rsid w:val="471D65CB"/>
    <w:rsid w:val="471F1494"/>
    <w:rsid w:val="47236D39"/>
    <w:rsid w:val="472668EF"/>
    <w:rsid w:val="472670F7"/>
    <w:rsid w:val="472A1332"/>
    <w:rsid w:val="47301EDA"/>
    <w:rsid w:val="473242CA"/>
    <w:rsid w:val="473D598E"/>
    <w:rsid w:val="474E43B5"/>
    <w:rsid w:val="475070B3"/>
    <w:rsid w:val="47532228"/>
    <w:rsid w:val="47554441"/>
    <w:rsid w:val="475E1903"/>
    <w:rsid w:val="475E6263"/>
    <w:rsid w:val="47627B33"/>
    <w:rsid w:val="476358C8"/>
    <w:rsid w:val="47654703"/>
    <w:rsid w:val="4769407F"/>
    <w:rsid w:val="476A28CE"/>
    <w:rsid w:val="477067B2"/>
    <w:rsid w:val="47732CD5"/>
    <w:rsid w:val="47774339"/>
    <w:rsid w:val="477E4B57"/>
    <w:rsid w:val="47885C49"/>
    <w:rsid w:val="47975C19"/>
    <w:rsid w:val="479C6669"/>
    <w:rsid w:val="479D6E11"/>
    <w:rsid w:val="47A10846"/>
    <w:rsid w:val="47AF5AAA"/>
    <w:rsid w:val="47B15014"/>
    <w:rsid w:val="47B32C82"/>
    <w:rsid w:val="47B71EFB"/>
    <w:rsid w:val="47B916EB"/>
    <w:rsid w:val="47C923E1"/>
    <w:rsid w:val="47D4481E"/>
    <w:rsid w:val="47D76534"/>
    <w:rsid w:val="47DD7F58"/>
    <w:rsid w:val="47E5574E"/>
    <w:rsid w:val="47F16BCC"/>
    <w:rsid w:val="47FA5701"/>
    <w:rsid w:val="47FB39EA"/>
    <w:rsid w:val="47FE691F"/>
    <w:rsid w:val="47FF1090"/>
    <w:rsid w:val="48036331"/>
    <w:rsid w:val="480A1D14"/>
    <w:rsid w:val="480D00FD"/>
    <w:rsid w:val="4815506E"/>
    <w:rsid w:val="481D7912"/>
    <w:rsid w:val="481F1B20"/>
    <w:rsid w:val="48282B55"/>
    <w:rsid w:val="482C36D6"/>
    <w:rsid w:val="482F4C92"/>
    <w:rsid w:val="48316C4E"/>
    <w:rsid w:val="48330A04"/>
    <w:rsid w:val="48352352"/>
    <w:rsid w:val="4837077E"/>
    <w:rsid w:val="483B30B0"/>
    <w:rsid w:val="48401E0D"/>
    <w:rsid w:val="484511D1"/>
    <w:rsid w:val="48466F0D"/>
    <w:rsid w:val="48486C5A"/>
    <w:rsid w:val="484950EF"/>
    <w:rsid w:val="484B512A"/>
    <w:rsid w:val="48501B75"/>
    <w:rsid w:val="48511725"/>
    <w:rsid w:val="48534FE1"/>
    <w:rsid w:val="485A5C74"/>
    <w:rsid w:val="48651873"/>
    <w:rsid w:val="48666576"/>
    <w:rsid w:val="486C1E67"/>
    <w:rsid w:val="486E697A"/>
    <w:rsid w:val="486F26F2"/>
    <w:rsid w:val="487F449E"/>
    <w:rsid w:val="487F6DE5"/>
    <w:rsid w:val="488024B1"/>
    <w:rsid w:val="48821331"/>
    <w:rsid w:val="488833E9"/>
    <w:rsid w:val="48897310"/>
    <w:rsid w:val="488B296E"/>
    <w:rsid w:val="48964544"/>
    <w:rsid w:val="48985CE2"/>
    <w:rsid w:val="489C5DC7"/>
    <w:rsid w:val="48A0681A"/>
    <w:rsid w:val="48A203D1"/>
    <w:rsid w:val="48AD75A2"/>
    <w:rsid w:val="48B510D3"/>
    <w:rsid w:val="48B5156E"/>
    <w:rsid w:val="48B91D62"/>
    <w:rsid w:val="48BB69FD"/>
    <w:rsid w:val="48BE52E4"/>
    <w:rsid w:val="48CB277A"/>
    <w:rsid w:val="48CD5129"/>
    <w:rsid w:val="48D12487"/>
    <w:rsid w:val="48D525B6"/>
    <w:rsid w:val="48D85B5B"/>
    <w:rsid w:val="48D92EED"/>
    <w:rsid w:val="48E10D92"/>
    <w:rsid w:val="48E64762"/>
    <w:rsid w:val="48EC5AF0"/>
    <w:rsid w:val="48EC6692"/>
    <w:rsid w:val="48ED09E4"/>
    <w:rsid w:val="48F16E9D"/>
    <w:rsid w:val="48F17AFF"/>
    <w:rsid w:val="48F53B50"/>
    <w:rsid w:val="48F76F67"/>
    <w:rsid w:val="48FA62A8"/>
    <w:rsid w:val="49017811"/>
    <w:rsid w:val="490521E9"/>
    <w:rsid w:val="490A2F86"/>
    <w:rsid w:val="4912460D"/>
    <w:rsid w:val="49177241"/>
    <w:rsid w:val="49180694"/>
    <w:rsid w:val="49182D69"/>
    <w:rsid w:val="491A5C36"/>
    <w:rsid w:val="492124A2"/>
    <w:rsid w:val="49250DD6"/>
    <w:rsid w:val="49330B9B"/>
    <w:rsid w:val="49336F31"/>
    <w:rsid w:val="49344E4A"/>
    <w:rsid w:val="493665C0"/>
    <w:rsid w:val="493C5A7C"/>
    <w:rsid w:val="4940267F"/>
    <w:rsid w:val="49444D7A"/>
    <w:rsid w:val="49450563"/>
    <w:rsid w:val="494C0DF4"/>
    <w:rsid w:val="49504F5F"/>
    <w:rsid w:val="49645788"/>
    <w:rsid w:val="49685F0B"/>
    <w:rsid w:val="49706721"/>
    <w:rsid w:val="498222D8"/>
    <w:rsid w:val="498B2241"/>
    <w:rsid w:val="499345F8"/>
    <w:rsid w:val="49995C78"/>
    <w:rsid w:val="499A1140"/>
    <w:rsid w:val="499A2F46"/>
    <w:rsid w:val="499A70D7"/>
    <w:rsid w:val="49A16698"/>
    <w:rsid w:val="49A73EE8"/>
    <w:rsid w:val="49AD5226"/>
    <w:rsid w:val="49B00E94"/>
    <w:rsid w:val="49C72BFC"/>
    <w:rsid w:val="49D136A3"/>
    <w:rsid w:val="49DA6F3E"/>
    <w:rsid w:val="49E2751A"/>
    <w:rsid w:val="49E4179C"/>
    <w:rsid w:val="49EA5572"/>
    <w:rsid w:val="49EB6CBC"/>
    <w:rsid w:val="49EF241A"/>
    <w:rsid w:val="49EF3D8A"/>
    <w:rsid w:val="49EF678D"/>
    <w:rsid w:val="49F66C27"/>
    <w:rsid w:val="49FB2C20"/>
    <w:rsid w:val="49FC7EA1"/>
    <w:rsid w:val="4A0325EA"/>
    <w:rsid w:val="4A0330F2"/>
    <w:rsid w:val="4A056C41"/>
    <w:rsid w:val="4A0D2CA4"/>
    <w:rsid w:val="4A0E4BCC"/>
    <w:rsid w:val="4A0F0E22"/>
    <w:rsid w:val="4A0F7CE8"/>
    <w:rsid w:val="4A116E69"/>
    <w:rsid w:val="4A16242F"/>
    <w:rsid w:val="4A1E58CD"/>
    <w:rsid w:val="4A1F4D4C"/>
    <w:rsid w:val="4A266D62"/>
    <w:rsid w:val="4A266DE0"/>
    <w:rsid w:val="4A2859D9"/>
    <w:rsid w:val="4A355782"/>
    <w:rsid w:val="4A417661"/>
    <w:rsid w:val="4A456ADD"/>
    <w:rsid w:val="4A4914AD"/>
    <w:rsid w:val="4A4F7C57"/>
    <w:rsid w:val="4A553BB8"/>
    <w:rsid w:val="4A590F64"/>
    <w:rsid w:val="4A5B5B57"/>
    <w:rsid w:val="4A5E2074"/>
    <w:rsid w:val="4A664CDA"/>
    <w:rsid w:val="4A6D468F"/>
    <w:rsid w:val="4A6D4D16"/>
    <w:rsid w:val="4A812957"/>
    <w:rsid w:val="4A8731A2"/>
    <w:rsid w:val="4A8A3F66"/>
    <w:rsid w:val="4A8E1844"/>
    <w:rsid w:val="4A987C21"/>
    <w:rsid w:val="4A9B1546"/>
    <w:rsid w:val="4A9E59B5"/>
    <w:rsid w:val="4AA03E6E"/>
    <w:rsid w:val="4AA06186"/>
    <w:rsid w:val="4AA13213"/>
    <w:rsid w:val="4AA96950"/>
    <w:rsid w:val="4AAE2A70"/>
    <w:rsid w:val="4ABC6C05"/>
    <w:rsid w:val="4ABD72BD"/>
    <w:rsid w:val="4ABF720E"/>
    <w:rsid w:val="4AC264CA"/>
    <w:rsid w:val="4AC65D63"/>
    <w:rsid w:val="4AD53FD1"/>
    <w:rsid w:val="4AD9307A"/>
    <w:rsid w:val="4ADA6548"/>
    <w:rsid w:val="4ADF2DFE"/>
    <w:rsid w:val="4AE16A23"/>
    <w:rsid w:val="4AE70821"/>
    <w:rsid w:val="4AF52DB7"/>
    <w:rsid w:val="4AFC67E9"/>
    <w:rsid w:val="4AFD002E"/>
    <w:rsid w:val="4B007554"/>
    <w:rsid w:val="4B06274D"/>
    <w:rsid w:val="4B186106"/>
    <w:rsid w:val="4B1C5D18"/>
    <w:rsid w:val="4B26353C"/>
    <w:rsid w:val="4B2865BE"/>
    <w:rsid w:val="4B291882"/>
    <w:rsid w:val="4B3E6B85"/>
    <w:rsid w:val="4B414E4E"/>
    <w:rsid w:val="4B4C1894"/>
    <w:rsid w:val="4B4E717E"/>
    <w:rsid w:val="4B503BAD"/>
    <w:rsid w:val="4B5675CA"/>
    <w:rsid w:val="4B664412"/>
    <w:rsid w:val="4B6C67EC"/>
    <w:rsid w:val="4B6E4E16"/>
    <w:rsid w:val="4B700DB1"/>
    <w:rsid w:val="4B717749"/>
    <w:rsid w:val="4B787838"/>
    <w:rsid w:val="4B7923CD"/>
    <w:rsid w:val="4B7934E1"/>
    <w:rsid w:val="4B7A3887"/>
    <w:rsid w:val="4B7D61BD"/>
    <w:rsid w:val="4B865F02"/>
    <w:rsid w:val="4B8C3E7B"/>
    <w:rsid w:val="4B921D9C"/>
    <w:rsid w:val="4B942FBB"/>
    <w:rsid w:val="4B980D82"/>
    <w:rsid w:val="4B9A076E"/>
    <w:rsid w:val="4BA01AC0"/>
    <w:rsid w:val="4BAA33FD"/>
    <w:rsid w:val="4BB53328"/>
    <w:rsid w:val="4BB97283"/>
    <w:rsid w:val="4BBA0128"/>
    <w:rsid w:val="4BC5033F"/>
    <w:rsid w:val="4BC75ED6"/>
    <w:rsid w:val="4BD1438E"/>
    <w:rsid w:val="4BD73A90"/>
    <w:rsid w:val="4BDA73F8"/>
    <w:rsid w:val="4BDC02A6"/>
    <w:rsid w:val="4BDD219B"/>
    <w:rsid w:val="4BDD69C7"/>
    <w:rsid w:val="4BE02EAC"/>
    <w:rsid w:val="4BE23615"/>
    <w:rsid w:val="4BE30200"/>
    <w:rsid w:val="4BE72B2E"/>
    <w:rsid w:val="4BF06D96"/>
    <w:rsid w:val="4BF52630"/>
    <w:rsid w:val="4BF712C5"/>
    <w:rsid w:val="4BFC1785"/>
    <w:rsid w:val="4BFE136E"/>
    <w:rsid w:val="4C003730"/>
    <w:rsid w:val="4C124170"/>
    <w:rsid w:val="4C1476A4"/>
    <w:rsid w:val="4C162619"/>
    <w:rsid w:val="4C24087F"/>
    <w:rsid w:val="4C243D45"/>
    <w:rsid w:val="4C2537F3"/>
    <w:rsid w:val="4C2835AE"/>
    <w:rsid w:val="4C2A2BB8"/>
    <w:rsid w:val="4C3F2608"/>
    <w:rsid w:val="4C4330AC"/>
    <w:rsid w:val="4C44267F"/>
    <w:rsid w:val="4C45458F"/>
    <w:rsid w:val="4C4548C3"/>
    <w:rsid w:val="4C4951B3"/>
    <w:rsid w:val="4C513763"/>
    <w:rsid w:val="4C5964D0"/>
    <w:rsid w:val="4C5A4A29"/>
    <w:rsid w:val="4C5E29FE"/>
    <w:rsid w:val="4C5E68E4"/>
    <w:rsid w:val="4C63256E"/>
    <w:rsid w:val="4C696A6D"/>
    <w:rsid w:val="4C6A6789"/>
    <w:rsid w:val="4C6D7A4F"/>
    <w:rsid w:val="4C6E596B"/>
    <w:rsid w:val="4C700260"/>
    <w:rsid w:val="4C792D67"/>
    <w:rsid w:val="4C7D4F23"/>
    <w:rsid w:val="4C991609"/>
    <w:rsid w:val="4C9A35A9"/>
    <w:rsid w:val="4CA34A95"/>
    <w:rsid w:val="4CA76D17"/>
    <w:rsid w:val="4CAB4548"/>
    <w:rsid w:val="4CB5753A"/>
    <w:rsid w:val="4CB701C3"/>
    <w:rsid w:val="4CB712A9"/>
    <w:rsid w:val="4CBB4158"/>
    <w:rsid w:val="4CC076A7"/>
    <w:rsid w:val="4CC34BDC"/>
    <w:rsid w:val="4CC529BE"/>
    <w:rsid w:val="4CC61A21"/>
    <w:rsid w:val="4CC66DC7"/>
    <w:rsid w:val="4CCC08B2"/>
    <w:rsid w:val="4CD34FFD"/>
    <w:rsid w:val="4CDD2165"/>
    <w:rsid w:val="4CDE36D3"/>
    <w:rsid w:val="4CDF1BF4"/>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6F0E"/>
    <w:rsid w:val="4D1A70D0"/>
    <w:rsid w:val="4D1B0752"/>
    <w:rsid w:val="4D217D86"/>
    <w:rsid w:val="4D2B743F"/>
    <w:rsid w:val="4D3160B5"/>
    <w:rsid w:val="4D32074E"/>
    <w:rsid w:val="4D3604CB"/>
    <w:rsid w:val="4D3947F6"/>
    <w:rsid w:val="4D3D494A"/>
    <w:rsid w:val="4D3E5B2F"/>
    <w:rsid w:val="4D410984"/>
    <w:rsid w:val="4D443A5F"/>
    <w:rsid w:val="4D526D7C"/>
    <w:rsid w:val="4D550108"/>
    <w:rsid w:val="4D560E09"/>
    <w:rsid w:val="4D56709A"/>
    <w:rsid w:val="4D585332"/>
    <w:rsid w:val="4D5A4F33"/>
    <w:rsid w:val="4D5C08E8"/>
    <w:rsid w:val="4D617324"/>
    <w:rsid w:val="4D6245D3"/>
    <w:rsid w:val="4D632E8A"/>
    <w:rsid w:val="4D6B3828"/>
    <w:rsid w:val="4D6E4D26"/>
    <w:rsid w:val="4D72317E"/>
    <w:rsid w:val="4D75725C"/>
    <w:rsid w:val="4D7B4665"/>
    <w:rsid w:val="4D8359B7"/>
    <w:rsid w:val="4D9144D6"/>
    <w:rsid w:val="4D924EB8"/>
    <w:rsid w:val="4D945CC4"/>
    <w:rsid w:val="4D9562ED"/>
    <w:rsid w:val="4D961F22"/>
    <w:rsid w:val="4D975C78"/>
    <w:rsid w:val="4D9A1FBF"/>
    <w:rsid w:val="4D9C1893"/>
    <w:rsid w:val="4D9E1EFE"/>
    <w:rsid w:val="4DA52871"/>
    <w:rsid w:val="4DA804BD"/>
    <w:rsid w:val="4DAB5F7A"/>
    <w:rsid w:val="4DAF6529"/>
    <w:rsid w:val="4DB57321"/>
    <w:rsid w:val="4DB83C43"/>
    <w:rsid w:val="4DC332C4"/>
    <w:rsid w:val="4DC75E04"/>
    <w:rsid w:val="4DCA2CD0"/>
    <w:rsid w:val="4DCB3F26"/>
    <w:rsid w:val="4DCC5732"/>
    <w:rsid w:val="4DD142AB"/>
    <w:rsid w:val="4DD35C51"/>
    <w:rsid w:val="4DE72219"/>
    <w:rsid w:val="4DF87CD8"/>
    <w:rsid w:val="4DF94F37"/>
    <w:rsid w:val="4DFB4584"/>
    <w:rsid w:val="4DFD5471"/>
    <w:rsid w:val="4DFE60AA"/>
    <w:rsid w:val="4E0062C6"/>
    <w:rsid w:val="4E025801"/>
    <w:rsid w:val="4E0538DC"/>
    <w:rsid w:val="4E063D0D"/>
    <w:rsid w:val="4E0B31BD"/>
    <w:rsid w:val="4E0B4C6B"/>
    <w:rsid w:val="4E0E4371"/>
    <w:rsid w:val="4E101FCE"/>
    <w:rsid w:val="4E10623F"/>
    <w:rsid w:val="4E126B2F"/>
    <w:rsid w:val="4E162199"/>
    <w:rsid w:val="4E17642E"/>
    <w:rsid w:val="4E1C0847"/>
    <w:rsid w:val="4E41243B"/>
    <w:rsid w:val="4E4334AF"/>
    <w:rsid w:val="4E487C41"/>
    <w:rsid w:val="4E4916A1"/>
    <w:rsid w:val="4E500C56"/>
    <w:rsid w:val="4E521385"/>
    <w:rsid w:val="4E526C72"/>
    <w:rsid w:val="4E564138"/>
    <w:rsid w:val="4E5657B7"/>
    <w:rsid w:val="4E577EB0"/>
    <w:rsid w:val="4E5A1C36"/>
    <w:rsid w:val="4E5D1B43"/>
    <w:rsid w:val="4E5E194D"/>
    <w:rsid w:val="4E5E2FEC"/>
    <w:rsid w:val="4E5F3278"/>
    <w:rsid w:val="4E5F6EC7"/>
    <w:rsid w:val="4E780CF8"/>
    <w:rsid w:val="4E787399"/>
    <w:rsid w:val="4E81598F"/>
    <w:rsid w:val="4E850346"/>
    <w:rsid w:val="4E857C56"/>
    <w:rsid w:val="4E866CBE"/>
    <w:rsid w:val="4E880069"/>
    <w:rsid w:val="4E942FA5"/>
    <w:rsid w:val="4E970723"/>
    <w:rsid w:val="4E995AAA"/>
    <w:rsid w:val="4EAE3782"/>
    <w:rsid w:val="4EB64C84"/>
    <w:rsid w:val="4EB679CA"/>
    <w:rsid w:val="4EBA23A6"/>
    <w:rsid w:val="4EC106FD"/>
    <w:rsid w:val="4EC83CD1"/>
    <w:rsid w:val="4ECA6EDE"/>
    <w:rsid w:val="4EDF3796"/>
    <w:rsid w:val="4EE07C6B"/>
    <w:rsid w:val="4EE755A4"/>
    <w:rsid w:val="4EE92C64"/>
    <w:rsid w:val="4EEC048A"/>
    <w:rsid w:val="4EEC4798"/>
    <w:rsid w:val="4EF20EFD"/>
    <w:rsid w:val="4EF23735"/>
    <w:rsid w:val="4EF95660"/>
    <w:rsid w:val="4EFB083B"/>
    <w:rsid w:val="4EFF1909"/>
    <w:rsid w:val="4F0973FC"/>
    <w:rsid w:val="4F1175DE"/>
    <w:rsid w:val="4F167271"/>
    <w:rsid w:val="4F173034"/>
    <w:rsid w:val="4F175737"/>
    <w:rsid w:val="4F1A433D"/>
    <w:rsid w:val="4F1D2EA8"/>
    <w:rsid w:val="4F1E452A"/>
    <w:rsid w:val="4F222B4D"/>
    <w:rsid w:val="4F22415D"/>
    <w:rsid w:val="4F2E694D"/>
    <w:rsid w:val="4F2F2E4F"/>
    <w:rsid w:val="4F325948"/>
    <w:rsid w:val="4F350357"/>
    <w:rsid w:val="4F3A75B6"/>
    <w:rsid w:val="4F432EAC"/>
    <w:rsid w:val="4F473F09"/>
    <w:rsid w:val="4F4A48F3"/>
    <w:rsid w:val="4F4A4DB4"/>
    <w:rsid w:val="4F562E1D"/>
    <w:rsid w:val="4F615112"/>
    <w:rsid w:val="4F623386"/>
    <w:rsid w:val="4F6278F2"/>
    <w:rsid w:val="4F640420"/>
    <w:rsid w:val="4F6524A5"/>
    <w:rsid w:val="4F671583"/>
    <w:rsid w:val="4F6734CD"/>
    <w:rsid w:val="4F6A638E"/>
    <w:rsid w:val="4F6E78C9"/>
    <w:rsid w:val="4F800F9E"/>
    <w:rsid w:val="4F824BC4"/>
    <w:rsid w:val="4F84220D"/>
    <w:rsid w:val="4F871689"/>
    <w:rsid w:val="4F890A70"/>
    <w:rsid w:val="4F8F7A0B"/>
    <w:rsid w:val="4F9168C8"/>
    <w:rsid w:val="4F982F4F"/>
    <w:rsid w:val="4F9B56F9"/>
    <w:rsid w:val="4F9E77D3"/>
    <w:rsid w:val="4F9F2E5E"/>
    <w:rsid w:val="4FA233AD"/>
    <w:rsid w:val="4FAA22F8"/>
    <w:rsid w:val="4FAB6890"/>
    <w:rsid w:val="4FAD2F74"/>
    <w:rsid w:val="4FB13FA2"/>
    <w:rsid w:val="4FBE8377"/>
    <w:rsid w:val="4FC3272F"/>
    <w:rsid w:val="4FC616ED"/>
    <w:rsid w:val="4FCB6460"/>
    <w:rsid w:val="4FD12A19"/>
    <w:rsid w:val="4FDA0F6A"/>
    <w:rsid w:val="4FEA34AF"/>
    <w:rsid w:val="4FF365E2"/>
    <w:rsid w:val="4FFE6835"/>
    <w:rsid w:val="4FFF2ADF"/>
    <w:rsid w:val="50055012"/>
    <w:rsid w:val="50062DC4"/>
    <w:rsid w:val="50083867"/>
    <w:rsid w:val="50100EFF"/>
    <w:rsid w:val="50101541"/>
    <w:rsid w:val="50106568"/>
    <w:rsid w:val="50112995"/>
    <w:rsid w:val="501A1195"/>
    <w:rsid w:val="501F32AC"/>
    <w:rsid w:val="502035B4"/>
    <w:rsid w:val="50210F9C"/>
    <w:rsid w:val="5021159E"/>
    <w:rsid w:val="50272C5C"/>
    <w:rsid w:val="50285660"/>
    <w:rsid w:val="502B51C6"/>
    <w:rsid w:val="502C6E90"/>
    <w:rsid w:val="50313108"/>
    <w:rsid w:val="50326C49"/>
    <w:rsid w:val="503944E8"/>
    <w:rsid w:val="503C1682"/>
    <w:rsid w:val="503C37A9"/>
    <w:rsid w:val="503E14B7"/>
    <w:rsid w:val="504B3690"/>
    <w:rsid w:val="50526EF4"/>
    <w:rsid w:val="505271FA"/>
    <w:rsid w:val="505358A3"/>
    <w:rsid w:val="50544708"/>
    <w:rsid w:val="50566671"/>
    <w:rsid w:val="5057261F"/>
    <w:rsid w:val="50575F45"/>
    <w:rsid w:val="505866C6"/>
    <w:rsid w:val="505D7A63"/>
    <w:rsid w:val="506223F9"/>
    <w:rsid w:val="506D0237"/>
    <w:rsid w:val="506D4B46"/>
    <w:rsid w:val="50715259"/>
    <w:rsid w:val="5076286F"/>
    <w:rsid w:val="5077108F"/>
    <w:rsid w:val="50774BC1"/>
    <w:rsid w:val="507B60D8"/>
    <w:rsid w:val="50834D92"/>
    <w:rsid w:val="50953316"/>
    <w:rsid w:val="5096613A"/>
    <w:rsid w:val="509842B1"/>
    <w:rsid w:val="509928EE"/>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0F6820"/>
    <w:rsid w:val="5111322A"/>
    <w:rsid w:val="5113193A"/>
    <w:rsid w:val="511A1496"/>
    <w:rsid w:val="511E42A9"/>
    <w:rsid w:val="51272A8A"/>
    <w:rsid w:val="512B622F"/>
    <w:rsid w:val="512F5DDF"/>
    <w:rsid w:val="51320E03"/>
    <w:rsid w:val="513230EE"/>
    <w:rsid w:val="513242BC"/>
    <w:rsid w:val="51372589"/>
    <w:rsid w:val="5137529F"/>
    <w:rsid w:val="513B0D30"/>
    <w:rsid w:val="51416790"/>
    <w:rsid w:val="51457886"/>
    <w:rsid w:val="51476531"/>
    <w:rsid w:val="514B1C22"/>
    <w:rsid w:val="514D1D3B"/>
    <w:rsid w:val="51525B58"/>
    <w:rsid w:val="515E2B16"/>
    <w:rsid w:val="516910E3"/>
    <w:rsid w:val="517150E8"/>
    <w:rsid w:val="51723D5F"/>
    <w:rsid w:val="51781B7F"/>
    <w:rsid w:val="51782617"/>
    <w:rsid w:val="517D025B"/>
    <w:rsid w:val="517D19C3"/>
    <w:rsid w:val="517F1381"/>
    <w:rsid w:val="5182309C"/>
    <w:rsid w:val="51823275"/>
    <w:rsid w:val="51937451"/>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13FC"/>
    <w:rsid w:val="51D75216"/>
    <w:rsid w:val="51E06343"/>
    <w:rsid w:val="51E27A91"/>
    <w:rsid w:val="51E3724C"/>
    <w:rsid w:val="51E66AD8"/>
    <w:rsid w:val="51EB607A"/>
    <w:rsid w:val="51F10C04"/>
    <w:rsid w:val="51F249D6"/>
    <w:rsid w:val="51F24E6A"/>
    <w:rsid w:val="51F70E08"/>
    <w:rsid w:val="51F714EE"/>
    <w:rsid w:val="520532A3"/>
    <w:rsid w:val="520C29D0"/>
    <w:rsid w:val="520E1591"/>
    <w:rsid w:val="52175A06"/>
    <w:rsid w:val="521A722A"/>
    <w:rsid w:val="52224FAA"/>
    <w:rsid w:val="522555D2"/>
    <w:rsid w:val="52290CB4"/>
    <w:rsid w:val="523A5B1F"/>
    <w:rsid w:val="52402881"/>
    <w:rsid w:val="525311D5"/>
    <w:rsid w:val="52650DED"/>
    <w:rsid w:val="52661320"/>
    <w:rsid w:val="52664F6E"/>
    <w:rsid w:val="5270586C"/>
    <w:rsid w:val="52720E14"/>
    <w:rsid w:val="52741FD4"/>
    <w:rsid w:val="527A14DE"/>
    <w:rsid w:val="527E1EAF"/>
    <w:rsid w:val="527E37EB"/>
    <w:rsid w:val="527E3C5D"/>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4F01"/>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4B4F1B"/>
    <w:rsid w:val="534B7602"/>
    <w:rsid w:val="53546E0A"/>
    <w:rsid w:val="53547D59"/>
    <w:rsid w:val="53572091"/>
    <w:rsid w:val="535760F6"/>
    <w:rsid w:val="53674EA9"/>
    <w:rsid w:val="536A058E"/>
    <w:rsid w:val="536A41E2"/>
    <w:rsid w:val="537625F2"/>
    <w:rsid w:val="53786887"/>
    <w:rsid w:val="53791837"/>
    <w:rsid w:val="537B50F6"/>
    <w:rsid w:val="537F7C8D"/>
    <w:rsid w:val="538452A3"/>
    <w:rsid w:val="53852DC9"/>
    <w:rsid w:val="538724AF"/>
    <w:rsid w:val="53962933"/>
    <w:rsid w:val="53997B82"/>
    <w:rsid w:val="539D3DD1"/>
    <w:rsid w:val="539D6290"/>
    <w:rsid w:val="53A03969"/>
    <w:rsid w:val="53AE0C0A"/>
    <w:rsid w:val="53B904F8"/>
    <w:rsid w:val="53BD060C"/>
    <w:rsid w:val="53BF3C96"/>
    <w:rsid w:val="53CA50A0"/>
    <w:rsid w:val="53D47BA2"/>
    <w:rsid w:val="53D710AA"/>
    <w:rsid w:val="53D82F21"/>
    <w:rsid w:val="53E84668"/>
    <w:rsid w:val="53ED3AA5"/>
    <w:rsid w:val="53F14963"/>
    <w:rsid w:val="53F36916"/>
    <w:rsid w:val="53FB0385"/>
    <w:rsid w:val="53FB3DF0"/>
    <w:rsid w:val="53FC659A"/>
    <w:rsid w:val="54093F0A"/>
    <w:rsid w:val="541175DE"/>
    <w:rsid w:val="541A1764"/>
    <w:rsid w:val="541F1122"/>
    <w:rsid w:val="54226686"/>
    <w:rsid w:val="54244390"/>
    <w:rsid w:val="5434170B"/>
    <w:rsid w:val="54383A6E"/>
    <w:rsid w:val="543A407E"/>
    <w:rsid w:val="543D3585"/>
    <w:rsid w:val="543E304D"/>
    <w:rsid w:val="544220A4"/>
    <w:rsid w:val="544A573B"/>
    <w:rsid w:val="544E410C"/>
    <w:rsid w:val="54526581"/>
    <w:rsid w:val="545F6326"/>
    <w:rsid w:val="546314A0"/>
    <w:rsid w:val="547D126C"/>
    <w:rsid w:val="54805F39"/>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195D"/>
    <w:rsid w:val="54B46BE6"/>
    <w:rsid w:val="54B575F6"/>
    <w:rsid w:val="54BC1B13"/>
    <w:rsid w:val="54C42CEC"/>
    <w:rsid w:val="54C70DF9"/>
    <w:rsid w:val="54D1168D"/>
    <w:rsid w:val="54D960F5"/>
    <w:rsid w:val="54E446E2"/>
    <w:rsid w:val="54F1782E"/>
    <w:rsid w:val="54F37AFD"/>
    <w:rsid w:val="54F402ED"/>
    <w:rsid w:val="54F952ED"/>
    <w:rsid w:val="54FB0ADE"/>
    <w:rsid w:val="55032B54"/>
    <w:rsid w:val="55083897"/>
    <w:rsid w:val="550A228E"/>
    <w:rsid w:val="55195B27"/>
    <w:rsid w:val="552A59D6"/>
    <w:rsid w:val="552C5019"/>
    <w:rsid w:val="55345504"/>
    <w:rsid w:val="55400497"/>
    <w:rsid w:val="55410F72"/>
    <w:rsid w:val="55502DFA"/>
    <w:rsid w:val="55520FBE"/>
    <w:rsid w:val="555262FC"/>
    <w:rsid w:val="555319D1"/>
    <w:rsid w:val="555F09E9"/>
    <w:rsid w:val="55613E55"/>
    <w:rsid w:val="55654C60"/>
    <w:rsid w:val="556616C8"/>
    <w:rsid w:val="556B47C8"/>
    <w:rsid w:val="557442EA"/>
    <w:rsid w:val="55762F7B"/>
    <w:rsid w:val="55765516"/>
    <w:rsid w:val="557A6155"/>
    <w:rsid w:val="557E7067"/>
    <w:rsid w:val="557F3F6A"/>
    <w:rsid w:val="55833079"/>
    <w:rsid w:val="558570B1"/>
    <w:rsid w:val="558E46D6"/>
    <w:rsid w:val="5594592A"/>
    <w:rsid w:val="5598074E"/>
    <w:rsid w:val="55983288"/>
    <w:rsid w:val="559A7A2A"/>
    <w:rsid w:val="559E0172"/>
    <w:rsid w:val="559E5231"/>
    <w:rsid w:val="55A162D3"/>
    <w:rsid w:val="55AF24DA"/>
    <w:rsid w:val="55C734F5"/>
    <w:rsid w:val="55CB7B8B"/>
    <w:rsid w:val="55D16941"/>
    <w:rsid w:val="55D35761"/>
    <w:rsid w:val="55D65B5E"/>
    <w:rsid w:val="55DC50C5"/>
    <w:rsid w:val="55E0078B"/>
    <w:rsid w:val="55E81CD4"/>
    <w:rsid w:val="55E93715"/>
    <w:rsid w:val="55F33FA5"/>
    <w:rsid w:val="55F7014E"/>
    <w:rsid w:val="560148F8"/>
    <w:rsid w:val="560A53B9"/>
    <w:rsid w:val="561346BC"/>
    <w:rsid w:val="561616F3"/>
    <w:rsid w:val="56164AD9"/>
    <w:rsid w:val="56185C97"/>
    <w:rsid w:val="561D19DF"/>
    <w:rsid w:val="561F7F94"/>
    <w:rsid w:val="56230716"/>
    <w:rsid w:val="562863CC"/>
    <w:rsid w:val="562A0715"/>
    <w:rsid w:val="562C17E1"/>
    <w:rsid w:val="563457A6"/>
    <w:rsid w:val="56557F7C"/>
    <w:rsid w:val="565A678F"/>
    <w:rsid w:val="565A69FD"/>
    <w:rsid w:val="56627E6C"/>
    <w:rsid w:val="566D18EB"/>
    <w:rsid w:val="566D2477"/>
    <w:rsid w:val="566D2743"/>
    <w:rsid w:val="566E6C4C"/>
    <w:rsid w:val="56754EBA"/>
    <w:rsid w:val="56780ED5"/>
    <w:rsid w:val="56794F6D"/>
    <w:rsid w:val="56892FF4"/>
    <w:rsid w:val="569F2D23"/>
    <w:rsid w:val="569F63A6"/>
    <w:rsid w:val="56A746C7"/>
    <w:rsid w:val="56AA6DC0"/>
    <w:rsid w:val="56AB014A"/>
    <w:rsid w:val="56AB04D2"/>
    <w:rsid w:val="56AF0889"/>
    <w:rsid w:val="56B848F9"/>
    <w:rsid w:val="56C2111B"/>
    <w:rsid w:val="56C63E25"/>
    <w:rsid w:val="56CE4A87"/>
    <w:rsid w:val="56D149FA"/>
    <w:rsid w:val="56E03993"/>
    <w:rsid w:val="56E36785"/>
    <w:rsid w:val="56E45187"/>
    <w:rsid w:val="56E514A1"/>
    <w:rsid w:val="56E85B49"/>
    <w:rsid w:val="56E92A63"/>
    <w:rsid w:val="56F112B1"/>
    <w:rsid w:val="56F40860"/>
    <w:rsid w:val="56F74F00"/>
    <w:rsid w:val="56F7571D"/>
    <w:rsid w:val="570120A9"/>
    <w:rsid w:val="57075EAC"/>
    <w:rsid w:val="57076301"/>
    <w:rsid w:val="570A59B7"/>
    <w:rsid w:val="570D53A0"/>
    <w:rsid w:val="57113B7B"/>
    <w:rsid w:val="5712720C"/>
    <w:rsid w:val="57211430"/>
    <w:rsid w:val="572172AD"/>
    <w:rsid w:val="57270B3D"/>
    <w:rsid w:val="57272D89"/>
    <w:rsid w:val="572D6376"/>
    <w:rsid w:val="5730608A"/>
    <w:rsid w:val="57380AFC"/>
    <w:rsid w:val="573910BE"/>
    <w:rsid w:val="573D680E"/>
    <w:rsid w:val="573E4972"/>
    <w:rsid w:val="57411EFE"/>
    <w:rsid w:val="57443AE0"/>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67968"/>
    <w:rsid w:val="57A94D69"/>
    <w:rsid w:val="57AF2218"/>
    <w:rsid w:val="57B87153"/>
    <w:rsid w:val="57BC0495"/>
    <w:rsid w:val="57C06A26"/>
    <w:rsid w:val="57CA307E"/>
    <w:rsid w:val="57CC7074"/>
    <w:rsid w:val="57D858BC"/>
    <w:rsid w:val="57DF227D"/>
    <w:rsid w:val="57E76AC9"/>
    <w:rsid w:val="57E84CEC"/>
    <w:rsid w:val="57E91758"/>
    <w:rsid w:val="57EA3B43"/>
    <w:rsid w:val="57EB2845"/>
    <w:rsid w:val="57F51B05"/>
    <w:rsid w:val="57F64296"/>
    <w:rsid w:val="57F975D0"/>
    <w:rsid w:val="57FA0E5E"/>
    <w:rsid w:val="57FAEBE6"/>
    <w:rsid w:val="57FD35E3"/>
    <w:rsid w:val="58076D29"/>
    <w:rsid w:val="580C4B64"/>
    <w:rsid w:val="580C501E"/>
    <w:rsid w:val="580F5097"/>
    <w:rsid w:val="58100D70"/>
    <w:rsid w:val="581C2119"/>
    <w:rsid w:val="581D0E40"/>
    <w:rsid w:val="581D7C2B"/>
    <w:rsid w:val="582165AC"/>
    <w:rsid w:val="58233747"/>
    <w:rsid w:val="5834793C"/>
    <w:rsid w:val="58377008"/>
    <w:rsid w:val="58377264"/>
    <w:rsid w:val="58446718"/>
    <w:rsid w:val="5848705A"/>
    <w:rsid w:val="584B7EF0"/>
    <w:rsid w:val="584C035A"/>
    <w:rsid w:val="585B5FB1"/>
    <w:rsid w:val="587830F6"/>
    <w:rsid w:val="587B7D70"/>
    <w:rsid w:val="587D6916"/>
    <w:rsid w:val="58824F05"/>
    <w:rsid w:val="588E4E06"/>
    <w:rsid w:val="58936C09"/>
    <w:rsid w:val="589626DA"/>
    <w:rsid w:val="589D2BE1"/>
    <w:rsid w:val="58A6075C"/>
    <w:rsid w:val="58A6088E"/>
    <w:rsid w:val="58B14B2F"/>
    <w:rsid w:val="58B84BA8"/>
    <w:rsid w:val="58C4160B"/>
    <w:rsid w:val="58C419FA"/>
    <w:rsid w:val="58C779E0"/>
    <w:rsid w:val="58CF08A8"/>
    <w:rsid w:val="58D04AE7"/>
    <w:rsid w:val="58D83D70"/>
    <w:rsid w:val="58E95BA9"/>
    <w:rsid w:val="58EB49A4"/>
    <w:rsid w:val="58F35A6F"/>
    <w:rsid w:val="58FA0CC9"/>
    <w:rsid w:val="58FD7FE7"/>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3D2FE9"/>
    <w:rsid w:val="59433CF0"/>
    <w:rsid w:val="59473E6A"/>
    <w:rsid w:val="594741E9"/>
    <w:rsid w:val="59496B9F"/>
    <w:rsid w:val="594A037D"/>
    <w:rsid w:val="594C400C"/>
    <w:rsid w:val="59582258"/>
    <w:rsid w:val="596429D6"/>
    <w:rsid w:val="59651CAE"/>
    <w:rsid w:val="5971064D"/>
    <w:rsid w:val="59752418"/>
    <w:rsid w:val="59771FF4"/>
    <w:rsid w:val="597C468B"/>
    <w:rsid w:val="597D6C89"/>
    <w:rsid w:val="598F2963"/>
    <w:rsid w:val="59976FEB"/>
    <w:rsid w:val="599E4BE5"/>
    <w:rsid w:val="59A00EDC"/>
    <w:rsid w:val="59A02CF1"/>
    <w:rsid w:val="59A47020"/>
    <w:rsid w:val="59A57581"/>
    <w:rsid w:val="59A65848"/>
    <w:rsid w:val="59AB2444"/>
    <w:rsid w:val="59AC701E"/>
    <w:rsid w:val="59AD01A7"/>
    <w:rsid w:val="59AD3B63"/>
    <w:rsid w:val="59B6533D"/>
    <w:rsid w:val="59B941E0"/>
    <w:rsid w:val="59BB5797"/>
    <w:rsid w:val="59BC13A7"/>
    <w:rsid w:val="59C10F62"/>
    <w:rsid w:val="59C2730A"/>
    <w:rsid w:val="59C462B0"/>
    <w:rsid w:val="59C503C4"/>
    <w:rsid w:val="59C707D0"/>
    <w:rsid w:val="59C817EE"/>
    <w:rsid w:val="59CC693D"/>
    <w:rsid w:val="59CF317E"/>
    <w:rsid w:val="59DD2F98"/>
    <w:rsid w:val="59E549BE"/>
    <w:rsid w:val="59EE7D18"/>
    <w:rsid w:val="59F21EB3"/>
    <w:rsid w:val="59F740F1"/>
    <w:rsid w:val="59F902DA"/>
    <w:rsid w:val="59F972F7"/>
    <w:rsid w:val="5A054C64"/>
    <w:rsid w:val="5A1C3EF8"/>
    <w:rsid w:val="5A226ECE"/>
    <w:rsid w:val="5A2B27D6"/>
    <w:rsid w:val="5A2F594A"/>
    <w:rsid w:val="5A3A337D"/>
    <w:rsid w:val="5A3E5ABB"/>
    <w:rsid w:val="5A3F4931"/>
    <w:rsid w:val="5A4049FD"/>
    <w:rsid w:val="5A430D8D"/>
    <w:rsid w:val="5A525013"/>
    <w:rsid w:val="5A587D48"/>
    <w:rsid w:val="5A5D73C6"/>
    <w:rsid w:val="5A5F6122"/>
    <w:rsid w:val="5A6C32D3"/>
    <w:rsid w:val="5A702884"/>
    <w:rsid w:val="5A703622"/>
    <w:rsid w:val="5A71428A"/>
    <w:rsid w:val="5A796801"/>
    <w:rsid w:val="5A7E1403"/>
    <w:rsid w:val="5A7F4A16"/>
    <w:rsid w:val="5A8126F4"/>
    <w:rsid w:val="5A814A82"/>
    <w:rsid w:val="5A9030E7"/>
    <w:rsid w:val="5A9261B6"/>
    <w:rsid w:val="5A9474D4"/>
    <w:rsid w:val="5A977542"/>
    <w:rsid w:val="5A9F3C87"/>
    <w:rsid w:val="5AA3470B"/>
    <w:rsid w:val="5AA53C49"/>
    <w:rsid w:val="5AA90130"/>
    <w:rsid w:val="5AB21842"/>
    <w:rsid w:val="5AB96EC4"/>
    <w:rsid w:val="5ABA75F5"/>
    <w:rsid w:val="5AC00736"/>
    <w:rsid w:val="5ACC58A9"/>
    <w:rsid w:val="5AD07020"/>
    <w:rsid w:val="5AD50C84"/>
    <w:rsid w:val="5AD87AA0"/>
    <w:rsid w:val="5AE1312B"/>
    <w:rsid w:val="5AE53EED"/>
    <w:rsid w:val="5AE56ED8"/>
    <w:rsid w:val="5AEB179F"/>
    <w:rsid w:val="5AEC28E9"/>
    <w:rsid w:val="5AF314CF"/>
    <w:rsid w:val="5AF873F9"/>
    <w:rsid w:val="5AFD5CA1"/>
    <w:rsid w:val="5B0516D1"/>
    <w:rsid w:val="5B0A144B"/>
    <w:rsid w:val="5B0A4CC1"/>
    <w:rsid w:val="5B0E2BE7"/>
    <w:rsid w:val="5B194774"/>
    <w:rsid w:val="5B1A5B33"/>
    <w:rsid w:val="5B215A6F"/>
    <w:rsid w:val="5B2272B8"/>
    <w:rsid w:val="5B2452CA"/>
    <w:rsid w:val="5B246C93"/>
    <w:rsid w:val="5B293FA4"/>
    <w:rsid w:val="5B2F184C"/>
    <w:rsid w:val="5B3B1E10"/>
    <w:rsid w:val="5B410E19"/>
    <w:rsid w:val="5B4A3418"/>
    <w:rsid w:val="5B4B766A"/>
    <w:rsid w:val="5B511F36"/>
    <w:rsid w:val="5B555777"/>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14DFE"/>
    <w:rsid w:val="5BD21052"/>
    <w:rsid w:val="5BE461A6"/>
    <w:rsid w:val="5BE520C5"/>
    <w:rsid w:val="5BF93486"/>
    <w:rsid w:val="5BF96C0C"/>
    <w:rsid w:val="5C050C37"/>
    <w:rsid w:val="5C0A558A"/>
    <w:rsid w:val="5C0B6BEB"/>
    <w:rsid w:val="5C162DE3"/>
    <w:rsid w:val="5C196691"/>
    <w:rsid w:val="5C214C1A"/>
    <w:rsid w:val="5C2D0C32"/>
    <w:rsid w:val="5C2E0656"/>
    <w:rsid w:val="5C2F4ED9"/>
    <w:rsid w:val="5C341831"/>
    <w:rsid w:val="5C363AC4"/>
    <w:rsid w:val="5C39587B"/>
    <w:rsid w:val="5C45759A"/>
    <w:rsid w:val="5C487098"/>
    <w:rsid w:val="5C5210C9"/>
    <w:rsid w:val="5C551E2B"/>
    <w:rsid w:val="5C566ADD"/>
    <w:rsid w:val="5C584FCD"/>
    <w:rsid w:val="5C663F65"/>
    <w:rsid w:val="5C685FAD"/>
    <w:rsid w:val="5C6A2A90"/>
    <w:rsid w:val="5C6A5A44"/>
    <w:rsid w:val="5C775CC1"/>
    <w:rsid w:val="5C781AEC"/>
    <w:rsid w:val="5C782B70"/>
    <w:rsid w:val="5C807ED9"/>
    <w:rsid w:val="5C8A31FF"/>
    <w:rsid w:val="5C8C5796"/>
    <w:rsid w:val="5C9028C8"/>
    <w:rsid w:val="5C9039A1"/>
    <w:rsid w:val="5C9365FD"/>
    <w:rsid w:val="5C9400FE"/>
    <w:rsid w:val="5C9802BB"/>
    <w:rsid w:val="5C9E37D6"/>
    <w:rsid w:val="5C9F4BE4"/>
    <w:rsid w:val="5CA1099C"/>
    <w:rsid w:val="5CA92D56"/>
    <w:rsid w:val="5CAE1841"/>
    <w:rsid w:val="5CB009C2"/>
    <w:rsid w:val="5CB248F2"/>
    <w:rsid w:val="5CB30E23"/>
    <w:rsid w:val="5CB63FA4"/>
    <w:rsid w:val="5CC02A56"/>
    <w:rsid w:val="5CC71318"/>
    <w:rsid w:val="5CC839E4"/>
    <w:rsid w:val="5CD557B6"/>
    <w:rsid w:val="5CD76FB9"/>
    <w:rsid w:val="5CDB024C"/>
    <w:rsid w:val="5CE2665E"/>
    <w:rsid w:val="5CE9646E"/>
    <w:rsid w:val="5CEB65B4"/>
    <w:rsid w:val="5CEE6AC1"/>
    <w:rsid w:val="5CF30508"/>
    <w:rsid w:val="5D034955"/>
    <w:rsid w:val="5D037ACA"/>
    <w:rsid w:val="5D086B08"/>
    <w:rsid w:val="5D0D6309"/>
    <w:rsid w:val="5D107BA8"/>
    <w:rsid w:val="5D14283F"/>
    <w:rsid w:val="5D14552E"/>
    <w:rsid w:val="5D1C393A"/>
    <w:rsid w:val="5D234625"/>
    <w:rsid w:val="5D32024B"/>
    <w:rsid w:val="5D335644"/>
    <w:rsid w:val="5D3664F7"/>
    <w:rsid w:val="5D3E30FA"/>
    <w:rsid w:val="5D3E7219"/>
    <w:rsid w:val="5D3F253F"/>
    <w:rsid w:val="5D445352"/>
    <w:rsid w:val="5D450682"/>
    <w:rsid w:val="5D465E58"/>
    <w:rsid w:val="5D485594"/>
    <w:rsid w:val="5D5217C8"/>
    <w:rsid w:val="5D5A0E23"/>
    <w:rsid w:val="5D5C0CC1"/>
    <w:rsid w:val="5D5C103F"/>
    <w:rsid w:val="5D5C4B9B"/>
    <w:rsid w:val="5D666FAB"/>
    <w:rsid w:val="5D68574F"/>
    <w:rsid w:val="5D69123B"/>
    <w:rsid w:val="5D6B3030"/>
    <w:rsid w:val="5D777C70"/>
    <w:rsid w:val="5D79399F"/>
    <w:rsid w:val="5D8104A7"/>
    <w:rsid w:val="5D826B92"/>
    <w:rsid w:val="5D897F69"/>
    <w:rsid w:val="5DA82D4A"/>
    <w:rsid w:val="5DAD1625"/>
    <w:rsid w:val="5DB713CE"/>
    <w:rsid w:val="5DB91FED"/>
    <w:rsid w:val="5DBA3C0B"/>
    <w:rsid w:val="5DBC3D74"/>
    <w:rsid w:val="5DC32E6C"/>
    <w:rsid w:val="5DC3428A"/>
    <w:rsid w:val="5DC603E7"/>
    <w:rsid w:val="5DD15915"/>
    <w:rsid w:val="5DD40BD5"/>
    <w:rsid w:val="5DD47EED"/>
    <w:rsid w:val="5DD638E2"/>
    <w:rsid w:val="5DDE7CA6"/>
    <w:rsid w:val="5DE036AE"/>
    <w:rsid w:val="5DE768DF"/>
    <w:rsid w:val="5DEB632A"/>
    <w:rsid w:val="5DFB2606"/>
    <w:rsid w:val="5DFC2B94"/>
    <w:rsid w:val="5DFD637E"/>
    <w:rsid w:val="5E044051"/>
    <w:rsid w:val="5E087C39"/>
    <w:rsid w:val="5E0F59D8"/>
    <w:rsid w:val="5E132D8E"/>
    <w:rsid w:val="5E13621E"/>
    <w:rsid w:val="5E155058"/>
    <w:rsid w:val="5E167DEA"/>
    <w:rsid w:val="5E1753DB"/>
    <w:rsid w:val="5E2733FB"/>
    <w:rsid w:val="5E2C032D"/>
    <w:rsid w:val="5E2D4B36"/>
    <w:rsid w:val="5E34043D"/>
    <w:rsid w:val="5E377142"/>
    <w:rsid w:val="5E3A6AB6"/>
    <w:rsid w:val="5E3D70F6"/>
    <w:rsid w:val="5E48734A"/>
    <w:rsid w:val="5E4D151E"/>
    <w:rsid w:val="5E5256CF"/>
    <w:rsid w:val="5E525F9E"/>
    <w:rsid w:val="5E53251C"/>
    <w:rsid w:val="5E5B4CE2"/>
    <w:rsid w:val="5E5C42A1"/>
    <w:rsid w:val="5E5D506F"/>
    <w:rsid w:val="5E5E4943"/>
    <w:rsid w:val="5E5F3E1C"/>
    <w:rsid w:val="5E65152B"/>
    <w:rsid w:val="5E7419FA"/>
    <w:rsid w:val="5E78597B"/>
    <w:rsid w:val="5E795E0F"/>
    <w:rsid w:val="5E7A7B1D"/>
    <w:rsid w:val="5E7B3747"/>
    <w:rsid w:val="5E7E6E2D"/>
    <w:rsid w:val="5E821A10"/>
    <w:rsid w:val="5E8D7C39"/>
    <w:rsid w:val="5E917AFD"/>
    <w:rsid w:val="5E93573A"/>
    <w:rsid w:val="5E966703"/>
    <w:rsid w:val="5E9E0399"/>
    <w:rsid w:val="5EAC0285"/>
    <w:rsid w:val="5EAD5331"/>
    <w:rsid w:val="5EB1716B"/>
    <w:rsid w:val="5EC0079D"/>
    <w:rsid w:val="5EC609DA"/>
    <w:rsid w:val="5ED03A93"/>
    <w:rsid w:val="5ED16EDC"/>
    <w:rsid w:val="5ED40587"/>
    <w:rsid w:val="5ED61D18"/>
    <w:rsid w:val="5EDA5FEF"/>
    <w:rsid w:val="5EDC54EF"/>
    <w:rsid w:val="5EDD4B28"/>
    <w:rsid w:val="5EE85474"/>
    <w:rsid w:val="5EEC0B95"/>
    <w:rsid w:val="5EF00A7A"/>
    <w:rsid w:val="5EF71CFB"/>
    <w:rsid w:val="5EFA60DC"/>
    <w:rsid w:val="5EFC37E2"/>
    <w:rsid w:val="5F057E9B"/>
    <w:rsid w:val="5F0B0627"/>
    <w:rsid w:val="5F100A56"/>
    <w:rsid w:val="5F100F52"/>
    <w:rsid w:val="5F125536"/>
    <w:rsid w:val="5F143EC1"/>
    <w:rsid w:val="5F167B45"/>
    <w:rsid w:val="5F182D44"/>
    <w:rsid w:val="5F1833F7"/>
    <w:rsid w:val="5F1C0006"/>
    <w:rsid w:val="5F1D4307"/>
    <w:rsid w:val="5F261904"/>
    <w:rsid w:val="5F290D9A"/>
    <w:rsid w:val="5F2913F5"/>
    <w:rsid w:val="5F3131FF"/>
    <w:rsid w:val="5F3561D8"/>
    <w:rsid w:val="5F39291B"/>
    <w:rsid w:val="5F3B13DB"/>
    <w:rsid w:val="5F41161E"/>
    <w:rsid w:val="5F531FCE"/>
    <w:rsid w:val="5F5D1EB0"/>
    <w:rsid w:val="5F60136E"/>
    <w:rsid w:val="5F6319B8"/>
    <w:rsid w:val="5F6441DB"/>
    <w:rsid w:val="5F65097C"/>
    <w:rsid w:val="5F695B2D"/>
    <w:rsid w:val="5F7217FE"/>
    <w:rsid w:val="5F725A62"/>
    <w:rsid w:val="5F74244C"/>
    <w:rsid w:val="5F781A34"/>
    <w:rsid w:val="5F835B70"/>
    <w:rsid w:val="5F850849"/>
    <w:rsid w:val="5F8E1395"/>
    <w:rsid w:val="5F944AC0"/>
    <w:rsid w:val="5FA56CCD"/>
    <w:rsid w:val="5FA62A45"/>
    <w:rsid w:val="5FA67D65"/>
    <w:rsid w:val="5FAC52BF"/>
    <w:rsid w:val="5FAC5F18"/>
    <w:rsid w:val="5FAC708D"/>
    <w:rsid w:val="5FAD0AD1"/>
    <w:rsid w:val="5FAD5B82"/>
    <w:rsid w:val="5FAF1CA3"/>
    <w:rsid w:val="5FB14366"/>
    <w:rsid w:val="5FB22DDD"/>
    <w:rsid w:val="5FB447FA"/>
    <w:rsid w:val="5FB919B2"/>
    <w:rsid w:val="5FBB0231"/>
    <w:rsid w:val="5FBB2CE0"/>
    <w:rsid w:val="5FC225BF"/>
    <w:rsid w:val="5FC25A3B"/>
    <w:rsid w:val="5FC80641"/>
    <w:rsid w:val="5FCC5FEB"/>
    <w:rsid w:val="5FD57842"/>
    <w:rsid w:val="5FD74889"/>
    <w:rsid w:val="5FD82DC5"/>
    <w:rsid w:val="5FDA668E"/>
    <w:rsid w:val="5FE7047A"/>
    <w:rsid w:val="5FEB3422"/>
    <w:rsid w:val="5FF00E93"/>
    <w:rsid w:val="5FF05FCA"/>
    <w:rsid w:val="5FF52240"/>
    <w:rsid w:val="5FFC2665"/>
    <w:rsid w:val="5FFE39B6"/>
    <w:rsid w:val="60044E19"/>
    <w:rsid w:val="601259E5"/>
    <w:rsid w:val="60135E1A"/>
    <w:rsid w:val="601C5517"/>
    <w:rsid w:val="602007E7"/>
    <w:rsid w:val="60205663"/>
    <w:rsid w:val="60234096"/>
    <w:rsid w:val="60256FE0"/>
    <w:rsid w:val="60293727"/>
    <w:rsid w:val="603875CB"/>
    <w:rsid w:val="603A4D69"/>
    <w:rsid w:val="603B13E0"/>
    <w:rsid w:val="603D3A0F"/>
    <w:rsid w:val="604A16FE"/>
    <w:rsid w:val="604D7370"/>
    <w:rsid w:val="604F72A6"/>
    <w:rsid w:val="605133AD"/>
    <w:rsid w:val="605A15AF"/>
    <w:rsid w:val="605F4CE9"/>
    <w:rsid w:val="6063510D"/>
    <w:rsid w:val="606876B6"/>
    <w:rsid w:val="606C14FB"/>
    <w:rsid w:val="60723414"/>
    <w:rsid w:val="608749A9"/>
    <w:rsid w:val="6088251F"/>
    <w:rsid w:val="608F3926"/>
    <w:rsid w:val="60901C43"/>
    <w:rsid w:val="609A45DE"/>
    <w:rsid w:val="60B06CDD"/>
    <w:rsid w:val="60B91E33"/>
    <w:rsid w:val="60BA195F"/>
    <w:rsid w:val="60BB6B1C"/>
    <w:rsid w:val="60C44DAC"/>
    <w:rsid w:val="60CB3E5A"/>
    <w:rsid w:val="60D07D7A"/>
    <w:rsid w:val="60DD2497"/>
    <w:rsid w:val="60E162FE"/>
    <w:rsid w:val="60F75845"/>
    <w:rsid w:val="60F8107F"/>
    <w:rsid w:val="60FA4DF7"/>
    <w:rsid w:val="60FC0323"/>
    <w:rsid w:val="60FD5F5A"/>
    <w:rsid w:val="60FF47EC"/>
    <w:rsid w:val="6108122D"/>
    <w:rsid w:val="61106CC0"/>
    <w:rsid w:val="61141C9D"/>
    <w:rsid w:val="612105D5"/>
    <w:rsid w:val="612431D1"/>
    <w:rsid w:val="61243C22"/>
    <w:rsid w:val="61276859"/>
    <w:rsid w:val="612B0B99"/>
    <w:rsid w:val="613755FF"/>
    <w:rsid w:val="613D06E5"/>
    <w:rsid w:val="61416D81"/>
    <w:rsid w:val="614C3131"/>
    <w:rsid w:val="614E5428"/>
    <w:rsid w:val="61575385"/>
    <w:rsid w:val="615E1CD0"/>
    <w:rsid w:val="61651A9A"/>
    <w:rsid w:val="61657B33"/>
    <w:rsid w:val="6166248C"/>
    <w:rsid w:val="616A05BA"/>
    <w:rsid w:val="61701712"/>
    <w:rsid w:val="61730705"/>
    <w:rsid w:val="6173579B"/>
    <w:rsid w:val="61745BFE"/>
    <w:rsid w:val="617D64C9"/>
    <w:rsid w:val="618A392D"/>
    <w:rsid w:val="618B6904"/>
    <w:rsid w:val="618B6F18"/>
    <w:rsid w:val="61902BE6"/>
    <w:rsid w:val="61906BE0"/>
    <w:rsid w:val="61917829"/>
    <w:rsid w:val="619353C3"/>
    <w:rsid w:val="619C4100"/>
    <w:rsid w:val="61A54181"/>
    <w:rsid w:val="61A86E74"/>
    <w:rsid w:val="61AE542A"/>
    <w:rsid w:val="61B13862"/>
    <w:rsid w:val="61C80A51"/>
    <w:rsid w:val="61CC6481"/>
    <w:rsid w:val="61D93C9B"/>
    <w:rsid w:val="61DD38D1"/>
    <w:rsid w:val="61E27522"/>
    <w:rsid w:val="61E31D87"/>
    <w:rsid w:val="61E868FC"/>
    <w:rsid w:val="61EB343F"/>
    <w:rsid w:val="61EE526B"/>
    <w:rsid w:val="61F950AE"/>
    <w:rsid w:val="61FD11D4"/>
    <w:rsid w:val="61FF370F"/>
    <w:rsid w:val="61FF53AA"/>
    <w:rsid w:val="62036D8B"/>
    <w:rsid w:val="6209538D"/>
    <w:rsid w:val="620B1AB5"/>
    <w:rsid w:val="6210615D"/>
    <w:rsid w:val="621D568E"/>
    <w:rsid w:val="621E0127"/>
    <w:rsid w:val="621F029F"/>
    <w:rsid w:val="6221742E"/>
    <w:rsid w:val="622D4D58"/>
    <w:rsid w:val="62417E90"/>
    <w:rsid w:val="6251451B"/>
    <w:rsid w:val="62593CC6"/>
    <w:rsid w:val="62600241"/>
    <w:rsid w:val="626A664D"/>
    <w:rsid w:val="626B762E"/>
    <w:rsid w:val="626F3D3B"/>
    <w:rsid w:val="62726160"/>
    <w:rsid w:val="627A21CF"/>
    <w:rsid w:val="62887D39"/>
    <w:rsid w:val="629E7844"/>
    <w:rsid w:val="62A30169"/>
    <w:rsid w:val="62AB6771"/>
    <w:rsid w:val="62AF4AAA"/>
    <w:rsid w:val="62B0051C"/>
    <w:rsid w:val="62B30B96"/>
    <w:rsid w:val="62BF796D"/>
    <w:rsid w:val="62C16E74"/>
    <w:rsid w:val="62C45016"/>
    <w:rsid w:val="62C66907"/>
    <w:rsid w:val="62CD2097"/>
    <w:rsid w:val="62CE135C"/>
    <w:rsid w:val="62DA4BE4"/>
    <w:rsid w:val="62E61243"/>
    <w:rsid w:val="62E62942"/>
    <w:rsid w:val="62EC3418"/>
    <w:rsid w:val="62FB1F5E"/>
    <w:rsid w:val="62FD61DC"/>
    <w:rsid w:val="62FF2FB1"/>
    <w:rsid w:val="6302572B"/>
    <w:rsid w:val="63040F2F"/>
    <w:rsid w:val="630C1C94"/>
    <w:rsid w:val="63121C38"/>
    <w:rsid w:val="631448F3"/>
    <w:rsid w:val="63163B5F"/>
    <w:rsid w:val="631657EC"/>
    <w:rsid w:val="631852E2"/>
    <w:rsid w:val="63194117"/>
    <w:rsid w:val="631F18D2"/>
    <w:rsid w:val="63252268"/>
    <w:rsid w:val="632B39DD"/>
    <w:rsid w:val="632B5373"/>
    <w:rsid w:val="632F4BB7"/>
    <w:rsid w:val="63384FFE"/>
    <w:rsid w:val="6338598B"/>
    <w:rsid w:val="633A3CCF"/>
    <w:rsid w:val="633B3150"/>
    <w:rsid w:val="633B6088"/>
    <w:rsid w:val="633C6265"/>
    <w:rsid w:val="633E546A"/>
    <w:rsid w:val="63410D72"/>
    <w:rsid w:val="634A596F"/>
    <w:rsid w:val="635C1C78"/>
    <w:rsid w:val="636C69A2"/>
    <w:rsid w:val="63747317"/>
    <w:rsid w:val="637A0A5E"/>
    <w:rsid w:val="637C68D1"/>
    <w:rsid w:val="637D3ABD"/>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6720C"/>
    <w:rsid w:val="63CA3DCB"/>
    <w:rsid w:val="63DC4943"/>
    <w:rsid w:val="63DE2E4C"/>
    <w:rsid w:val="63E87188"/>
    <w:rsid w:val="63ED479F"/>
    <w:rsid w:val="63F4337F"/>
    <w:rsid w:val="63FB151D"/>
    <w:rsid w:val="63FB7BEE"/>
    <w:rsid w:val="64020F30"/>
    <w:rsid w:val="64065DF6"/>
    <w:rsid w:val="6410506D"/>
    <w:rsid w:val="64114C45"/>
    <w:rsid w:val="64120074"/>
    <w:rsid w:val="64181BDE"/>
    <w:rsid w:val="641B4AB3"/>
    <w:rsid w:val="641D5D50"/>
    <w:rsid w:val="641E5A76"/>
    <w:rsid w:val="641F72F5"/>
    <w:rsid w:val="64212490"/>
    <w:rsid w:val="64264920"/>
    <w:rsid w:val="642825BB"/>
    <w:rsid w:val="64284D93"/>
    <w:rsid w:val="6429050D"/>
    <w:rsid w:val="642F4896"/>
    <w:rsid w:val="64362523"/>
    <w:rsid w:val="643644B1"/>
    <w:rsid w:val="643C3DFB"/>
    <w:rsid w:val="643D1B46"/>
    <w:rsid w:val="643E2BD3"/>
    <w:rsid w:val="643E534D"/>
    <w:rsid w:val="643F77F5"/>
    <w:rsid w:val="644B633C"/>
    <w:rsid w:val="6451339A"/>
    <w:rsid w:val="6456068A"/>
    <w:rsid w:val="645C6DD7"/>
    <w:rsid w:val="645D27B1"/>
    <w:rsid w:val="64607667"/>
    <w:rsid w:val="64644998"/>
    <w:rsid w:val="64651501"/>
    <w:rsid w:val="64681A73"/>
    <w:rsid w:val="646924DB"/>
    <w:rsid w:val="64694AC9"/>
    <w:rsid w:val="64745038"/>
    <w:rsid w:val="64781379"/>
    <w:rsid w:val="647B667B"/>
    <w:rsid w:val="64895DCF"/>
    <w:rsid w:val="648B023D"/>
    <w:rsid w:val="648B779B"/>
    <w:rsid w:val="648F28AA"/>
    <w:rsid w:val="64903C06"/>
    <w:rsid w:val="649660D2"/>
    <w:rsid w:val="64A07C97"/>
    <w:rsid w:val="64A15589"/>
    <w:rsid w:val="64A54380"/>
    <w:rsid w:val="64A55E9D"/>
    <w:rsid w:val="64A6478B"/>
    <w:rsid w:val="64A84463"/>
    <w:rsid w:val="64A867F8"/>
    <w:rsid w:val="64AA6B34"/>
    <w:rsid w:val="64AC0894"/>
    <w:rsid w:val="64B12423"/>
    <w:rsid w:val="64BE61AD"/>
    <w:rsid w:val="64C01EB3"/>
    <w:rsid w:val="64C23E7D"/>
    <w:rsid w:val="64C41B3A"/>
    <w:rsid w:val="64C71494"/>
    <w:rsid w:val="64CE35CE"/>
    <w:rsid w:val="64D1157E"/>
    <w:rsid w:val="64D63485"/>
    <w:rsid w:val="64E27658"/>
    <w:rsid w:val="64F5466C"/>
    <w:rsid w:val="6503657A"/>
    <w:rsid w:val="650B0218"/>
    <w:rsid w:val="650D1CAF"/>
    <w:rsid w:val="65106F33"/>
    <w:rsid w:val="65127C38"/>
    <w:rsid w:val="6517484E"/>
    <w:rsid w:val="651F664A"/>
    <w:rsid w:val="65227A4F"/>
    <w:rsid w:val="652F0A2D"/>
    <w:rsid w:val="652F59CE"/>
    <w:rsid w:val="6534721D"/>
    <w:rsid w:val="653647A3"/>
    <w:rsid w:val="653C5699"/>
    <w:rsid w:val="6549634D"/>
    <w:rsid w:val="654D30E7"/>
    <w:rsid w:val="654F25D3"/>
    <w:rsid w:val="655451E7"/>
    <w:rsid w:val="6557674D"/>
    <w:rsid w:val="655B63EE"/>
    <w:rsid w:val="655C6080"/>
    <w:rsid w:val="655C6B63"/>
    <w:rsid w:val="65623116"/>
    <w:rsid w:val="65687859"/>
    <w:rsid w:val="656B0071"/>
    <w:rsid w:val="656C4076"/>
    <w:rsid w:val="656D03A1"/>
    <w:rsid w:val="656D17D2"/>
    <w:rsid w:val="656E190F"/>
    <w:rsid w:val="657710B1"/>
    <w:rsid w:val="657713CD"/>
    <w:rsid w:val="6577655B"/>
    <w:rsid w:val="6579617D"/>
    <w:rsid w:val="657A32D6"/>
    <w:rsid w:val="657C746C"/>
    <w:rsid w:val="65917887"/>
    <w:rsid w:val="6592636B"/>
    <w:rsid w:val="65931280"/>
    <w:rsid w:val="659B722F"/>
    <w:rsid w:val="659D08D8"/>
    <w:rsid w:val="65A15B32"/>
    <w:rsid w:val="65A22A7F"/>
    <w:rsid w:val="65B073B1"/>
    <w:rsid w:val="65B63234"/>
    <w:rsid w:val="65B85B12"/>
    <w:rsid w:val="65B909B4"/>
    <w:rsid w:val="65BF2FB7"/>
    <w:rsid w:val="65C04540"/>
    <w:rsid w:val="65C92EDD"/>
    <w:rsid w:val="65C92FEA"/>
    <w:rsid w:val="65CD0FDC"/>
    <w:rsid w:val="65CE09EE"/>
    <w:rsid w:val="65D16742"/>
    <w:rsid w:val="65D7216C"/>
    <w:rsid w:val="65D976D1"/>
    <w:rsid w:val="65DB7E2E"/>
    <w:rsid w:val="65DC3CB9"/>
    <w:rsid w:val="65E21F00"/>
    <w:rsid w:val="65EB028C"/>
    <w:rsid w:val="65EB742A"/>
    <w:rsid w:val="65EF094D"/>
    <w:rsid w:val="65EF6597"/>
    <w:rsid w:val="65FA3CF4"/>
    <w:rsid w:val="65FB4F29"/>
    <w:rsid w:val="66022202"/>
    <w:rsid w:val="660309B0"/>
    <w:rsid w:val="66044022"/>
    <w:rsid w:val="66091638"/>
    <w:rsid w:val="660C5876"/>
    <w:rsid w:val="66167018"/>
    <w:rsid w:val="66173D55"/>
    <w:rsid w:val="661C606C"/>
    <w:rsid w:val="661D7B2C"/>
    <w:rsid w:val="662533F5"/>
    <w:rsid w:val="662C338C"/>
    <w:rsid w:val="662C6105"/>
    <w:rsid w:val="662D3F0C"/>
    <w:rsid w:val="662F72F1"/>
    <w:rsid w:val="66353557"/>
    <w:rsid w:val="66360279"/>
    <w:rsid w:val="66453182"/>
    <w:rsid w:val="665A5CD5"/>
    <w:rsid w:val="665F56FC"/>
    <w:rsid w:val="66605B83"/>
    <w:rsid w:val="66622235"/>
    <w:rsid w:val="66640C7A"/>
    <w:rsid w:val="666646A6"/>
    <w:rsid w:val="66724225"/>
    <w:rsid w:val="66765D82"/>
    <w:rsid w:val="667736A3"/>
    <w:rsid w:val="667859CB"/>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BC48FC"/>
    <w:rsid w:val="66C043ED"/>
    <w:rsid w:val="66C1412F"/>
    <w:rsid w:val="66C814F3"/>
    <w:rsid w:val="66D971A4"/>
    <w:rsid w:val="66DB3E9D"/>
    <w:rsid w:val="66F422E8"/>
    <w:rsid w:val="66F42C1D"/>
    <w:rsid w:val="66F60A36"/>
    <w:rsid w:val="67013562"/>
    <w:rsid w:val="6706035F"/>
    <w:rsid w:val="6707199F"/>
    <w:rsid w:val="67072C08"/>
    <w:rsid w:val="670F44B9"/>
    <w:rsid w:val="67122355"/>
    <w:rsid w:val="67144396"/>
    <w:rsid w:val="671E3E7C"/>
    <w:rsid w:val="67272EEF"/>
    <w:rsid w:val="67331F7A"/>
    <w:rsid w:val="67384868"/>
    <w:rsid w:val="673C4C4D"/>
    <w:rsid w:val="673E0325"/>
    <w:rsid w:val="67411078"/>
    <w:rsid w:val="674768BC"/>
    <w:rsid w:val="674F317D"/>
    <w:rsid w:val="6754761A"/>
    <w:rsid w:val="675A11AE"/>
    <w:rsid w:val="67673A79"/>
    <w:rsid w:val="676845DE"/>
    <w:rsid w:val="676D456A"/>
    <w:rsid w:val="676D67E6"/>
    <w:rsid w:val="676E3EF2"/>
    <w:rsid w:val="67786A75"/>
    <w:rsid w:val="67803D0D"/>
    <w:rsid w:val="67880C2D"/>
    <w:rsid w:val="67891FF6"/>
    <w:rsid w:val="67991BFE"/>
    <w:rsid w:val="679C243B"/>
    <w:rsid w:val="67A642D9"/>
    <w:rsid w:val="67A7301C"/>
    <w:rsid w:val="67A870CE"/>
    <w:rsid w:val="67A95559"/>
    <w:rsid w:val="67AB6AAA"/>
    <w:rsid w:val="67AC7843"/>
    <w:rsid w:val="67AE4BBF"/>
    <w:rsid w:val="67B242B1"/>
    <w:rsid w:val="67B850C4"/>
    <w:rsid w:val="67BA0EC2"/>
    <w:rsid w:val="67BF6452"/>
    <w:rsid w:val="67C83EA7"/>
    <w:rsid w:val="67C96AF6"/>
    <w:rsid w:val="67DE3823"/>
    <w:rsid w:val="67E16919"/>
    <w:rsid w:val="67EB281D"/>
    <w:rsid w:val="67EB6B9A"/>
    <w:rsid w:val="67EF6A95"/>
    <w:rsid w:val="67F2058B"/>
    <w:rsid w:val="67F20F5B"/>
    <w:rsid w:val="67F26828"/>
    <w:rsid w:val="67F55EC6"/>
    <w:rsid w:val="67FA56DC"/>
    <w:rsid w:val="67FA6EFF"/>
    <w:rsid w:val="68012F0F"/>
    <w:rsid w:val="680C7AE7"/>
    <w:rsid w:val="68144D95"/>
    <w:rsid w:val="681F60D4"/>
    <w:rsid w:val="682C3893"/>
    <w:rsid w:val="6833299C"/>
    <w:rsid w:val="683B31A3"/>
    <w:rsid w:val="683D4893"/>
    <w:rsid w:val="683F123A"/>
    <w:rsid w:val="68436057"/>
    <w:rsid w:val="68464288"/>
    <w:rsid w:val="684941A9"/>
    <w:rsid w:val="684A163D"/>
    <w:rsid w:val="684B3682"/>
    <w:rsid w:val="684E4A69"/>
    <w:rsid w:val="68567D69"/>
    <w:rsid w:val="685774AE"/>
    <w:rsid w:val="685A0891"/>
    <w:rsid w:val="685B324E"/>
    <w:rsid w:val="68640AED"/>
    <w:rsid w:val="68680F81"/>
    <w:rsid w:val="686B4A24"/>
    <w:rsid w:val="68717C38"/>
    <w:rsid w:val="68763A15"/>
    <w:rsid w:val="687640CE"/>
    <w:rsid w:val="687E370E"/>
    <w:rsid w:val="6885769C"/>
    <w:rsid w:val="689031D4"/>
    <w:rsid w:val="68910A2F"/>
    <w:rsid w:val="68963137"/>
    <w:rsid w:val="6898386B"/>
    <w:rsid w:val="689A2A1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221B5"/>
    <w:rsid w:val="68DA219F"/>
    <w:rsid w:val="68DA2E33"/>
    <w:rsid w:val="68E03F04"/>
    <w:rsid w:val="68E10BEE"/>
    <w:rsid w:val="68E114F2"/>
    <w:rsid w:val="68E71E76"/>
    <w:rsid w:val="68FA490F"/>
    <w:rsid w:val="68FB0C3A"/>
    <w:rsid w:val="69035C29"/>
    <w:rsid w:val="690D7691"/>
    <w:rsid w:val="690E375A"/>
    <w:rsid w:val="69144C46"/>
    <w:rsid w:val="6917406C"/>
    <w:rsid w:val="691751DE"/>
    <w:rsid w:val="6919739A"/>
    <w:rsid w:val="692769A5"/>
    <w:rsid w:val="69343F33"/>
    <w:rsid w:val="69344C1E"/>
    <w:rsid w:val="693B054D"/>
    <w:rsid w:val="693E76AF"/>
    <w:rsid w:val="69426968"/>
    <w:rsid w:val="69436F2C"/>
    <w:rsid w:val="69451114"/>
    <w:rsid w:val="69473733"/>
    <w:rsid w:val="694774FF"/>
    <w:rsid w:val="695A4545"/>
    <w:rsid w:val="695F72BA"/>
    <w:rsid w:val="69673F37"/>
    <w:rsid w:val="696848C8"/>
    <w:rsid w:val="696C03D9"/>
    <w:rsid w:val="696C4EA3"/>
    <w:rsid w:val="696F17AC"/>
    <w:rsid w:val="69714FA5"/>
    <w:rsid w:val="69790883"/>
    <w:rsid w:val="697B0051"/>
    <w:rsid w:val="697C7EC1"/>
    <w:rsid w:val="698603DC"/>
    <w:rsid w:val="69894F6A"/>
    <w:rsid w:val="698B2497"/>
    <w:rsid w:val="698E1D27"/>
    <w:rsid w:val="69934531"/>
    <w:rsid w:val="699456BD"/>
    <w:rsid w:val="69987965"/>
    <w:rsid w:val="699A328A"/>
    <w:rsid w:val="699D4130"/>
    <w:rsid w:val="69A00331"/>
    <w:rsid w:val="69AD11FF"/>
    <w:rsid w:val="69B1626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6D97"/>
    <w:rsid w:val="69F07FAE"/>
    <w:rsid w:val="69F36887"/>
    <w:rsid w:val="69FA1B39"/>
    <w:rsid w:val="69FD0B82"/>
    <w:rsid w:val="6A063BCE"/>
    <w:rsid w:val="6A0C543B"/>
    <w:rsid w:val="6A0D5967"/>
    <w:rsid w:val="6A1202B5"/>
    <w:rsid w:val="6A1322C3"/>
    <w:rsid w:val="6A186649"/>
    <w:rsid w:val="6A2417B9"/>
    <w:rsid w:val="6A2B078F"/>
    <w:rsid w:val="6A351BBE"/>
    <w:rsid w:val="6A3811E8"/>
    <w:rsid w:val="6A3A3B0F"/>
    <w:rsid w:val="6A3F7D9A"/>
    <w:rsid w:val="6A412101"/>
    <w:rsid w:val="6A4E61B3"/>
    <w:rsid w:val="6A5341AF"/>
    <w:rsid w:val="6A615EE7"/>
    <w:rsid w:val="6A63387F"/>
    <w:rsid w:val="6A6379E6"/>
    <w:rsid w:val="6A641A29"/>
    <w:rsid w:val="6A6514AF"/>
    <w:rsid w:val="6A672AFE"/>
    <w:rsid w:val="6A791CA8"/>
    <w:rsid w:val="6A7C083A"/>
    <w:rsid w:val="6A8A50D1"/>
    <w:rsid w:val="6A8E369A"/>
    <w:rsid w:val="6A9343B3"/>
    <w:rsid w:val="6A973B65"/>
    <w:rsid w:val="6AA30955"/>
    <w:rsid w:val="6AA87672"/>
    <w:rsid w:val="6AA87A37"/>
    <w:rsid w:val="6AAB58DE"/>
    <w:rsid w:val="6AAD06D7"/>
    <w:rsid w:val="6ABD5AC3"/>
    <w:rsid w:val="6AC74C5A"/>
    <w:rsid w:val="6ACD16CA"/>
    <w:rsid w:val="6ACD70D8"/>
    <w:rsid w:val="6ACE65A7"/>
    <w:rsid w:val="6AD273F7"/>
    <w:rsid w:val="6AD41A83"/>
    <w:rsid w:val="6AD77B49"/>
    <w:rsid w:val="6AE27277"/>
    <w:rsid w:val="6AE34CA7"/>
    <w:rsid w:val="6AE5751C"/>
    <w:rsid w:val="6AE84659"/>
    <w:rsid w:val="6AED1147"/>
    <w:rsid w:val="6AF428B7"/>
    <w:rsid w:val="6AFB3C45"/>
    <w:rsid w:val="6B056872"/>
    <w:rsid w:val="6B067730"/>
    <w:rsid w:val="6B105217"/>
    <w:rsid w:val="6B125236"/>
    <w:rsid w:val="6B1D6B63"/>
    <w:rsid w:val="6B20309C"/>
    <w:rsid w:val="6B210A01"/>
    <w:rsid w:val="6B23725F"/>
    <w:rsid w:val="6B2A452A"/>
    <w:rsid w:val="6B2D5950"/>
    <w:rsid w:val="6B35059A"/>
    <w:rsid w:val="6B357B4C"/>
    <w:rsid w:val="6B371960"/>
    <w:rsid w:val="6B38141F"/>
    <w:rsid w:val="6B3E4E9A"/>
    <w:rsid w:val="6B4510F8"/>
    <w:rsid w:val="6B465CCC"/>
    <w:rsid w:val="6B473287"/>
    <w:rsid w:val="6B492FA0"/>
    <w:rsid w:val="6B4D2C64"/>
    <w:rsid w:val="6B4F5D72"/>
    <w:rsid w:val="6B532EFE"/>
    <w:rsid w:val="6B5673BA"/>
    <w:rsid w:val="6B581098"/>
    <w:rsid w:val="6B5FC172"/>
    <w:rsid w:val="6B666391"/>
    <w:rsid w:val="6B6721B9"/>
    <w:rsid w:val="6B681DAE"/>
    <w:rsid w:val="6B6B308B"/>
    <w:rsid w:val="6B6D0775"/>
    <w:rsid w:val="6B71426E"/>
    <w:rsid w:val="6B7900F7"/>
    <w:rsid w:val="6B7A4956"/>
    <w:rsid w:val="6B7C357C"/>
    <w:rsid w:val="6B7F0D94"/>
    <w:rsid w:val="6B7F1153"/>
    <w:rsid w:val="6B8206F2"/>
    <w:rsid w:val="6B865812"/>
    <w:rsid w:val="6B933BBB"/>
    <w:rsid w:val="6B954626"/>
    <w:rsid w:val="6B974D2E"/>
    <w:rsid w:val="6B9E2B7D"/>
    <w:rsid w:val="6BAB71D3"/>
    <w:rsid w:val="6BAC1189"/>
    <w:rsid w:val="6BAC43D7"/>
    <w:rsid w:val="6BAC4F3F"/>
    <w:rsid w:val="6BAF4A30"/>
    <w:rsid w:val="6BB1796D"/>
    <w:rsid w:val="6BB822CC"/>
    <w:rsid w:val="6BB822DC"/>
    <w:rsid w:val="6BC0415C"/>
    <w:rsid w:val="6BC70035"/>
    <w:rsid w:val="6BCF3C1A"/>
    <w:rsid w:val="6BD10A2F"/>
    <w:rsid w:val="6BD672D6"/>
    <w:rsid w:val="6BD8100E"/>
    <w:rsid w:val="6BE25F3B"/>
    <w:rsid w:val="6BEC7739"/>
    <w:rsid w:val="6BEE27E7"/>
    <w:rsid w:val="6BEF4971"/>
    <w:rsid w:val="6BF80129"/>
    <w:rsid w:val="6BFC0004"/>
    <w:rsid w:val="6C000248"/>
    <w:rsid w:val="6C031215"/>
    <w:rsid w:val="6C03318A"/>
    <w:rsid w:val="6C060AF4"/>
    <w:rsid w:val="6C094140"/>
    <w:rsid w:val="6C1B46BB"/>
    <w:rsid w:val="6C1C0317"/>
    <w:rsid w:val="6C1C7A64"/>
    <w:rsid w:val="6C1E695B"/>
    <w:rsid w:val="6C23218C"/>
    <w:rsid w:val="6C28098A"/>
    <w:rsid w:val="6C2B5936"/>
    <w:rsid w:val="6C2D77A0"/>
    <w:rsid w:val="6C2F2027"/>
    <w:rsid w:val="6C3167A1"/>
    <w:rsid w:val="6C333924"/>
    <w:rsid w:val="6C355BFC"/>
    <w:rsid w:val="6C3E7F33"/>
    <w:rsid w:val="6C41208A"/>
    <w:rsid w:val="6C450881"/>
    <w:rsid w:val="6C4572B8"/>
    <w:rsid w:val="6C563089"/>
    <w:rsid w:val="6C5775A1"/>
    <w:rsid w:val="6C586E75"/>
    <w:rsid w:val="6C636E09"/>
    <w:rsid w:val="6C6E066F"/>
    <w:rsid w:val="6C7452B0"/>
    <w:rsid w:val="6C7506A3"/>
    <w:rsid w:val="6C7577C2"/>
    <w:rsid w:val="6C7B5EC3"/>
    <w:rsid w:val="6C83293F"/>
    <w:rsid w:val="6C85596C"/>
    <w:rsid w:val="6C8B30CE"/>
    <w:rsid w:val="6C91557B"/>
    <w:rsid w:val="6C9226BF"/>
    <w:rsid w:val="6C982439"/>
    <w:rsid w:val="6C9C2625"/>
    <w:rsid w:val="6C9E4FB5"/>
    <w:rsid w:val="6CAD5A24"/>
    <w:rsid w:val="6CAF0075"/>
    <w:rsid w:val="6CAF2DAC"/>
    <w:rsid w:val="6CBB5ED0"/>
    <w:rsid w:val="6CBE4020"/>
    <w:rsid w:val="6CCB7CF7"/>
    <w:rsid w:val="6CD7423E"/>
    <w:rsid w:val="6CDC431E"/>
    <w:rsid w:val="6CE26CAA"/>
    <w:rsid w:val="6CE801F9"/>
    <w:rsid w:val="6CE8485E"/>
    <w:rsid w:val="6CF46B9E"/>
    <w:rsid w:val="6CF83396"/>
    <w:rsid w:val="6CFA2346"/>
    <w:rsid w:val="6D0019E7"/>
    <w:rsid w:val="6D047403"/>
    <w:rsid w:val="6D090F6A"/>
    <w:rsid w:val="6D0A63C2"/>
    <w:rsid w:val="6D0F39D8"/>
    <w:rsid w:val="6D121576"/>
    <w:rsid w:val="6D154D66"/>
    <w:rsid w:val="6D162810"/>
    <w:rsid w:val="6D1845AE"/>
    <w:rsid w:val="6D194506"/>
    <w:rsid w:val="6D1E3D6F"/>
    <w:rsid w:val="6D212275"/>
    <w:rsid w:val="6D2E426F"/>
    <w:rsid w:val="6D396CA7"/>
    <w:rsid w:val="6D417909"/>
    <w:rsid w:val="6D466E0C"/>
    <w:rsid w:val="6D476DF6"/>
    <w:rsid w:val="6D4C112F"/>
    <w:rsid w:val="6D4D6B34"/>
    <w:rsid w:val="6D526F61"/>
    <w:rsid w:val="6D544E73"/>
    <w:rsid w:val="6D5477C0"/>
    <w:rsid w:val="6D564056"/>
    <w:rsid w:val="6D5A7D6F"/>
    <w:rsid w:val="6D5B6C1D"/>
    <w:rsid w:val="6D604233"/>
    <w:rsid w:val="6D6130ED"/>
    <w:rsid w:val="6D7301C9"/>
    <w:rsid w:val="6D75204A"/>
    <w:rsid w:val="6D7D4DE5"/>
    <w:rsid w:val="6D8697AE"/>
    <w:rsid w:val="6D894F96"/>
    <w:rsid w:val="6D8F571C"/>
    <w:rsid w:val="6D9013BD"/>
    <w:rsid w:val="6D91154C"/>
    <w:rsid w:val="6D94212F"/>
    <w:rsid w:val="6D9E3A5E"/>
    <w:rsid w:val="6D9F07AE"/>
    <w:rsid w:val="6DA950DB"/>
    <w:rsid w:val="6DA97B06"/>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DF763A6"/>
    <w:rsid w:val="6E054DDB"/>
    <w:rsid w:val="6E07041C"/>
    <w:rsid w:val="6E0F1884"/>
    <w:rsid w:val="6E185FCD"/>
    <w:rsid w:val="6E1C5E51"/>
    <w:rsid w:val="6E263E98"/>
    <w:rsid w:val="6E376A98"/>
    <w:rsid w:val="6E3851B0"/>
    <w:rsid w:val="6E386F5E"/>
    <w:rsid w:val="6E3F4BAA"/>
    <w:rsid w:val="6E420972"/>
    <w:rsid w:val="6E485408"/>
    <w:rsid w:val="6E4C415B"/>
    <w:rsid w:val="6E5122CF"/>
    <w:rsid w:val="6E55366C"/>
    <w:rsid w:val="6E570751"/>
    <w:rsid w:val="6E5A500E"/>
    <w:rsid w:val="6E5C4E98"/>
    <w:rsid w:val="6E5E554C"/>
    <w:rsid w:val="6E5F7947"/>
    <w:rsid w:val="6E60658B"/>
    <w:rsid w:val="6E695896"/>
    <w:rsid w:val="6E69656F"/>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56801"/>
    <w:rsid w:val="6EBD6814"/>
    <w:rsid w:val="6EBD7464"/>
    <w:rsid w:val="6EBF142E"/>
    <w:rsid w:val="6EBF5A1C"/>
    <w:rsid w:val="6EC16F54"/>
    <w:rsid w:val="6EC27080"/>
    <w:rsid w:val="6EC32B7F"/>
    <w:rsid w:val="6EC45E24"/>
    <w:rsid w:val="6EC65B99"/>
    <w:rsid w:val="6EC70CB8"/>
    <w:rsid w:val="6ECB4229"/>
    <w:rsid w:val="6ECD3B4B"/>
    <w:rsid w:val="6ED17AA0"/>
    <w:rsid w:val="6ED36C87"/>
    <w:rsid w:val="6ED92418"/>
    <w:rsid w:val="6EDE2395"/>
    <w:rsid w:val="6EE53020"/>
    <w:rsid w:val="6EEC49B2"/>
    <w:rsid w:val="6EF52B6E"/>
    <w:rsid w:val="6EF535E4"/>
    <w:rsid w:val="6EF63CC7"/>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77232"/>
    <w:rsid w:val="6F58297A"/>
    <w:rsid w:val="6F5D1962"/>
    <w:rsid w:val="6F5E1880"/>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B3841"/>
    <w:rsid w:val="6FAF4A0F"/>
    <w:rsid w:val="6FBA3679"/>
    <w:rsid w:val="6FC15642"/>
    <w:rsid w:val="6FC33788"/>
    <w:rsid w:val="6FC87C51"/>
    <w:rsid w:val="6FD21659"/>
    <w:rsid w:val="6FD34E20"/>
    <w:rsid w:val="6FE969BF"/>
    <w:rsid w:val="6FEF55D0"/>
    <w:rsid w:val="6FF75CA4"/>
    <w:rsid w:val="6FF86614"/>
    <w:rsid w:val="6FFF2140"/>
    <w:rsid w:val="70013535"/>
    <w:rsid w:val="700D529C"/>
    <w:rsid w:val="701D465E"/>
    <w:rsid w:val="702748A7"/>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00F28"/>
    <w:rsid w:val="70810331"/>
    <w:rsid w:val="708B6483"/>
    <w:rsid w:val="708E0945"/>
    <w:rsid w:val="70910BA8"/>
    <w:rsid w:val="70A1195B"/>
    <w:rsid w:val="70B02AFF"/>
    <w:rsid w:val="70B2124A"/>
    <w:rsid w:val="70B2620E"/>
    <w:rsid w:val="70B34FC2"/>
    <w:rsid w:val="70BB2883"/>
    <w:rsid w:val="70C25FEB"/>
    <w:rsid w:val="70D25AA9"/>
    <w:rsid w:val="70DA4D9D"/>
    <w:rsid w:val="70E64EC1"/>
    <w:rsid w:val="70E73F46"/>
    <w:rsid w:val="70FA297E"/>
    <w:rsid w:val="70FE03BA"/>
    <w:rsid w:val="70FF1C74"/>
    <w:rsid w:val="71045FFA"/>
    <w:rsid w:val="710F66E1"/>
    <w:rsid w:val="71143B8A"/>
    <w:rsid w:val="711448F7"/>
    <w:rsid w:val="711624A8"/>
    <w:rsid w:val="71184E25"/>
    <w:rsid w:val="71230CDA"/>
    <w:rsid w:val="712612F0"/>
    <w:rsid w:val="7128357B"/>
    <w:rsid w:val="712E2478"/>
    <w:rsid w:val="712E5B76"/>
    <w:rsid w:val="71331318"/>
    <w:rsid w:val="71377B98"/>
    <w:rsid w:val="713A2FED"/>
    <w:rsid w:val="7141589B"/>
    <w:rsid w:val="714B3B81"/>
    <w:rsid w:val="714D5BA5"/>
    <w:rsid w:val="71502811"/>
    <w:rsid w:val="715045BF"/>
    <w:rsid w:val="71566EC1"/>
    <w:rsid w:val="715E59A7"/>
    <w:rsid w:val="715F2A54"/>
    <w:rsid w:val="715F3600"/>
    <w:rsid w:val="71600CA6"/>
    <w:rsid w:val="71633699"/>
    <w:rsid w:val="716C2D64"/>
    <w:rsid w:val="71721DB0"/>
    <w:rsid w:val="71722787"/>
    <w:rsid w:val="71776F63"/>
    <w:rsid w:val="717C3606"/>
    <w:rsid w:val="717D2CFB"/>
    <w:rsid w:val="718740B7"/>
    <w:rsid w:val="718C1AA9"/>
    <w:rsid w:val="71902ECE"/>
    <w:rsid w:val="71916474"/>
    <w:rsid w:val="7193322E"/>
    <w:rsid w:val="71975A88"/>
    <w:rsid w:val="719A0DD7"/>
    <w:rsid w:val="719A47D5"/>
    <w:rsid w:val="71A130D0"/>
    <w:rsid w:val="71A21432"/>
    <w:rsid w:val="71A243D5"/>
    <w:rsid w:val="71A33B87"/>
    <w:rsid w:val="71A86FFA"/>
    <w:rsid w:val="71A87F57"/>
    <w:rsid w:val="71AB3346"/>
    <w:rsid w:val="71B87BFC"/>
    <w:rsid w:val="71BF2E91"/>
    <w:rsid w:val="71C521DB"/>
    <w:rsid w:val="71CA0007"/>
    <w:rsid w:val="71CA1EC1"/>
    <w:rsid w:val="71D51046"/>
    <w:rsid w:val="71E650F8"/>
    <w:rsid w:val="71E86FC2"/>
    <w:rsid w:val="71EA4A14"/>
    <w:rsid w:val="71EC7010"/>
    <w:rsid w:val="71EF75C5"/>
    <w:rsid w:val="71F34F09"/>
    <w:rsid w:val="71FC0C50"/>
    <w:rsid w:val="720226F5"/>
    <w:rsid w:val="7202789C"/>
    <w:rsid w:val="72055131"/>
    <w:rsid w:val="72072549"/>
    <w:rsid w:val="72181E17"/>
    <w:rsid w:val="72394DEB"/>
    <w:rsid w:val="723A7C99"/>
    <w:rsid w:val="72442D4D"/>
    <w:rsid w:val="724858A3"/>
    <w:rsid w:val="7256691C"/>
    <w:rsid w:val="725D2801"/>
    <w:rsid w:val="72636F80"/>
    <w:rsid w:val="726805DE"/>
    <w:rsid w:val="727E4734"/>
    <w:rsid w:val="72885852"/>
    <w:rsid w:val="72907968"/>
    <w:rsid w:val="7291124D"/>
    <w:rsid w:val="729C3F60"/>
    <w:rsid w:val="72A52A32"/>
    <w:rsid w:val="72A703A1"/>
    <w:rsid w:val="72AD4ED3"/>
    <w:rsid w:val="72BB1F0C"/>
    <w:rsid w:val="72BC28CE"/>
    <w:rsid w:val="72C43510"/>
    <w:rsid w:val="72C45265"/>
    <w:rsid w:val="72D103AA"/>
    <w:rsid w:val="72D73775"/>
    <w:rsid w:val="72DD00D4"/>
    <w:rsid w:val="72E23F94"/>
    <w:rsid w:val="72E32665"/>
    <w:rsid w:val="72E422B0"/>
    <w:rsid w:val="72E727FA"/>
    <w:rsid w:val="72F50648"/>
    <w:rsid w:val="72F83CCF"/>
    <w:rsid w:val="72F9168D"/>
    <w:rsid w:val="730A4900"/>
    <w:rsid w:val="73137151"/>
    <w:rsid w:val="73147A31"/>
    <w:rsid w:val="73147D6A"/>
    <w:rsid w:val="731964AC"/>
    <w:rsid w:val="731F06ED"/>
    <w:rsid w:val="73244C47"/>
    <w:rsid w:val="732540EB"/>
    <w:rsid w:val="732579C4"/>
    <w:rsid w:val="732B35B2"/>
    <w:rsid w:val="73314C47"/>
    <w:rsid w:val="733221CE"/>
    <w:rsid w:val="733572B0"/>
    <w:rsid w:val="73393162"/>
    <w:rsid w:val="733C5A7A"/>
    <w:rsid w:val="73421BB1"/>
    <w:rsid w:val="73436002"/>
    <w:rsid w:val="73441E16"/>
    <w:rsid w:val="7348083F"/>
    <w:rsid w:val="734B0AAB"/>
    <w:rsid w:val="73511323"/>
    <w:rsid w:val="735311C9"/>
    <w:rsid w:val="73591E51"/>
    <w:rsid w:val="735A7EFD"/>
    <w:rsid w:val="735C73AE"/>
    <w:rsid w:val="73640708"/>
    <w:rsid w:val="73651751"/>
    <w:rsid w:val="73681BF5"/>
    <w:rsid w:val="736C6E76"/>
    <w:rsid w:val="736D7A5B"/>
    <w:rsid w:val="7375143E"/>
    <w:rsid w:val="737E37EE"/>
    <w:rsid w:val="738327A1"/>
    <w:rsid w:val="7383602F"/>
    <w:rsid w:val="7387660A"/>
    <w:rsid w:val="738D38A8"/>
    <w:rsid w:val="73944970"/>
    <w:rsid w:val="73972979"/>
    <w:rsid w:val="73993FFB"/>
    <w:rsid w:val="739C05EC"/>
    <w:rsid w:val="739E4F47"/>
    <w:rsid w:val="739F4CEB"/>
    <w:rsid w:val="73A26074"/>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51D08"/>
    <w:rsid w:val="74061605"/>
    <w:rsid w:val="74083905"/>
    <w:rsid w:val="740B1A0D"/>
    <w:rsid w:val="740B5D45"/>
    <w:rsid w:val="740C0C71"/>
    <w:rsid w:val="74107850"/>
    <w:rsid w:val="74166EE1"/>
    <w:rsid w:val="7417064D"/>
    <w:rsid w:val="7422092E"/>
    <w:rsid w:val="74330E81"/>
    <w:rsid w:val="74336611"/>
    <w:rsid w:val="743D22C4"/>
    <w:rsid w:val="743E4BA3"/>
    <w:rsid w:val="743F386D"/>
    <w:rsid w:val="74460566"/>
    <w:rsid w:val="744F5002"/>
    <w:rsid w:val="74515897"/>
    <w:rsid w:val="74525446"/>
    <w:rsid w:val="74591A20"/>
    <w:rsid w:val="74592B70"/>
    <w:rsid w:val="745A402C"/>
    <w:rsid w:val="745D351C"/>
    <w:rsid w:val="746B49A3"/>
    <w:rsid w:val="746D2D49"/>
    <w:rsid w:val="747351CD"/>
    <w:rsid w:val="747533B4"/>
    <w:rsid w:val="7476258E"/>
    <w:rsid w:val="74806AF8"/>
    <w:rsid w:val="7483414B"/>
    <w:rsid w:val="749327C3"/>
    <w:rsid w:val="74944F3F"/>
    <w:rsid w:val="7495089F"/>
    <w:rsid w:val="74962C31"/>
    <w:rsid w:val="749709EA"/>
    <w:rsid w:val="74A93097"/>
    <w:rsid w:val="74A968D2"/>
    <w:rsid w:val="74B026BC"/>
    <w:rsid w:val="74B9247B"/>
    <w:rsid w:val="74B93ECA"/>
    <w:rsid w:val="74BA403C"/>
    <w:rsid w:val="74BB6E1B"/>
    <w:rsid w:val="74BD2567"/>
    <w:rsid w:val="74C27F7F"/>
    <w:rsid w:val="74C4779E"/>
    <w:rsid w:val="74C60570"/>
    <w:rsid w:val="74CD020E"/>
    <w:rsid w:val="74D75775"/>
    <w:rsid w:val="74DB0643"/>
    <w:rsid w:val="74DD43BC"/>
    <w:rsid w:val="74E06734"/>
    <w:rsid w:val="74E37836"/>
    <w:rsid w:val="74E756E2"/>
    <w:rsid w:val="74EE3F2F"/>
    <w:rsid w:val="74F8592D"/>
    <w:rsid w:val="74F920A2"/>
    <w:rsid w:val="74FA74AE"/>
    <w:rsid w:val="74FF0E11"/>
    <w:rsid w:val="750D4DCA"/>
    <w:rsid w:val="750D6346"/>
    <w:rsid w:val="750D66AE"/>
    <w:rsid w:val="7510728E"/>
    <w:rsid w:val="75122A96"/>
    <w:rsid w:val="751B4EE4"/>
    <w:rsid w:val="75287D2D"/>
    <w:rsid w:val="752D2252"/>
    <w:rsid w:val="753F16EA"/>
    <w:rsid w:val="754C32EF"/>
    <w:rsid w:val="75501031"/>
    <w:rsid w:val="755A5D34"/>
    <w:rsid w:val="755E6B2C"/>
    <w:rsid w:val="75612E8C"/>
    <w:rsid w:val="756B645F"/>
    <w:rsid w:val="75727F8C"/>
    <w:rsid w:val="757759BB"/>
    <w:rsid w:val="757840E4"/>
    <w:rsid w:val="75790588"/>
    <w:rsid w:val="757D431E"/>
    <w:rsid w:val="75825F86"/>
    <w:rsid w:val="758C4102"/>
    <w:rsid w:val="75957DB3"/>
    <w:rsid w:val="759C7DD3"/>
    <w:rsid w:val="759D1CBC"/>
    <w:rsid w:val="75A847D4"/>
    <w:rsid w:val="75AF5D58"/>
    <w:rsid w:val="75B2299C"/>
    <w:rsid w:val="75B37393"/>
    <w:rsid w:val="75B85A11"/>
    <w:rsid w:val="75BF7059"/>
    <w:rsid w:val="75C06197"/>
    <w:rsid w:val="75C63889"/>
    <w:rsid w:val="75CA76AB"/>
    <w:rsid w:val="75D0670B"/>
    <w:rsid w:val="75D86337"/>
    <w:rsid w:val="75DE7C24"/>
    <w:rsid w:val="75E43E49"/>
    <w:rsid w:val="75E8126A"/>
    <w:rsid w:val="75EB6E1B"/>
    <w:rsid w:val="75EF1396"/>
    <w:rsid w:val="75F32D07"/>
    <w:rsid w:val="75F94007"/>
    <w:rsid w:val="75FD61D2"/>
    <w:rsid w:val="760148B4"/>
    <w:rsid w:val="76064A1F"/>
    <w:rsid w:val="76146B01"/>
    <w:rsid w:val="7615066E"/>
    <w:rsid w:val="761871A9"/>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6A2F89"/>
    <w:rsid w:val="76705649"/>
    <w:rsid w:val="76711323"/>
    <w:rsid w:val="76813313"/>
    <w:rsid w:val="768229A0"/>
    <w:rsid w:val="76836277"/>
    <w:rsid w:val="76841B13"/>
    <w:rsid w:val="768C5F10"/>
    <w:rsid w:val="769777E5"/>
    <w:rsid w:val="7698328A"/>
    <w:rsid w:val="769E5F6F"/>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71BC4"/>
    <w:rsid w:val="7708097D"/>
    <w:rsid w:val="770A67AF"/>
    <w:rsid w:val="770E4D00"/>
    <w:rsid w:val="77154CF8"/>
    <w:rsid w:val="77203387"/>
    <w:rsid w:val="772C4170"/>
    <w:rsid w:val="772F2C3B"/>
    <w:rsid w:val="773306AE"/>
    <w:rsid w:val="773D39B5"/>
    <w:rsid w:val="774866E8"/>
    <w:rsid w:val="774B3887"/>
    <w:rsid w:val="77502310"/>
    <w:rsid w:val="775B2785"/>
    <w:rsid w:val="775C1F10"/>
    <w:rsid w:val="77602FC0"/>
    <w:rsid w:val="77642B72"/>
    <w:rsid w:val="77647A3A"/>
    <w:rsid w:val="776D143B"/>
    <w:rsid w:val="776D7169"/>
    <w:rsid w:val="777B3509"/>
    <w:rsid w:val="777C7B40"/>
    <w:rsid w:val="777D2EF5"/>
    <w:rsid w:val="777E0767"/>
    <w:rsid w:val="77854CA6"/>
    <w:rsid w:val="778C5026"/>
    <w:rsid w:val="778D63EE"/>
    <w:rsid w:val="779276DF"/>
    <w:rsid w:val="7797127E"/>
    <w:rsid w:val="779A2386"/>
    <w:rsid w:val="779F0D4A"/>
    <w:rsid w:val="77A44A88"/>
    <w:rsid w:val="77B06C09"/>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43EF6"/>
    <w:rsid w:val="77F739E6"/>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623556"/>
    <w:rsid w:val="78704614"/>
    <w:rsid w:val="787235E2"/>
    <w:rsid w:val="787258A5"/>
    <w:rsid w:val="787413D2"/>
    <w:rsid w:val="78762AE6"/>
    <w:rsid w:val="78767391"/>
    <w:rsid w:val="7877507D"/>
    <w:rsid w:val="78793251"/>
    <w:rsid w:val="787A10D0"/>
    <w:rsid w:val="787C3218"/>
    <w:rsid w:val="78835694"/>
    <w:rsid w:val="788A485A"/>
    <w:rsid w:val="788C5745"/>
    <w:rsid w:val="788F055D"/>
    <w:rsid w:val="78974216"/>
    <w:rsid w:val="789901FE"/>
    <w:rsid w:val="789C3F00"/>
    <w:rsid w:val="78A23952"/>
    <w:rsid w:val="78A43B6E"/>
    <w:rsid w:val="78B6564F"/>
    <w:rsid w:val="78B673FD"/>
    <w:rsid w:val="78BA0845"/>
    <w:rsid w:val="78BB077D"/>
    <w:rsid w:val="78BD22F1"/>
    <w:rsid w:val="78BF59CE"/>
    <w:rsid w:val="78C45D02"/>
    <w:rsid w:val="78D22CAC"/>
    <w:rsid w:val="78DE0702"/>
    <w:rsid w:val="78E33283"/>
    <w:rsid w:val="78EE552B"/>
    <w:rsid w:val="78F002A8"/>
    <w:rsid w:val="78FC7964"/>
    <w:rsid w:val="7905396D"/>
    <w:rsid w:val="790A599B"/>
    <w:rsid w:val="79100D13"/>
    <w:rsid w:val="791C4D2D"/>
    <w:rsid w:val="7923282E"/>
    <w:rsid w:val="79276B05"/>
    <w:rsid w:val="79286182"/>
    <w:rsid w:val="792A3948"/>
    <w:rsid w:val="792A7832"/>
    <w:rsid w:val="79330A4E"/>
    <w:rsid w:val="793752AC"/>
    <w:rsid w:val="79386064"/>
    <w:rsid w:val="793E0C60"/>
    <w:rsid w:val="79456A3E"/>
    <w:rsid w:val="79456B36"/>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9C6C5E"/>
    <w:rsid w:val="79A057D2"/>
    <w:rsid w:val="79B742FA"/>
    <w:rsid w:val="79B84AC6"/>
    <w:rsid w:val="79BA0DDA"/>
    <w:rsid w:val="79BD47BC"/>
    <w:rsid w:val="79C042EA"/>
    <w:rsid w:val="79C12663"/>
    <w:rsid w:val="79C2574F"/>
    <w:rsid w:val="79CA5A16"/>
    <w:rsid w:val="79D62E79"/>
    <w:rsid w:val="79DA31B1"/>
    <w:rsid w:val="79DC2089"/>
    <w:rsid w:val="79DC4482"/>
    <w:rsid w:val="79E313CA"/>
    <w:rsid w:val="79E955E3"/>
    <w:rsid w:val="79F72F74"/>
    <w:rsid w:val="79F75648"/>
    <w:rsid w:val="7A035C90"/>
    <w:rsid w:val="7A0A6F13"/>
    <w:rsid w:val="7A122D59"/>
    <w:rsid w:val="7A143182"/>
    <w:rsid w:val="7A1512F4"/>
    <w:rsid w:val="7A1950DB"/>
    <w:rsid w:val="7A1A36E3"/>
    <w:rsid w:val="7A1E34AC"/>
    <w:rsid w:val="7A21704F"/>
    <w:rsid w:val="7A241A53"/>
    <w:rsid w:val="7A2659CF"/>
    <w:rsid w:val="7A2A27A6"/>
    <w:rsid w:val="7A2C3979"/>
    <w:rsid w:val="7A37456E"/>
    <w:rsid w:val="7A390514"/>
    <w:rsid w:val="7A465E66"/>
    <w:rsid w:val="7A4A42A1"/>
    <w:rsid w:val="7A4D4F83"/>
    <w:rsid w:val="7A5C585F"/>
    <w:rsid w:val="7A5C73F4"/>
    <w:rsid w:val="7A672BD8"/>
    <w:rsid w:val="7A68155D"/>
    <w:rsid w:val="7A6B1788"/>
    <w:rsid w:val="7A7010D8"/>
    <w:rsid w:val="7A7A7EDE"/>
    <w:rsid w:val="7A7E7141"/>
    <w:rsid w:val="7A7F42F7"/>
    <w:rsid w:val="7A84302D"/>
    <w:rsid w:val="7A856AE6"/>
    <w:rsid w:val="7A86021F"/>
    <w:rsid w:val="7A875E1C"/>
    <w:rsid w:val="7A883EB7"/>
    <w:rsid w:val="7A8D1FD2"/>
    <w:rsid w:val="7A8F4124"/>
    <w:rsid w:val="7A995229"/>
    <w:rsid w:val="7AA22941"/>
    <w:rsid w:val="7AA55E20"/>
    <w:rsid w:val="7AAD0AD9"/>
    <w:rsid w:val="7AAD77DB"/>
    <w:rsid w:val="7AB4605F"/>
    <w:rsid w:val="7AB50C2A"/>
    <w:rsid w:val="7AB70B52"/>
    <w:rsid w:val="7AB85E6F"/>
    <w:rsid w:val="7ABB0CFB"/>
    <w:rsid w:val="7AC10BF1"/>
    <w:rsid w:val="7AC35BF4"/>
    <w:rsid w:val="7AC439F8"/>
    <w:rsid w:val="7AC4682F"/>
    <w:rsid w:val="7AC53893"/>
    <w:rsid w:val="7AC878BC"/>
    <w:rsid w:val="7ACB7653"/>
    <w:rsid w:val="7ACC098C"/>
    <w:rsid w:val="7ACC3D02"/>
    <w:rsid w:val="7ACD3B1B"/>
    <w:rsid w:val="7AD402F3"/>
    <w:rsid w:val="7AD920E6"/>
    <w:rsid w:val="7AE34943"/>
    <w:rsid w:val="7AE95B46"/>
    <w:rsid w:val="7AEA62DF"/>
    <w:rsid w:val="7AF31E92"/>
    <w:rsid w:val="7AFE508C"/>
    <w:rsid w:val="7B035EA0"/>
    <w:rsid w:val="7B05641A"/>
    <w:rsid w:val="7B062A7D"/>
    <w:rsid w:val="7B092F7C"/>
    <w:rsid w:val="7B0A5FC8"/>
    <w:rsid w:val="7B105975"/>
    <w:rsid w:val="7B13647D"/>
    <w:rsid w:val="7B171866"/>
    <w:rsid w:val="7B187EFC"/>
    <w:rsid w:val="7B2252E6"/>
    <w:rsid w:val="7B257605"/>
    <w:rsid w:val="7B27008E"/>
    <w:rsid w:val="7B33611A"/>
    <w:rsid w:val="7B3C4232"/>
    <w:rsid w:val="7B424F78"/>
    <w:rsid w:val="7B4303C9"/>
    <w:rsid w:val="7B442DBA"/>
    <w:rsid w:val="7B472B20"/>
    <w:rsid w:val="7B4C7E96"/>
    <w:rsid w:val="7B4E50CF"/>
    <w:rsid w:val="7B510D35"/>
    <w:rsid w:val="7B510DB3"/>
    <w:rsid w:val="7B534D03"/>
    <w:rsid w:val="7B5C1AD7"/>
    <w:rsid w:val="7B5C1B3B"/>
    <w:rsid w:val="7B5D6C33"/>
    <w:rsid w:val="7B5F7760"/>
    <w:rsid w:val="7B767318"/>
    <w:rsid w:val="7B7A2D3C"/>
    <w:rsid w:val="7B7B66DC"/>
    <w:rsid w:val="7B805244"/>
    <w:rsid w:val="7B8419F8"/>
    <w:rsid w:val="7B8440BF"/>
    <w:rsid w:val="7B8D0F98"/>
    <w:rsid w:val="7B9302C0"/>
    <w:rsid w:val="7B9427B7"/>
    <w:rsid w:val="7B946BCF"/>
    <w:rsid w:val="7B956E63"/>
    <w:rsid w:val="7B9F2773"/>
    <w:rsid w:val="7BA372CF"/>
    <w:rsid w:val="7BA60B4B"/>
    <w:rsid w:val="7BAB29F0"/>
    <w:rsid w:val="7BB10411"/>
    <w:rsid w:val="7BB400CE"/>
    <w:rsid w:val="7BB61D01"/>
    <w:rsid w:val="7BB66BC0"/>
    <w:rsid w:val="7BBE5349"/>
    <w:rsid w:val="7BCB4D4F"/>
    <w:rsid w:val="7BCE78E1"/>
    <w:rsid w:val="7BD63036"/>
    <w:rsid w:val="7BD90D8A"/>
    <w:rsid w:val="7BDF54FA"/>
    <w:rsid w:val="7BE90669"/>
    <w:rsid w:val="7BF72207"/>
    <w:rsid w:val="7C021D63"/>
    <w:rsid w:val="7C0466D2"/>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4B131F"/>
    <w:rsid w:val="7C507604"/>
    <w:rsid w:val="7C63789C"/>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C0084B"/>
    <w:rsid w:val="7CC53420"/>
    <w:rsid w:val="7CD73E6F"/>
    <w:rsid w:val="7CD8653A"/>
    <w:rsid w:val="7CDF415F"/>
    <w:rsid w:val="7CEA3B1A"/>
    <w:rsid w:val="7CF053CA"/>
    <w:rsid w:val="7CF341EB"/>
    <w:rsid w:val="7CF43F9E"/>
    <w:rsid w:val="7CFA4D1B"/>
    <w:rsid w:val="7CFF74FD"/>
    <w:rsid w:val="7D001F55"/>
    <w:rsid w:val="7D013991"/>
    <w:rsid w:val="7D0658B4"/>
    <w:rsid w:val="7D072B09"/>
    <w:rsid w:val="7D080889"/>
    <w:rsid w:val="7D0E56D6"/>
    <w:rsid w:val="7D133473"/>
    <w:rsid w:val="7D192D91"/>
    <w:rsid w:val="7D216A97"/>
    <w:rsid w:val="7D2403F6"/>
    <w:rsid w:val="7D295F33"/>
    <w:rsid w:val="7D2A03BA"/>
    <w:rsid w:val="7D2D3F3E"/>
    <w:rsid w:val="7D336C15"/>
    <w:rsid w:val="7D3A0CD4"/>
    <w:rsid w:val="7D407273"/>
    <w:rsid w:val="7D5A1809"/>
    <w:rsid w:val="7D640779"/>
    <w:rsid w:val="7D641B1E"/>
    <w:rsid w:val="7D6513F2"/>
    <w:rsid w:val="7D6A2914"/>
    <w:rsid w:val="7D795342"/>
    <w:rsid w:val="7D87623B"/>
    <w:rsid w:val="7D925637"/>
    <w:rsid w:val="7D9C3A9E"/>
    <w:rsid w:val="7DAA3AC1"/>
    <w:rsid w:val="7DAB2F22"/>
    <w:rsid w:val="7DAC4660"/>
    <w:rsid w:val="7DB01837"/>
    <w:rsid w:val="7DB96D90"/>
    <w:rsid w:val="7DC317D0"/>
    <w:rsid w:val="7DC557A7"/>
    <w:rsid w:val="7DC948FC"/>
    <w:rsid w:val="7DCB273D"/>
    <w:rsid w:val="7DCD2367"/>
    <w:rsid w:val="7DCF22DF"/>
    <w:rsid w:val="7DCF35C4"/>
    <w:rsid w:val="7DD20D98"/>
    <w:rsid w:val="7DD42076"/>
    <w:rsid w:val="7DD45665"/>
    <w:rsid w:val="7DD7B5A8"/>
    <w:rsid w:val="7DD81BC4"/>
    <w:rsid w:val="7DDD085F"/>
    <w:rsid w:val="7DE013C3"/>
    <w:rsid w:val="7DE35497"/>
    <w:rsid w:val="7DE63734"/>
    <w:rsid w:val="7DFA6F07"/>
    <w:rsid w:val="7DFC62F4"/>
    <w:rsid w:val="7DFD29E7"/>
    <w:rsid w:val="7DFD3DE7"/>
    <w:rsid w:val="7E003003"/>
    <w:rsid w:val="7E0340E3"/>
    <w:rsid w:val="7E0C72A7"/>
    <w:rsid w:val="7E0E1504"/>
    <w:rsid w:val="7E1068AD"/>
    <w:rsid w:val="7E1A3354"/>
    <w:rsid w:val="7E1D1412"/>
    <w:rsid w:val="7E262D1A"/>
    <w:rsid w:val="7E3D5D54"/>
    <w:rsid w:val="7E445120"/>
    <w:rsid w:val="7E454A83"/>
    <w:rsid w:val="7E4876AF"/>
    <w:rsid w:val="7E4F5A11"/>
    <w:rsid w:val="7E533DF9"/>
    <w:rsid w:val="7E56175B"/>
    <w:rsid w:val="7E581989"/>
    <w:rsid w:val="7E590F57"/>
    <w:rsid w:val="7E594A3B"/>
    <w:rsid w:val="7E656261"/>
    <w:rsid w:val="7E6873EC"/>
    <w:rsid w:val="7E69428C"/>
    <w:rsid w:val="7E696CC0"/>
    <w:rsid w:val="7E6E5139"/>
    <w:rsid w:val="7E6E7932"/>
    <w:rsid w:val="7E705088"/>
    <w:rsid w:val="7E761B3B"/>
    <w:rsid w:val="7E7E0CFC"/>
    <w:rsid w:val="7E81026B"/>
    <w:rsid w:val="7E935007"/>
    <w:rsid w:val="7E9425CD"/>
    <w:rsid w:val="7E957AB5"/>
    <w:rsid w:val="7E9957F7"/>
    <w:rsid w:val="7E9D6604"/>
    <w:rsid w:val="7EA37390"/>
    <w:rsid w:val="7EA93441"/>
    <w:rsid w:val="7EB51F05"/>
    <w:rsid w:val="7EC14D4E"/>
    <w:rsid w:val="7EC1742C"/>
    <w:rsid w:val="7EC446FA"/>
    <w:rsid w:val="7EC4681B"/>
    <w:rsid w:val="7ED4682F"/>
    <w:rsid w:val="7ED73B7E"/>
    <w:rsid w:val="7EDA196C"/>
    <w:rsid w:val="7EF123CA"/>
    <w:rsid w:val="7EF415E7"/>
    <w:rsid w:val="7EF50B7A"/>
    <w:rsid w:val="7EF50D3F"/>
    <w:rsid w:val="7F020DD4"/>
    <w:rsid w:val="7F057A2A"/>
    <w:rsid w:val="7F070033"/>
    <w:rsid w:val="7F072F4B"/>
    <w:rsid w:val="7F084ACC"/>
    <w:rsid w:val="7F0D0BD2"/>
    <w:rsid w:val="7F10114A"/>
    <w:rsid w:val="7F1848C8"/>
    <w:rsid w:val="7F1C0D12"/>
    <w:rsid w:val="7F1C4EB2"/>
    <w:rsid w:val="7F26022B"/>
    <w:rsid w:val="7F297A67"/>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264D"/>
    <w:rsid w:val="7F6D71C0"/>
    <w:rsid w:val="7F6F70FC"/>
    <w:rsid w:val="7F720800"/>
    <w:rsid w:val="7F754370"/>
    <w:rsid w:val="7F785A7A"/>
    <w:rsid w:val="7F786BB8"/>
    <w:rsid w:val="7F7B22F2"/>
    <w:rsid w:val="7F7FE742"/>
    <w:rsid w:val="7F81726E"/>
    <w:rsid w:val="7F871946"/>
    <w:rsid w:val="7F8C333B"/>
    <w:rsid w:val="7F8D215B"/>
    <w:rsid w:val="7F9363B3"/>
    <w:rsid w:val="7F957325"/>
    <w:rsid w:val="7F997B6B"/>
    <w:rsid w:val="7FA405F3"/>
    <w:rsid w:val="7FA501CC"/>
    <w:rsid w:val="7FA6276F"/>
    <w:rsid w:val="7FA65357"/>
    <w:rsid w:val="7FA80184"/>
    <w:rsid w:val="7FA97CBC"/>
    <w:rsid w:val="7FAA0174"/>
    <w:rsid w:val="7FAA57E2"/>
    <w:rsid w:val="7FAE382A"/>
    <w:rsid w:val="7FB90D50"/>
    <w:rsid w:val="7FBC500B"/>
    <w:rsid w:val="7FC578DC"/>
    <w:rsid w:val="7FC66319"/>
    <w:rsid w:val="7FCB1D9E"/>
    <w:rsid w:val="7FCC5153"/>
    <w:rsid w:val="7FD0468B"/>
    <w:rsid w:val="7FD339DD"/>
    <w:rsid w:val="7FD9337D"/>
    <w:rsid w:val="7FDA3561"/>
    <w:rsid w:val="7FEF6824"/>
    <w:rsid w:val="7FF91DD5"/>
    <w:rsid w:val="7FF9388A"/>
    <w:rsid w:val="7FFB57F7"/>
    <w:rsid w:val="7FFE5211"/>
    <w:rsid w:val="7FFFEA64"/>
    <w:rsid w:val="96DFFADF"/>
    <w:rsid w:val="AF8F9D0E"/>
    <w:rsid w:val="BBB620FB"/>
    <w:rsid w:val="BCE78147"/>
    <w:rsid w:val="C2D7C197"/>
    <w:rsid w:val="CD798DE5"/>
    <w:rsid w:val="CDEB5747"/>
    <w:rsid w:val="DF6D0F46"/>
    <w:rsid w:val="E6B7A934"/>
    <w:rsid w:val="E6F7B1B7"/>
    <w:rsid w:val="E7F4DB5D"/>
    <w:rsid w:val="EC85954F"/>
    <w:rsid w:val="EF79580D"/>
    <w:rsid w:val="FBF349FD"/>
    <w:rsid w:val="FDB7252F"/>
    <w:rsid w:val="FDFD5301"/>
    <w:rsid w:val="FFEFA251"/>
    <w:rsid w:val="FFFA29F8"/>
    <w:rsid w:val="FFFFD5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104"/>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08"/>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spacing w:before="280" w:after="290" w:line="372" w:lineRule="auto"/>
      <w:outlineLvl w:val="3"/>
    </w:p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index 6"/>
    <w:basedOn w:val="1"/>
    <w:next w:val="1"/>
    <w:unhideWhenUsed/>
    <w:qFormat/>
    <w:uiPriority w:val="99"/>
    <w:pPr>
      <w:ind w:left="1000" w:leftChars="100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85"/>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next w:val="1"/>
    <w:link w:val="87"/>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3"/>
    <w:autoRedefine/>
    <w:qFormat/>
    <w:uiPriority w:val="0"/>
  </w:style>
  <w:style w:type="paragraph" w:styleId="35">
    <w:name w:val="Body Text Indent 2"/>
    <w:basedOn w:val="1"/>
    <w:link w:val="82"/>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20"/>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List"/>
    <w:basedOn w:val="1"/>
    <w:autoRedefine/>
    <w:semiHidden/>
    <w:qFormat/>
    <w:uiPriority w:val="0"/>
    <w:pPr>
      <w:ind w:left="200" w:hanging="200" w:hangingChars="200"/>
    </w:pPr>
  </w:style>
  <w:style w:type="paragraph" w:styleId="43">
    <w:name w:val="footnote text"/>
    <w:basedOn w:val="1"/>
    <w:link w:val="93"/>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54">
    <w:name w:val="HTML Preformatted"/>
    <w:basedOn w:val="1"/>
    <w:autoRedefine/>
    <w:qFormat/>
    <w:uiPriority w:val="0"/>
    <w:rPr>
      <w:rFonts w:ascii="Courier New" w:hAnsi="Courier New"/>
      <w:sz w:val="20"/>
    </w:rPr>
  </w:style>
  <w:style w:type="paragraph" w:styleId="5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autoRedefine/>
    <w:qFormat/>
    <w:uiPriority w:val="0"/>
    <w:pPr>
      <w:adjustRightInd w:val="0"/>
      <w:snapToGrid w:val="0"/>
      <w:spacing w:after="120" w:line="360" w:lineRule="auto"/>
      <w:ind w:left="1260" w:leftChars="600"/>
    </w:pPr>
    <w:rPr>
      <w:sz w:val="24"/>
    </w:rPr>
  </w:style>
  <w:style w:type="paragraph" w:styleId="57">
    <w:name w:val="index 1"/>
    <w:basedOn w:val="1"/>
    <w:next w:val="1"/>
    <w:autoRedefine/>
    <w:qFormat/>
    <w:uiPriority w:val="0"/>
    <w:pPr>
      <w:adjustRightInd w:val="0"/>
      <w:spacing w:line="240" w:lineRule="atLeast"/>
      <w:textAlignment w:val="baseline"/>
    </w:pPr>
    <w:rPr>
      <w:rFonts w:ascii="宋体"/>
      <w:kern w:val="0"/>
      <w:sz w:val="21"/>
    </w:rPr>
  </w:style>
  <w:style w:type="paragraph" w:styleId="58">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1"/>
    <w:next w:val="21"/>
    <w:link w:val="84"/>
    <w:autoRedefine/>
    <w:qFormat/>
    <w:uiPriority w:val="0"/>
    <w:pPr>
      <w:adjustRightInd/>
      <w:spacing w:line="240" w:lineRule="auto"/>
      <w:textAlignment w:val="auto"/>
    </w:pPr>
  </w:style>
  <w:style w:type="paragraph" w:styleId="60">
    <w:name w:val="Body Text First Indent"/>
    <w:basedOn w:val="2"/>
    <w:autoRedefine/>
    <w:qFormat/>
    <w:uiPriority w:val="0"/>
    <w:pPr>
      <w:spacing w:line="360" w:lineRule="auto"/>
      <w:ind w:firstLine="420"/>
    </w:pPr>
    <w:rPr>
      <w:rFonts w:ascii="宋体" w:hAnsi="宋体"/>
      <w:sz w:val="24"/>
    </w:rPr>
  </w:style>
  <w:style w:type="paragraph" w:styleId="61">
    <w:name w:val="Body Text First Indent 2"/>
    <w:basedOn w:val="24"/>
    <w:next w:val="1"/>
    <w:link w:val="111"/>
    <w:autoRedefine/>
    <w:qFormat/>
    <w:uiPriority w:val="0"/>
    <w:pPr>
      <w:spacing w:after="120" w:line="240" w:lineRule="auto"/>
      <w:ind w:left="420" w:leftChars="200" w:firstLine="420" w:firstLineChars="200"/>
    </w:p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0"/>
    <w:rPr>
      <w:b/>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paragraph" w:customStyle="1" w:styleId="72">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customStyle="1" w:styleId="7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无间隔1"/>
    <w:autoRedefine/>
    <w:qFormat/>
    <w:uiPriority w:val="1"/>
    <w:pPr>
      <w:jc w:val="both"/>
    </w:pPr>
    <w:rPr>
      <w:rFonts w:ascii="Calibri" w:hAnsi="Calibri" w:eastAsia="Times New Roman" w:cs="Times New Roman"/>
      <w:lang w:val="en-US" w:eastAsia="zh-CN" w:bidi="ar-SA"/>
    </w:rPr>
  </w:style>
  <w:style w:type="paragraph" w:customStyle="1" w:styleId="75">
    <w:name w:val="标书正文1"/>
    <w:basedOn w:val="1"/>
    <w:autoRedefine/>
    <w:qFormat/>
    <w:uiPriority w:val="0"/>
    <w:pPr>
      <w:spacing w:line="520" w:lineRule="exact"/>
      <w:ind w:firstLine="640" w:firstLineChars="200"/>
    </w:pPr>
    <w:rPr>
      <w:rFonts w:ascii="Times New Roman" w:hAnsi="Times New Roman"/>
    </w:rPr>
  </w:style>
  <w:style w:type="paragraph" w:customStyle="1" w:styleId="76">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autoRedefine/>
    <w:qFormat/>
    <w:uiPriority w:val="0"/>
    <w:rPr>
      <w:rFonts w:ascii="宋体" w:hAnsi="宋体" w:eastAsia="宋体"/>
      <w:kern w:val="2"/>
      <w:sz w:val="28"/>
    </w:rPr>
  </w:style>
  <w:style w:type="character" w:customStyle="1" w:styleId="78">
    <w:name w:val="font91"/>
    <w:autoRedefine/>
    <w:qFormat/>
    <w:uiPriority w:val="0"/>
    <w:rPr>
      <w:rFonts w:hint="eastAsia" w:ascii="宋体" w:hAnsi="宋体" w:eastAsia="宋体" w:cs="宋体"/>
      <w:color w:val="000000"/>
      <w:sz w:val="20"/>
      <w:szCs w:val="20"/>
      <w:u w:val="none"/>
    </w:rPr>
  </w:style>
  <w:style w:type="character" w:customStyle="1" w:styleId="79">
    <w:name w:val="未命名11"/>
    <w:autoRedefine/>
    <w:qFormat/>
    <w:uiPriority w:val="0"/>
    <w:rPr>
      <w:color w:val="77FFFF"/>
      <w:sz w:val="24"/>
    </w:rPr>
  </w:style>
  <w:style w:type="character" w:customStyle="1" w:styleId="80">
    <w:name w:val="font51"/>
    <w:autoRedefine/>
    <w:qFormat/>
    <w:uiPriority w:val="0"/>
    <w:rPr>
      <w:rFonts w:hint="eastAsia" w:ascii="宋体" w:hAnsi="宋体" w:eastAsia="宋体" w:cs="宋体"/>
      <w:color w:val="000000"/>
      <w:sz w:val="20"/>
      <w:szCs w:val="20"/>
      <w:u w:val="none"/>
      <w:vertAlign w:val="superscript"/>
    </w:rPr>
  </w:style>
  <w:style w:type="character" w:customStyle="1" w:styleId="81">
    <w:name w:val="content-white1"/>
    <w:autoRedefine/>
    <w:qFormat/>
    <w:uiPriority w:val="0"/>
    <w:rPr>
      <w:color w:val="auto"/>
      <w:sz w:val="18"/>
      <w:u w:val="none"/>
    </w:rPr>
  </w:style>
  <w:style w:type="character" w:customStyle="1" w:styleId="82">
    <w:name w:val="正文文本缩进 2 Char"/>
    <w:link w:val="35"/>
    <w:autoRedefine/>
    <w:qFormat/>
    <w:uiPriority w:val="0"/>
    <w:rPr>
      <w:kern w:val="2"/>
      <w:sz w:val="28"/>
    </w:rPr>
  </w:style>
  <w:style w:type="character" w:customStyle="1" w:styleId="83">
    <w:name w:val="Char Char11"/>
    <w:autoRedefine/>
    <w:qFormat/>
    <w:uiPriority w:val="0"/>
    <w:rPr>
      <w:rFonts w:ascii="宋体"/>
      <w:kern w:val="2"/>
      <w:sz w:val="28"/>
    </w:rPr>
  </w:style>
  <w:style w:type="character" w:customStyle="1" w:styleId="84">
    <w:name w:val="批注主题 Char"/>
    <w:basedOn w:val="85"/>
    <w:link w:val="59"/>
    <w:autoRedefine/>
    <w:qFormat/>
    <w:uiPriority w:val="0"/>
    <w:rPr>
      <w:sz w:val="24"/>
    </w:rPr>
  </w:style>
  <w:style w:type="character" w:customStyle="1" w:styleId="85">
    <w:name w:val="批注文字 Char"/>
    <w:link w:val="21"/>
    <w:autoRedefine/>
    <w:qFormat/>
    <w:uiPriority w:val="0"/>
    <w:rPr>
      <w:sz w:val="24"/>
    </w:rPr>
  </w:style>
  <w:style w:type="character" w:customStyle="1" w:styleId="86">
    <w:name w:val="font41"/>
    <w:autoRedefine/>
    <w:qFormat/>
    <w:uiPriority w:val="0"/>
    <w:rPr>
      <w:rFonts w:hint="eastAsia" w:ascii="宋体" w:hAnsi="宋体" w:eastAsia="宋体" w:cs="宋体"/>
      <w:color w:val="000000"/>
      <w:sz w:val="20"/>
      <w:szCs w:val="20"/>
      <w:u w:val="none"/>
    </w:rPr>
  </w:style>
  <w:style w:type="character" w:customStyle="1" w:styleId="87">
    <w:name w:val="正文文本缩进 Char"/>
    <w:link w:val="24"/>
    <w:autoRedefine/>
    <w:qFormat/>
    <w:uiPriority w:val="0"/>
    <w:rPr>
      <w:kern w:val="2"/>
      <w:sz w:val="44"/>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autoRedefine/>
    <w:qFormat/>
    <w:uiPriority w:val="0"/>
    <w:rPr>
      <w:sz w:val="18"/>
    </w:rPr>
  </w:style>
  <w:style w:type="character" w:customStyle="1" w:styleId="91">
    <w:name w:val="样式 宋体"/>
    <w:autoRedefine/>
    <w:qFormat/>
    <w:uiPriority w:val="0"/>
    <w:rPr>
      <w:rFonts w:ascii="宋体" w:hAnsi="宋体" w:eastAsia="宋体"/>
      <w:sz w:val="28"/>
    </w:rPr>
  </w:style>
  <w:style w:type="character" w:customStyle="1" w:styleId="92">
    <w:name w:val="title_emph1"/>
    <w:autoRedefine/>
    <w:qFormat/>
    <w:uiPriority w:val="0"/>
    <w:rPr>
      <w:rFonts w:hint="default" w:ascii="Arial" w:hAnsi="Arial"/>
      <w:b/>
      <w:sz w:val="20"/>
    </w:rPr>
  </w:style>
  <w:style w:type="character" w:customStyle="1" w:styleId="93">
    <w:name w:val="脚注文本 Char"/>
    <w:link w:val="43"/>
    <w:autoRedefine/>
    <w:qFormat/>
    <w:uiPriority w:val="0"/>
    <w:rPr>
      <w:kern w:val="2"/>
      <w:sz w:val="18"/>
    </w:rPr>
  </w:style>
  <w:style w:type="character" w:customStyle="1" w:styleId="94">
    <w:name w:val="Char Char"/>
    <w:autoRedefine/>
    <w:qFormat/>
    <w:uiPriority w:val="0"/>
    <w:rPr>
      <w:rFonts w:ascii="宋体" w:hAnsi="宋体" w:eastAsia="宋体"/>
      <w:kern w:val="2"/>
      <w:sz w:val="24"/>
      <w:lang w:val="en-US" w:eastAsia="zh-CN" w:bidi="ar-SA"/>
    </w:rPr>
  </w:style>
  <w:style w:type="character" w:customStyle="1" w:styleId="95">
    <w:name w:val="Table Heading Char Char"/>
    <w:autoRedefine/>
    <w:qFormat/>
    <w:uiPriority w:val="0"/>
    <w:rPr>
      <w:rFonts w:ascii="Arial" w:hAnsi="Arial" w:eastAsia="黑体"/>
      <w:kern w:val="2"/>
      <w:sz w:val="18"/>
      <w:lang w:val="en-US" w:eastAsia="zh-CN"/>
    </w:rPr>
  </w:style>
  <w:style w:type="character" w:customStyle="1" w:styleId="96">
    <w:name w:val="正文 + 三号 Char"/>
    <w:autoRedefine/>
    <w:qFormat/>
    <w:uiPriority w:val="0"/>
    <w:rPr>
      <w:rFonts w:eastAsia="宋体"/>
      <w:kern w:val="2"/>
      <w:sz w:val="21"/>
      <w:lang w:val="en-US" w:eastAsia="zh-CN"/>
    </w:rPr>
  </w:style>
  <w:style w:type="character" w:customStyle="1" w:styleId="97">
    <w:name w:val="Char Char5"/>
    <w:autoRedefine/>
    <w:qFormat/>
    <w:uiPriority w:val="0"/>
    <w:rPr>
      <w:rFonts w:ascii="Arial" w:hAnsi="Arial" w:eastAsia="宋体"/>
      <w:b/>
      <w:smallCaps/>
      <w:kern w:val="28"/>
      <w:sz w:val="36"/>
      <w:lang w:val="en-US" w:eastAsia="en-US"/>
    </w:rPr>
  </w:style>
  <w:style w:type="character" w:customStyle="1" w:styleId="98">
    <w:name w:val="Table Text Char Char Char Char"/>
    <w:link w:val="99"/>
    <w:autoRedefine/>
    <w:qFormat/>
    <w:uiPriority w:val="0"/>
    <w:rPr>
      <w:rFonts w:ascii="Arial" w:hAnsi="Arial"/>
      <w:kern w:val="2"/>
      <w:sz w:val="18"/>
      <w:lang w:val="en-US" w:eastAsia="zh-CN" w:bidi="ar-SA"/>
    </w:rPr>
  </w:style>
  <w:style w:type="paragraph" w:customStyle="1" w:styleId="99">
    <w:name w:val="Table Text Char Char Char"/>
    <w:link w:val="9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autoRedefine/>
    <w:qFormat/>
    <w:uiPriority w:val="0"/>
    <w:rPr>
      <w:rFonts w:hint="default" w:ascii="Times New Roman" w:hAnsi="Times New Roman" w:cs="Times New Roman"/>
      <w:color w:val="000000"/>
      <w:sz w:val="20"/>
      <w:szCs w:val="20"/>
      <w:u w:val="none"/>
    </w:rPr>
  </w:style>
  <w:style w:type="character" w:customStyle="1" w:styleId="101">
    <w:name w:val="font101"/>
    <w:autoRedefine/>
    <w:qFormat/>
    <w:uiPriority w:val="0"/>
    <w:rPr>
      <w:rFonts w:hint="default" w:ascii="Times New Roman" w:hAnsi="Times New Roman" w:cs="Times New Roman"/>
      <w:color w:val="000000"/>
      <w:sz w:val="20"/>
      <w:szCs w:val="20"/>
      <w:u w:val="none"/>
    </w:rPr>
  </w:style>
  <w:style w:type="character" w:customStyle="1" w:styleId="102">
    <w:name w:val="Table Text Char1 Char"/>
    <w:autoRedefine/>
    <w:qFormat/>
    <w:uiPriority w:val="0"/>
    <w:rPr>
      <w:rFonts w:ascii="Arial" w:hAnsi="Arial"/>
      <w:kern w:val="2"/>
      <w:sz w:val="18"/>
      <w:lang w:val="en-US" w:eastAsia="zh-CN" w:bidi="ar-SA"/>
    </w:rPr>
  </w:style>
  <w:style w:type="character" w:customStyle="1" w:styleId="103">
    <w:name w:val="Char Char2"/>
    <w:autoRedefine/>
    <w:qFormat/>
    <w:uiPriority w:val="0"/>
    <w:rPr>
      <w:rFonts w:eastAsia="宋体"/>
      <w:kern w:val="2"/>
      <w:sz w:val="18"/>
      <w:lang w:val="en-US" w:eastAsia="zh-CN"/>
    </w:rPr>
  </w:style>
  <w:style w:type="character" w:customStyle="1" w:styleId="104">
    <w:name w:val="标题 2 Char"/>
    <w:link w:val="5"/>
    <w:autoRedefine/>
    <w:qFormat/>
    <w:uiPriority w:val="0"/>
    <w:rPr>
      <w:rFonts w:ascii="Arial" w:hAnsi="Arial" w:eastAsia="黑体"/>
      <w:b/>
      <w:kern w:val="2"/>
      <w:sz w:val="32"/>
    </w:rPr>
  </w:style>
  <w:style w:type="character" w:customStyle="1" w:styleId="105">
    <w:name w:val="font31"/>
    <w:autoRedefine/>
    <w:qFormat/>
    <w:uiPriority w:val="0"/>
    <w:rPr>
      <w:rFonts w:hint="eastAsia" w:ascii="宋体" w:hAnsi="宋体" w:eastAsia="宋体" w:cs="宋体"/>
      <w:b/>
      <w:color w:val="000000"/>
      <w:sz w:val="20"/>
      <w:szCs w:val="20"/>
      <w:u w:val="none"/>
    </w:rPr>
  </w:style>
  <w:style w:type="character" w:customStyle="1" w:styleId="106">
    <w:name w:val="文字 Char"/>
    <w:link w:val="107"/>
    <w:autoRedefine/>
    <w:qFormat/>
    <w:uiPriority w:val="0"/>
    <w:rPr>
      <w:rFonts w:ascii="宋体"/>
      <w:kern w:val="2"/>
      <w:sz w:val="28"/>
    </w:rPr>
  </w:style>
  <w:style w:type="paragraph" w:customStyle="1" w:styleId="107">
    <w:name w:val="文字"/>
    <w:basedOn w:val="1"/>
    <w:link w:val="106"/>
    <w:autoRedefine/>
    <w:qFormat/>
    <w:uiPriority w:val="0"/>
    <w:pPr>
      <w:tabs>
        <w:tab w:val="left" w:pos="8520"/>
      </w:tabs>
      <w:spacing w:line="312" w:lineRule="auto"/>
      <w:ind w:right="-210" w:firstLine="556"/>
    </w:pPr>
    <w:rPr>
      <w:rFonts w:ascii="宋体"/>
    </w:rPr>
  </w:style>
  <w:style w:type="character" w:customStyle="1" w:styleId="108">
    <w:name w:val="标题 3 Char"/>
    <w:link w:val="6"/>
    <w:autoRedefine/>
    <w:qFormat/>
    <w:uiPriority w:val="0"/>
    <w:rPr>
      <w:rFonts w:eastAsia="宋体"/>
      <w:b/>
      <w:kern w:val="2"/>
      <w:sz w:val="32"/>
      <w:lang w:val="en-US" w:eastAsia="zh-CN"/>
    </w:rPr>
  </w:style>
  <w:style w:type="character" w:customStyle="1" w:styleId="109">
    <w:name w:val="Char Char6"/>
    <w:autoRedefine/>
    <w:qFormat/>
    <w:uiPriority w:val="0"/>
    <w:rPr>
      <w:rFonts w:ascii="仿宋_GB2312" w:eastAsia="仿宋_GB2312"/>
      <w:kern w:val="2"/>
      <w:sz w:val="32"/>
    </w:rPr>
  </w:style>
  <w:style w:type="character" w:customStyle="1" w:styleId="110">
    <w:name w:val="Char Char3"/>
    <w:autoRedefine/>
    <w:qFormat/>
    <w:uiPriority w:val="0"/>
    <w:rPr>
      <w:rFonts w:eastAsia="宋体"/>
      <w:kern w:val="2"/>
      <w:sz w:val="18"/>
      <w:lang w:val="en-US" w:eastAsia="zh-CN"/>
    </w:rPr>
  </w:style>
  <w:style w:type="character" w:customStyle="1" w:styleId="111">
    <w:name w:val="正文首行缩进 2 Char"/>
    <w:basedOn w:val="87"/>
    <w:link w:val="61"/>
    <w:autoRedefine/>
    <w:qFormat/>
    <w:uiPriority w:val="0"/>
    <w:rPr>
      <w:kern w:val="2"/>
      <w:sz w:val="44"/>
    </w:rPr>
  </w:style>
  <w:style w:type="character" w:customStyle="1" w:styleId="112">
    <w:name w:val="标书正文:  0.74 厘米 Char1"/>
    <w:autoRedefine/>
    <w:qFormat/>
    <w:uiPriority w:val="0"/>
    <w:rPr>
      <w:rFonts w:eastAsia="宋体"/>
      <w:kern w:val="2"/>
      <w:sz w:val="24"/>
      <w:lang w:val="en-US" w:eastAsia="zh-CN"/>
    </w:rPr>
  </w:style>
  <w:style w:type="character" w:customStyle="1" w:styleId="113">
    <w:name w:val="日期 Char"/>
    <w:link w:val="34"/>
    <w:autoRedefine/>
    <w:qFormat/>
    <w:uiPriority w:val="0"/>
    <w:rPr>
      <w:kern w:val="2"/>
      <w:sz w:val="28"/>
    </w:rPr>
  </w:style>
  <w:style w:type="character" w:customStyle="1" w:styleId="114">
    <w:name w:val="font1"/>
    <w:autoRedefine/>
    <w:qFormat/>
    <w:uiPriority w:val="0"/>
    <w:rPr>
      <w:color w:val="000000"/>
      <w:sz w:val="18"/>
    </w:rPr>
  </w:style>
  <w:style w:type="character" w:customStyle="1" w:styleId="115">
    <w:name w:val="Char Char4"/>
    <w:autoRedefine/>
    <w:qFormat/>
    <w:uiPriority w:val="0"/>
    <w:rPr>
      <w:rFonts w:eastAsia="宋体"/>
      <w:b/>
      <w:kern w:val="2"/>
      <w:sz w:val="21"/>
      <w:lang w:val="en-US" w:eastAsia="zh-CN"/>
    </w:rPr>
  </w:style>
  <w:style w:type="character" w:customStyle="1" w:styleId="116">
    <w:name w:val="top-det1"/>
    <w:autoRedefine/>
    <w:qFormat/>
    <w:uiPriority w:val="0"/>
    <w:rPr>
      <w:b/>
      <w:color w:val="000000"/>
    </w:rPr>
  </w:style>
  <w:style w:type="character" w:customStyle="1" w:styleId="117">
    <w:name w:val="crowed11"/>
    <w:autoRedefine/>
    <w:qFormat/>
    <w:uiPriority w:val="0"/>
    <w:rPr>
      <w:rFonts w:hint="default"/>
      <w:sz w:val="24"/>
    </w:rPr>
  </w:style>
  <w:style w:type="character" w:customStyle="1" w:styleId="118">
    <w:name w:val="H2 Char"/>
    <w:autoRedefine/>
    <w:qFormat/>
    <w:uiPriority w:val="0"/>
    <w:rPr>
      <w:rFonts w:ascii="Arial" w:hAnsi="Arial" w:eastAsia="宋体"/>
      <w:kern w:val="2"/>
      <w:sz w:val="28"/>
      <w:lang w:val="en-US" w:eastAsia="zh-CN"/>
    </w:rPr>
  </w:style>
  <w:style w:type="character" w:customStyle="1" w:styleId="119">
    <w:name w:val="小 Char"/>
    <w:autoRedefine/>
    <w:qFormat/>
    <w:uiPriority w:val="0"/>
    <w:rPr>
      <w:rFonts w:ascii="宋体" w:hAnsi="Courier New" w:eastAsia="宋体"/>
      <w:kern w:val="2"/>
      <w:sz w:val="21"/>
      <w:lang w:val="en-US" w:eastAsia="zh-CN" w:bidi="ar-SA"/>
    </w:rPr>
  </w:style>
  <w:style w:type="character" w:customStyle="1" w:styleId="120">
    <w:name w:val="页脚 Char"/>
    <w:link w:val="37"/>
    <w:autoRedefine/>
    <w:qFormat/>
    <w:uiPriority w:val="99"/>
    <w:rPr>
      <w:kern w:val="2"/>
      <w:sz w:val="18"/>
    </w:rPr>
  </w:style>
  <w:style w:type="character" w:customStyle="1" w:styleId="121">
    <w:name w:val="font11"/>
    <w:autoRedefine/>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7"/>
    <w:autoRedefine/>
    <w:qFormat/>
    <w:uiPriority w:val="0"/>
    <w:pPr>
      <w:ind w:firstLine="480" w:firstLineChars="200"/>
    </w:pPr>
  </w:style>
  <w:style w:type="paragraph" w:customStyle="1" w:styleId="12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autoRedefine/>
    <w:qFormat/>
    <w:uiPriority w:val="0"/>
    <w:rPr>
      <w:rFonts w:ascii="Calibri" w:hAnsi="Calibri" w:eastAsia="宋体" w:cs="Times New Roman"/>
      <w:kern w:val="2"/>
      <w:sz w:val="21"/>
      <w:lang w:val="en-US" w:eastAsia="zh-CN" w:bidi="ar-SA"/>
    </w:rPr>
  </w:style>
  <w:style w:type="paragraph" w:customStyle="1" w:styleId="12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6">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autoRedefine/>
    <w:qFormat/>
    <w:uiPriority w:val="1"/>
    <w:pPr>
      <w:autoSpaceDE w:val="0"/>
      <w:autoSpaceDN w:val="0"/>
      <w:adjustRightInd w:val="0"/>
    </w:pPr>
    <w:rPr>
      <w:sz w:val="24"/>
    </w:rPr>
  </w:style>
  <w:style w:type="paragraph" w:customStyle="1" w:styleId="129">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autoRedefine/>
    <w:qFormat/>
    <w:uiPriority w:val="0"/>
  </w:style>
  <w:style w:type="paragraph" w:customStyle="1" w:styleId="131">
    <w:name w:val="编号正文"/>
    <w:basedOn w:val="132"/>
    <w:autoRedefine/>
    <w:qFormat/>
    <w:uiPriority w:val="0"/>
    <w:pPr>
      <w:snapToGrid/>
      <w:spacing w:line="360" w:lineRule="auto"/>
      <w:ind w:left="1407" w:hanging="1047"/>
      <w:jc w:val="left"/>
    </w:pPr>
    <w:rPr>
      <w:rFonts w:eastAsia="仿宋_GB2312"/>
    </w:rPr>
  </w:style>
  <w:style w:type="paragraph" w:customStyle="1" w:styleId="13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autoRedefine/>
    <w:qFormat/>
    <w:uiPriority w:val="0"/>
    <w:rPr>
      <w:rFonts w:ascii="Times New Roman" w:hAnsi="Times New Roman" w:eastAsia="仿宋"/>
      <w:sz w:val="24"/>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autoRedefine/>
    <w:qFormat/>
    <w:uiPriority w:val="0"/>
    <w:rPr>
      <w:rFonts w:ascii="Tahoma" w:hAnsi="Tahoma"/>
      <w:sz w:val="24"/>
      <w:szCs w:val="24"/>
    </w:rPr>
  </w:style>
  <w:style w:type="paragraph" w:customStyle="1" w:styleId="136">
    <w:name w:val="样式1xz"/>
    <w:basedOn w:val="1"/>
    <w:autoRedefine/>
    <w:qFormat/>
    <w:uiPriority w:val="0"/>
    <w:pPr>
      <w:tabs>
        <w:tab w:val="left" w:pos="1050"/>
        <w:tab w:val="right" w:leader="dot" w:pos="8296"/>
      </w:tabs>
    </w:pPr>
    <w:rPr>
      <w:caps/>
      <w:spacing w:val="20"/>
      <w:sz w:val="24"/>
    </w:rPr>
  </w:style>
  <w:style w:type="paragraph" w:customStyle="1" w:styleId="137">
    <w:name w:val="_Style 19"/>
    <w:basedOn w:val="1"/>
    <w:next w:val="138"/>
    <w:autoRedefine/>
    <w:qFormat/>
    <w:uiPriority w:val="0"/>
    <w:pPr>
      <w:ind w:firstLine="420" w:firstLineChars="200"/>
    </w:pPr>
    <w:rPr>
      <w:sz w:val="21"/>
      <w:szCs w:val="22"/>
    </w:rPr>
  </w:style>
  <w:style w:type="paragraph" w:customStyle="1" w:styleId="138">
    <w:name w:val="列出段落1"/>
    <w:basedOn w:val="1"/>
    <w:autoRedefine/>
    <w:qFormat/>
    <w:uiPriority w:val="0"/>
    <w:pPr>
      <w:ind w:firstLine="420" w:firstLineChars="200"/>
    </w:pPr>
  </w:style>
  <w:style w:type="paragraph" w:customStyle="1" w:styleId="13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autoRedefine/>
    <w:qFormat/>
    <w:uiPriority w:val="0"/>
    <w:pPr>
      <w:adjustRightInd w:val="0"/>
      <w:spacing w:before="120" w:line="360" w:lineRule="auto"/>
      <w:ind w:firstLine="480"/>
      <w:textAlignment w:val="baseline"/>
    </w:pPr>
    <w:rPr>
      <w:sz w:val="24"/>
    </w:rPr>
  </w:style>
  <w:style w:type="paragraph" w:customStyle="1" w:styleId="146">
    <w:name w:val="首行缩进"/>
    <w:basedOn w:val="1"/>
    <w:autoRedefine/>
    <w:qFormat/>
    <w:uiPriority w:val="0"/>
    <w:pPr>
      <w:numPr>
        <w:ilvl w:val="0"/>
        <w:numId w:val="4"/>
      </w:numPr>
      <w:spacing w:line="360" w:lineRule="auto"/>
    </w:pPr>
    <w:rPr>
      <w:rFonts w:eastAsia="仿宋_GB2312"/>
    </w:rPr>
  </w:style>
  <w:style w:type="paragraph" w:customStyle="1" w:styleId="147">
    <w:name w:val="简单回函地址"/>
    <w:basedOn w:val="1"/>
    <w:autoRedefine/>
    <w:qFormat/>
    <w:uiPriority w:val="0"/>
    <w:pPr>
      <w:adjustRightInd w:val="0"/>
      <w:snapToGrid w:val="0"/>
      <w:spacing w:line="360" w:lineRule="auto"/>
    </w:pPr>
    <w:rPr>
      <w:sz w:val="24"/>
    </w:rPr>
  </w:style>
  <w:style w:type="paragraph" w:customStyle="1" w:styleId="148">
    <w:name w:val="二级列表"/>
    <w:basedOn w:val="149"/>
    <w:next w:val="149"/>
    <w:autoRedefine/>
    <w:qFormat/>
    <w:uiPriority w:val="0"/>
    <w:pPr>
      <w:tabs>
        <w:tab w:val="left" w:pos="2120"/>
      </w:tabs>
      <w:ind w:firstLine="0" w:firstLineChars="0"/>
    </w:pPr>
    <w:rPr>
      <w:b/>
    </w:rPr>
  </w:style>
  <w:style w:type="paragraph" w:customStyle="1" w:styleId="149">
    <w:name w:val="段落正文"/>
    <w:basedOn w:val="1"/>
    <w:autoRedefine/>
    <w:qFormat/>
    <w:uiPriority w:val="0"/>
    <w:pPr>
      <w:spacing w:beforeLines="50" w:line="360" w:lineRule="auto"/>
      <w:ind w:firstLine="200" w:firstLineChars="200"/>
    </w:pPr>
    <w:rPr>
      <w:spacing w:val="2"/>
      <w:sz w:val="24"/>
    </w:rPr>
  </w:style>
  <w:style w:type="paragraph" w:customStyle="1" w:styleId="150">
    <w:name w:val="标题无"/>
    <w:basedOn w:val="1"/>
    <w:autoRedefine/>
    <w:qFormat/>
    <w:uiPriority w:val="0"/>
    <w:pPr>
      <w:spacing w:line="360" w:lineRule="auto"/>
    </w:pPr>
    <w:rPr>
      <w:sz w:val="24"/>
    </w:rPr>
  </w:style>
  <w:style w:type="paragraph" w:customStyle="1" w:styleId="151">
    <w:name w:val="没有缩进（为图形使用）"/>
    <w:basedOn w:val="1"/>
    <w:autoRedefine/>
    <w:qFormat/>
    <w:uiPriority w:val="0"/>
    <w:pPr>
      <w:spacing w:before="120" w:after="120" w:line="360" w:lineRule="auto"/>
    </w:pPr>
    <w:rPr>
      <w:sz w:val="24"/>
    </w:rPr>
  </w:style>
  <w:style w:type="paragraph" w:customStyle="1" w:styleId="152">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autoRedefine/>
    <w:qFormat/>
    <w:uiPriority w:val="0"/>
    <w:pPr>
      <w:adjustRightInd w:val="0"/>
      <w:spacing w:before="40" w:after="40"/>
    </w:pPr>
    <w:rPr>
      <w:sz w:val="24"/>
    </w:rPr>
  </w:style>
  <w:style w:type="paragraph" w:customStyle="1" w:styleId="15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autoRedefine/>
    <w:qFormat/>
    <w:uiPriority w:val="0"/>
    <w:pPr>
      <w:snapToGrid w:val="0"/>
      <w:spacing w:line="360" w:lineRule="auto"/>
      <w:ind w:firstLine="420"/>
    </w:pPr>
    <w:rPr>
      <w:sz w:val="24"/>
    </w:rPr>
  </w:style>
  <w:style w:type="paragraph" w:customStyle="1" w:styleId="156">
    <w:name w:val="Title - Date"/>
    <w:basedOn w:val="58"/>
    <w:next w:val="1"/>
    <w:autoRedefine/>
    <w:qFormat/>
    <w:uiPriority w:val="0"/>
    <w:pPr>
      <w:spacing w:before="240" w:after="720"/>
    </w:pPr>
    <w:rPr>
      <w:sz w:val="28"/>
    </w:rPr>
  </w:style>
  <w:style w:type="paragraph" w:customStyle="1" w:styleId="157">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158">
    <w:name w:val="样式11"/>
    <w:basedOn w:val="1"/>
    <w:next w:val="1"/>
    <w:autoRedefine/>
    <w:qFormat/>
    <w:uiPriority w:val="0"/>
    <w:rPr>
      <w:rFonts w:ascii="Times New Roman" w:hAnsi="Times New Roman"/>
    </w:rPr>
  </w:style>
  <w:style w:type="paragraph" w:customStyle="1" w:styleId="159">
    <w:name w:val="Char Char14 Char Char"/>
    <w:basedOn w:val="1"/>
    <w:autoRedefine/>
    <w:qFormat/>
    <w:uiPriority w:val="0"/>
    <w:rPr>
      <w:sz w:val="21"/>
      <w:szCs w:val="24"/>
    </w:rPr>
  </w:style>
  <w:style w:type="paragraph" w:customStyle="1" w:styleId="160">
    <w:name w:val="正文1"/>
    <w:basedOn w:val="1"/>
    <w:autoRedefine/>
    <w:qFormat/>
    <w:uiPriority w:val="0"/>
    <w:pPr>
      <w:spacing w:line="300" w:lineRule="auto"/>
      <w:ind w:firstLine="200" w:firstLineChars="200"/>
    </w:pPr>
    <w:rPr>
      <w:sz w:val="24"/>
    </w:rPr>
  </w:style>
  <w:style w:type="paragraph" w:customStyle="1" w:styleId="161">
    <w:name w:val="表头文本"/>
    <w:autoRedefine/>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autoRedefine/>
    <w:qFormat/>
    <w:uiPriority w:val="0"/>
    <w:rPr>
      <w:rFonts w:ascii="Tahoma" w:hAnsi="Tahoma"/>
      <w:sz w:val="24"/>
    </w:rPr>
  </w:style>
  <w:style w:type="paragraph" w:customStyle="1" w:styleId="163">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autoRedefine/>
    <w:qFormat/>
    <w:uiPriority w:val="0"/>
    <w:pPr>
      <w:adjustRightInd w:val="0"/>
      <w:spacing w:before="120"/>
      <w:ind w:firstLine="420"/>
      <w:textAlignment w:val="baseline"/>
    </w:pPr>
    <w:rPr>
      <w:sz w:val="24"/>
    </w:rPr>
  </w:style>
  <w:style w:type="paragraph" w:customStyle="1" w:styleId="16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autoRedefine/>
    <w:qFormat/>
    <w:uiPriority w:val="0"/>
    <w:pPr>
      <w:spacing w:line="360" w:lineRule="auto"/>
      <w:ind w:firstLine="420"/>
    </w:pPr>
    <w:rPr>
      <w:sz w:val="24"/>
    </w:rPr>
  </w:style>
  <w:style w:type="paragraph" w:customStyle="1" w:styleId="17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autoRedefine/>
    <w:qFormat/>
    <w:uiPriority w:val="0"/>
    <w:rPr>
      <w:rFonts w:ascii="Tahoma" w:hAnsi="Tahoma"/>
      <w:sz w:val="24"/>
    </w:rPr>
  </w:style>
  <w:style w:type="paragraph" w:customStyle="1" w:styleId="173">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autoRedefine/>
    <w:qFormat/>
    <w:uiPriority w:val="0"/>
    <w:rPr>
      <w:sz w:val="21"/>
    </w:rPr>
  </w:style>
  <w:style w:type="paragraph" w:customStyle="1" w:styleId="175">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autoRedefine/>
    <w:qFormat/>
    <w:uiPriority w:val="0"/>
    <w:rPr>
      <w:rFonts w:ascii="Tahoma" w:hAnsi="Tahoma"/>
      <w:sz w:val="30"/>
    </w:rPr>
  </w:style>
  <w:style w:type="paragraph" w:customStyle="1" w:styleId="177">
    <w:name w:val="Char Char Char Char Char"/>
    <w:basedOn w:val="1"/>
    <w:autoRedefine/>
    <w:qFormat/>
    <w:uiPriority w:val="0"/>
    <w:pPr>
      <w:numPr>
        <w:ilvl w:val="0"/>
        <w:numId w:val="6"/>
      </w:numPr>
      <w:tabs>
        <w:tab w:val="left" w:pos="425"/>
      </w:tabs>
    </w:pPr>
    <w:rPr>
      <w:rFonts w:ascii="Tahoma" w:hAnsi="Tahoma"/>
      <w:sz w:val="24"/>
    </w:rPr>
  </w:style>
  <w:style w:type="paragraph" w:customStyle="1" w:styleId="178">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
    <w:autoRedefine/>
    <w:qFormat/>
    <w:uiPriority w:val="0"/>
    <w:pPr>
      <w:suppressAutoHyphens/>
      <w:jc w:val="left"/>
    </w:pPr>
    <w:rPr>
      <w:rFonts w:ascii="Times New Roman" w:eastAsia="Times New Roman"/>
      <w:kern w:val="0"/>
      <w:sz w:val="24"/>
    </w:rPr>
  </w:style>
  <w:style w:type="paragraph" w:customStyle="1" w:styleId="180">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autoRedefine/>
    <w:qFormat/>
    <w:uiPriority w:val="0"/>
    <w:pPr>
      <w:ind w:firstLine="420" w:firstLineChars="200"/>
    </w:pPr>
    <w:rPr>
      <w:rFonts w:ascii="等线" w:hAnsi="等线" w:eastAsia="等线"/>
      <w:sz w:val="21"/>
      <w:szCs w:val="22"/>
    </w:rPr>
  </w:style>
  <w:style w:type="paragraph" w:customStyle="1" w:styleId="182">
    <w:name w:val="附录3"/>
    <w:basedOn w:val="1"/>
    <w:next w:val="1"/>
    <w:autoRedefine/>
    <w:qFormat/>
    <w:uiPriority w:val="0"/>
    <w:pPr>
      <w:tabs>
        <w:tab w:val="left" w:pos="851"/>
      </w:tabs>
      <w:ind w:left="425" w:hanging="425"/>
      <w:outlineLvl w:val="2"/>
    </w:pPr>
    <w:rPr>
      <w:rFonts w:eastAsia="黑体"/>
      <w:b/>
      <w:sz w:val="32"/>
    </w:rPr>
  </w:style>
  <w:style w:type="paragraph" w:customStyle="1" w:styleId="183">
    <w:name w:val="标题3——2"/>
    <w:basedOn w:val="6"/>
    <w:next w:val="60"/>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autoRedefine/>
    <w:qFormat/>
    <w:uiPriority w:val="0"/>
    <w:pPr>
      <w:numPr>
        <w:ilvl w:val="0"/>
        <w:numId w:val="8"/>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autoRedefine/>
    <w:qFormat/>
    <w:uiPriority w:val="0"/>
    <w:pPr>
      <w:ind w:firstLine="420" w:firstLineChars="200"/>
    </w:pPr>
    <w:rPr>
      <w:sz w:val="21"/>
      <w:szCs w:val="22"/>
    </w:rPr>
  </w:style>
  <w:style w:type="paragraph" w:customStyle="1" w:styleId="187">
    <w:name w:val="af"/>
    <w:basedOn w:val="1"/>
    <w:autoRedefine/>
    <w:qFormat/>
    <w:uiPriority w:val="0"/>
    <w:pPr>
      <w:widowControl/>
      <w:spacing w:line="300" w:lineRule="atLeast"/>
      <w:jc w:val="left"/>
    </w:pPr>
    <w:rPr>
      <w:rFonts w:ascii="宋体" w:hAnsi="宋体"/>
      <w:kern w:val="0"/>
      <w:sz w:val="18"/>
    </w:rPr>
  </w:style>
  <w:style w:type="paragraph" w:customStyle="1" w:styleId="188">
    <w:name w:val="样式8"/>
    <w:basedOn w:val="1"/>
    <w:next w:val="1"/>
    <w:autoRedefine/>
    <w:qFormat/>
    <w:uiPriority w:val="0"/>
    <w:rPr>
      <w:rFonts w:ascii="Times New Roman" w:hAnsi="Times New Roman" w:eastAsia="仿宋"/>
      <w:sz w:val="24"/>
    </w:rPr>
  </w:style>
  <w:style w:type="paragraph" w:customStyle="1" w:styleId="189">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autoRedefine/>
    <w:qFormat/>
    <w:uiPriority w:val="0"/>
    <w:pPr>
      <w:spacing w:line="240" w:lineRule="atLeast"/>
      <w:jc w:val="center"/>
    </w:pPr>
    <w:rPr>
      <w:sz w:val="21"/>
    </w:rPr>
  </w:style>
  <w:style w:type="paragraph" w:customStyle="1" w:styleId="193">
    <w:name w:val="表格内文字"/>
    <w:basedOn w:val="32"/>
    <w:autoRedefine/>
    <w:qFormat/>
    <w:uiPriority w:val="0"/>
    <w:pPr>
      <w:adjustRightInd w:val="0"/>
    </w:pPr>
    <w:rPr>
      <w:color w:val="000000"/>
      <w:lang w:val="en-GB"/>
    </w:rPr>
  </w:style>
  <w:style w:type="paragraph" w:customStyle="1" w:styleId="194">
    <w:name w:val="二级条标题"/>
    <w:basedOn w:val="195"/>
    <w:next w:val="197"/>
    <w:autoRedefine/>
    <w:qFormat/>
    <w:uiPriority w:val="0"/>
    <w:pPr>
      <w:ind w:left="840"/>
      <w:outlineLvl w:val="3"/>
    </w:pPr>
  </w:style>
  <w:style w:type="paragraph" w:customStyle="1" w:styleId="195">
    <w:name w:val="一级条标题"/>
    <w:basedOn w:val="196"/>
    <w:next w:val="197"/>
    <w:autoRedefine/>
    <w:qFormat/>
    <w:uiPriority w:val="0"/>
    <w:pPr>
      <w:numPr>
        <w:numId w:val="0"/>
      </w:numPr>
      <w:spacing w:beforeLines="0" w:afterLines="0"/>
      <w:ind w:left="525"/>
      <w:outlineLvl w:val="2"/>
    </w:pPr>
    <w:rPr>
      <w:sz w:val="21"/>
    </w:rPr>
  </w:style>
  <w:style w:type="paragraph" w:customStyle="1" w:styleId="196">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2"/>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autoRedefine/>
    <w:qFormat/>
    <w:uiPriority w:val="0"/>
    <w:rPr>
      <w:rFonts w:ascii="仿宋_GB2312"/>
      <w:b/>
      <w:sz w:val="30"/>
    </w:rPr>
  </w:style>
  <w:style w:type="paragraph" w:customStyle="1" w:styleId="20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2">
    <w:name w:val="文本框样式1"/>
    <w:basedOn w:val="1"/>
    <w:autoRedefine/>
    <w:qFormat/>
    <w:uiPriority w:val="0"/>
    <w:pPr>
      <w:adjustRightInd w:val="0"/>
      <w:snapToGrid w:val="0"/>
      <w:spacing w:before="60" w:line="180" w:lineRule="exact"/>
      <w:jc w:val="center"/>
    </w:pPr>
    <w:rPr>
      <w:sz w:val="21"/>
    </w:rPr>
  </w:style>
  <w:style w:type="paragraph" w:customStyle="1" w:styleId="203">
    <w:name w:val="样式6"/>
    <w:basedOn w:val="1"/>
    <w:next w:val="1"/>
    <w:autoRedefine/>
    <w:qFormat/>
    <w:uiPriority w:val="0"/>
    <w:rPr>
      <w:rFonts w:ascii="Times New Roman" w:hAnsi="Times New Roman"/>
    </w:rPr>
  </w:style>
  <w:style w:type="paragraph" w:customStyle="1" w:styleId="20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autoRedefine/>
    <w:qFormat/>
    <w:uiPriority w:val="0"/>
    <w:pPr>
      <w:numPr>
        <w:ilvl w:val="0"/>
        <w:numId w:val="10"/>
      </w:numPr>
      <w:spacing w:line="360" w:lineRule="auto"/>
      <w:ind w:firstLine="480" w:firstLineChars="200"/>
    </w:pPr>
    <w:rPr>
      <w:sz w:val="24"/>
    </w:rPr>
  </w:style>
  <w:style w:type="paragraph" w:customStyle="1" w:styleId="20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IN Feature"/>
    <w:next w:val="212"/>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样式4"/>
    <w:basedOn w:val="7"/>
    <w:autoRedefine/>
    <w:qFormat/>
    <w:uiPriority w:val="0"/>
    <w:pPr>
      <w:adjustRightInd w:val="0"/>
      <w:snapToGrid w:val="0"/>
    </w:pPr>
  </w:style>
  <w:style w:type="paragraph" w:customStyle="1" w:styleId="218">
    <w:name w:val="样式 行距: 1.5 倍行距1"/>
    <w:basedOn w:val="1"/>
    <w:autoRedefine/>
    <w:qFormat/>
    <w:uiPriority w:val="0"/>
    <w:pPr>
      <w:snapToGrid w:val="0"/>
    </w:pPr>
    <w:rPr>
      <w:sz w:val="21"/>
    </w:rPr>
  </w:style>
  <w:style w:type="paragraph" w:customStyle="1" w:styleId="219">
    <w:name w:val="Char"/>
    <w:basedOn w:val="1"/>
    <w:autoRedefine/>
    <w:qFormat/>
    <w:uiPriority w:val="0"/>
    <w:pPr>
      <w:spacing w:line="240" w:lineRule="atLeast"/>
      <w:ind w:left="420" w:firstLine="420"/>
    </w:pPr>
    <w:rPr>
      <w:kern w:val="0"/>
      <w:sz w:val="21"/>
    </w:rPr>
  </w:style>
  <w:style w:type="paragraph" w:customStyle="1" w:styleId="220">
    <w:name w:val="样式1"/>
    <w:basedOn w:val="7"/>
    <w:autoRedefine/>
    <w:qFormat/>
    <w:uiPriority w:val="0"/>
    <w:pPr>
      <w:tabs>
        <w:tab w:val="left" w:pos="720"/>
      </w:tabs>
      <w:spacing w:before="500" w:after="260" w:line="560" w:lineRule="atLeast"/>
      <w:ind w:left="420" w:hanging="420"/>
    </w:pPr>
  </w:style>
  <w:style w:type="paragraph" w:customStyle="1" w:styleId="221">
    <w:name w:val="标准正文"/>
    <w:basedOn w:val="24"/>
    <w:autoRedefine/>
    <w:qFormat/>
    <w:uiPriority w:val="0"/>
    <w:pPr>
      <w:spacing w:before="60" w:after="60" w:line="360" w:lineRule="auto"/>
      <w:ind w:left="0" w:firstLine="482"/>
    </w:pPr>
    <w:rPr>
      <w:rFonts w:ascii="Arial" w:hAnsi="Arial"/>
      <w:sz w:val="24"/>
    </w:rPr>
  </w:style>
  <w:style w:type="paragraph" w:customStyle="1" w:styleId="22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autoRedefine/>
    <w:qFormat/>
    <w:uiPriority w:val="0"/>
    <w:rPr>
      <w:rFonts w:ascii="Times New Roman" w:hAnsi="Times New Roman"/>
    </w:rPr>
  </w:style>
  <w:style w:type="paragraph" w:customStyle="1" w:styleId="226">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autoRedefine/>
    <w:qFormat/>
    <w:uiPriority w:val="0"/>
    <w:pPr>
      <w:adjustRightInd w:val="0"/>
      <w:jc w:val="left"/>
    </w:pPr>
    <w:rPr>
      <w:rFonts w:ascii="宋体" w:hAnsi="宋体"/>
      <w:kern w:val="0"/>
      <w:sz w:val="21"/>
    </w:rPr>
  </w:style>
  <w:style w:type="paragraph" w:customStyle="1" w:styleId="228">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autoRedefine/>
    <w:qFormat/>
    <w:uiPriority w:val="0"/>
    <w:pPr>
      <w:adjustRightInd w:val="0"/>
      <w:spacing w:line="360" w:lineRule="auto"/>
    </w:pPr>
    <w:rPr>
      <w:kern w:val="0"/>
      <w:sz w:val="24"/>
    </w:rPr>
  </w:style>
  <w:style w:type="paragraph" w:customStyle="1" w:styleId="230">
    <w:name w:val="内容标题"/>
    <w:basedOn w:val="19"/>
    <w:autoRedefine/>
    <w:qFormat/>
    <w:uiPriority w:val="0"/>
    <w:rPr>
      <w:rFonts w:ascii="Tahoma" w:hAnsi="Tahoma"/>
      <w:sz w:val="24"/>
    </w:rPr>
  </w:style>
  <w:style w:type="paragraph" w:customStyle="1" w:styleId="231">
    <w:name w:val="Char Char Char Char Char Char Char Char Char Char Char Char Char Char Char Char"/>
    <w:basedOn w:val="1"/>
    <w:autoRedefine/>
    <w:qFormat/>
    <w:uiPriority w:val="0"/>
    <w:pPr>
      <w:tabs>
        <w:tab w:val="left" w:pos="360"/>
      </w:tabs>
    </w:pPr>
    <w:rPr>
      <w:sz w:val="24"/>
    </w:rPr>
  </w:style>
  <w:style w:type="paragraph" w:customStyle="1" w:styleId="232">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autoRedefine/>
    <w:qFormat/>
    <w:uiPriority w:val="0"/>
    <w:pPr>
      <w:spacing w:before="120" w:after="120" w:line="360" w:lineRule="auto"/>
      <w:jc w:val="center"/>
    </w:pPr>
    <w:rPr>
      <w:rFonts w:eastAsia="仿宋_GB2312"/>
      <w:b/>
      <w:sz w:val="24"/>
    </w:rPr>
  </w:style>
  <w:style w:type="paragraph" w:customStyle="1" w:styleId="235">
    <w:name w:val="00"/>
    <w:basedOn w:val="1"/>
    <w:autoRedefine/>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autoRedefine/>
    <w:qFormat/>
    <w:uiPriority w:val="0"/>
    <w:rPr>
      <w:rFonts w:ascii="Tahoma" w:hAnsi="Tahoma"/>
      <w:sz w:val="24"/>
    </w:rPr>
  </w:style>
  <w:style w:type="paragraph" w:customStyle="1" w:styleId="237">
    <w:name w:val="表文字"/>
    <w:autoRedefine/>
    <w:qFormat/>
    <w:uiPriority w:val="0"/>
    <w:rPr>
      <w:rFonts w:ascii="宋体" w:hAnsi="Calibri" w:eastAsia="宋体" w:cs="Times New Roman"/>
      <w:kern w:val="2"/>
      <w:lang w:val="en-US" w:eastAsia="zh-CN" w:bidi="ar-SA"/>
    </w:rPr>
  </w:style>
  <w:style w:type="paragraph" w:customStyle="1" w:styleId="23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9">
    <w:name w:val="可研正文"/>
    <w:basedOn w:val="2"/>
    <w:autoRedefine/>
    <w:qFormat/>
    <w:uiPriority w:val="0"/>
    <w:pPr>
      <w:adjustRightInd w:val="0"/>
      <w:snapToGrid w:val="0"/>
      <w:spacing w:line="440" w:lineRule="exact"/>
      <w:ind w:firstLine="567"/>
    </w:pPr>
    <w:rPr>
      <w:sz w:val="28"/>
    </w:rPr>
  </w:style>
  <w:style w:type="paragraph" w:customStyle="1" w:styleId="24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autoRedefine/>
    <w:qFormat/>
    <w:uiPriority w:val="0"/>
    <w:rPr>
      <w:sz w:val="21"/>
    </w:rPr>
  </w:style>
  <w:style w:type="paragraph" w:customStyle="1" w:styleId="242">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autoRedefine/>
    <w:qFormat/>
    <w:uiPriority w:val="0"/>
    <w:pPr>
      <w:numPr>
        <w:ilvl w:val="0"/>
        <w:numId w:val="12"/>
      </w:numPr>
      <w:tabs>
        <w:tab w:val="left" w:pos="420"/>
      </w:tabs>
      <w:spacing w:line="288" w:lineRule="auto"/>
      <w:ind w:left="840" w:leftChars="200" w:hanging="420" w:hangingChars="200"/>
    </w:pPr>
    <w:rPr>
      <w:sz w:val="21"/>
    </w:rPr>
  </w:style>
  <w:style w:type="paragraph" w:customStyle="1" w:styleId="244">
    <w:name w:val="标题1"/>
    <w:basedOn w:val="1"/>
    <w:next w:val="1"/>
    <w:autoRedefine/>
    <w:qFormat/>
    <w:uiPriority w:val="0"/>
    <w:rPr>
      <w:rFonts w:ascii="Times New Roman" w:hAnsi="Times New Roman"/>
    </w:rPr>
  </w:style>
  <w:style w:type="paragraph" w:customStyle="1" w:styleId="24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autoRedefine/>
    <w:qFormat/>
    <w:uiPriority w:val="0"/>
    <w:pPr>
      <w:spacing w:line="360" w:lineRule="auto"/>
    </w:pPr>
    <w:rPr>
      <w:rFonts w:eastAsia="黑体"/>
      <w:sz w:val="20"/>
    </w:rPr>
  </w:style>
  <w:style w:type="paragraph" w:customStyle="1" w:styleId="247">
    <w:name w:val="Char Char Char Char Char Char Char1"/>
    <w:basedOn w:val="19"/>
    <w:autoRedefine/>
    <w:qFormat/>
    <w:uiPriority w:val="0"/>
    <w:rPr>
      <w:rFonts w:ascii="宋体" w:hAnsi="Tahoma"/>
    </w:rPr>
  </w:style>
  <w:style w:type="paragraph" w:customStyle="1" w:styleId="248">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autoRedefine/>
    <w:qFormat/>
    <w:uiPriority w:val="0"/>
    <w:pPr>
      <w:spacing w:line="240" w:lineRule="atLeast"/>
      <w:ind w:left="420" w:firstLine="420"/>
    </w:pPr>
    <w:rPr>
      <w:kern w:val="0"/>
      <w:sz w:val="21"/>
    </w:rPr>
  </w:style>
  <w:style w:type="paragraph" w:customStyle="1" w:styleId="252">
    <w:name w:val="样式12"/>
    <w:basedOn w:val="1"/>
    <w:next w:val="1"/>
    <w:autoRedefine/>
    <w:qFormat/>
    <w:uiPriority w:val="0"/>
    <w:rPr>
      <w:rFonts w:ascii="Times New Roman" w:hAnsi="Times New Roman" w:eastAsia="仿宋"/>
      <w:sz w:val="24"/>
    </w:rPr>
  </w:style>
  <w:style w:type="paragraph" w:customStyle="1" w:styleId="253">
    <w:name w:val="样式2"/>
    <w:basedOn w:val="7"/>
    <w:autoRedefine/>
    <w:qFormat/>
    <w:uiPriority w:val="0"/>
    <w:pPr>
      <w:numPr>
        <w:ilvl w:val="0"/>
        <w:numId w:val="13"/>
      </w:numPr>
      <w:spacing w:before="560" w:line="400" w:lineRule="exact"/>
      <w:jc w:val="center"/>
      <w:outlineLvl w:val="0"/>
    </w:pPr>
    <w:rPr>
      <w:sz w:val="44"/>
    </w:rPr>
  </w:style>
  <w:style w:type="paragraph" w:customStyle="1" w:styleId="25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autoRedefine/>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autoRedefine/>
    <w:qFormat/>
    <w:uiPriority w:val="0"/>
    <w:rPr>
      <w:rFonts w:ascii="Tahoma" w:hAnsi="Tahoma"/>
      <w:sz w:val="24"/>
    </w:rPr>
  </w:style>
  <w:style w:type="paragraph" w:customStyle="1" w:styleId="25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8"/>
    <w:autoRedefine/>
    <w:qFormat/>
    <w:uiPriority w:val="0"/>
    <w:pPr>
      <w:spacing w:before="720"/>
    </w:pPr>
  </w:style>
  <w:style w:type="paragraph" w:customStyle="1" w:styleId="26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autoRedefine/>
    <w:qFormat/>
    <w:uiPriority w:val="0"/>
    <w:rPr>
      <w:rFonts w:ascii="Times New Roman" w:hAnsi="Times New Roman" w:eastAsia="仿宋"/>
      <w:sz w:val="24"/>
    </w:rPr>
  </w:style>
  <w:style w:type="paragraph" w:customStyle="1" w:styleId="266">
    <w:name w:val="首行缩进 1"/>
    <w:basedOn w:val="1"/>
    <w:autoRedefine/>
    <w:qFormat/>
    <w:uiPriority w:val="0"/>
    <w:pPr>
      <w:spacing w:after="120" w:line="360" w:lineRule="auto"/>
      <w:ind w:firstLine="200" w:firstLineChars="200"/>
    </w:pPr>
    <w:rPr>
      <w:sz w:val="24"/>
    </w:rPr>
  </w:style>
  <w:style w:type="paragraph" w:customStyle="1" w:styleId="267">
    <w:name w:val="1"/>
    <w:basedOn w:val="1"/>
    <w:next w:val="32"/>
    <w:autoRedefine/>
    <w:qFormat/>
    <w:uiPriority w:val="0"/>
    <w:rPr>
      <w:rFonts w:ascii="宋体" w:hAnsi="Courier New"/>
      <w:sz w:val="21"/>
    </w:rPr>
  </w:style>
  <w:style w:type="paragraph" w:customStyle="1" w:styleId="268">
    <w:name w:val="1.正文"/>
    <w:basedOn w:val="1"/>
    <w:autoRedefine/>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6"/>
    <w:autoRedefine/>
    <w:qFormat/>
    <w:uiPriority w:val="0"/>
    <w:pPr>
      <w:tabs>
        <w:tab w:val="left" w:pos="709"/>
        <w:tab w:val="left" w:pos="1620"/>
      </w:tabs>
      <w:ind w:left="1620" w:hanging="360"/>
    </w:pPr>
  </w:style>
  <w:style w:type="paragraph" w:customStyle="1" w:styleId="270">
    <w:name w:val="摘要"/>
    <w:basedOn w:val="1"/>
    <w:next w:val="5"/>
    <w:autoRedefine/>
    <w:qFormat/>
    <w:uiPriority w:val="0"/>
    <w:pPr>
      <w:spacing w:line="360" w:lineRule="auto"/>
    </w:pPr>
    <w:rPr>
      <w:rFonts w:eastAsia="黑体"/>
      <w:sz w:val="20"/>
    </w:rPr>
  </w:style>
  <w:style w:type="paragraph" w:customStyle="1" w:styleId="271">
    <w:name w:val="Char Char Char"/>
    <w:basedOn w:val="1"/>
    <w:autoRedefine/>
    <w:qFormat/>
    <w:uiPriority w:val="0"/>
    <w:rPr>
      <w:rFonts w:ascii="Tahoma" w:hAnsi="Tahoma"/>
      <w:sz w:val="24"/>
    </w:rPr>
  </w:style>
  <w:style w:type="paragraph" w:customStyle="1" w:styleId="272">
    <w:name w:val="引用1"/>
    <w:basedOn w:val="1"/>
    <w:next w:val="1"/>
    <w:autoRedefine/>
    <w:qFormat/>
    <w:uiPriority w:val="29"/>
    <w:rPr>
      <w:i/>
      <w:iCs/>
      <w:color w:val="000000"/>
    </w:rPr>
  </w:style>
  <w:style w:type="paragraph" w:customStyle="1" w:styleId="273">
    <w:name w:val="西研院正文"/>
    <w:basedOn w:val="1"/>
    <w:autoRedefine/>
    <w:qFormat/>
    <w:uiPriority w:val="0"/>
    <w:pPr>
      <w:spacing w:line="560" w:lineRule="exact"/>
      <w:ind w:firstLine="643" w:firstLineChars="200"/>
    </w:pPr>
    <w:rPr>
      <w:rFonts w:eastAsia="方正仿宋_GBK"/>
      <w:sz w:val="32"/>
    </w:rPr>
  </w:style>
  <w:style w:type="character" w:customStyle="1" w:styleId="274">
    <w:name w:val="NormalCharacter"/>
    <w:autoRedefine/>
    <w:qFormat/>
    <w:uiPriority w:val="0"/>
  </w:style>
  <w:style w:type="character" w:customStyle="1" w:styleId="275">
    <w:name w:val="未处理的提及1"/>
    <w:basedOn w:val="64"/>
    <w:autoRedefine/>
    <w:semiHidden/>
    <w:unhideWhenUsed/>
    <w:qFormat/>
    <w:uiPriority w:val="99"/>
    <w:rPr>
      <w:color w:val="605E5C"/>
      <w:shd w:val="clear" w:color="auto" w:fill="E1DFDD"/>
    </w:rPr>
  </w:style>
  <w:style w:type="character" w:customStyle="1" w:styleId="276">
    <w:name w:val="font21"/>
    <w:basedOn w:val="64"/>
    <w:autoRedefine/>
    <w:qFormat/>
    <w:uiPriority w:val="0"/>
    <w:rPr>
      <w:rFonts w:hint="eastAsia" w:ascii="宋体" w:hAnsi="宋体" w:eastAsia="宋体" w:cs="宋体"/>
      <w:color w:val="FF0000"/>
      <w:sz w:val="22"/>
      <w:szCs w:val="22"/>
      <w:u w:val="none"/>
    </w:rPr>
  </w:style>
  <w:style w:type="paragraph" w:customStyle="1" w:styleId="277">
    <w:name w:val="BodyText"/>
    <w:basedOn w:val="1"/>
    <w:autoRedefine/>
    <w:qFormat/>
    <w:uiPriority w:val="0"/>
    <w:pPr>
      <w:ind w:left="758"/>
      <w:textAlignment w:val="baseline"/>
    </w:pPr>
    <w:rPr>
      <w:rFonts w:ascii="方正仿宋_GBK" w:hAnsi="方正仿宋_GBK" w:eastAsia="方正仿宋_GBK" w:cstheme="minorBidi"/>
      <w:sz w:val="31"/>
      <w:szCs w:val="31"/>
    </w:rPr>
  </w:style>
  <w:style w:type="paragraph" w:customStyle="1" w:styleId="278">
    <w:name w:val="修订2"/>
    <w:autoRedefine/>
    <w:hidden/>
    <w:semiHidden/>
    <w:qFormat/>
    <w:uiPriority w:val="99"/>
    <w:rPr>
      <w:rFonts w:ascii="Calibri" w:hAnsi="Calibri" w:eastAsia="宋体" w:cs="Times New Roman"/>
      <w:kern w:val="2"/>
      <w:sz w:val="28"/>
      <w:lang w:val="en-US" w:eastAsia="zh-CN" w:bidi="ar-SA"/>
    </w:rPr>
  </w:style>
  <w:style w:type="paragraph" w:customStyle="1" w:styleId="279">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280">
    <w:name w:val="电建正文"/>
    <w:basedOn w:val="281"/>
    <w:autoRedefine/>
    <w:qFormat/>
    <w:uiPriority w:val="0"/>
    <w:pPr>
      <w:tabs>
        <w:tab w:val="left" w:pos="720"/>
      </w:tabs>
      <w:spacing w:line="360" w:lineRule="auto"/>
      <w:ind w:firstLine="200" w:firstLineChars="200"/>
    </w:pPr>
    <w:rPr>
      <w:rFonts w:ascii="Tahoma" w:hAnsi="Tahoma"/>
      <w:sz w:val="24"/>
    </w:rPr>
  </w:style>
  <w:style w:type="paragraph" w:customStyle="1" w:styleId="281">
    <w:name w:val="List First"/>
    <w:basedOn w:val="42"/>
    <w:next w:val="42"/>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2">
    <w:name w:val="正文-表格内文字"/>
    <w:basedOn w:val="1"/>
    <w:qFormat/>
    <w:uiPriority w:val="99"/>
    <w:pPr>
      <w:spacing w:line="264" w:lineRule="auto"/>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41</Pages>
  <Words>15853</Words>
  <Characters>16509</Characters>
  <Lines>128</Lines>
  <Paragraphs>36</Paragraphs>
  <TotalTime>42</TotalTime>
  <ScaleCrop>false</ScaleCrop>
  <LinksUpToDate>false</LinksUpToDate>
  <CharactersWithSpaces>16714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2022-03-21T05:21:00Z</dcterms:created>
  <dc:creator>刘胜仲</dc:creator>
  <cp:lastModifiedBy>lenovo</cp:lastModifiedBy>
  <cp:lastPrinted>2025-05-19T01:04:00Z</cp:lastPrinted>
  <dcterms:modified xsi:type="dcterms:W3CDTF">2025-08-07T04:01:51Z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7990579_cloud</vt:lpwstr>
  </property>
  <property fmtid="{D5CDD505-2E9C-101B-9397-08002B2CF9AE}" pid="4" name="ICV">
    <vt:lpwstr>4A37A9C18EF44DE2B9334C81839BCA9E_13</vt:lpwstr>
  </property>
  <property fmtid="{D5CDD505-2E9C-101B-9397-08002B2CF9AE}" pid="5" name="commondata">
    <vt:lpwstr>eyJoZGlkIjoiZDdiYjdhYmUyNjNhZjhhZWUwNGEwN2ZhNDNlYzkxN2UifQ==</vt:lpwstr>
  </property>
  <property fmtid="{D5CDD505-2E9C-101B-9397-08002B2CF9AE}" pid="6" name="KSOTemplateDocerSaveRecord">
    <vt:lpwstr>eyJoZGlkIjoiNjA4MzViZDVhYmRjNmY0MzA5YmY4OTNlYTA1YWM1ODkiLCJ1c2VySWQiOiI0NDEyNDk2ODgifQ==</vt:lpwstr>
  </property>
</Properties>
</file>