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62C4C">
      <w:pPr>
        <w:rPr>
          <w:rFonts w:ascii="宋体" w:hAnsi="宋体" w:cs="宋体"/>
          <w:color w:val="auto"/>
          <w:spacing w:val="80"/>
          <w:sz w:val="100"/>
          <w:highlight w:val="none"/>
        </w:rPr>
      </w:pPr>
    </w:p>
    <w:p w14:paraId="519585B7">
      <w:pPr>
        <w:jc w:val="center"/>
        <w:outlineLvl w:val="0"/>
        <w:rPr>
          <w:rFonts w:ascii="宋体" w:hAnsi="宋体" w:cs="宋体"/>
          <w:color w:val="auto"/>
          <w:spacing w:val="80"/>
          <w:sz w:val="100"/>
          <w:highlight w:val="none"/>
        </w:rPr>
      </w:pPr>
      <w:r>
        <w:rPr>
          <w:rFonts w:hint="eastAsia" w:ascii="宋体" w:hAnsi="宋体" w:cs="宋体"/>
          <w:color w:val="auto"/>
          <w:spacing w:val="80"/>
          <w:sz w:val="100"/>
          <w:highlight w:val="none"/>
        </w:rPr>
        <w:t>竞争性比选</w:t>
      </w:r>
    </w:p>
    <w:p w14:paraId="02046F79">
      <w:pPr>
        <w:jc w:val="center"/>
        <w:outlineLvl w:val="0"/>
        <w:rPr>
          <w:rFonts w:ascii="宋体" w:hAnsi="宋体" w:cs="宋体"/>
          <w:color w:val="auto"/>
          <w:spacing w:val="80"/>
          <w:sz w:val="100"/>
          <w:highlight w:val="none"/>
        </w:rPr>
      </w:pPr>
      <w:r>
        <w:rPr>
          <w:rFonts w:hint="eastAsia" w:ascii="宋体" w:hAnsi="宋体" w:cs="宋体"/>
          <w:color w:val="auto"/>
          <w:spacing w:val="80"/>
          <w:sz w:val="100"/>
          <w:highlight w:val="none"/>
        </w:rPr>
        <w:t>文件</w:t>
      </w:r>
    </w:p>
    <w:p w14:paraId="39544033">
      <w:pPr>
        <w:tabs>
          <w:tab w:val="left" w:pos="2761"/>
        </w:tabs>
        <w:spacing w:line="520" w:lineRule="exact"/>
        <w:rPr>
          <w:rFonts w:ascii="宋体" w:hAnsi="宋体" w:cs="宋体"/>
          <w:color w:val="auto"/>
          <w:sz w:val="32"/>
          <w:highlight w:val="none"/>
        </w:rPr>
      </w:pPr>
    </w:p>
    <w:p w14:paraId="59714835">
      <w:pPr>
        <w:spacing w:line="520" w:lineRule="exact"/>
        <w:rPr>
          <w:rFonts w:ascii="宋体" w:hAnsi="宋体" w:cs="宋体"/>
          <w:color w:val="auto"/>
          <w:sz w:val="32"/>
          <w:highlight w:val="none"/>
        </w:rPr>
      </w:pPr>
    </w:p>
    <w:p w14:paraId="28A7A044">
      <w:pPr>
        <w:spacing w:line="700" w:lineRule="exact"/>
        <w:rPr>
          <w:rFonts w:ascii="宋体" w:hAnsi="宋体" w:cs="宋体"/>
          <w:color w:val="auto"/>
          <w:sz w:val="32"/>
          <w:highlight w:val="none"/>
        </w:rPr>
      </w:pPr>
    </w:p>
    <w:p w14:paraId="633E2239">
      <w:pPr>
        <w:spacing w:line="560" w:lineRule="exact"/>
        <w:ind w:left="1500" w:hanging="1500" w:hangingChars="500"/>
        <w:rPr>
          <w:rFonts w:ascii="宋体" w:hAnsi="宋体" w:cs="宋体"/>
          <w:color w:val="auto"/>
          <w:sz w:val="30"/>
          <w:szCs w:val="30"/>
          <w:highlight w:val="none"/>
        </w:rPr>
      </w:pPr>
      <w:r>
        <w:rPr>
          <w:rFonts w:hint="eastAsia" w:ascii="宋体" w:hAnsi="宋体" w:cs="宋体"/>
          <w:color w:val="auto"/>
          <w:sz w:val="30"/>
          <w:szCs w:val="30"/>
          <w:highlight w:val="none"/>
        </w:rPr>
        <w:t>比选项目名称：一品河、黄溪河“清水绿岸”治理提升项目</w:t>
      </w:r>
    </w:p>
    <w:p w14:paraId="45CA0EDB">
      <w:pPr>
        <w:spacing w:line="560" w:lineRule="exact"/>
        <w:ind w:left="1491" w:leftChars="710" w:firstLine="1500" w:firstLineChars="500"/>
        <w:rPr>
          <w:rFonts w:ascii="宋体" w:hAnsi="宋体" w:cs="宋体"/>
          <w:color w:val="auto"/>
          <w:sz w:val="30"/>
          <w:szCs w:val="30"/>
          <w:highlight w:val="none"/>
          <w:u w:val="single"/>
        </w:rPr>
      </w:pPr>
      <w:r>
        <w:rPr>
          <w:rFonts w:hint="eastAsia" w:ascii="宋体" w:hAnsi="宋体" w:cs="宋体"/>
          <w:color w:val="auto"/>
          <w:sz w:val="30"/>
          <w:szCs w:val="30"/>
          <w:highlight w:val="none"/>
        </w:rPr>
        <w:t>水土保持设施验收服务</w:t>
      </w:r>
    </w:p>
    <w:p w14:paraId="3E37BC41">
      <w:pPr>
        <w:spacing w:line="560" w:lineRule="exact"/>
        <w:ind w:firstLine="1800" w:firstLineChars="600"/>
        <w:rPr>
          <w:rFonts w:ascii="宋体" w:hAnsi="宋体" w:cs="宋体"/>
          <w:color w:val="auto"/>
          <w:sz w:val="30"/>
          <w:szCs w:val="30"/>
          <w:highlight w:val="none"/>
          <w:u w:val="single"/>
        </w:rPr>
      </w:pPr>
    </w:p>
    <w:p w14:paraId="60F3764D">
      <w:pPr>
        <w:spacing w:line="560" w:lineRule="exact"/>
        <w:rPr>
          <w:rFonts w:ascii="宋体" w:hAnsi="宋体" w:cs="宋体"/>
          <w:color w:val="auto"/>
          <w:sz w:val="30"/>
          <w:szCs w:val="30"/>
          <w:highlight w:val="none"/>
        </w:rPr>
      </w:pPr>
    </w:p>
    <w:p w14:paraId="2926B340">
      <w:pPr>
        <w:spacing w:line="560" w:lineRule="exact"/>
        <w:rPr>
          <w:rFonts w:ascii="宋体" w:hAnsi="宋体" w:cs="宋体"/>
          <w:color w:val="auto"/>
          <w:sz w:val="30"/>
          <w:szCs w:val="30"/>
          <w:highlight w:val="none"/>
        </w:rPr>
      </w:pPr>
    </w:p>
    <w:p w14:paraId="332F470F">
      <w:pPr>
        <w:spacing w:line="560" w:lineRule="exact"/>
        <w:rPr>
          <w:rFonts w:ascii="宋体" w:hAnsi="宋体" w:cs="宋体"/>
          <w:color w:val="auto"/>
          <w:sz w:val="30"/>
          <w:szCs w:val="30"/>
          <w:highlight w:val="none"/>
        </w:rPr>
      </w:pPr>
    </w:p>
    <w:p w14:paraId="729FD3B1">
      <w:pPr>
        <w:spacing w:line="560" w:lineRule="exact"/>
        <w:jc w:val="center"/>
        <w:rPr>
          <w:rFonts w:ascii="宋体" w:hAnsi="宋体" w:cs="宋体"/>
          <w:color w:val="auto"/>
          <w:sz w:val="30"/>
          <w:szCs w:val="30"/>
          <w:highlight w:val="none"/>
        </w:rPr>
      </w:pPr>
    </w:p>
    <w:p w14:paraId="2F3C9461">
      <w:pPr>
        <w:spacing w:line="560" w:lineRule="exact"/>
        <w:jc w:val="center"/>
        <w:rPr>
          <w:rFonts w:ascii="宋体" w:hAnsi="宋体" w:cs="宋体"/>
          <w:color w:val="auto"/>
          <w:sz w:val="30"/>
          <w:szCs w:val="30"/>
          <w:highlight w:val="none"/>
        </w:rPr>
      </w:pPr>
      <w:r>
        <w:rPr>
          <w:rFonts w:hint="eastAsia" w:ascii="宋体" w:hAnsi="宋体" w:cs="宋体"/>
          <w:color w:val="auto"/>
          <w:sz w:val="30"/>
          <w:szCs w:val="30"/>
          <w:highlight w:val="none"/>
        </w:rPr>
        <w:t>比选人：</w:t>
      </w:r>
      <w:r>
        <w:rPr>
          <w:rFonts w:hint="eastAsia" w:ascii="宋体" w:hAnsi="宋体" w:cs="宋体"/>
          <w:color w:val="auto"/>
          <w:sz w:val="30"/>
          <w:szCs w:val="30"/>
          <w:highlight w:val="none"/>
          <w:u w:val="single"/>
        </w:rPr>
        <w:t>重庆德润壹品环境治理有限公司</w:t>
      </w:r>
    </w:p>
    <w:p w14:paraId="2F5DC334">
      <w:pPr>
        <w:pStyle w:val="2"/>
        <w:jc w:val="center"/>
        <w:rPr>
          <w:rFonts w:ascii="宋体" w:hAnsi="宋体" w:cs="宋体"/>
          <w:color w:val="auto"/>
          <w:sz w:val="30"/>
          <w:szCs w:val="30"/>
          <w:highlight w:val="none"/>
        </w:rPr>
      </w:pPr>
      <w:r>
        <w:rPr>
          <w:rFonts w:hint="eastAsia" w:ascii="宋体" w:hAnsi="宋体" w:cs="宋体"/>
          <w:color w:val="auto"/>
          <w:sz w:val="30"/>
          <w:szCs w:val="30"/>
          <w:highlight w:val="none"/>
        </w:rPr>
        <w:t>比选代理机构：</w:t>
      </w:r>
      <w:r>
        <w:rPr>
          <w:rFonts w:hint="eastAsia" w:ascii="宋体" w:hAnsi="宋体" w:cs="宋体"/>
          <w:color w:val="auto"/>
          <w:sz w:val="30"/>
          <w:szCs w:val="30"/>
          <w:highlight w:val="none"/>
          <w:u w:val="single"/>
        </w:rPr>
        <w:t>远度工程咨询（重庆）有限公司</w:t>
      </w:r>
    </w:p>
    <w:p w14:paraId="33BC5767">
      <w:pPr>
        <w:pStyle w:val="2"/>
        <w:jc w:val="center"/>
        <w:rPr>
          <w:rFonts w:ascii="宋体" w:hAnsi="宋体" w:cs="宋体"/>
          <w:color w:val="auto"/>
          <w:sz w:val="30"/>
          <w:szCs w:val="30"/>
          <w:highlight w:val="none"/>
        </w:rPr>
      </w:pPr>
      <w:r>
        <w:rPr>
          <w:rFonts w:hint="eastAsia" w:ascii="宋体" w:hAnsi="宋体" w:cs="宋体"/>
          <w:color w:val="auto"/>
          <w:sz w:val="30"/>
          <w:szCs w:val="30"/>
          <w:highlight w:val="none"/>
        </w:rPr>
        <w:t>二0二</w:t>
      </w:r>
      <w:r>
        <w:rPr>
          <w:rFonts w:hint="eastAsia" w:ascii="宋体" w:hAnsi="宋体" w:cs="宋体"/>
          <w:color w:val="auto"/>
          <w:sz w:val="30"/>
          <w:szCs w:val="30"/>
          <w:highlight w:val="none"/>
          <w:lang w:val="en-US" w:eastAsia="zh-CN"/>
        </w:rPr>
        <w:t>五</w:t>
      </w:r>
      <w:r>
        <w:rPr>
          <w:rFonts w:hint="eastAsia" w:ascii="宋体" w:hAnsi="宋体" w:cs="宋体"/>
          <w:color w:val="auto"/>
          <w:sz w:val="30"/>
          <w:szCs w:val="30"/>
          <w:highlight w:val="none"/>
        </w:rPr>
        <w:t>年 三 月</w:t>
      </w:r>
    </w:p>
    <w:p w14:paraId="02EDCE08">
      <w:pPr>
        <w:snapToGrid w:val="0"/>
        <w:spacing w:line="500" w:lineRule="exact"/>
        <w:rPr>
          <w:rFonts w:ascii="宋体" w:hAnsi="宋体" w:cs="宋体"/>
          <w:color w:val="auto"/>
          <w:sz w:val="44"/>
          <w:highlight w:val="none"/>
        </w:rPr>
        <w:sectPr>
          <w:footerReference r:id="rId3" w:type="default"/>
          <w:pgSz w:w="11906" w:h="16838"/>
          <w:pgMar w:top="2098" w:right="1531" w:bottom="1984" w:left="1531" w:header="851" w:footer="992" w:gutter="0"/>
          <w:pgNumType w:fmt="numberInDash" w:start="1"/>
          <w:cols w:space="720" w:num="1"/>
          <w:docGrid w:type="lines" w:linePitch="312" w:charSpace="0"/>
        </w:sectPr>
      </w:pPr>
    </w:p>
    <w:p w14:paraId="7E29682D">
      <w:pPr>
        <w:pStyle w:val="2"/>
        <w:rPr>
          <w:rFonts w:ascii="宋体" w:hAnsi="宋体" w:cs="宋体"/>
          <w:color w:val="auto"/>
          <w:highlight w:val="none"/>
        </w:rPr>
      </w:pPr>
    </w:p>
    <w:p w14:paraId="6D532372">
      <w:pPr>
        <w:snapToGrid w:val="0"/>
        <w:spacing w:line="500" w:lineRule="exact"/>
        <w:jc w:val="center"/>
        <w:rPr>
          <w:rFonts w:ascii="宋体" w:hAnsi="宋体" w:cs="宋体"/>
          <w:color w:val="auto"/>
          <w:sz w:val="44"/>
          <w:highlight w:val="none"/>
        </w:rPr>
      </w:pPr>
      <w:r>
        <w:rPr>
          <w:rFonts w:hint="eastAsia" w:ascii="宋体" w:hAnsi="宋体" w:cs="宋体"/>
          <w:color w:val="auto"/>
          <w:sz w:val="44"/>
          <w:highlight w:val="none"/>
        </w:rPr>
        <w:t>目   录</w:t>
      </w:r>
    </w:p>
    <w:p w14:paraId="3E992C9B">
      <w:pPr>
        <w:snapToGrid w:val="0"/>
        <w:spacing w:line="500" w:lineRule="exact"/>
        <w:jc w:val="center"/>
        <w:rPr>
          <w:rFonts w:ascii="宋体" w:hAnsi="宋体" w:cs="宋体"/>
          <w:color w:val="auto"/>
          <w:sz w:val="44"/>
          <w:highlight w:val="none"/>
        </w:rPr>
      </w:pPr>
    </w:p>
    <w:p w14:paraId="09BAD7B2">
      <w:pPr>
        <w:spacing w:line="360" w:lineRule="auto"/>
        <w:ind w:left="220"/>
        <w:rPr>
          <w:rFonts w:ascii="宋体" w:hAnsi="宋体" w:cs="宋体"/>
          <w:color w:val="auto"/>
          <w:sz w:val="24"/>
          <w:szCs w:val="24"/>
          <w:highlight w:val="none"/>
        </w:rPr>
      </w:pPr>
      <w:r>
        <w:rPr>
          <w:rFonts w:hint="eastAsia" w:ascii="宋体" w:hAnsi="宋体" w:cs="宋体"/>
          <w:color w:val="auto"/>
          <w:sz w:val="24"/>
          <w:szCs w:val="24"/>
          <w:highlight w:val="none"/>
        </w:rPr>
        <w:t xml:space="preserve">第一篇   比选公告  .............................................. 2 </w:t>
      </w:r>
    </w:p>
    <w:p w14:paraId="6F988C17">
      <w:pPr>
        <w:spacing w:line="360" w:lineRule="auto"/>
        <w:ind w:left="220"/>
        <w:rPr>
          <w:rFonts w:ascii="宋体" w:hAnsi="宋体" w:cs="宋体"/>
          <w:color w:val="auto"/>
          <w:sz w:val="24"/>
          <w:szCs w:val="24"/>
          <w:highlight w:val="none"/>
        </w:rPr>
      </w:pPr>
      <w:r>
        <w:rPr>
          <w:rFonts w:hint="eastAsia" w:ascii="宋体" w:hAnsi="宋体" w:cs="宋体"/>
          <w:color w:val="auto"/>
          <w:sz w:val="24"/>
          <w:szCs w:val="24"/>
          <w:highlight w:val="none"/>
        </w:rPr>
        <w:t xml:space="preserve">第二篇   项目技术服务要求  .......................................6 </w:t>
      </w:r>
    </w:p>
    <w:p w14:paraId="0EE0C6D8">
      <w:pPr>
        <w:spacing w:line="360" w:lineRule="auto"/>
        <w:ind w:left="220"/>
        <w:rPr>
          <w:rFonts w:ascii="宋体" w:hAnsi="宋体" w:cs="宋体"/>
          <w:color w:val="auto"/>
          <w:sz w:val="24"/>
          <w:szCs w:val="24"/>
          <w:highlight w:val="none"/>
        </w:rPr>
      </w:pPr>
      <w:r>
        <w:rPr>
          <w:rFonts w:hint="eastAsia" w:ascii="宋体" w:hAnsi="宋体" w:cs="宋体"/>
          <w:color w:val="auto"/>
          <w:sz w:val="24"/>
          <w:szCs w:val="24"/>
          <w:highlight w:val="none"/>
        </w:rPr>
        <w:t>第三篇   项目商务要求  ...........................................7</w:t>
      </w:r>
    </w:p>
    <w:p w14:paraId="556F38CE">
      <w:pPr>
        <w:spacing w:line="360" w:lineRule="auto"/>
        <w:ind w:left="220"/>
        <w:rPr>
          <w:rFonts w:ascii="宋体" w:hAnsi="宋体" w:cs="宋体"/>
          <w:color w:val="auto"/>
          <w:sz w:val="24"/>
          <w:szCs w:val="24"/>
          <w:highlight w:val="none"/>
        </w:rPr>
      </w:pPr>
      <w:r>
        <w:rPr>
          <w:rFonts w:hint="eastAsia" w:ascii="宋体" w:hAnsi="宋体" w:cs="宋体"/>
          <w:color w:val="auto"/>
          <w:sz w:val="24"/>
          <w:szCs w:val="24"/>
          <w:highlight w:val="none"/>
        </w:rPr>
        <w:t>第四篇   资格审查及评审办法  .................................... 9</w:t>
      </w:r>
    </w:p>
    <w:p w14:paraId="5CC5FBC3">
      <w:pPr>
        <w:spacing w:line="360"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第五篇   竞争性比选须知  .........................................15</w:t>
      </w:r>
    </w:p>
    <w:p w14:paraId="4DF01F95">
      <w:pPr>
        <w:spacing w:line="360"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第六篇   合同主要条款及格式合同  .................................17</w:t>
      </w:r>
    </w:p>
    <w:p w14:paraId="085B9EC9">
      <w:pPr>
        <w:spacing w:line="360" w:lineRule="auto"/>
        <w:ind w:firstLine="240" w:firstLineChars="100"/>
        <w:rPr>
          <w:rFonts w:ascii="宋体" w:hAnsi="宋体" w:cs="宋体"/>
          <w:color w:val="auto"/>
          <w:highlight w:val="none"/>
        </w:rPr>
        <w:sectPr>
          <w:footerReference r:id="rId4" w:type="default"/>
          <w:pgSz w:w="11906" w:h="16838"/>
          <w:pgMar w:top="2098" w:right="1531" w:bottom="1984" w:left="1531" w:header="851" w:footer="992" w:gutter="0"/>
          <w:pgNumType w:start="1"/>
          <w:cols w:space="720" w:num="1"/>
          <w:docGrid w:type="lines" w:linePitch="312" w:charSpace="0"/>
        </w:sectPr>
      </w:pPr>
      <w:r>
        <w:rPr>
          <w:rFonts w:hint="eastAsia" w:ascii="宋体" w:hAnsi="宋体" w:cs="宋体"/>
          <w:color w:val="auto"/>
          <w:sz w:val="24"/>
          <w:szCs w:val="24"/>
          <w:highlight w:val="none"/>
        </w:rPr>
        <w:t>第七篇   比选文件组成及要求格式  .................................25</w:t>
      </w:r>
    </w:p>
    <w:p w14:paraId="4EB895C1">
      <w:pPr>
        <w:spacing w:line="360" w:lineRule="auto"/>
        <w:jc w:val="center"/>
        <w:outlineLvl w:val="0"/>
        <w:rPr>
          <w:rFonts w:ascii="宋体" w:hAnsi="宋体" w:cs="宋体"/>
          <w:b/>
          <w:bCs/>
          <w:color w:val="auto"/>
          <w:sz w:val="36"/>
          <w:szCs w:val="36"/>
          <w:highlight w:val="none"/>
        </w:rPr>
      </w:pPr>
      <w:bookmarkStart w:id="0" w:name="_Toc317775175"/>
      <w:bookmarkEnd w:id="0"/>
      <w:bookmarkStart w:id="1" w:name="_Toc313893526"/>
      <w:bookmarkEnd w:id="1"/>
      <w:r>
        <w:rPr>
          <w:rFonts w:hint="eastAsia" w:ascii="宋体" w:hAnsi="宋体" w:cs="宋体"/>
          <w:b/>
          <w:bCs/>
          <w:color w:val="auto"/>
          <w:sz w:val="36"/>
          <w:szCs w:val="36"/>
          <w:highlight w:val="none"/>
        </w:rPr>
        <w:t>第一篇 比选公告</w:t>
      </w:r>
    </w:p>
    <w:p w14:paraId="2DC5C7A6">
      <w:pPr>
        <w:pStyle w:val="9"/>
        <w:ind w:firstLine="596" w:firstLineChars="213"/>
        <w:rPr>
          <w:rFonts w:ascii="宋体" w:hAnsi="宋体" w:eastAsia="宋体" w:cs="宋体"/>
          <w:color w:val="auto"/>
          <w:sz w:val="28"/>
          <w:szCs w:val="28"/>
          <w:highlight w:val="none"/>
          <w:u w:val="single"/>
        </w:rPr>
      </w:pPr>
    </w:p>
    <w:p w14:paraId="7CCF1996">
      <w:pPr>
        <w:pStyle w:val="9"/>
        <w:ind w:firstLine="511" w:firstLineChars="21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远度工程咨询（重庆）有限公司（以下简称：比选代理机构）接受重庆德润壹品环境治理有限公司的委托，对</w:t>
      </w:r>
      <w:r>
        <w:rPr>
          <w:rFonts w:hint="eastAsia" w:ascii="宋体" w:hAnsi="宋体" w:eastAsia="宋体" w:cs="宋体"/>
          <w:color w:val="auto"/>
          <w:sz w:val="24"/>
          <w:szCs w:val="24"/>
          <w:highlight w:val="none"/>
          <w:u w:val="single"/>
        </w:rPr>
        <w:t>一品河、黄溪河“清水绿岸”治理提升项目水土保持设施验收服务</w:t>
      </w:r>
      <w:r>
        <w:rPr>
          <w:rFonts w:hint="eastAsia" w:ascii="宋体" w:hAnsi="宋体" w:eastAsia="宋体" w:cs="宋体"/>
          <w:color w:val="auto"/>
          <w:sz w:val="24"/>
          <w:szCs w:val="24"/>
          <w:highlight w:val="none"/>
        </w:rPr>
        <w:t>进行比选。欢迎有资格的供应商前来参与比选。</w:t>
      </w:r>
    </w:p>
    <w:p w14:paraId="66BD80F0">
      <w:pPr>
        <w:pStyle w:val="9"/>
        <w:ind w:firstLine="513" w:firstLineChars="21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一、竞争性比选内容</w:t>
      </w:r>
    </w:p>
    <w:tbl>
      <w:tblPr>
        <w:tblStyle w:val="23"/>
        <w:tblpPr w:leftFromText="180" w:rightFromText="180" w:vertAnchor="text" w:horzAnchor="page" w:tblpXSpec="center" w:tblpY="258"/>
        <w:tblOverlap w:val="never"/>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5"/>
        <w:gridCol w:w="2326"/>
        <w:gridCol w:w="1417"/>
        <w:gridCol w:w="1616"/>
        <w:gridCol w:w="791"/>
      </w:tblGrid>
      <w:tr w14:paraId="68EC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345" w:type="dxa"/>
            <w:tcBorders>
              <w:top w:val="single" w:color="auto" w:sz="4" w:space="0"/>
              <w:left w:val="single" w:color="auto" w:sz="4" w:space="0"/>
              <w:right w:val="single" w:color="auto" w:sz="4" w:space="0"/>
            </w:tcBorders>
            <w:vAlign w:val="center"/>
          </w:tcPr>
          <w:p w14:paraId="335B2D81">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项目名称</w:t>
            </w:r>
          </w:p>
        </w:tc>
        <w:tc>
          <w:tcPr>
            <w:tcW w:w="2326" w:type="dxa"/>
            <w:tcBorders>
              <w:top w:val="single" w:color="auto" w:sz="4" w:space="0"/>
              <w:left w:val="single" w:color="auto" w:sz="4" w:space="0"/>
              <w:right w:val="single" w:color="auto" w:sz="4" w:space="0"/>
            </w:tcBorders>
            <w:vAlign w:val="center"/>
          </w:tcPr>
          <w:p w14:paraId="705AE00B">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最高限价（元）</w:t>
            </w:r>
          </w:p>
        </w:tc>
        <w:tc>
          <w:tcPr>
            <w:tcW w:w="1417" w:type="dxa"/>
            <w:tcBorders>
              <w:top w:val="single" w:color="auto" w:sz="4" w:space="0"/>
              <w:left w:val="single" w:color="auto" w:sz="4" w:space="0"/>
              <w:right w:val="single" w:color="auto" w:sz="4" w:space="0"/>
            </w:tcBorders>
            <w:vAlign w:val="center"/>
          </w:tcPr>
          <w:p w14:paraId="253C193D">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保证金</w:t>
            </w:r>
          </w:p>
          <w:p w14:paraId="14491B30">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（元）</w:t>
            </w:r>
          </w:p>
        </w:tc>
        <w:tc>
          <w:tcPr>
            <w:tcW w:w="1616" w:type="dxa"/>
            <w:tcBorders>
              <w:top w:val="single" w:color="auto" w:sz="4" w:space="0"/>
              <w:left w:val="single" w:color="auto" w:sz="4" w:space="0"/>
              <w:right w:val="single" w:color="auto" w:sz="4" w:space="0"/>
            </w:tcBorders>
            <w:vAlign w:val="center"/>
          </w:tcPr>
          <w:p w14:paraId="367EA688">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成交供应商数量（名）</w:t>
            </w:r>
          </w:p>
        </w:tc>
        <w:tc>
          <w:tcPr>
            <w:tcW w:w="791" w:type="dxa"/>
            <w:tcBorders>
              <w:top w:val="single" w:color="auto" w:sz="4" w:space="0"/>
              <w:left w:val="single" w:color="auto" w:sz="4" w:space="0"/>
              <w:right w:val="single" w:color="auto" w:sz="4" w:space="0"/>
            </w:tcBorders>
            <w:vAlign w:val="center"/>
          </w:tcPr>
          <w:p w14:paraId="5F829F5E">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3A6D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3345" w:type="dxa"/>
            <w:tcBorders>
              <w:top w:val="single" w:color="auto" w:sz="4" w:space="0"/>
              <w:left w:val="single" w:color="auto" w:sz="4" w:space="0"/>
              <w:bottom w:val="single" w:color="auto" w:sz="4" w:space="0"/>
              <w:right w:val="single" w:color="auto" w:sz="4" w:space="0"/>
            </w:tcBorders>
            <w:vAlign w:val="center"/>
          </w:tcPr>
          <w:p w14:paraId="26E82CB1">
            <w:pPr>
              <w:snapToGrid w:val="0"/>
              <w:spacing w:line="360" w:lineRule="auto"/>
              <w:rPr>
                <w:rFonts w:ascii="宋体" w:hAnsi="宋体" w:cs="宋体"/>
                <w:color w:val="auto"/>
                <w:sz w:val="24"/>
                <w:szCs w:val="24"/>
                <w:highlight w:val="none"/>
              </w:rPr>
            </w:pPr>
            <w:r>
              <w:rPr>
                <w:rFonts w:hint="eastAsia" w:ascii="宋体" w:hAnsi="宋体" w:eastAsia="宋体" w:cs="宋体"/>
                <w:color w:val="auto"/>
                <w:sz w:val="24"/>
                <w:szCs w:val="24"/>
                <w:highlight w:val="none"/>
                <w:u w:val="none"/>
              </w:rPr>
              <w:t>一品河、黄溪河“清水绿岸”治理提升项目</w:t>
            </w:r>
            <w:r>
              <w:rPr>
                <w:rFonts w:hint="eastAsia" w:ascii="宋体" w:hAnsi="宋体" w:cs="宋体"/>
                <w:color w:val="auto"/>
                <w:sz w:val="24"/>
                <w:szCs w:val="24"/>
                <w:highlight w:val="none"/>
              </w:rPr>
              <w:t>水土保持设施验收服务</w:t>
            </w:r>
          </w:p>
        </w:tc>
        <w:tc>
          <w:tcPr>
            <w:tcW w:w="2326" w:type="dxa"/>
            <w:tcBorders>
              <w:top w:val="single" w:color="auto" w:sz="4" w:space="0"/>
              <w:left w:val="single" w:color="auto" w:sz="4" w:space="0"/>
              <w:bottom w:val="single" w:color="auto" w:sz="4" w:space="0"/>
              <w:right w:val="single" w:color="auto" w:sz="4" w:space="0"/>
            </w:tcBorders>
            <w:vAlign w:val="center"/>
          </w:tcPr>
          <w:p w14:paraId="0E321C8D">
            <w:pPr>
              <w:snapToGrid w:val="0"/>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250</w:t>
            </w:r>
            <w:r>
              <w:rPr>
                <w:rFonts w:ascii="宋体" w:hAnsi="宋体" w:cs="宋体"/>
                <w:color w:val="auto"/>
                <w:sz w:val="24"/>
                <w:szCs w:val="24"/>
                <w:highlight w:val="none"/>
              </w:rPr>
              <w:t>000</w:t>
            </w:r>
          </w:p>
        </w:tc>
        <w:tc>
          <w:tcPr>
            <w:tcW w:w="1417" w:type="dxa"/>
            <w:tcBorders>
              <w:top w:val="single" w:color="auto" w:sz="4" w:space="0"/>
              <w:left w:val="single" w:color="auto" w:sz="4" w:space="0"/>
              <w:bottom w:val="single" w:color="auto" w:sz="4" w:space="0"/>
              <w:right w:val="single" w:color="auto" w:sz="4" w:space="0"/>
            </w:tcBorders>
            <w:vAlign w:val="center"/>
          </w:tcPr>
          <w:p w14:paraId="3FB42170">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000</w:t>
            </w:r>
          </w:p>
        </w:tc>
        <w:tc>
          <w:tcPr>
            <w:tcW w:w="1616" w:type="dxa"/>
            <w:tcBorders>
              <w:top w:val="single" w:color="auto" w:sz="4" w:space="0"/>
              <w:left w:val="single" w:color="auto" w:sz="4" w:space="0"/>
              <w:bottom w:val="single" w:color="auto" w:sz="4" w:space="0"/>
              <w:right w:val="single" w:color="auto" w:sz="4" w:space="0"/>
            </w:tcBorders>
            <w:vAlign w:val="center"/>
          </w:tcPr>
          <w:p w14:paraId="1B14222E">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91" w:type="dxa"/>
            <w:tcBorders>
              <w:top w:val="single" w:color="auto" w:sz="4" w:space="0"/>
              <w:left w:val="single" w:color="auto" w:sz="4" w:space="0"/>
              <w:bottom w:val="single" w:color="auto" w:sz="4" w:space="0"/>
              <w:right w:val="single" w:color="auto" w:sz="4" w:space="0"/>
            </w:tcBorders>
            <w:vAlign w:val="center"/>
          </w:tcPr>
          <w:p w14:paraId="5CDB6C1D">
            <w:pPr>
              <w:snapToGrid w:val="0"/>
              <w:spacing w:line="360" w:lineRule="auto"/>
              <w:ind w:firstLine="360" w:firstLineChars="150"/>
              <w:jc w:val="center"/>
              <w:rPr>
                <w:rFonts w:ascii="宋体" w:hAnsi="宋体" w:cs="宋体"/>
                <w:color w:val="auto"/>
                <w:sz w:val="24"/>
                <w:szCs w:val="24"/>
                <w:highlight w:val="none"/>
              </w:rPr>
            </w:pPr>
          </w:p>
        </w:tc>
      </w:tr>
    </w:tbl>
    <w:p w14:paraId="069AE497">
      <w:pPr>
        <w:snapToGrid w:val="0"/>
        <w:spacing w:before="312" w:beforeLines="100"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二、资金来源</w:t>
      </w:r>
    </w:p>
    <w:p w14:paraId="3CA4D664">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比选人自筹资金。</w:t>
      </w:r>
    </w:p>
    <w:p w14:paraId="29C99C57">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三、供应商资格条件</w:t>
      </w:r>
    </w:p>
    <w:p w14:paraId="4681F600">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供应商是指向比选人提供服务的法人、其他组织或者自然人。合格的供应商应首先符合规定的基本资格条件，同时符合根据该项目特点设置的特定资格条件。</w:t>
      </w:r>
    </w:p>
    <w:p w14:paraId="1FF8303C">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（一）基本资格条件</w:t>
      </w:r>
    </w:p>
    <w:p w14:paraId="1FFD7709">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7F53BF94">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41A58AF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3E742424">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70285EA8">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5.参加本次竞争性比选活动前三年内，在经营活动中没有重大违法记录。</w:t>
      </w:r>
    </w:p>
    <w:p w14:paraId="55FE18CE">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5BCC992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（二）特定资格条件</w:t>
      </w:r>
    </w:p>
    <w:p w14:paraId="1C640805">
      <w:pPr>
        <w:snapToGrid w:val="0"/>
        <w:spacing w:line="348" w:lineRule="auto"/>
        <w:ind w:firstLine="480" w:firstLineChars="200"/>
        <w:rPr>
          <w:rFonts w:ascii="宋体" w:hAnsi="宋体" w:cs="宋体"/>
          <w:color w:val="auto"/>
          <w:sz w:val="24"/>
          <w:szCs w:val="24"/>
          <w:highlight w:val="none"/>
        </w:rPr>
      </w:pPr>
      <w:bookmarkStart w:id="2" w:name="_Toc74833906"/>
      <w:r>
        <w:rPr>
          <w:rFonts w:hint="eastAsia" w:ascii="宋体" w:hAnsi="宋体" w:cs="宋体"/>
          <w:color w:val="auto"/>
          <w:sz w:val="24"/>
          <w:szCs w:val="24"/>
          <w:highlight w:val="none"/>
        </w:rPr>
        <w:t>本次招标要求投标人具备的业绩条件：</w:t>
      </w:r>
      <w:bookmarkEnd w:id="2"/>
      <w:r>
        <w:rPr>
          <w:rFonts w:hint="eastAsia" w:ascii="宋体" w:hAnsi="宋体" w:cs="宋体"/>
          <w:color w:val="auto"/>
          <w:sz w:val="24"/>
          <w:szCs w:val="24"/>
          <w:highlight w:val="none"/>
        </w:rPr>
        <w:t>2022年1月1日起</w:t>
      </w:r>
      <w:r>
        <w:rPr>
          <w:rFonts w:hint="eastAsia" w:ascii="宋体" w:hAnsi="宋体" w:cs="宋体"/>
          <w:color w:val="auto"/>
          <w:kern w:val="0"/>
          <w:sz w:val="24"/>
          <w:szCs w:val="24"/>
          <w:highlight w:val="none"/>
        </w:rPr>
        <w:t>至投标截止时间止</w:t>
      </w:r>
      <w:r>
        <w:rPr>
          <w:rFonts w:hint="eastAsia" w:ascii="宋体" w:hAnsi="宋体" w:cs="宋体"/>
          <w:color w:val="auto"/>
          <w:sz w:val="24"/>
          <w:szCs w:val="24"/>
          <w:highlight w:val="none"/>
        </w:rPr>
        <w:t>（以合同签订时间为准），至少承担过1项水土保持设施验收业绩。</w:t>
      </w:r>
    </w:p>
    <w:p w14:paraId="6299E1E3">
      <w:pPr>
        <w:numPr>
          <w:ilvl w:val="0"/>
          <w:numId w:val="1"/>
        </w:numPr>
        <w:snapToGrid w:val="0"/>
        <w:spacing w:line="46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比选有关说明</w:t>
      </w:r>
    </w:p>
    <w:p w14:paraId="266325CF">
      <w:pPr>
        <w:spacing w:line="440" w:lineRule="exact"/>
        <w:ind w:firstLine="480" w:firstLineChars="200"/>
        <w:rPr>
          <w:rFonts w:hint="eastAsia" w:ascii="宋体" w:hAnsi="宋体" w:cs="宋体"/>
          <w:sz w:val="24"/>
          <w:szCs w:val="24"/>
        </w:rPr>
      </w:pPr>
      <w:r>
        <w:rPr>
          <w:rFonts w:hint="eastAsia" w:ascii="宋体" w:hAnsi="宋体" w:cs="宋体"/>
          <w:sz w:val="24"/>
          <w:szCs w:val="24"/>
        </w:rPr>
        <w:t>（一）供应商应通过“行采家”平台（https://www.gec123.com）进行注册，成为行采家平台供应商。</w:t>
      </w:r>
    </w:p>
    <w:p w14:paraId="53B2096A">
      <w:pPr>
        <w:spacing w:line="440" w:lineRule="exact"/>
        <w:ind w:firstLine="480" w:firstLineChars="200"/>
        <w:rPr>
          <w:rFonts w:hint="eastAsia" w:ascii="宋体" w:hAnsi="宋体" w:cs="宋体"/>
          <w:sz w:val="24"/>
          <w:szCs w:val="24"/>
        </w:rPr>
      </w:pPr>
      <w:r>
        <w:rPr>
          <w:rFonts w:hint="eastAsia" w:ascii="宋体" w:hAnsi="宋体" w:cs="宋体"/>
          <w:sz w:val="24"/>
          <w:szCs w:val="24"/>
        </w:rPr>
        <w:t>（二）凡有意参加采购的供应商，请在行采家（https://www.gec123.com/）网上下载本项目竞争性比选文件以及变更等采购前公布的所有项目资料，无论供应商下载与否，均视为已知晓所有采购实质性要求内容。</w:t>
      </w:r>
    </w:p>
    <w:p w14:paraId="630ED0E0">
      <w:pPr>
        <w:spacing w:line="440" w:lineRule="exact"/>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三）</w:t>
      </w:r>
      <w:r>
        <w:rPr>
          <w:rFonts w:hint="eastAsia" w:ascii="宋体" w:hAnsi="宋体" w:cs="宋体"/>
          <w:sz w:val="24"/>
          <w:szCs w:val="24"/>
        </w:rPr>
        <w:t>比选文件公告期限：自公告发布之日（202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3</w:t>
      </w:r>
      <w:r>
        <w:rPr>
          <w:rFonts w:hint="eastAsia" w:ascii="宋体" w:hAnsi="宋体" w:cs="宋体"/>
          <w:sz w:val="24"/>
          <w:szCs w:val="24"/>
        </w:rPr>
        <w:t>月</w:t>
      </w:r>
      <w:r>
        <w:rPr>
          <w:rFonts w:hint="eastAsia" w:ascii="宋体" w:hAnsi="宋体" w:cs="宋体"/>
          <w:sz w:val="24"/>
          <w:szCs w:val="24"/>
          <w:lang w:val="en-US" w:eastAsia="zh-CN"/>
        </w:rPr>
        <w:t>25</w:t>
      </w:r>
      <w:r>
        <w:rPr>
          <w:rFonts w:hint="eastAsia" w:ascii="宋体" w:hAnsi="宋体" w:cs="宋体"/>
          <w:sz w:val="24"/>
          <w:szCs w:val="24"/>
        </w:rPr>
        <w:t>日）起五个工作日。</w:t>
      </w:r>
    </w:p>
    <w:p w14:paraId="04CCAB32">
      <w:pPr>
        <w:spacing w:line="44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四</w:t>
      </w:r>
      <w:r>
        <w:rPr>
          <w:rFonts w:hint="eastAsia" w:ascii="宋体" w:hAnsi="宋体" w:cs="宋体"/>
          <w:sz w:val="24"/>
          <w:szCs w:val="24"/>
        </w:rPr>
        <w:t>）报名及比选文件发售</w:t>
      </w:r>
    </w:p>
    <w:p w14:paraId="1437BF1D">
      <w:pPr>
        <w:spacing w:line="440" w:lineRule="exact"/>
        <w:ind w:firstLine="480" w:firstLineChars="200"/>
        <w:rPr>
          <w:rFonts w:ascii="宋体" w:hAnsi="宋体" w:cs="宋体"/>
          <w:sz w:val="24"/>
          <w:szCs w:val="24"/>
        </w:rPr>
      </w:pPr>
      <w:r>
        <w:rPr>
          <w:rFonts w:hint="eastAsia" w:ascii="宋体" w:hAnsi="宋体" w:cs="宋体"/>
          <w:sz w:val="24"/>
          <w:szCs w:val="24"/>
        </w:rPr>
        <w:t>1.报名和比选文件发售期：202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3</w:t>
      </w:r>
      <w:r>
        <w:rPr>
          <w:rFonts w:hint="eastAsia" w:ascii="宋体" w:hAnsi="宋体" w:cs="宋体"/>
          <w:sz w:val="24"/>
          <w:szCs w:val="24"/>
        </w:rPr>
        <w:t>月</w:t>
      </w:r>
      <w:r>
        <w:rPr>
          <w:rFonts w:hint="eastAsia" w:ascii="宋体" w:hAnsi="宋体" w:cs="宋体"/>
          <w:sz w:val="24"/>
          <w:szCs w:val="24"/>
          <w:lang w:val="en-US" w:eastAsia="zh-CN"/>
        </w:rPr>
        <w:t>25</w:t>
      </w:r>
      <w:r>
        <w:rPr>
          <w:rFonts w:hint="eastAsia" w:ascii="宋体" w:hAnsi="宋体" w:cs="宋体"/>
          <w:sz w:val="24"/>
          <w:szCs w:val="24"/>
        </w:rPr>
        <w:t>日-202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3</w:t>
      </w:r>
      <w:r>
        <w:rPr>
          <w:rFonts w:hint="eastAsia" w:ascii="宋体" w:hAnsi="宋体" w:cs="宋体"/>
          <w:sz w:val="24"/>
          <w:szCs w:val="24"/>
        </w:rPr>
        <w:t>月</w:t>
      </w:r>
      <w:r>
        <w:rPr>
          <w:rFonts w:hint="eastAsia" w:ascii="宋体" w:hAnsi="宋体" w:cs="宋体"/>
          <w:sz w:val="24"/>
          <w:szCs w:val="24"/>
          <w:lang w:val="en-US" w:eastAsia="zh-CN"/>
        </w:rPr>
        <w:t>31</w:t>
      </w:r>
      <w:r>
        <w:rPr>
          <w:rFonts w:hint="eastAsia" w:ascii="宋体" w:hAnsi="宋体" w:cs="宋体"/>
          <w:sz w:val="24"/>
          <w:szCs w:val="24"/>
        </w:rPr>
        <w:t>日17:00（工作时间）</w:t>
      </w:r>
    </w:p>
    <w:p w14:paraId="0794C73A">
      <w:pPr>
        <w:spacing w:line="440" w:lineRule="exact"/>
        <w:ind w:firstLine="480" w:firstLineChars="200"/>
        <w:rPr>
          <w:rFonts w:ascii="宋体" w:hAnsi="宋体" w:cs="宋体"/>
          <w:sz w:val="24"/>
          <w:szCs w:val="24"/>
        </w:rPr>
      </w:pPr>
      <w:r>
        <w:rPr>
          <w:rFonts w:hint="eastAsia" w:ascii="宋体" w:hAnsi="宋体" w:cs="宋体"/>
          <w:sz w:val="24"/>
          <w:szCs w:val="24"/>
        </w:rPr>
        <w:t>2.比选文件售价：人民币300元/份（售后不退）</w:t>
      </w:r>
    </w:p>
    <w:p w14:paraId="5CAD79C7">
      <w:pPr>
        <w:spacing w:line="440" w:lineRule="exact"/>
        <w:ind w:firstLine="480" w:firstLineChars="200"/>
        <w:rPr>
          <w:rFonts w:hint="eastAsia" w:ascii="宋体" w:hAnsi="宋体" w:cs="宋体"/>
          <w:sz w:val="24"/>
          <w:szCs w:val="24"/>
        </w:rPr>
      </w:pPr>
      <w:r>
        <w:rPr>
          <w:rFonts w:hint="eastAsia" w:ascii="宋体" w:hAnsi="宋体" w:cs="宋体"/>
          <w:sz w:val="24"/>
          <w:szCs w:val="24"/>
        </w:rPr>
        <w:t>3.比选文件购买方式</w:t>
      </w:r>
    </w:p>
    <w:p w14:paraId="4FE0866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在竞争性比选文件</w:t>
      </w:r>
      <w:r>
        <w:rPr>
          <w:rFonts w:hint="eastAsia" w:ascii="宋体" w:hAnsi="宋体" w:cs="宋体"/>
          <w:sz w:val="24"/>
          <w:szCs w:val="24"/>
        </w:rPr>
        <w:t>发售</w:t>
      </w:r>
      <w:r>
        <w:rPr>
          <w:rFonts w:hint="eastAsia" w:ascii="宋体" w:hAnsi="宋体" w:eastAsia="宋体" w:cs="宋体"/>
          <w:sz w:val="24"/>
          <w:szCs w:val="24"/>
          <w:lang w:val="en-US" w:eastAsia="zh-CN"/>
        </w:rPr>
        <w:t>内，竞选人将《采购文件发售登记表》（加盖竞选人公章）、缴费凭证扫描后发送邮箱2602311921@qq.com（邮箱截止时间按邮箱显示邮件达到时间为准）。</w:t>
      </w:r>
    </w:p>
    <w:p w14:paraId="0A8F060C">
      <w:pPr>
        <w:numPr>
          <w:ilvl w:val="0"/>
          <w:numId w:val="2"/>
        </w:numPr>
        <w:spacing w:line="440" w:lineRule="exact"/>
        <w:ind w:left="-60" w:leftChars="0" w:firstLine="480" w:firstLineChars="0"/>
        <w:rPr>
          <w:rFonts w:hint="eastAsia" w:ascii="宋体" w:hAnsi="宋体" w:cs="宋体"/>
          <w:sz w:val="24"/>
          <w:szCs w:val="24"/>
        </w:rPr>
      </w:pPr>
      <w:r>
        <w:rPr>
          <w:rFonts w:hint="eastAsia" w:ascii="宋体" w:hAnsi="宋体" w:eastAsia="宋体" w:cs="宋体"/>
          <w:sz w:val="24"/>
          <w:szCs w:val="24"/>
        </w:rPr>
        <w:t>在竞争性比选文件获取期限内缴纳了工本费</w:t>
      </w:r>
      <w:r>
        <w:rPr>
          <w:rFonts w:hint="eastAsia" w:ascii="宋体" w:hAnsi="宋体" w:eastAsia="宋体" w:cs="宋体"/>
          <w:sz w:val="24"/>
          <w:szCs w:val="24"/>
          <w:lang w:val="en-US" w:eastAsia="zh-CN"/>
        </w:rPr>
        <w:t>和</w:t>
      </w:r>
      <w:r>
        <w:rPr>
          <w:rFonts w:hint="eastAsia" w:ascii="宋体" w:hAnsi="宋体" w:eastAsia="宋体" w:cs="宋体"/>
          <w:sz w:val="24"/>
          <w:szCs w:val="24"/>
        </w:rPr>
        <w:t>回传《</w:t>
      </w:r>
      <w:r>
        <w:rPr>
          <w:rFonts w:hint="eastAsia" w:ascii="宋体" w:hAnsi="宋体" w:eastAsia="宋体" w:cs="宋体"/>
          <w:sz w:val="24"/>
          <w:szCs w:val="24"/>
          <w:lang w:val="en-US" w:eastAsia="zh-CN"/>
        </w:rPr>
        <w:t>采购文件发售登记表</w:t>
      </w:r>
      <w:r>
        <w:rPr>
          <w:rFonts w:hint="eastAsia" w:ascii="宋体" w:hAnsi="宋体" w:eastAsia="宋体" w:cs="宋体"/>
          <w:sz w:val="24"/>
          <w:szCs w:val="24"/>
        </w:rPr>
        <w:t>》的竞选人，其</w:t>
      </w:r>
      <w:r>
        <w:rPr>
          <w:rFonts w:hint="eastAsia" w:ascii="宋体" w:hAnsi="宋体" w:eastAsia="宋体" w:cs="宋体"/>
          <w:sz w:val="24"/>
          <w:szCs w:val="24"/>
          <w:lang w:eastAsia="zh-CN"/>
        </w:rPr>
        <w:t>竞选文件</w:t>
      </w:r>
      <w:r>
        <w:rPr>
          <w:rFonts w:hint="eastAsia" w:ascii="宋体" w:hAnsi="宋体" w:eastAsia="宋体" w:cs="宋体"/>
          <w:sz w:val="24"/>
          <w:szCs w:val="24"/>
        </w:rPr>
        <w:t>才能被接收</w:t>
      </w:r>
      <w:r>
        <w:rPr>
          <w:rFonts w:hint="eastAsia" w:ascii="宋体" w:hAnsi="宋体" w:cs="宋体"/>
          <w:sz w:val="24"/>
          <w:szCs w:val="24"/>
        </w:rPr>
        <w:t>。</w:t>
      </w:r>
    </w:p>
    <w:p w14:paraId="3574B985">
      <w:pPr>
        <w:pStyle w:val="2"/>
        <w:numPr>
          <w:ilvl w:val="0"/>
          <w:numId w:val="3"/>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"mailto:4.5竞选人可向代理机构提问，提问时间从本公告发布至2024年2月21日12时00分（北京时间）前发送至电子邮箱（1493461299@qq.com）。"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供应商可向代理机构提问，提问时间从本公告发布至2025年3月31日17时00分（北京时间）前发送至电子邮箱（</w:t>
      </w:r>
      <w:r>
        <w:rPr>
          <w:rFonts w:hint="eastAsia" w:ascii="宋体" w:hAnsi="宋体" w:eastAsia="宋体" w:cs="宋体"/>
          <w:sz w:val="24"/>
          <w:szCs w:val="24"/>
          <w:lang w:val="en-US" w:eastAsia="zh-CN"/>
        </w:rPr>
        <w:t>2602311921@qq.com</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fldChar w:fldCharType="end"/>
      </w:r>
    </w:p>
    <w:p w14:paraId="38FCD1DA">
      <w:pPr>
        <w:numPr>
          <w:ilvl w:val="0"/>
          <w:numId w:val="0"/>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6、比选人应于2025年4月2日17时00分（北京时间）前发布澄清及补遗文件。</w:t>
      </w:r>
    </w:p>
    <w:p w14:paraId="530B6460">
      <w:pPr>
        <w:spacing w:line="440" w:lineRule="exact"/>
        <w:ind w:firstLine="480" w:firstLineChars="200"/>
        <w:rPr>
          <w:rFonts w:ascii="宋体" w:hAnsi="宋体" w:cs="宋体"/>
          <w:sz w:val="24"/>
          <w:szCs w:val="24"/>
        </w:rPr>
      </w:pPr>
      <w:r>
        <w:rPr>
          <w:rFonts w:hint="eastAsia" w:ascii="宋体" w:hAnsi="宋体" w:eastAsia="宋体" w:cs="宋体"/>
          <w:kern w:val="2"/>
          <w:sz w:val="24"/>
          <w:szCs w:val="24"/>
          <w:lang w:val="en-US" w:eastAsia="zh-CN" w:bidi="ar-SA"/>
        </w:rPr>
        <w:t xml:space="preserve">（四）响应文件递交开始时间：2025年4月8日 14 </w:t>
      </w:r>
      <w:r>
        <w:rPr>
          <w:rFonts w:hint="eastAsia" w:ascii="宋体" w:hAnsi="宋体" w:cs="宋体"/>
          <w:sz w:val="24"/>
          <w:szCs w:val="24"/>
        </w:rPr>
        <w:t>时00分（北京时间）。</w:t>
      </w:r>
    </w:p>
    <w:p w14:paraId="530457CC">
      <w:pPr>
        <w:spacing w:line="440" w:lineRule="exact"/>
        <w:ind w:firstLine="480" w:firstLineChars="200"/>
        <w:rPr>
          <w:rFonts w:ascii="宋体" w:hAnsi="宋体" w:cs="宋体"/>
          <w:sz w:val="24"/>
          <w:szCs w:val="24"/>
        </w:rPr>
      </w:pPr>
      <w:r>
        <w:rPr>
          <w:rFonts w:hint="eastAsia" w:ascii="宋体" w:hAnsi="宋体" w:cs="宋体"/>
          <w:sz w:val="24"/>
          <w:szCs w:val="24"/>
        </w:rPr>
        <w:t>（五）响应文件递交截止时间：202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8</w:t>
      </w:r>
      <w:r>
        <w:rPr>
          <w:rFonts w:hint="eastAsia" w:ascii="宋体" w:hAnsi="宋体" w:cs="宋体"/>
          <w:sz w:val="24"/>
          <w:szCs w:val="24"/>
        </w:rPr>
        <w:t>日 14 时30分（北京时间）。</w:t>
      </w:r>
    </w:p>
    <w:p w14:paraId="027D79C2">
      <w:pPr>
        <w:spacing w:line="440" w:lineRule="exact"/>
        <w:ind w:firstLine="480" w:firstLineChars="200"/>
        <w:rPr>
          <w:rFonts w:hint="eastAsia" w:ascii="宋体" w:hAnsi="宋体" w:cs="宋体"/>
          <w:sz w:val="24"/>
          <w:szCs w:val="24"/>
        </w:rPr>
      </w:pPr>
      <w:r>
        <w:rPr>
          <w:rFonts w:hint="eastAsia" w:ascii="宋体" w:hAnsi="宋体" w:cs="宋体"/>
          <w:sz w:val="24"/>
          <w:szCs w:val="24"/>
        </w:rPr>
        <w:t>（六）响应文件递交地点：重庆市渝北区树兰路178号晶瑞大厦1栋13A-5。</w:t>
      </w:r>
    </w:p>
    <w:p w14:paraId="1B238683">
      <w:pPr>
        <w:pStyle w:val="2"/>
        <w:spacing w:line="360" w:lineRule="auto"/>
        <w:rPr>
          <w:rFonts w:hint="eastAsia"/>
          <w:lang w:val="en-US" w:eastAsia="zh-CN"/>
        </w:rPr>
      </w:pPr>
      <w:r>
        <w:rPr>
          <w:rFonts w:hint="eastAsia" w:ascii="宋体" w:hAnsi="宋体" w:cs="宋体"/>
          <w:sz w:val="24"/>
          <w:szCs w:val="24"/>
          <w:lang w:val="en-US" w:eastAsia="zh-CN"/>
        </w:rPr>
        <w:t xml:space="preserve">    </w:t>
      </w:r>
      <w:r>
        <w:rPr>
          <w:rFonts w:hint="eastAsia" w:ascii="宋体" w:hAnsi="宋体" w:cs="宋体"/>
          <w:sz w:val="24"/>
          <w:szCs w:val="24"/>
        </w:rPr>
        <w:t>（七）</w:t>
      </w:r>
      <w:r>
        <w:rPr>
          <w:rFonts w:hint="eastAsia" w:ascii="宋体" w:hAnsi="宋体" w:eastAsia="宋体" w:cs="宋体"/>
          <w:kern w:val="2"/>
          <w:sz w:val="24"/>
          <w:szCs w:val="24"/>
          <w:lang w:val="en-US" w:eastAsia="zh-CN" w:bidi="ar-SA"/>
        </w:rPr>
        <w:t>供应商需进行网上报价，需填报价格</w:t>
      </w:r>
      <w:bookmarkStart w:id="63" w:name="_GoBack"/>
      <w:bookmarkEnd w:id="63"/>
      <w:r>
        <w:rPr>
          <w:rFonts w:hint="eastAsia" w:ascii="宋体" w:hAnsi="宋体" w:eastAsia="宋体" w:cs="宋体"/>
          <w:kern w:val="2"/>
          <w:sz w:val="24"/>
          <w:szCs w:val="24"/>
          <w:lang w:val="en-US" w:eastAsia="zh-CN" w:bidi="ar-SA"/>
        </w:rPr>
        <w:t>。网上报价开始时间为2025年4月8日9时00分；网上报价截止时间为2025年4月8日14时30分。</w:t>
      </w:r>
    </w:p>
    <w:p w14:paraId="450DC4E6">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五、竞争性比选保证金</w:t>
      </w:r>
    </w:p>
    <w:p w14:paraId="46BEA63F">
      <w:pPr>
        <w:shd w:val="clear" w:color="auto" w:fill="FFFFFF"/>
        <w:spacing w:line="440" w:lineRule="exact"/>
        <w:ind w:firstLine="480"/>
        <w:rPr>
          <w:rFonts w:ascii="宋体" w:hAnsi="宋体" w:cs="宋体"/>
          <w:color w:val="auto"/>
          <w:sz w:val="24"/>
          <w:szCs w:val="24"/>
          <w:highlight w:val="none"/>
        </w:rPr>
      </w:pPr>
      <w:bookmarkStart w:id="3" w:name="_Toc30536"/>
      <w:r>
        <w:rPr>
          <w:rFonts w:hint="eastAsia" w:ascii="宋体" w:hAnsi="宋体" w:cs="宋体"/>
          <w:color w:val="auto"/>
          <w:sz w:val="24"/>
          <w:szCs w:val="24"/>
          <w:highlight w:val="none"/>
        </w:rPr>
        <w:t>（一）缴纳保证金方式</w:t>
      </w:r>
    </w:p>
    <w:p w14:paraId="13DEFF93">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保证金以转账方式从供应商单位基本银行账户支付至保证金账户</w:t>
      </w:r>
    </w:p>
    <w:p w14:paraId="4F3FFE96">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（二）保证金账户</w:t>
      </w:r>
    </w:p>
    <w:p w14:paraId="2986A90E">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户    名:</w:t>
      </w:r>
      <w:r>
        <w:rPr>
          <w:rFonts w:hint="eastAsia" w:ascii="宋体" w:hAnsi="宋体" w:cs="宋体"/>
          <w:color w:val="auto"/>
          <w:kern w:val="0"/>
          <w:sz w:val="24"/>
          <w:szCs w:val="24"/>
          <w:highlight w:val="none"/>
        </w:rPr>
        <w:t>远度工程咨询（重庆）有限公司</w:t>
      </w:r>
      <w:r>
        <w:rPr>
          <w:rFonts w:hint="eastAsia" w:ascii="宋体" w:hAnsi="宋体" w:cs="宋体"/>
          <w:color w:val="auto"/>
          <w:sz w:val="24"/>
          <w:szCs w:val="24"/>
          <w:highlight w:val="none"/>
        </w:rPr>
        <w:t xml:space="preserve"> </w:t>
      </w:r>
    </w:p>
    <w:p w14:paraId="6B5CBF5E">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账    号：113023825513</w:t>
      </w:r>
    </w:p>
    <w:p w14:paraId="79B8BC47">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 户 行：中国银行股份有限公司重庆龙华支行</w:t>
      </w:r>
    </w:p>
    <w:p w14:paraId="11CA4796">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（三）缴纳保证金方式</w:t>
      </w:r>
    </w:p>
    <w:p w14:paraId="612BACC0">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投标人将保证金从供应商开户银行账户按规定金额一次性支付至保证金指定账户内，并于2025年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04</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08</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时00分（北京时间）前到账，供应商应自行考虑保证金的汇入时间风险，否则出现的一切后果由供应商自行负责。</w:t>
      </w:r>
    </w:p>
    <w:p w14:paraId="70FF7049">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注：1.保证金未按比选文件要求缴纳、未在规定时间内到账，视为未缴纳该项目的保证金，不能参加本次比选。</w:t>
      </w:r>
    </w:p>
    <w:p w14:paraId="73D5FE84">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2.供应商须在付款凭证备注栏中注明 ：“</w:t>
      </w:r>
      <w:r>
        <w:rPr>
          <w:rFonts w:hint="eastAsia" w:ascii="宋体" w:hAnsi="宋体" w:cs="宋体"/>
          <w:color w:val="auto"/>
          <w:sz w:val="24"/>
          <w:szCs w:val="24"/>
          <w:highlight w:val="none"/>
          <w:u w:val="single"/>
        </w:rPr>
        <w:t>一品河、黄溪河“清水绿岸”治理提升项目水土保持设施验收服务</w:t>
      </w:r>
      <w:r>
        <w:rPr>
          <w:rFonts w:hint="eastAsia" w:ascii="宋体" w:hAnsi="宋体" w:cs="宋体"/>
          <w:color w:val="auto"/>
          <w:sz w:val="24"/>
          <w:szCs w:val="24"/>
          <w:highlight w:val="none"/>
        </w:rPr>
        <w:t>”，可以简写为</w:t>
      </w:r>
      <w:r>
        <w:rPr>
          <w:rFonts w:hint="eastAsia" w:ascii="宋体" w:hAnsi="宋体" w:cs="宋体"/>
          <w:color w:val="auto"/>
          <w:sz w:val="24"/>
          <w:szCs w:val="24"/>
          <w:highlight w:val="none"/>
          <w:u w:val="single"/>
        </w:rPr>
        <w:t>水保验收服务</w:t>
      </w:r>
      <w:r>
        <w:rPr>
          <w:rFonts w:hint="eastAsia" w:ascii="宋体" w:hAnsi="宋体" w:cs="宋体"/>
          <w:color w:val="auto"/>
          <w:sz w:val="24"/>
          <w:szCs w:val="24"/>
          <w:highlight w:val="none"/>
        </w:rPr>
        <w:t>。</w:t>
      </w:r>
    </w:p>
    <w:p w14:paraId="45E141F3">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（四）保证金退还方式</w:t>
      </w:r>
    </w:p>
    <w:p w14:paraId="46028392">
      <w:pPr>
        <w:snapToGrid w:val="0"/>
        <w:spacing w:line="360" w:lineRule="auto"/>
        <w:ind w:firstLine="499" w:firstLineChars="208"/>
        <w:rPr>
          <w:rFonts w:ascii="宋体" w:hAnsi="宋体" w:cs="宋体"/>
          <w:color w:val="auto"/>
          <w:sz w:val="24"/>
          <w:szCs w:val="24"/>
          <w:highlight w:val="none"/>
        </w:rPr>
      </w:pPr>
      <w:r>
        <w:rPr>
          <w:rFonts w:hint="eastAsia" w:ascii="宋体" w:hAnsi="宋体" w:cs="宋体"/>
          <w:color w:val="auto"/>
          <w:sz w:val="24"/>
          <w:szCs w:val="24"/>
          <w:highlight w:val="none"/>
        </w:rPr>
        <w:t>本项目《成交通知书》发出后五个工作日内退还候选人以外的保证金；成交供应商按照本比选文件与比选人签订合同后五个工作日内退还候选人保证金。</w:t>
      </w:r>
      <w:bookmarkEnd w:id="3"/>
    </w:p>
    <w:p w14:paraId="52F0015B">
      <w:pPr>
        <w:snapToGrid w:val="0"/>
        <w:spacing w:line="360" w:lineRule="auto"/>
        <w:ind w:firstLine="501" w:firstLineChars="208"/>
        <w:rPr>
          <w:rFonts w:ascii="宋体" w:hAnsi="宋体" w:cs="宋体"/>
          <w:b/>
          <w:bCs/>
          <w:color w:val="auto"/>
          <w:sz w:val="24"/>
          <w:szCs w:val="24"/>
          <w:highlight w:val="none"/>
        </w:rPr>
      </w:pPr>
      <w:r>
        <w:rPr>
          <w:rFonts w:hint="eastAsia" w:ascii="宋体" w:hAnsi="宋体" w:cs="宋体"/>
          <w:b/>
          <w:bCs/>
          <w:color w:val="auto"/>
          <w:sz w:val="24"/>
          <w:szCs w:val="24"/>
          <w:highlight w:val="none"/>
        </w:rPr>
        <w:t>六、其它有关规定</w:t>
      </w:r>
    </w:p>
    <w:p w14:paraId="493A850F">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（一）单位负责人为同一人或者存在直接控股、管理关系的不同供应商，不得参加本次竞争性比选活动，否则均为响应无效。</w:t>
      </w:r>
    </w:p>
    <w:p w14:paraId="6971A2AF">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（二）为比选项目提供整体设计、规范编制或者项目管理、监理、检测等服务的供应商，不得参加本次竞争性比选项目。</w:t>
      </w:r>
    </w:p>
    <w:p w14:paraId="67A928A4">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（三)本项目的补遗文件（如果有）一律在</w:t>
      </w:r>
      <w:r>
        <w:rPr>
          <w:rFonts w:hint="eastAsia" w:ascii="宋体" w:hAnsi="宋体" w:cs="宋体"/>
          <w:snapToGrid w:val="0"/>
          <w:color w:val="auto"/>
          <w:kern w:val="0"/>
          <w:sz w:val="24"/>
          <w:szCs w:val="24"/>
          <w:highlight w:val="none"/>
        </w:rPr>
        <w:t>“行采家”平台</w:t>
      </w:r>
      <w:r>
        <w:rPr>
          <w:rFonts w:hint="eastAsia" w:ascii="宋体" w:hAnsi="宋体" w:cs="宋体"/>
          <w:color w:val="auto"/>
          <w:sz w:val="24"/>
          <w:szCs w:val="24"/>
          <w:highlight w:val="none"/>
        </w:rPr>
        <w:t>（https://www.gec123.com/）上发布，请各供应商注意下载；无论供应商下载与否，均视同供应商已知晓本项目补遗文件（如果有）的内容。</w:t>
      </w:r>
    </w:p>
    <w:p w14:paraId="20C625B8">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14:paraId="187F13C2">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（五）比选费用：无论比选结果如何，供应商参与本项目比选的所有费用均应由供应商自行承担。</w:t>
      </w:r>
    </w:p>
    <w:p w14:paraId="6E15AF6D">
      <w:pPr>
        <w:snapToGrid w:val="0"/>
        <w:spacing w:line="440" w:lineRule="exact"/>
        <w:ind w:firstLine="360" w:firstLineChars="150"/>
        <w:rPr>
          <w:rFonts w:ascii="宋体" w:hAnsi="宋体" w:cs="宋体"/>
          <w:bCs/>
          <w:color w:val="auto"/>
          <w:sz w:val="24"/>
          <w:szCs w:val="24"/>
          <w:highlight w:val="none"/>
        </w:rPr>
      </w:pPr>
      <w:r>
        <w:rPr>
          <w:rFonts w:hint="eastAsia" w:ascii="宋体" w:hAnsi="宋体" w:cs="宋体"/>
          <w:bCs/>
          <w:color w:val="auto"/>
          <w:sz w:val="24"/>
          <w:szCs w:val="24"/>
          <w:highlight w:val="none"/>
        </w:rPr>
        <w:t>（六）本项目不接受联合体参与。</w:t>
      </w:r>
    </w:p>
    <w:p w14:paraId="4BAEC6BB">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（七）供应商列入失信被执行人、重大税收违法案件当事人名单、政府采购严重违法失信行为记录名单及其他不符合《中华人民共和国政府采购法》第二十二条规定条件的供应商，将拒绝其参与比选活动。</w:t>
      </w:r>
    </w:p>
    <w:p w14:paraId="0AC3C1A7">
      <w:pPr>
        <w:snapToGrid w:val="0"/>
        <w:spacing w:line="440" w:lineRule="exact"/>
        <w:ind w:firstLine="361" w:firstLineChars="150"/>
        <w:rPr>
          <w:rFonts w:ascii="宋体" w:hAnsi="宋体" w:cs="宋体"/>
          <w:b/>
          <w:bCs/>
          <w:color w:val="auto"/>
          <w:sz w:val="24"/>
          <w:szCs w:val="24"/>
          <w:highlight w:val="none"/>
        </w:rPr>
      </w:pPr>
      <w:r>
        <w:rPr>
          <w:rFonts w:hint="eastAsia" w:ascii="宋体" w:hAnsi="宋体" w:cs="宋体"/>
          <w:b/>
          <w:bCs/>
          <w:color w:val="auto"/>
          <w:sz w:val="24"/>
          <w:szCs w:val="24"/>
          <w:highlight w:val="none"/>
        </w:rPr>
        <w:t>七、联系方式</w:t>
      </w:r>
    </w:p>
    <w:p w14:paraId="3F7D2D4A">
      <w:pPr>
        <w:tabs>
          <w:tab w:val="left" w:pos="2268"/>
        </w:tabs>
        <w:spacing w:line="44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比选人：</w:t>
      </w:r>
      <w:r>
        <w:rPr>
          <w:rFonts w:hint="eastAsia" w:ascii="宋体" w:hAnsi="宋体" w:cs="宋体"/>
          <w:color w:val="auto"/>
          <w:sz w:val="24"/>
          <w:szCs w:val="24"/>
          <w:highlight w:val="none"/>
        </w:rPr>
        <w:t>重庆德润壹品环境治理有限公司</w:t>
      </w:r>
    </w:p>
    <w:p w14:paraId="755121B3">
      <w:pPr>
        <w:tabs>
          <w:tab w:val="left" w:pos="2268"/>
        </w:tabs>
        <w:spacing w:line="60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地址： 重庆市巴南区渝南大道298号万达写字楼A座15-8</w:t>
      </w:r>
    </w:p>
    <w:p w14:paraId="1E6D5435">
      <w:pPr>
        <w:tabs>
          <w:tab w:val="left" w:pos="2268"/>
        </w:tabs>
        <w:spacing w:line="600" w:lineRule="exact"/>
        <w:ind w:firstLine="480" w:firstLineChars="200"/>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rPr>
        <w:t>联系人：蓝</w:t>
      </w:r>
      <w:r>
        <w:rPr>
          <w:rFonts w:hint="eastAsia" w:ascii="宋体" w:hAnsi="宋体" w:cs="宋体"/>
          <w:bCs/>
          <w:color w:val="auto"/>
          <w:kern w:val="0"/>
          <w:sz w:val="24"/>
          <w:szCs w:val="24"/>
          <w:highlight w:val="none"/>
          <w:lang w:val="en-US" w:eastAsia="zh-CN"/>
        </w:rPr>
        <w:t>老师</w:t>
      </w:r>
    </w:p>
    <w:p w14:paraId="78F50933">
      <w:pPr>
        <w:tabs>
          <w:tab w:val="left" w:pos="2268"/>
          <w:tab w:val="left" w:pos="8197"/>
        </w:tabs>
        <w:spacing w:line="600" w:lineRule="exact"/>
        <w:ind w:firstLine="480" w:firstLineChars="200"/>
        <w:rPr>
          <w:rFonts w:ascii="宋体" w:hAnsi="宋体" w:cs="宋体"/>
          <w:color w:val="auto"/>
          <w:sz w:val="24"/>
          <w:szCs w:val="24"/>
          <w:highlight w:val="none"/>
        </w:rPr>
      </w:pPr>
      <w:r>
        <w:rPr>
          <w:rFonts w:hint="eastAsia" w:ascii="宋体" w:hAnsi="宋体" w:cs="宋体"/>
          <w:bCs/>
          <w:color w:val="auto"/>
          <w:kern w:val="0"/>
          <w:sz w:val="24"/>
          <w:szCs w:val="24"/>
          <w:highlight w:val="none"/>
        </w:rPr>
        <w:t>电话： 13883241094</w:t>
      </w:r>
      <w:r>
        <w:rPr>
          <w:rFonts w:hint="eastAsia" w:ascii="宋体" w:hAnsi="宋体" w:cs="宋体"/>
          <w:bCs/>
          <w:color w:val="auto"/>
          <w:kern w:val="0"/>
          <w:sz w:val="24"/>
          <w:szCs w:val="24"/>
          <w:highlight w:val="none"/>
        </w:rPr>
        <w:tab/>
      </w:r>
    </w:p>
    <w:p w14:paraId="40F30814">
      <w:pPr>
        <w:tabs>
          <w:tab w:val="left" w:pos="2268"/>
        </w:tabs>
        <w:spacing w:line="60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比选代理机构：远度工程咨询（重庆）有限公司</w:t>
      </w:r>
    </w:p>
    <w:p w14:paraId="559E83C9">
      <w:pPr>
        <w:tabs>
          <w:tab w:val="left" w:pos="2268"/>
        </w:tabs>
        <w:spacing w:line="60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地址：重庆市渝北区树兰路178号晶瑞大厦1栋13A-5</w:t>
      </w:r>
    </w:p>
    <w:p w14:paraId="423198F8">
      <w:pPr>
        <w:tabs>
          <w:tab w:val="left" w:pos="2268"/>
        </w:tabs>
        <w:spacing w:line="60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联系人：</w:t>
      </w:r>
      <w:r>
        <w:rPr>
          <w:rFonts w:hint="eastAsia" w:ascii="宋体" w:hAnsi="宋体" w:cs="宋体"/>
          <w:bCs/>
          <w:kern w:val="0"/>
          <w:sz w:val="24"/>
          <w:szCs w:val="24"/>
        </w:rPr>
        <w:t>胡</w:t>
      </w:r>
      <w:r>
        <w:rPr>
          <w:rFonts w:hint="eastAsia" w:ascii="宋体" w:hAnsi="宋体" w:cs="宋体"/>
          <w:bCs/>
          <w:kern w:val="0"/>
          <w:sz w:val="24"/>
          <w:szCs w:val="24"/>
          <w:lang w:val="en-US" w:eastAsia="zh-CN"/>
        </w:rPr>
        <w:t>老师</w:t>
      </w:r>
    </w:p>
    <w:p w14:paraId="5CD8DB77">
      <w:pPr>
        <w:tabs>
          <w:tab w:val="left" w:pos="2268"/>
        </w:tabs>
        <w:spacing w:line="600" w:lineRule="exact"/>
        <w:ind w:firstLine="480" w:firstLineChars="200"/>
        <w:rPr>
          <w:rFonts w:hint="default" w:ascii="宋体" w:hAnsi="宋体" w:eastAsia="宋体" w:cs="宋体"/>
          <w:bCs/>
          <w:kern w:val="0"/>
          <w:sz w:val="24"/>
          <w:szCs w:val="24"/>
          <w:lang w:val="en-US" w:eastAsia="zh-CN"/>
        </w:rPr>
      </w:pPr>
      <w:r>
        <w:rPr>
          <w:rFonts w:hint="eastAsia" w:ascii="宋体" w:hAnsi="宋体" w:cs="宋体"/>
          <w:bCs/>
          <w:color w:val="auto"/>
          <w:kern w:val="0"/>
          <w:sz w:val="24"/>
          <w:szCs w:val="24"/>
          <w:highlight w:val="none"/>
        </w:rPr>
        <w:t>电话：</w:t>
      </w:r>
      <w:r>
        <w:rPr>
          <w:rFonts w:hint="eastAsia" w:ascii="宋体" w:hAnsi="宋体" w:cs="宋体"/>
          <w:bCs/>
          <w:kern w:val="0"/>
          <w:sz w:val="24"/>
          <w:szCs w:val="24"/>
          <w:lang w:val="en-US" w:eastAsia="zh-CN"/>
        </w:rPr>
        <w:t>17789906600</w:t>
      </w:r>
    </w:p>
    <w:p w14:paraId="2667FDF2">
      <w:pPr>
        <w:tabs>
          <w:tab w:val="left" w:pos="2268"/>
        </w:tabs>
        <w:spacing w:line="600" w:lineRule="exact"/>
        <w:ind w:firstLine="480" w:firstLineChars="200"/>
        <w:rPr>
          <w:rFonts w:ascii="宋体" w:hAnsi="宋体" w:cs="宋体"/>
          <w:bCs/>
          <w:color w:val="auto"/>
          <w:kern w:val="0"/>
          <w:sz w:val="24"/>
          <w:szCs w:val="24"/>
          <w:highlight w:val="none"/>
        </w:rPr>
      </w:pPr>
    </w:p>
    <w:p w14:paraId="4C2BA129">
      <w:pPr>
        <w:pStyle w:val="21"/>
        <w:spacing w:line="600" w:lineRule="exact"/>
        <w:ind w:firstLine="640" w:firstLineChars="200"/>
        <w:rPr>
          <w:rFonts w:ascii="宋体" w:hAnsi="宋体" w:cs="宋体"/>
          <w:bCs/>
          <w:color w:val="auto"/>
          <w:sz w:val="32"/>
          <w:szCs w:val="32"/>
          <w:highlight w:val="none"/>
        </w:rPr>
      </w:pPr>
    </w:p>
    <w:p w14:paraId="49B986F9">
      <w:pPr>
        <w:pStyle w:val="21"/>
        <w:spacing w:line="600" w:lineRule="exact"/>
        <w:ind w:firstLine="640" w:firstLineChars="200"/>
        <w:rPr>
          <w:rFonts w:ascii="宋体" w:hAnsi="宋体" w:cs="宋体"/>
          <w:bCs/>
          <w:color w:val="auto"/>
          <w:sz w:val="32"/>
          <w:szCs w:val="32"/>
          <w:highlight w:val="none"/>
        </w:rPr>
      </w:pPr>
    </w:p>
    <w:p w14:paraId="4A0111FF">
      <w:pPr>
        <w:pStyle w:val="21"/>
        <w:spacing w:line="600" w:lineRule="exact"/>
        <w:ind w:firstLine="640" w:firstLineChars="200"/>
        <w:rPr>
          <w:rFonts w:ascii="宋体" w:hAnsi="宋体" w:cs="宋体"/>
          <w:bCs/>
          <w:color w:val="auto"/>
          <w:sz w:val="32"/>
          <w:szCs w:val="32"/>
          <w:highlight w:val="none"/>
        </w:rPr>
      </w:pPr>
    </w:p>
    <w:p w14:paraId="0B56B523">
      <w:pPr>
        <w:pStyle w:val="21"/>
        <w:spacing w:line="600" w:lineRule="exact"/>
        <w:ind w:firstLine="640" w:firstLineChars="200"/>
        <w:rPr>
          <w:rFonts w:ascii="宋体" w:hAnsi="宋体" w:cs="宋体"/>
          <w:bCs/>
          <w:color w:val="auto"/>
          <w:sz w:val="32"/>
          <w:szCs w:val="32"/>
          <w:highlight w:val="none"/>
        </w:rPr>
      </w:pPr>
    </w:p>
    <w:p w14:paraId="5039ECAA">
      <w:pPr>
        <w:pStyle w:val="21"/>
        <w:spacing w:line="600" w:lineRule="exact"/>
        <w:ind w:firstLine="640" w:firstLineChars="200"/>
        <w:rPr>
          <w:rFonts w:ascii="宋体" w:hAnsi="宋体" w:cs="宋体"/>
          <w:bCs/>
          <w:color w:val="auto"/>
          <w:sz w:val="32"/>
          <w:szCs w:val="32"/>
          <w:highlight w:val="none"/>
        </w:rPr>
      </w:pPr>
    </w:p>
    <w:p w14:paraId="57E20899">
      <w:pPr>
        <w:pStyle w:val="21"/>
        <w:spacing w:line="600" w:lineRule="exact"/>
        <w:ind w:firstLine="640" w:firstLineChars="200"/>
        <w:rPr>
          <w:rFonts w:ascii="宋体" w:hAnsi="宋体" w:cs="宋体"/>
          <w:bCs/>
          <w:color w:val="auto"/>
          <w:sz w:val="32"/>
          <w:szCs w:val="32"/>
          <w:highlight w:val="none"/>
        </w:rPr>
      </w:pPr>
    </w:p>
    <w:p w14:paraId="792EDCF9">
      <w:pPr>
        <w:pStyle w:val="21"/>
        <w:spacing w:line="600" w:lineRule="exact"/>
        <w:ind w:firstLine="640" w:firstLineChars="200"/>
        <w:rPr>
          <w:rFonts w:ascii="宋体" w:hAnsi="宋体" w:cs="宋体"/>
          <w:bCs/>
          <w:color w:val="auto"/>
          <w:sz w:val="32"/>
          <w:szCs w:val="32"/>
          <w:highlight w:val="none"/>
        </w:rPr>
      </w:pPr>
    </w:p>
    <w:p w14:paraId="65B2F304">
      <w:pPr>
        <w:pStyle w:val="21"/>
        <w:spacing w:line="600" w:lineRule="exact"/>
        <w:ind w:firstLine="640" w:firstLineChars="200"/>
        <w:rPr>
          <w:rFonts w:ascii="宋体" w:hAnsi="宋体" w:cs="宋体"/>
          <w:bCs/>
          <w:color w:val="auto"/>
          <w:sz w:val="32"/>
          <w:szCs w:val="32"/>
          <w:highlight w:val="none"/>
        </w:rPr>
      </w:pPr>
    </w:p>
    <w:p w14:paraId="7619D0D5">
      <w:pPr>
        <w:pStyle w:val="21"/>
        <w:spacing w:line="600" w:lineRule="exact"/>
        <w:ind w:firstLine="640" w:firstLineChars="200"/>
        <w:rPr>
          <w:rFonts w:ascii="宋体" w:hAnsi="宋体" w:cs="宋体"/>
          <w:bCs/>
          <w:color w:val="auto"/>
          <w:sz w:val="32"/>
          <w:szCs w:val="32"/>
          <w:highlight w:val="none"/>
        </w:rPr>
      </w:pPr>
    </w:p>
    <w:p w14:paraId="71068C17">
      <w:pPr>
        <w:pStyle w:val="21"/>
        <w:spacing w:line="600" w:lineRule="exact"/>
        <w:ind w:firstLine="640" w:firstLineChars="200"/>
        <w:rPr>
          <w:rFonts w:ascii="宋体" w:hAnsi="宋体" w:cs="宋体"/>
          <w:bCs/>
          <w:color w:val="auto"/>
          <w:sz w:val="32"/>
          <w:szCs w:val="32"/>
          <w:highlight w:val="none"/>
        </w:rPr>
      </w:pPr>
    </w:p>
    <w:p w14:paraId="2F303404">
      <w:pPr>
        <w:pStyle w:val="21"/>
        <w:spacing w:line="600" w:lineRule="exact"/>
        <w:ind w:firstLine="640" w:firstLineChars="200"/>
        <w:rPr>
          <w:rFonts w:ascii="宋体" w:hAnsi="宋体" w:cs="宋体"/>
          <w:bCs/>
          <w:color w:val="auto"/>
          <w:sz w:val="32"/>
          <w:szCs w:val="32"/>
          <w:highlight w:val="none"/>
        </w:rPr>
      </w:pPr>
    </w:p>
    <w:p w14:paraId="20DD9E3E">
      <w:pPr>
        <w:spacing w:line="360" w:lineRule="auto"/>
        <w:outlineLvl w:val="0"/>
        <w:rPr>
          <w:rFonts w:ascii="宋体" w:hAnsi="宋体" w:cs="宋体"/>
          <w:b/>
          <w:bCs/>
          <w:color w:val="auto"/>
          <w:sz w:val="36"/>
          <w:szCs w:val="36"/>
          <w:highlight w:val="none"/>
        </w:rPr>
      </w:pPr>
      <w:bookmarkStart w:id="4" w:name="_Toc501008663"/>
      <w:bookmarkStart w:id="5" w:name="_Toc20116"/>
    </w:p>
    <w:p w14:paraId="73BF9988">
      <w:pPr>
        <w:spacing w:line="360" w:lineRule="auto"/>
        <w:jc w:val="center"/>
        <w:outlineLvl w:val="0"/>
        <w:rPr>
          <w:rFonts w:ascii="宋体" w:hAnsi="宋体" w:cs="宋体"/>
          <w:b/>
          <w:bCs/>
          <w:color w:val="auto"/>
          <w:sz w:val="36"/>
          <w:szCs w:val="36"/>
          <w:highlight w:val="none"/>
        </w:rPr>
      </w:pPr>
    </w:p>
    <w:p w14:paraId="583A97D3">
      <w:pPr>
        <w:spacing w:line="360" w:lineRule="auto"/>
        <w:jc w:val="center"/>
        <w:outlineLvl w:val="0"/>
        <w:rPr>
          <w:rFonts w:ascii="宋体" w:hAnsi="宋体" w:cs="宋体"/>
          <w:b/>
          <w:bCs/>
          <w:color w:val="auto"/>
          <w:sz w:val="36"/>
          <w:szCs w:val="36"/>
          <w:highlight w:val="none"/>
        </w:rPr>
      </w:pPr>
    </w:p>
    <w:p w14:paraId="7B7058F2">
      <w:pPr>
        <w:spacing w:line="360" w:lineRule="auto"/>
        <w:jc w:val="center"/>
        <w:outlineLvl w:val="0"/>
        <w:rPr>
          <w:rFonts w:ascii="宋体" w:hAnsi="宋体" w:cs="宋体"/>
          <w:b/>
          <w:bCs/>
          <w:color w:val="auto"/>
          <w:sz w:val="36"/>
          <w:szCs w:val="36"/>
          <w:highlight w:val="none"/>
        </w:rPr>
      </w:pPr>
    </w:p>
    <w:p w14:paraId="39CEFDC5">
      <w:pPr>
        <w:spacing w:line="360" w:lineRule="auto"/>
        <w:jc w:val="center"/>
        <w:outlineLvl w:val="0"/>
        <w:rPr>
          <w:rFonts w:ascii="宋体" w:hAnsi="宋体" w:cs="宋体"/>
          <w:b/>
          <w:bCs/>
          <w:color w:val="auto"/>
          <w:sz w:val="36"/>
          <w:szCs w:val="36"/>
          <w:highlight w:val="none"/>
        </w:rPr>
      </w:pPr>
    </w:p>
    <w:p w14:paraId="1325DD44">
      <w:pPr>
        <w:pStyle w:val="2"/>
        <w:rPr>
          <w:rFonts w:ascii="宋体" w:hAnsi="宋体" w:cs="宋体"/>
          <w:b/>
          <w:bCs/>
          <w:color w:val="auto"/>
          <w:sz w:val="36"/>
          <w:szCs w:val="36"/>
          <w:highlight w:val="none"/>
        </w:rPr>
      </w:pPr>
    </w:p>
    <w:p w14:paraId="47D6FD02">
      <w:pPr>
        <w:rPr>
          <w:color w:val="auto"/>
          <w:highlight w:val="none"/>
        </w:rPr>
      </w:pPr>
    </w:p>
    <w:p w14:paraId="73FA21BC">
      <w:pPr>
        <w:spacing w:line="360" w:lineRule="auto"/>
        <w:jc w:val="center"/>
        <w:outlineLvl w:val="0"/>
        <w:rPr>
          <w:rFonts w:ascii="宋体" w:hAnsi="宋体" w:cs="宋体"/>
          <w:b/>
          <w:bCs/>
          <w:color w:val="auto"/>
          <w:sz w:val="36"/>
          <w:szCs w:val="36"/>
          <w:highlight w:val="none"/>
        </w:rPr>
      </w:pPr>
      <w:r>
        <w:rPr>
          <w:rFonts w:hint="eastAsia" w:ascii="宋体" w:hAnsi="宋体" w:cs="宋体"/>
          <w:b/>
          <w:bCs/>
          <w:color w:val="auto"/>
          <w:sz w:val="36"/>
          <w:szCs w:val="36"/>
          <w:highlight w:val="none"/>
        </w:rPr>
        <w:t>第二篇 项目技术服务要求</w:t>
      </w:r>
      <w:bookmarkEnd w:id="4"/>
      <w:bookmarkEnd w:id="5"/>
    </w:p>
    <w:p w14:paraId="63A6DA78">
      <w:pPr>
        <w:pStyle w:val="4"/>
        <w:spacing w:line="440" w:lineRule="exact"/>
        <w:ind w:firstLine="482" w:firstLineChars="200"/>
        <w:rPr>
          <w:rFonts w:ascii="宋体" w:hAnsi="宋体" w:cs="宋体"/>
          <w:color w:val="auto"/>
          <w:sz w:val="24"/>
          <w:highlight w:val="none"/>
        </w:rPr>
      </w:pPr>
    </w:p>
    <w:p w14:paraId="41AD1F5C">
      <w:pPr>
        <w:pStyle w:val="4"/>
        <w:spacing w:line="440" w:lineRule="exact"/>
        <w:ind w:firstLine="482" w:firstLineChars="200"/>
        <w:rPr>
          <w:rFonts w:ascii="宋体" w:hAnsi="宋体" w:cs="宋体"/>
          <w:color w:val="auto"/>
          <w:sz w:val="24"/>
          <w:highlight w:val="none"/>
        </w:rPr>
      </w:pPr>
      <w:r>
        <w:rPr>
          <w:rFonts w:hint="eastAsia" w:ascii="宋体" w:hAnsi="宋体" w:cs="宋体"/>
          <w:color w:val="auto"/>
          <w:sz w:val="24"/>
          <w:highlight w:val="none"/>
        </w:rPr>
        <w:t>一、项目基本情况</w:t>
      </w:r>
    </w:p>
    <w:p w14:paraId="11610BC9">
      <w:pPr>
        <w:pStyle w:val="33"/>
        <w:spacing w:line="460" w:lineRule="exact"/>
        <w:rPr>
          <w:rFonts w:ascii="宋体" w:hAnsi="宋体" w:eastAsia="宋体" w:cs="宋体"/>
          <w:color w:val="auto"/>
          <w:highlight w:val="none"/>
        </w:rPr>
      </w:pPr>
      <w:r>
        <w:rPr>
          <w:rFonts w:hint="eastAsia" w:ascii="宋体" w:hAnsi="宋体" w:eastAsia="宋体" w:cs="宋体"/>
          <w:color w:val="auto"/>
          <w:highlight w:val="none"/>
        </w:rPr>
        <w:t>本项目位于重庆市巴南</w:t>
      </w:r>
      <w:r>
        <w:rPr>
          <w:rFonts w:hint="eastAsia" w:ascii="宋体" w:hAnsi="宋体" w:eastAsia="宋体" w:cs="宋体"/>
          <w:color w:val="auto"/>
          <w:highlight w:val="none"/>
          <w:lang w:val="zh-CN"/>
        </w:rPr>
        <w:t>区，</w:t>
      </w:r>
      <w:r>
        <w:rPr>
          <w:rFonts w:hint="eastAsia" w:ascii="宋体" w:hAnsi="宋体" w:eastAsia="宋体" w:cs="宋体"/>
          <w:color w:val="auto"/>
          <w:highlight w:val="none"/>
        </w:rPr>
        <w:t>包括一品河和黄溪河全流域，一品河流域（巴南区境内332.5km2，干流长度49km）和黄溪河流域（流域面积16.61km2，干支流长度10.75km），实施的建设内容包括水环境治理、水岸线治理、水生态修复工程、水智慧工程、水环境附属工程等五个方面</w:t>
      </w:r>
      <w:r>
        <w:rPr>
          <w:rFonts w:hint="eastAsia" w:ascii="宋体" w:hAnsi="宋体" w:eastAsia="宋体" w:cs="宋体"/>
          <w:color w:val="auto"/>
          <w:highlight w:val="none"/>
          <w:lang w:eastAsia="zh-Hans"/>
        </w:rPr>
        <w:t>。建安工程费</w:t>
      </w:r>
      <w:r>
        <w:rPr>
          <w:rFonts w:hint="eastAsia" w:ascii="宋体" w:hAnsi="宋体" w:eastAsia="宋体" w:cs="宋体"/>
          <w:color w:val="auto"/>
          <w:highlight w:val="none"/>
        </w:rPr>
        <w:t>约11.77亿元。最终以行业主管部门正式文件批复的工程规模为准。</w:t>
      </w:r>
    </w:p>
    <w:p w14:paraId="0E664AF9">
      <w:pPr>
        <w:pStyle w:val="4"/>
        <w:spacing w:line="440" w:lineRule="exact"/>
        <w:ind w:firstLine="482" w:firstLineChars="200"/>
        <w:rPr>
          <w:rFonts w:ascii="宋体" w:hAnsi="宋体" w:cs="宋体"/>
          <w:color w:val="auto"/>
          <w:highlight w:val="none"/>
        </w:rPr>
      </w:pPr>
      <w:r>
        <w:rPr>
          <w:rFonts w:hint="eastAsia" w:ascii="宋体" w:hAnsi="宋体" w:cs="宋体"/>
          <w:color w:val="auto"/>
          <w:sz w:val="24"/>
          <w:highlight w:val="none"/>
        </w:rPr>
        <w:t>二、项目服务内容</w:t>
      </w:r>
    </w:p>
    <w:p w14:paraId="48BE6C73">
      <w:pPr>
        <w:autoSpaceDE w:val="0"/>
        <w:autoSpaceDN w:val="0"/>
        <w:adjustRightInd w:val="0"/>
        <w:snapToGrid w:val="0"/>
        <w:spacing w:line="460" w:lineRule="exact"/>
        <w:ind w:firstLine="480" w:firstLineChars="200"/>
        <w:jc w:val="left"/>
        <w:rPr>
          <w:rFonts w:ascii="宋体" w:hAnsi="宋体"/>
          <w:color w:val="auto"/>
          <w:kern w:val="0"/>
          <w:sz w:val="32"/>
          <w:szCs w:val="32"/>
          <w:highlight w:val="none"/>
        </w:rPr>
      </w:pPr>
      <w:r>
        <w:rPr>
          <w:rFonts w:hint="eastAsia" w:ascii="宋体" w:hAnsi="宋体" w:cs="宋体"/>
          <w:bCs/>
          <w:color w:val="auto"/>
          <w:kern w:val="0"/>
          <w:sz w:val="24"/>
          <w:szCs w:val="24"/>
          <w:highlight w:val="none"/>
        </w:rPr>
        <w:t>1. 供应商应分别完成本项目一品河水土保持设施验收</w:t>
      </w:r>
      <w:r>
        <w:rPr>
          <w:rFonts w:hint="eastAsia" w:ascii="宋体" w:hAnsi="宋体" w:cs="宋体"/>
          <w:bCs/>
          <w:color w:val="auto"/>
          <w:kern w:val="0"/>
          <w:sz w:val="24"/>
          <w:szCs w:val="24"/>
          <w:highlight w:val="none"/>
          <w:lang w:val="en-US" w:eastAsia="zh-CN"/>
        </w:rPr>
        <w:t>报告</w:t>
      </w:r>
      <w:r>
        <w:rPr>
          <w:rFonts w:hint="eastAsia" w:ascii="宋体" w:hAnsi="宋体" w:cs="宋体"/>
          <w:bCs/>
          <w:color w:val="auto"/>
          <w:kern w:val="0"/>
          <w:sz w:val="24"/>
          <w:szCs w:val="24"/>
          <w:highlight w:val="none"/>
        </w:rPr>
        <w:t>、黄溪河水土保持设施验收</w:t>
      </w:r>
      <w:r>
        <w:rPr>
          <w:rFonts w:hint="eastAsia" w:ascii="宋体" w:hAnsi="宋体" w:cs="宋体"/>
          <w:bCs/>
          <w:color w:val="auto"/>
          <w:kern w:val="0"/>
          <w:sz w:val="24"/>
          <w:szCs w:val="24"/>
          <w:highlight w:val="none"/>
          <w:lang w:val="en-US" w:eastAsia="zh-CN"/>
        </w:rPr>
        <w:t>报告</w:t>
      </w:r>
      <w:r>
        <w:rPr>
          <w:rFonts w:hint="eastAsia" w:ascii="宋体" w:hAnsi="宋体" w:cs="宋体"/>
          <w:color w:val="auto"/>
          <w:sz w:val="24"/>
          <w:szCs w:val="24"/>
          <w:highlight w:val="none"/>
        </w:rPr>
        <w:t>，</w:t>
      </w:r>
      <w:r>
        <w:rPr>
          <w:rFonts w:hint="eastAsia" w:ascii="宋体" w:hAnsi="宋体" w:eastAsia="宋体" w:cs="宋体"/>
          <w:bCs/>
          <w:color w:val="auto"/>
          <w:kern w:val="0"/>
          <w:sz w:val="24"/>
          <w:szCs w:val="24"/>
          <w:highlight w:val="none"/>
        </w:rPr>
        <w:t>并通过水行政主管部门备案，取得备案</w:t>
      </w:r>
      <w:r>
        <w:rPr>
          <w:rFonts w:hint="eastAsia" w:ascii="宋体" w:hAnsi="宋体" w:eastAsia="宋体" w:cs="宋体"/>
          <w:bCs/>
          <w:color w:val="auto"/>
          <w:kern w:val="0"/>
          <w:sz w:val="24"/>
          <w:szCs w:val="24"/>
          <w:highlight w:val="none"/>
          <w:lang w:val="en-US" w:eastAsia="zh-CN"/>
        </w:rPr>
        <w:t>回执</w:t>
      </w:r>
      <w:r>
        <w:rPr>
          <w:rFonts w:hint="eastAsia" w:ascii="宋体" w:hAnsi="宋体" w:eastAsia="宋体" w:cs="宋体"/>
          <w:bCs/>
          <w:color w:val="auto"/>
          <w:kern w:val="0"/>
          <w:sz w:val="24"/>
          <w:szCs w:val="24"/>
          <w:highlight w:val="none"/>
        </w:rPr>
        <w:t>。</w:t>
      </w:r>
    </w:p>
    <w:p w14:paraId="071160BE">
      <w:pPr>
        <w:pStyle w:val="9"/>
        <w:spacing w:line="4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 供应商</w:t>
      </w:r>
      <w:r>
        <w:rPr>
          <w:rFonts w:hint="eastAsia" w:ascii="宋体" w:hAnsi="宋体" w:eastAsia="宋体" w:cs="宋体"/>
          <w:snapToGrid w:val="0"/>
          <w:color w:val="auto"/>
          <w:kern w:val="0"/>
          <w:position w:val="-2"/>
          <w:sz w:val="24"/>
          <w:szCs w:val="24"/>
          <w:highlight w:val="none"/>
        </w:rPr>
        <w:t>应</w:t>
      </w:r>
      <w:r>
        <w:rPr>
          <w:rFonts w:hint="eastAsia" w:ascii="宋体" w:hAnsi="宋体" w:eastAsia="宋体" w:cs="宋体"/>
          <w:bCs/>
          <w:color w:val="auto"/>
          <w:kern w:val="0"/>
          <w:sz w:val="24"/>
          <w:szCs w:val="24"/>
          <w:highlight w:val="none"/>
        </w:rPr>
        <w:t>根据本项目建设进度开展相应的工作，满足施工现场及报规报建的需求。</w:t>
      </w:r>
    </w:p>
    <w:p w14:paraId="7E78F77D">
      <w:pPr>
        <w:pStyle w:val="9"/>
        <w:spacing w:line="460" w:lineRule="exact"/>
        <w:ind w:firstLine="480" w:firstLineChars="200"/>
        <w:rPr>
          <w:rFonts w:ascii="宋体" w:hAnsi="宋体" w:eastAsia="宋体" w:cs="宋体"/>
          <w:color w:val="auto"/>
          <w:highlight w:val="none"/>
        </w:rPr>
      </w:pPr>
      <w:r>
        <w:rPr>
          <w:rFonts w:hint="eastAsia" w:ascii="宋体" w:hAnsi="宋体" w:eastAsia="宋体" w:cs="宋体"/>
          <w:bCs/>
          <w:color w:val="auto"/>
          <w:kern w:val="0"/>
          <w:sz w:val="24"/>
          <w:szCs w:val="24"/>
          <w:highlight w:val="none"/>
        </w:rPr>
        <w:t>3. 供应商应服从比选人的管理，协助比选人处理本项目内有关水行政主管部门的沟通协调相关工作。</w:t>
      </w:r>
    </w:p>
    <w:p w14:paraId="72059778">
      <w:pPr>
        <w:pStyle w:val="4"/>
        <w:spacing w:line="460" w:lineRule="exact"/>
        <w:ind w:firstLine="482" w:firstLineChars="200"/>
        <w:rPr>
          <w:rFonts w:ascii="宋体" w:hAnsi="宋体" w:cs="宋体"/>
          <w:color w:val="auto"/>
          <w:sz w:val="24"/>
          <w:highlight w:val="none"/>
        </w:rPr>
      </w:pPr>
      <w:r>
        <w:rPr>
          <w:rFonts w:hint="eastAsia" w:ascii="宋体" w:hAnsi="宋体" w:cs="宋体"/>
          <w:color w:val="auto"/>
          <w:sz w:val="24"/>
          <w:highlight w:val="none"/>
        </w:rPr>
        <w:t>三、项目技术服务要求</w:t>
      </w:r>
    </w:p>
    <w:p w14:paraId="3FD6F273">
      <w:pPr>
        <w:autoSpaceDE w:val="0"/>
        <w:autoSpaceDN w:val="0"/>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bCs/>
          <w:color w:val="auto"/>
          <w:kern w:val="0"/>
          <w:sz w:val="24"/>
          <w:szCs w:val="24"/>
          <w:highlight w:val="none"/>
        </w:rPr>
        <w:t>编制材料符合</w:t>
      </w:r>
      <w:r>
        <w:rPr>
          <w:rFonts w:hint="eastAsia" w:ascii="宋体" w:hAnsi="宋体" w:cs="宋体"/>
          <w:color w:val="auto"/>
          <w:sz w:val="24"/>
          <w:szCs w:val="24"/>
          <w:highlight w:val="none"/>
        </w:rPr>
        <w:t>《中华人民共和国水土保持法》、《重庆市实施&lt;中华人民共和国水土保持法&gt;办法》等相关规范。</w:t>
      </w:r>
    </w:p>
    <w:p w14:paraId="4D92E90D">
      <w:pPr>
        <w:snapToGrid w:val="0"/>
        <w:spacing w:line="46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四、</w:t>
      </w:r>
      <w:bookmarkStart w:id="6" w:name="_Toc13131"/>
      <w:bookmarkStart w:id="7" w:name="_Toc21869"/>
      <w:bookmarkStart w:id="8" w:name="_Toc21215"/>
      <w:r>
        <w:rPr>
          <w:rFonts w:hint="eastAsia" w:ascii="宋体" w:hAnsi="宋体" w:cs="宋体"/>
          <w:b/>
          <w:bCs/>
          <w:color w:val="auto"/>
          <w:sz w:val="24"/>
          <w:szCs w:val="24"/>
          <w:highlight w:val="none"/>
        </w:rPr>
        <w:t>其他要求</w:t>
      </w:r>
    </w:p>
    <w:bookmarkEnd w:id="6"/>
    <w:p w14:paraId="7441504D">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（一）比选人保留对竞争性比选范围内的内容等作出增减和调整的权利，供应商不得提出任何异议或要求索赔。</w:t>
      </w:r>
      <w:bookmarkEnd w:id="7"/>
      <w:bookmarkEnd w:id="8"/>
      <w:bookmarkStart w:id="9" w:name="_Toc15758"/>
      <w:bookmarkStart w:id="10" w:name="_Toc14972"/>
    </w:p>
    <w:p w14:paraId="41D6DD31">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比选人将根据成交供应商的服务及履约质量、响应性和工作实效等情况进行任务委托及工作安排。服务过程中对发现的成交供应商违法、违规及履约不力等不良行为，比选人将按照有关法律法规和合同约定等相关规定进行处理或处罚，比选人有权解除合同且并不承担违约责任。</w:t>
      </w:r>
    </w:p>
    <w:p w14:paraId="2F21F022">
      <w:pPr>
        <w:snapToGrid w:val="0"/>
        <w:spacing w:line="360" w:lineRule="auto"/>
        <w:ind w:firstLine="360" w:firstLineChars="150"/>
        <w:rPr>
          <w:rFonts w:hint="eastAsia" w:ascii="宋体" w:hAnsi="宋体" w:cs="宋体"/>
          <w:b/>
          <w:bCs/>
          <w:color w:val="auto"/>
          <w:sz w:val="36"/>
          <w:szCs w:val="36"/>
          <w:highlight w:val="none"/>
        </w:rPr>
      </w:pPr>
      <w:r>
        <w:rPr>
          <w:rFonts w:hint="eastAsia" w:ascii="宋体" w:hAnsi="宋体" w:cs="宋体"/>
          <w:color w:val="auto"/>
          <w:sz w:val="24"/>
          <w:szCs w:val="24"/>
          <w:highlight w:val="none"/>
        </w:rPr>
        <w:t>（三）参与竞争性比选的单位在本次活动中存在弄虚作假、恶意成交或成交后不履行服务承诺等不良行为的，围标、串标及其他违法行为一经查实的，所有的责任和损失由成交供应商承担，比选人有权取消其成交资格或扣除全部保证金。情节严重者，将上报主管部门直接列入“违法失信行为名单”公开曝光。</w:t>
      </w:r>
      <w:bookmarkEnd w:id="9"/>
      <w:bookmarkEnd w:id="10"/>
      <w:bookmarkStart w:id="11" w:name="_Toc8153"/>
    </w:p>
    <w:p w14:paraId="670E600D">
      <w:pPr>
        <w:spacing w:line="360" w:lineRule="auto"/>
        <w:jc w:val="center"/>
        <w:outlineLvl w:val="0"/>
        <w:rPr>
          <w:rFonts w:ascii="宋体" w:hAnsi="宋体" w:cs="宋体"/>
          <w:b/>
          <w:bCs/>
          <w:color w:val="auto"/>
          <w:sz w:val="36"/>
          <w:szCs w:val="36"/>
          <w:highlight w:val="none"/>
        </w:rPr>
      </w:pPr>
      <w:r>
        <w:rPr>
          <w:rFonts w:hint="eastAsia" w:ascii="宋体" w:hAnsi="宋体" w:cs="宋体"/>
          <w:b/>
          <w:bCs/>
          <w:color w:val="auto"/>
          <w:sz w:val="36"/>
          <w:szCs w:val="36"/>
          <w:highlight w:val="none"/>
        </w:rPr>
        <w:t>第三篇  项目商务要求</w:t>
      </w:r>
      <w:bookmarkEnd w:id="11"/>
      <w:bookmarkStart w:id="12" w:name="_Toc493506290"/>
    </w:p>
    <w:p w14:paraId="386A07B3">
      <w:pPr>
        <w:snapToGrid w:val="0"/>
        <w:spacing w:before="312" w:beforeLines="100" w:line="460" w:lineRule="exact"/>
        <w:ind w:firstLine="482" w:firstLineChars="200"/>
        <w:rPr>
          <w:rFonts w:ascii="宋体" w:hAnsi="宋体" w:cs="宋体"/>
          <w:b/>
          <w:bCs/>
          <w:color w:val="auto"/>
          <w:sz w:val="24"/>
          <w:szCs w:val="24"/>
          <w:highlight w:val="none"/>
        </w:rPr>
      </w:pPr>
      <w:bookmarkStart w:id="13" w:name="_Toc23062"/>
      <w:r>
        <w:rPr>
          <w:rFonts w:hint="eastAsia" w:ascii="宋体" w:hAnsi="宋体" w:cs="宋体"/>
          <w:b/>
          <w:bCs/>
          <w:color w:val="auto"/>
          <w:sz w:val="24"/>
          <w:szCs w:val="24"/>
          <w:highlight w:val="none"/>
        </w:rPr>
        <w:t>一、服务期限及服务地点</w:t>
      </w:r>
      <w:bookmarkEnd w:id="12"/>
      <w:bookmarkEnd w:id="13"/>
    </w:p>
    <w:p w14:paraId="6FA4FB6D">
      <w:pPr>
        <w:autoSpaceDE w:val="0"/>
        <w:autoSpaceDN w:val="0"/>
        <w:adjustRightInd w:val="0"/>
        <w:snapToGrid w:val="0"/>
        <w:spacing w:line="460" w:lineRule="exact"/>
        <w:ind w:firstLine="480" w:firstLineChars="200"/>
        <w:jc w:val="left"/>
        <w:rPr>
          <w:rFonts w:ascii="宋体" w:hAnsi="宋体" w:cs="宋体"/>
          <w:color w:val="auto"/>
          <w:kern w:val="0"/>
          <w:sz w:val="24"/>
          <w:szCs w:val="24"/>
          <w:highlight w:val="none"/>
        </w:rPr>
      </w:pPr>
      <w:bookmarkStart w:id="14" w:name="_Toc13458"/>
      <w:bookmarkStart w:id="15" w:name="_Toc493506291"/>
      <w:bookmarkStart w:id="16" w:name="_Toc267320050"/>
      <w:r>
        <w:rPr>
          <w:rFonts w:hint="eastAsia" w:ascii="宋体" w:hAnsi="宋体" w:cs="宋体"/>
          <w:color w:val="auto"/>
          <w:kern w:val="0"/>
          <w:sz w:val="24"/>
          <w:szCs w:val="24"/>
          <w:highlight w:val="none"/>
        </w:rPr>
        <w:t>1. 服务期限：</w:t>
      </w:r>
      <w:r>
        <w:rPr>
          <w:rFonts w:hint="eastAsia" w:ascii="宋体" w:hAnsi="宋体" w:eastAsia="宋体" w:cs="宋体"/>
          <w:color w:val="auto"/>
          <w:kern w:val="0"/>
          <w:sz w:val="24"/>
          <w:szCs w:val="24"/>
          <w:highlight w:val="none"/>
        </w:rPr>
        <w:t>自合同生效之日起至本项目</w:t>
      </w:r>
      <w:r>
        <w:rPr>
          <w:rFonts w:hint="eastAsia" w:ascii="宋体" w:hAnsi="宋体" w:eastAsia="宋体" w:cs="宋体"/>
          <w:bCs w:val="0"/>
          <w:color w:val="auto"/>
          <w:kern w:val="0"/>
          <w:sz w:val="24"/>
          <w:szCs w:val="24"/>
          <w:highlight w:val="none"/>
        </w:rPr>
        <w:t>取得水行政主管部门</w:t>
      </w:r>
      <w:r>
        <w:rPr>
          <w:rFonts w:hint="eastAsia" w:ascii="宋体" w:hAnsi="宋体" w:eastAsia="宋体" w:cs="宋体"/>
          <w:color w:val="auto"/>
          <w:kern w:val="0"/>
          <w:sz w:val="24"/>
          <w:szCs w:val="24"/>
          <w:highlight w:val="none"/>
        </w:rPr>
        <w:t>水土保持</w:t>
      </w:r>
      <w:r>
        <w:rPr>
          <w:rFonts w:hint="eastAsia" w:ascii="宋体" w:hAnsi="宋体" w:eastAsia="宋体" w:cs="宋体"/>
          <w:color w:val="auto"/>
          <w:kern w:val="0"/>
          <w:sz w:val="24"/>
          <w:szCs w:val="24"/>
          <w:highlight w:val="none"/>
          <w:lang w:val="en-US" w:eastAsia="zh-CN"/>
        </w:rPr>
        <w:t>设施验收报告</w:t>
      </w:r>
      <w:r>
        <w:rPr>
          <w:rFonts w:hint="eastAsia" w:ascii="宋体" w:hAnsi="宋体" w:eastAsia="宋体" w:cs="宋体"/>
          <w:bCs w:val="0"/>
          <w:color w:val="auto"/>
          <w:kern w:val="0"/>
          <w:sz w:val="24"/>
          <w:szCs w:val="24"/>
          <w:highlight w:val="none"/>
        </w:rPr>
        <w:t>的备案</w:t>
      </w:r>
      <w:r>
        <w:rPr>
          <w:rFonts w:hint="eastAsia" w:ascii="宋体" w:hAnsi="宋体" w:eastAsia="宋体" w:cs="宋体"/>
          <w:bCs w:val="0"/>
          <w:color w:val="auto"/>
          <w:kern w:val="0"/>
          <w:sz w:val="24"/>
          <w:szCs w:val="24"/>
          <w:highlight w:val="none"/>
          <w:lang w:val="en-US" w:eastAsia="zh-CN"/>
        </w:rPr>
        <w:t>回执</w:t>
      </w:r>
      <w:r>
        <w:rPr>
          <w:rFonts w:hint="eastAsia" w:ascii="宋体" w:hAnsi="宋体" w:eastAsia="宋体" w:cs="宋体"/>
          <w:bCs w:val="0"/>
          <w:color w:val="auto"/>
          <w:kern w:val="0"/>
          <w:sz w:val="24"/>
          <w:szCs w:val="24"/>
          <w:highlight w:val="none"/>
        </w:rPr>
        <w:t>之日</w:t>
      </w:r>
      <w:r>
        <w:rPr>
          <w:rFonts w:hint="eastAsia" w:ascii="宋体" w:hAnsi="宋体" w:eastAsia="宋体" w:cs="宋体"/>
          <w:color w:val="auto"/>
          <w:kern w:val="0"/>
          <w:sz w:val="24"/>
          <w:szCs w:val="24"/>
          <w:highlight w:val="none"/>
        </w:rPr>
        <w:t>止。</w:t>
      </w:r>
    </w:p>
    <w:p w14:paraId="090BE621">
      <w:pPr>
        <w:pStyle w:val="33"/>
        <w:spacing w:line="460" w:lineRule="exact"/>
        <w:rPr>
          <w:rFonts w:ascii="宋体" w:hAnsi="宋体" w:eastAsia="宋体" w:cs="宋体"/>
          <w:color w:val="auto"/>
          <w:kern w:val="0"/>
          <w:highlight w:val="none"/>
        </w:rPr>
      </w:pPr>
      <w:r>
        <w:rPr>
          <w:rFonts w:hint="eastAsia" w:ascii="宋体" w:hAnsi="宋体" w:eastAsia="宋体" w:cs="宋体"/>
          <w:color w:val="auto"/>
          <w:kern w:val="0"/>
          <w:highlight w:val="none"/>
        </w:rPr>
        <w:t>2. 服务地点：</w:t>
      </w:r>
      <w:r>
        <w:rPr>
          <w:rFonts w:hint="eastAsia" w:ascii="宋体" w:hAnsi="宋体" w:eastAsia="宋体" w:cs="宋体"/>
          <w:color w:val="auto"/>
          <w:kern w:val="0"/>
          <w:highlight w:val="none"/>
          <w:lang w:val="en-US" w:eastAsia="zh-CN"/>
        </w:rPr>
        <w:t>比选</w:t>
      </w:r>
      <w:r>
        <w:rPr>
          <w:rFonts w:hint="eastAsia" w:ascii="宋体" w:hAnsi="宋体" w:eastAsia="宋体" w:cs="宋体"/>
          <w:color w:val="auto"/>
          <w:kern w:val="0"/>
          <w:highlight w:val="none"/>
        </w:rPr>
        <w:t>人指定地点。</w:t>
      </w:r>
    </w:p>
    <w:p w14:paraId="47BE2797">
      <w:pPr>
        <w:autoSpaceDE w:val="0"/>
        <w:autoSpaceDN w:val="0"/>
        <w:adjustRightInd w:val="0"/>
        <w:snapToGrid w:val="0"/>
        <w:spacing w:line="460" w:lineRule="exact"/>
        <w:ind w:firstLine="480" w:firstLineChars="200"/>
        <w:jc w:val="left"/>
        <w:rPr>
          <w:rFonts w:ascii="宋体" w:hAnsi="宋体" w:cs="宋体"/>
          <w:b/>
          <w:bCs/>
          <w:color w:val="auto"/>
          <w:sz w:val="24"/>
          <w:szCs w:val="24"/>
          <w:highlight w:val="none"/>
        </w:rPr>
      </w:pPr>
      <w:r>
        <w:rPr>
          <w:rFonts w:hint="eastAsia" w:ascii="宋体" w:hAnsi="宋体" w:cs="宋体"/>
          <w:color w:val="auto"/>
          <w:kern w:val="0"/>
          <w:sz w:val="24"/>
          <w:szCs w:val="24"/>
          <w:highlight w:val="none"/>
        </w:rPr>
        <w:t>3. 质量要求：</w:t>
      </w:r>
      <w:r>
        <w:rPr>
          <w:rFonts w:hint="eastAsia" w:ascii="宋体" w:hAnsi="宋体" w:cs="宋体"/>
          <w:bCs/>
          <w:color w:val="auto"/>
          <w:kern w:val="0"/>
          <w:sz w:val="24"/>
          <w:szCs w:val="24"/>
          <w:highlight w:val="none"/>
        </w:rPr>
        <w:t>供应商</w:t>
      </w:r>
      <w:r>
        <w:rPr>
          <w:rFonts w:hint="eastAsia" w:ascii="宋体" w:hAnsi="宋体" w:cs="宋体"/>
          <w:color w:val="auto"/>
          <w:sz w:val="24"/>
          <w:szCs w:val="24"/>
          <w:highlight w:val="none"/>
        </w:rPr>
        <w:t>编制的水土保持设施验收</w:t>
      </w:r>
      <w:r>
        <w:rPr>
          <w:rFonts w:hint="eastAsia" w:ascii="宋体" w:hAnsi="宋体" w:cs="宋体"/>
          <w:color w:val="auto"/>
          <w:sz w:val="24"/>
          <w:szCs w:val="24"/>
          <w:highlight w:val="none"/>
          <w:lang w:val="en-US" w:eastAsia="zh-CN"/>
        </w:rPr>
        <w:t>报告</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取得备案</w:t>
      </w:r>
      <w:r>
        <w:rPr>
          <w:rFonts w:hint="eastAsia" w:ascii="宋体" w:hAnsi="宋体" w:cs="宋体"/>
          <w:color w:val="auto"/>
          <w:kern w:val="0"/>
          <w:sz w:val="24"/>
          <w:szCs w:val="24"/>
          <w:highlight w:val="none"/>
          <w:lang w:val="en-US" w:eastAsia="zh-CN"/>
        </w:rPr>
        <w:t>回执</w:t>
      </w:r>
      <w:r>
        <w:rPr>
          <w:rFonts w:hint="eastAsia" w:ascii="宋体" w:hAnsi="宋体" w:cs="宋体"/>
          <w:color w:val="auto"/>
          <w:kern w:val="0"/>
          <w:sz w:val="24"/>
          <w:szCs w:val="24"/>
          <w:highlight w:val="none"/>
        </w:rPr>
        <w:t>。</w:t>
      </w:r>
    </w:p>
    <w:p w14:paraId="49834D2D">
      <w:pPr>
        <w:pStyle w:val="33"/>
        <w:spacing w:line="460" w:lineRule="exact"/>
        <w:rPr>
          <w:rFonts w:ascii="宋体" w:hAnsi="宋体" w:eastAsia="宋体" w:cs="宋体"/>
          <w:color w:val="auto"/>
          <w:kern w:val="0"/>
          <w:highlight w:val="none"/>
          <w:u w:val="single"/>
        </w:rPr>
      </w:pPr>
      <w:r>
        <w:rPr>
          <w:rFonts w:hint="eastAsia" w:ascii="宋体" w:hAnsi="宋体" w:eastAsia="宋体" w:cs="宋体"/>
          <w:color w:val="auto"/>
          <w:kern w:val="0"/>
          <w:highlight w:val="none"/>
        </w:rPr>
        <w:t>4. 验收方式：</w:t>
      </w:r>
      <w:r>
        <w:rPr>
          <w:rFonts w:hint="eastAsia" w:ascii="宋体" w:hAnsi="宋体" w:eastAsia="宋体" w:cs="宋体"/>
          <w:bCs/>
          <w:color w:val="auto"/>
          <w:kern w:val="0"/>
          <w:highlight w:val="none"/>
        </w:rPr>
        <w:t>取得水行政主管部门的</w:t>
      </w:r>
      <w:r>
        <w:rPr>
          <w:rFonts w:hint="eastAsia" w:ascii="宋体" w:hAnsi="宋体" w:eastAsia="宋体" w:cs="宋体"/>
          <w:bCs/>
          <w:color w:val="auto"/>
          <w:kern w:val="0"/>
          <w:highlight w:val="none"/>
          <w:lang w:val="en-US" w:eastAsia="zh-CN"/>
        </w:rPr>
        <w:t>备案回执</w:t>
      </w:r>
      <w:r>
        <w:rPr>
          <w:rFonts w:hint="eastAsia" w:ascii="宋体" w:hAnsi="宋体" w:eastAsia="宋体" w:cs="宋体"/>
          <w:color w:val="auto"/>
          <w:highlight w:val="none"/>
        </w:rPr>
        <w:t>且满足比选人提供的关于本项目的所有要求。</w:t>
      </w:r>
    </w:p>
    <w:p w14:paraId="0C2918E2">
      <w:pPr>
        <w:pStyle w:val="33"/>
        <w:spacing w:line="460" w:lineRule="exact"/>
        <w:ind w:left="479" w:leftChars="228" w:firstLine="0" w:firstLineChars="0"/>
        <w:rPr>
          <w:rFonts w:ascii="宋体" w:hAnsi="宋体" w:eastAsia="宋体" w:cs="宋体"/>
          <w:b/>
          <w:bCs/>
          <w:color w:val="auto"/>
          <w:highlight w:val="none"/>
        </w:rPr>
      </w:pPr>
      <w:r>
        <w:rPr>
          <w:rFonts w:hint="eastAsia" w:ascii="宋体" w:hAnsi="宋体" w:eastAsia="宋体" w:cs="宋体"/>
          <w:b/>
          <w:bCs/>
          <w:color w:val="auto"/>
          <w:highlight w:val="none"/>
        </w:rPr>
        <w:t>二、报价要求</w:t>
      </w:r>
      <w:bookmarkEnd w:id="14"/>
      <w:bookmarkEnd w:id="15"/>
    </w:p>
    <w:p w14:paraId="26BAB3D9">
      <w:pPr>
        <w:pStyle w:val="33"/>
        <w:spacing w:line="460" w:lineRule="exact"/>
        <w:rPr>
          <w:rFonts w:ascii="宋体" w:hAnsi="宋体" w:eastAsia="宋体" w:cs="宋体"/>
          <w:color w:val="auto"/>
          <w:kern w:val="0"/>
          <w:highlight w:val="none"/>
        </w:rPr>
      </w:pPr>
      <w:bookmarkStart w:id="17" w:name="_Toc493506292"/>
      <w:bookmarkStart w:id="18" w:name="_Toc28917"/>
      <w:r>
        <w:rPr>
          <w:rFonts w:hint="eastAsia" w:ascii="宋体" w:hAnsi="宋体" w:eastAsia="宋体" w:cs="宋体"/>
          <w:color w:val="auto"/>
          <w:kern w:val="0"/>
          <w:highlight w:val="none"/>
        </w:rPr>
        <w:t>1. 合同形式：固定总价合同。</w:t>
      </w:r>
    </w:p>
    <w:p w14:paraId="771FAC5D">
      <w:pPr>
        <w:pStyle w:val="33"/>
        <w:spacing w:line="460" w:lineRule="exact"/>
        <w:rPr>
          <w:rFonts w:ascii="宋体" w:hAnsi="宋体" w:eastAsia="宋体" w:cs="宋体"/>
          <w:color w:val="auto"/>
          <w:kern w:val="0"/>
          <w:highlight w:val="none"/>
        </w:rPr>
      </w:pPr>
      <w:bookmarkStart w:id="19" w:name="_Hlk72345821"/>
      <w:r>
        <w:rPr>
          <w:rFonts w:hint="eastAsia" w:ascii="宋体" w:hAnsi="宋体" w:eastAsia="宋体" w:cs="宋体"/>
          <w:color w:val="auto"/>
          <w:kern w:val="0"/>
          <w:highlight w:val="none"/>
        </w:rPr>
        <w:t>2. 本次比选的最高限价为</w:t>
      </w:r>
      <w:r>
        <w:rPr>
          <w:rFonts w:hint="eastAsia" w:ascii="宋体" w:hAnsi="宋体" w:eastAsia="宋体" w:cs="宋体"/>
          <w:color w:val="auto"/>
          <w:highlight w:val="none"/>
          <w:lang w:val="en-US" w:eastAsia="zh-CN"/>
        </w:rPr>
        <w:t>250</w:t>
      </w:r>
      <w:r>
        <w:rPr>
          <w:rFonts w:ascii="宋体" w:hAnsi="宋体" w:eastAsia="宋体" w:cs="宋体"/>
          <w:color w:val="auto"/>
          <w:highlight w:val="none"/>
        </w:rPr>
        <w:t>000.00</w:t>
      </w:r>
      <w:r>
        <w:rPr>
          <w:rFonts w:hint="eastAsia" w:ascii="宋体" w:hAnsi="宋体" w:eastAsia="宋体" w:cs="宋体"/>
          <w:color w:val="auto"/>
          <w:kern w:val="0"/>
          <w:highlight w:val="none"/>
        </w:rPr>
        <w:t>元。</w:t>
      </w:r>
    </w:p>
    <w:p w14:paraId="2B71DC1C">
      <w:pPr>
        <w:pStyle w:val="33"/>
        <w:spacing w:line="460" w:lineRule="exact"/>
        <w:rPr>
          <w:rFonts w:ascii="宋体" w:hAnsi="宋体" w:eastAsia="宋体" w:cs="宋体"/>
          <w:b/>
          <w:bCs/>
          <w:color w:val="auto"/>
          <w:highlight w:val="none"/>
        </w:rPr>
      </w:pPr>
      <w:r>
        <w:rPr>
          <w:rFonts w:hint="eastAsia" w:ascii="宋体" w:hAnsi="宋体" w:eastAsia="宋体" w:cs="宋体"/>
          <w:color w:val="auto"/>
          <w:kern w:val="0"/>
          <w:highlight w:val="none"/>
        </w:rPr>
        <w:t>3. 各供应商根据现有资料、现场踏勘情况并结合实际经验合理预测投资估算及其组成，报价包括完成本项目比选文件内的所有工作内容，包含但不限于对应的工作人员工资（包含附加工作费用、额外工作费用）、劳保、医疗、福利、津贴、保险、差旅费，投标人的管理费、风险费用（包括不限于国家政策变化、人工工资的变化浮动等）、办公费用、规费、利润、税金以及比选文件中约定的供应商应承担的责任义务所发生的所有费用。</w:t>
      </w:r>
      <w:bookmarkEnd w:id="19"/>
    </w:p>
    <w:p w14:paraId="28C80ABE">
      <w:pPr>
        <w:pStyle w:val="33"/>
        <w:spacing w:line="360" w:lineRule="auto"/>
        <w:rPr>
          <w:rFonts w:ascii="宋体" w:hAnsi="宋体" w:eastAsia="宋体" w:cs="宋体"/>
          <w:color w:val="auto"/>
          <w:kern w:val="0"/>
          <w:highlight w:val="none"/>
        </w:rPr>
      </w:pPr>
      <w:r>
        <w:rPr>
          <w:rFonts w:hint="eastAsia" w:ascii="宋体" w:hAnsi="宋体" w:eastAsia="宋体" w:cs="宋体"/>
          <w:color w:val="auto"/>
          <w:kern w:val="0"/>
          <w:highlight w:val="none"/>
        </w:rPr>
        <w:t>4. 各供应商的报价不得高于对应的最高限价，否则将作否决比选处理。</w:t>
      </w:r>
      <w:bookmarkEnd w:id="16"/>
      <w:bookmarkEnd w:id="17"/>
      <w:bookmarkEnd w:id="18"/>
      <w:bookmarkStart w:id="20" w:name="_Toc493506293"/>
      <w:bookmarkStart w:id="21" w:name="_Toc16221"/>
      <w:bookmarkStart w:id="22" w:name="_Toc267320051"/>
    </w:p>
    <w:p w14:paraId="21DB1651">
      <w:pPr>
        <w:pStyle w:val="33"/>
        <w:spacing w:line="360" w:lineRule="auto"/>
        <w:ind w:firstLine="482"/>
        <w:rPr>
          <w:rFonts w:ascii="宋体" w:hAnsi="宋体" w:eastAsia="宋体" w:cs="宋体"/>
          <w:b/>
          <w:bCs/>
          <w:color w:val="auto"/>
          <w:highlight w:val="none"/>
        </w:rPr>
      </w:pPr>
      <w:r>
        <w:rPr>
          <w:rFonts w:hint="eastAsia" w:ascii="宋体" w:hAnsi="宋体" w:eastAsia="宋体" w:cs="宋体"/>
          <w:b/>
          <w:bCs/>
          <w:color w:val="auto"/>
          <w:highlight w:val="none"/>
        </w:rPr>
        <w:t>三、付款方式</w:t>
      </w:r>
      <w:bookmarkEnd w:id="20"/>
      <w:bookmarkEnd w:id="21"/>
      <w:bookmarkEnd w:id="22"/>
    </w:p>
    <w:p w14:paraId="1BAA2CDE">
      <w:pPr>
        <w:pStyle w:val="33"/>
        <w:spacing w:line="460" w:lineRule="exact"/>
        <w:rPr>
          <w:rFonts w:hint="default" w:ascii="宋体" w:hAnsi="宋体" w:eastAsia="宋体" w:cs="宋体"/>
          <w:color w:val="auto"/>
          <w:kern w:val="0"/>
          <w:highlight w:val="none"/>
          <w:lang w:val="en-US"/>
        </w:rPr>
      </w:pPr>
      <w:r>
        <w:rPr>
          <w:rFonts w:hint="eastAsia" w:ascii="宋体" w:hAnsi="宋体" w:eastAsia="宋体" w:cs="宋体"/>
          <w:color w:val="auto"/>
          <w:kern w:val="0"/>
          <w:highlight w:val="none"/>
          <w:lang w:val="en-US" w:eastAsia="zh-CN"/>
        </w:rPr>
        <w:t>1.供应商每</w:t>
      </w:r>
      <w:r>
        <w:rPr>
          <w:rFonts w:hint="eastAsia" w:ascii="宋体" w:hAnsi="宋体" w:eastAsia="宋体" w:cs="宋体"/>
          <w:color w:val="auto"/>
          <w:kern w:val="0"/>
          <w:highlight w:val="none"/>
        </w:rPr>
        <w:t>完成第一个水土保持设施验收报告书</w:t>
      </w:r>
      <w:r>
        <w:rPr>
          <w:rFonts w:hint="eastAsia" w:ascii="宋体" w:hAnsi="宋体" w:eastAsia="宋体" w:cs="宋体"/>
          <w:color w:val="auto"/>
          <w:kern w:val="0"/>
          <w:highlight w:val="none"/>
          <w:lang w:val="en-US" w:eastAsia="zh-CN"/>
        </w:rPr>
        <w:t>或报告表</w:t>
      </w:r>
      <w:r>
        <w:rPr>
          <w:rFonts w:hint="eastAsia" w:ascii="宋体" w:hAnsi="宋体" w:eastAsia="宋体" w:cs="宋体"/>
          <w:color w:val="auto"/>
          <w:kern w:val="0"/>
          <w:highlight w:val="none"/>
        </w:rPr>
        <w:t>并取得水行政主管部门的备案</w:t>
      </w:r>
      <w:r>
        <w:rPr>
          <w:rFonts w:hint="eastAsia" w:ascii="宋体" w:hAnsi="宋体" w:eastAsia="宋体" w:cs="宋体"/>
          <w:color w:val="auto"/>
          <w:kern w:val="0"/>
          <w:highlight w:val="none"/>
          <w:lang w:val="en-US" w:eastAsia="zh-CN"/>
        </w:rPr>
        <w:t>回执</w:t>
      </w:r>
      <w:r>
        <w:rPr>
          <w:rFonts w:hint="eastAsia" w:ascii="宋体" w:hAnsi="宋体" w:eastAsia="宋体" w:cs="宋体"/>
          <w:color w:val="auto"/>
          <w:kern w:val="0"/>
          <w:highlight w:val="none"/>
        </w:rPr>
        <w:t>后30日内，支付合同总价的</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0%</w:t>
      </w:r>
      <w:r>
        <w:rPr>
          <w:rFonts w:hint="eastAsia" w:ascii="宋体" w:hAnsi="宋体" w:eastAsia="宋体" w:cs="宋体"/>
          <w:color w:val="auto"/>
          <w:kern w:val="0"/>
          <w:highlight w:val="none"/>
          <w:lang w:val="en-US" w:eastAsia="zh-CN"/>
        </w:rPr>
        <w:t>,本项支付总额不得超过合同总额的80%。</w:t>
      </w:r>
    </w:p>
    <w:p w14:paraId="729119C2">
      <w:pPr>
        <w:pStyle w:val="33"/>
        <w:spacing w:line="460" w:lineRule="exact"/>
        <w:rPr>
          <w:rFonts w:ascii="宋体" w:hAnsi="宋体" w:eastAsia="宋体" w:cs="宋体"/>
          <w:b/>
          <w:bCs/>
          <w:color w:val="auto"/>
          <w:sz w:val="24"/>
          <w:szCs w:val="24"/>
          <w:highlight w:val="none"/>
        </w:rPr>
      </w:pPr>
      <w:r>
        <w:rPr>
          <w:rFonts w:hint="eastAsia" w:ascii="宋体" w:hAnsi="宋体" w:eastAsia="宋体" w:cs="宋体"/>
          <w:color w:val="auto"/>
          <w:kern w:val="0"/>
          <w:highlight w:val="none"/>
          <w:lang w:val="en-US" w:eastAsia="zh-CN"/>
        </w:rPr>
        <w:t>2.供应商完成本项目所有的</w:t>
      </w:r>
      <w:r>
        <w:rPr>
          <w:rFonts w:hint="eastAsia" w:ascii="宋体" w:hAnsi="宋体" w:eastAsia="宋体" w:cs="宋体"/>
          <w:color w:val="auto"/>
          <w:kern w:val="0"/>
          <w:highlight w:val="none"/>
        </w:rPr>
        <w:t>水土保持设施验收</w:t>
      </w:r>
      <w:r>
        <w:rPr>
          <w:rFonts w:hint="eastAsia" w:ascii="宋体" w:hAnsi="宋体" w:eastAsia="宋体" w:cs="宋体"/>
          <w:color w:val="auto"/>
          <w:kern w:val="0"/>
          <w:highlight w:val="none"/>
          <w:lang w:val="en-US" w:eastAsia="zh-CN"/>
        </w:rPr>
        <w:t>服务工作并经我公司确认后30日内，支付至合同总额的100%。</w:t>
      </w:r>
      <w:bookmarkStart w:id="23" w:name="_Toc27928"/>
      <w:bookmarkStart w:id="24" w:name="_Toc493506294"/>
    </w:p>
    <w:p w14:paraId="21D4F32E">
      <w:pPr>
        <w:pStyle w:val="9"/>
        <w:spacing w:line="46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四、知识产权</w:t>
      </w:r>
      <w:bookmarkEnd w:id="23"/>
      <w:bookmarkEnd w:id="24"/>
    </w:p>
    <w:p w14:paraId="2BD6DC1B">
      <w:pPr>
        <w:snapToGrid w:val="0"/>
        <w:spacing w:line="460" w:lineRule="exact"/>
        <w:ind w:firstLine="360" w:firstLineChars="15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比选人在中华人民共和国境内使用</w:t>
      </w:r>
      <w:r>
        <w:rPr>
          <w:rFonts w:hint="eastAsia" w:ascii="宋体" w:hAnsi="宋体" w:cs="宋体"/>
          <w:color w:val="auto"/>
          <w:sz w:val="24"/>
          <w:szCs w:val="24"/>
          <w:highlight w:val="none"/>
        </w:rPr>
        <w:t>成交供应商</w:t>
      </w:r>
      <w:r>
        <w:rPr>
          <w:rFonts w:hint="eastAsia" w:ascii="宋体" w:hAnsi="宋体" w:cs="宋体"/>
          <w:color w:val="auto"/>
          <w:sz w:val="24"/>
          <w:szCs w:val="24"/>
          <w:highlight w:val="none"/>
          <w:lang w:val="zh-CN"/>
        </w:rPr>
        <w:t>提供服务时免受第三方提出的侵犯其专利权或其它知识产权的起诉。如果第三方提出侵权指控，成交供应商应承担由此而引起的一切法律责任和费用。</w:t>
      </w:r>
      <w:bookmarkStart w:id="25" w:name="_Toc481507574"/>
      <w:bookmarkStart w:id="26" w:name="_Toc19602"/>
      <w:bookmarkStart w:id="27" w:name="_Toc267320054"/>
    </w:p>
    <w:p w14:paraId="161E4F4B">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五、其他</w:t>
      </w:r>
      <w:bookmarkEnd w:id="25"/>
      <w:bookmarkEnd w:id="26"/>
      <w:bookmarkEnd w:id="27"/>
    </w:p>
    <w:p w14:paraId="3C56964C">
      <w:pPr>
        <w:snapToGrid w:val="0"/>
        <w:spacing w:line="360" w:lineRule="auto"/>
        <w:ind w:firstLine="360" w:firstLineChars="15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（一）供应商必须在竞争性比选文件中对以上条款和服务承诺明确列出，承诺内容必须达到本篇及竞争性比选文件其他条款的要求。</w:t>
      </w:r>
    </w:p>
    <w:p w14:paraId="25264B96">
      <w:pPr>
        <w:snapToGrid w:val="0"/>
        <w:spacing w:line="360" w:lineRule="auto"/>
        <w:ind w:firstLine="360" w:firstLineChars="15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（二）其他未尽事宜由供需双方在比选合同中详细约定。</w:t>
      </w:r>
    </w:p>
    <w:p w14:paraId="613A2430">
      <w:pPr>
        <w:pStyle w:val="2"/>
        <w:spacing w:line="360" w:lineRule="auto"/>
        <w:jc w:val="center"/>
        <w:rPr>
          <w:rFonts w:ascii="宋体" w:hAnsi="宋体" w:cs="宋体"/>
          <w:color w:val="auto"/>
          <w:sz w:val="44"/>
          <w:highlight w:val="none"/>
        </w:rPr>
      </w:pPr>
    </w:p>
    <w:p w14:paraId="6C6CD55A">
      <w:pPr>
        <w:spacing w:line="360" w:lineRule="auto"/>
        <w:rPr>
          <w:rFonts w:ascii="宋体" w:hAnsi="宋体" w:cs="宋体"/>
          <w:color w:val="auto"/>
          <w:sz w:val="44"/>
          <w:highlight w:val="none"/>
        </w:rPr>
      </w:pPr>
    </w:p>
    <w:p w14:paraId="47C076E9">
      <w:pPr>
        <w:pStyle w:val="2"/>
        <w:spacing w:line="360" w:lineRule="auto"/>
        <w:rPr>
          <w:rFonts w:ascii="宋体" w:hAnsi="宋体" w:cs="宋体"/>
          <w:color w:val="auto"/>
          <w:sz w:val="44"/>
          <w:highlight w:val="none"/>
        </w:rPr>
      </w:pPr>
    </w:p>
    <w:p w14:paraId="17D29C62">
      <w:pPr>
        <w:spacing w:line="360" w:lineRule="auto"/>
        <w:rPr>
          <w:rFonts w:ascii="宋体" w:hAnsi="宋体" w:cs="宋体"/>
          <w:color w:val="auto"/>
          <w:sz w:val="44"/>
          <w:highlight w:val="none"/>
        </w:rPr>
      </w:pPr>
    </w:p>
    <w:p w14:paraId="20918A6E">
      <w:pPr>
        <w:pStyle w:val="9"/>
        <w:rPr>
          <w:rFonts w:ascii="宋体" w:hAnsi="宋体" w:eastAsia="宋体" w:cs="宋体"/>
          <w:color w:val="auto"/>
          <w:sz w:val="44"/>
          <w:highlight w:val="none"/>
        </w:rPr>
      </w:pPr>
    </w:p>
    <w:p w14:paraId="1EE4A980">
      <w:pPr>
        <w:pStyle w:val="9"/>
        <w:rPr>
          <w:rFonts w:ascii="宋体" w:hAnsi="宋体" w:eastAsia="宋体" w:cs="宋体"/>
          <w:color w:val="auto"/>
          <w:sz w:val="44"/>
          <w:highlight w:val="none"/>
        </w:rPr>
      </w:pPr>
    </w:p>
    <w:p w14:paraId="667EAC40">
      <w:pPr>
        <w:pStyle w:val="9"/>
        <w:rPr>
          <w:rFonts w:ascii="宋体" w:hAnsi="宋体" w:eastAsia="宋体" w:cs="宋体"/>
          <w:color w:val="auto"/>
          <w:sz w:val="44"/>
          <w:highlight w:val="none"/>
        </w:rPr>
      </w:pPr>
    </w:p>
    <w:p w14:paraId="588C9358">
      <w:pPr>
        <w:pStyle w:val="9"/>
        <w:rPr>
          <w:rFonts w:ascii="宋体" w:hAnsi="宋体" w:eastAsia="宋体" w:cs="宋体"/>
          <w:color w:val="auto"/>
          <w:sz w:val="44"/>
          <w:highlight w:val="none"/>
        </w:rPr>
      </w:pPr>
    </w:p>
    <w:p w14:paraId="6E7994E2">
      <w:pPr>
        <w:pStyle w:val="9"/>
        <w:rPr>
          <w:rFonts w:ascii="宋体" w:hAnsi="宋体" w:eastAsia="宋体" w:cs="宋体"/>
          <w:color w:val="auto"/>
          <w:sz w:val="44"/>
          <w:highlight w:val="none"/>
        </w:rPr>
      </w:pPr>
    </w:p>
    <w:p w14:paraId="6108E771">
      <w:pPr>
        <w:pStyle w:val="2"/>
        <w:spacing w:line="360" w:lineRule="auto"/>
        <w:rPr>
          <w:rFonts w:ascii="宋体" w:hAnsi="宋体" w:cs="宋体"/>
          <w:b/>
          <w:bCs/>
          <w:color w:val="auto"/>
          <w:sz w:val="36"/>
          <w:szCs w:val="36"/>
          <w:highlight w:val="none"/>
        </w:rPr>
      </w:pPr>
    </w:p>
    <w:p w14:paraId="3DDFED74">
      <w:pPr>
        <w:pStyle w:val="2"/>
        <w:spacing w:line="360" w:lineRule="auto"/>
        <w:jc w:val="center"/>
        <w:rPr>
          <w:rFonts w:ascii="宋体" w:hAnsi="宋体" w:cs="宋体"/>
          <w:b/>
          <w:bCs/>
          <w:color w:val="auto"/>
          <w:sz w:val="36"/>
          <w:szCs w:val="36"/>
          <w:highlight w:val="none"/>
        </w:rPr>
      </w:pPr>
    </w:p>
    <w:p w14:paraId="0E7F4358">
      <w:pPr>
        <w:pStyle w:val="2"/>
        <w:spacing w:line="360" w:lineRule="auto"/>
        <w:jc w:val="center"/>
        <w:rPr>
          <w:rFonts w:ascii="宋体" w:hAnsi="宋体" w:cs="宋体"/>
          <w:b/>
          <w:bCs/>
          <w:color w:val="auto"/>
          <w:sz w:val="36"/>
          <w:szCs w:val="36"/>
          <w:highlight w:val="none"/>
        </w:rPr>
      </w:pPr>
    </w:p>
    <w:p w14:paraId="46E6037E">
      <w:pPr>
        <w:pStyle w:val="2"/>
        <w:spacing w:line="360" w:lineRule="auto"/>
        <w:jc w:val="center"/>
        <w:rPr>
          <w:rFonts w:ascii="宋体" w:hAnsi="宋体" w:cs="宋体"/>
          <w:b/>
          <w:bCs/>
          <w:color w:val="auto"/>
          <w:sz w:val="36"/>
          <w:szCs w:val="36"/>
          <w:highlight w:val="none"/>
        </w:rPr>
      </w:pPr>
    </w:p>
    <w:p w14:paraId="3E1F60DB">
      <w:pPr>
        <w:pStyle w:val="2"/>
        <w:spacing w:line="360" w:lineRule="auto"/>
        <w:jc w:val="center"/>
        <w:rPr>
          <w:rFonts w:ascii="宋体" w:hAnsi="宋体" w:cs="宋体"/>
          <w:b/>
          <w:bCs/>
          <w:color w:val="auto"/>
          <w:sz w:val="36"/>
          <w:szCs w:val="36"/>
          <w:highlight w:val="none"/>
        </w:rPr>
      </w:pPr>
    </w:p>
    <w:p w14:paraId="5BBB3798">
      <w:pPr>
        <w:pStyle w:val="2"/>
        <w:spacing w:line="360" w:lineRule="auto"/>
        <w:jc w:val="center"/>
        <w:rPr>
          <w:rFonts w:ascii="宋体" w:hAnsi="宋体" w:cs="宋体"/>
          <w:b/>
          <w:bCs/>
          <w:color w:val="auto"/>
          <w:sz w:val="36"/>
          <w:szCs w:val="36"/>
          <w:highlight w:val="none"/>
        </w:rPr>
      </w:pPr>
    </w:p>
    <w:p w14:paraId="07A516C3">
      <w:pPr>
        <w:pStyle w:val="2"/>
        <w:spacing w:line="360" w:lineRule="auto"/>
        <w:jc w:val="center"/>
        <w:rPr>
          <w:rFonts w:ascii="宋体" w:hAnsi="宋体" w:cs="宋体"/>
          <w:b/>
          <w:bCs/>
          <w:color w:val="auto"/>
          <w:sz w:val="36"/>
          <w:szCs w:val="36"/>
          <w:highlight w:val="none"/>
        </w:rPr>
      </w:pPr>
    </w:p>
    <w:p w14:paraId="7966BCB9">
      <w:pPr>
        <w:pStyle w:val="2"/>
        <w:spacing w:line="360" w:lineRule="auto"/>
        <w:jc w:val="center"/>
        <w:rPr>
          <w:rFonts w:ascii="宋体" w:hAnsi="宋体" w:cs="宋体"/>
          <w:b/>
          <w:bCs/>
          <w:color w:val="auto"/>
          <w:sz w:val="36"/>
          <w:szCs w:val="36"/>
          <w:highlight w:val="none"/>
        </w:rPr>
      </w:pPr>
    </w:p>
    <w:p w14:paraId="28A6AD42">
      <w:pPr>
        <w:pStyle w:val="2"/>
        <w:spacing w:line="360" w:lineRule="auto"/>
        <w:jc w:val="center"/>
        <w:rPr>
          <w:rFonts w:ascii="宋体" w:hAnsi="宋体" w:cs="宋体"/>
          <w:b/>
          <w:bCs/>
          <w:color w:val="auto"/>
          <w:sz w:val="36"/>
          <w:szCs w:val="36"/>
          <w:highlight w:val="none"/>
        </w:rPr>
      </w:pPr>
    </w:p>
    <w:p w14:paraId="5A3E45F0">
      <w:pPr>
        <w:pStyle w:val="2"/>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第四篇 </w:t>
      </w:r>
      <w:bookmarkStart w:id="28" w:name="_Toc96681791"/>
      <w:r>
        <w:rPr>
          <w:rFonts w:hint="eastAsia" w:ascii="宋体" w:hAnsi="宋体" w:cs="宋体"/>
          <w:b/>
          <w:bCs/>
          <w:color w:val="auto"/>
          <w:sz w:val="36"/>
          <w:szCs w:val="36"/>
          <w:highlight w:val="none"/>
        </w:rPr>
        <w:t>资格审查及评审办法</w:t>
      </w:r>
    </w:p>
    <w:p w14:paraId="1BB02391">
      <w:pPr>
        <w:spacing w:line="360" w:lineRule="auto"/>
        <w:ind w:firstLine="480" w:firstLineChars="200"/>
        <w:outlineLvl w:val="1"/>
        <w:rPr>
          <w:rFonts w:ascii="宋体" w:hAnsi="宋体" w:cs="宋体"/>
          <w:color w:val="auto"/>
          <w:sz w:val="24"/>
          <w:szCs w:val="24"/>
          <w:highlight w:val="none"/>
        </w:rPr>
      </w:pPr>
    </w:p>
    <w:p w14:paraId="4E2501A2">
      <w:pPr>
        <w:spacing w:line="360" w:lineRule="auto"/>
        <w:ind w:firstLine="482" w:firstLineChars="20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一、比选开标程序</w:t>
      </w:r>
      <w:bookmarkEnd w:id="28"/>
    </w:p>
    <w:p w14:paraId="440672CC">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1. 比选会由比选代理机构主持，并宣布比选纪律；</w:t>
      </w:r>
    </w:p>
    <w:p w14:paraId="605706FE">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2. 公布在比选申请截止时间前按时缴纳了竞争性比选保证金、按时报名及签到、按时递交了响应文件的供应商名称；</w:t>
      </w:r>
    </w:p>
    <w:p w14:paraId="678687C6">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3. 比选代理机构查验各供应商代表身份（供应商代表需手持一份法定代表人授权委托书，无授权委托书的将不能参加比选开标会）；</w:t>
      </w:r>
    </w:p>
    <w:p w14:paraId="773E260A">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4. 由供应商或者其推选的代表检查比选申请文件外密封袋的密封情况，经确认比选申请文件密封情况无误后，由工作人员当众开启密封袋，并宣读比选申请文件的相关实质性内容；</w:t>
      </w:r>
    </w:p>
    <w:p w14:paraId="2F084E15">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5. 供应商代表在比选记录上签字确认；</w:t>
      </w:r>
    </w:p>
    <w:p w14:paraId="7D11FA6D">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6. 比选开标会结束。</w:t>
      </w:r>
    </w:p>
    <w:p w14:paraId="46CA43D8">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二、评审标准和方法</w:t>
      </w:r>
    </w:p>
    <w:p w14:paraId="784ED72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（一）比选申请文件的评审工作由比选人组建的评审委员会负责。</w:t>
      </w:r>
    </w:p>
    <w:p w14:paraId="43C271E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（二）评审委员会对各供应商的资格条件、响应文件的有效性、完整性和响应程度进行审查。各供应商只有在完全符合要求的前提下，才能参与正式比选。</w:t>
      </w:r>
    </w:p>
    <w:p w14:paraId="6E4F6F24">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1. 资格性检查。依据法律法规和竞争性比选文件的规定，对响应文件中的资格证明、等进行审查，以确定供应商是否具备比选资格。资格性检查资料表如下：</w:t>
      </w:r>
    </w:p>
    <w:tbl>
      <w:tblPr>
        <w:tblStyle w:val="23"/>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77"/>
        <w:gridCol w:w="2540"/>
        <w:gridCol w:w="4984"/>
      </w:tblGrid>
      <w:tr w14:paraId="2EEB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56E5CBA5">
            <w:pPr>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序号</w:t>
            </w:r>
          </w:p>
        </w:tc>
        <w:tc>
          <w:tcPr>
            <w:tcW w:w="3117" w:type="dxa"/>
            <w:gridSpan w:val="2"/>
            <w:noWrap/>
            <w:vAlign w:val="center"/>
          </w:tcPr>
          <w:p w14:paraId="485D45BA">
            <w:pPr>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检查因素</w:t>
            </w:r>
          </w:p>
        </w:tc>
        <w:tc>
          <w:tcPr>
            <w:tcW w:w="4984" w:type="dxa"/>
            <w:noWrap/>
            <w:vAlign w:val="center"/>
          </w:tcPr>
          <w:p w14:paraId="40D57C3F">
            <w:pPr>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检查内容</w:t>
            </w:r>
          </w:p>
        </w:tc>
      </w:tr>
      <w:tr w14:paraId="1338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ign w:val="center"/>
          </w:tcPr>
          <w:p w14:paraId="1FA2622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p>
        </w:tc>
        <w:tc>
          <w:tcPr>
            <w:tcW w:w="577" w:type="dxa"/>
            <w:vMerge w:val="restart"/>
            <w:noWrap/>
            <w:vAlign w:val="center"/>
          </w:tcPr>
          <w:p w14:paraId="344CC65D">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《中华人民共和国政府采购法》第二十二条规定</w:t>
            </w:r>
          </w:p>
        </w:tc>
        <w:tc>
          <w:tcPr>
            <w:tcW w:w="2540" w:type="dxa"/>
            <w:noWrap/>
            <w:vAlign w:val="center"/>
          </w:tcPr>
          <w:p w14:paraId="4EC6192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1.具有独立承担民事责任的能力</w:t>
            </w:r>
          </w:p>
        </w:tc>
        <w:tc>
          <w:tcPr>
            <w:tcW w:w="4984" w:type="dxa"/>
            <w:noWrap/>
            <w:vAlign w:val="center"/>
          </w:tcPr>
          <w:p w14:paraId="2CA08C2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1.投标人法人营业执照（副本）或事业单位法人证书（副本）或个体工商户营业执照或有效的自然人身份证明或社会团体法人登记证书（提供复印件）。 </w:t>
            </w:r>
          </w:p>
          <w:p w14:paraId="35D7D480">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2.投标人法定代表人身份证明和法定代表人授权代表委托书。</w:t>
            </w:r>
          </w:p>
        </w:tc>
      </w:tr>
      <w:tr w14:paraId="1642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17" w:type="dxa"/>
            <w:vMerge w:val="continue"/>
            <w:noWrap/>
            <w:vAlign w:val="center"/>
          </w:tcPr>
          <w:p w14:paraId="2E513A15">
            <w:pPr>
              <w:jc w:val="center"/>
              <w:rPr>
                <w:rFonts w:hint="eastAsia" w:asciiTheme="minorEastAsia" w:hAnsiTheme="minorEastAsia" w:eastAsiaTheme="minorEastAsia" w:cstheme="minorEastAsia"/>
                <w:color w:val="auto"/>
                <w:sz w:val="24"/>
                <w:szCs w:val="24"/>
                <w:highlight w:val="none"/>
              </w:rPr>
            </w:pPr>
          </w:p>
        </w:tc>
        <w:tc>
          <w:tcPr>
            <w:tcW w:w="577" w:type="dxa"/>
            <w:vMerge w:val="continue"/>
            <w:noWrap/>
            <w:vAlign w:val="center"/>
          </w:tcPr>
          <w:p w14:paraId="64D5B94A">
            <w:pPr>
              <w:rPr>
                <w:rFonts w:hint="eastAsia" w:asciiTheme="minorEastAsia" w:hAnsiTheme="minorEastAsia" w:eastAsiaTheme="minorEastAsia" w:cstheme="minorEastAsia"/>
                <w:color w:val="auto"/>
                <w:sz w:val="24"/>
                <w:szCs w:val="24"/>
                <w:highlight w:val="none"/>
              </w:rPr>
            </w:pPr>
          </w:p>
        </w:tc>
        <w:tc>
          <w:tcPr>
            <w:tcW w:w="2540" w:type="dxa"/>
            <w:noWrap/>
            <w:vAlign w:val="center"/>
          </w:tcPr>
          <w:p w14:paraId="0D6D344E">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2.</w:t>
            </w:r>
            <w:r>
              <w:rPr>
                <w:rFonts w:hint="eastAsia" w:asciiTheme="minorEastAsia" w:hAnsiTheme="minorEastAsia" w:eastAsiaTheme="minorEastAsia" w:cstheme="minorEastAsia"/>
                <w:color w:val="auto"/>
                <w:sz w:val="24"/>
                <w:szCs w:val="24"/>
                <w:highlight w:val="none"/>
              </w:rPr>
              <w:t>具有良好的商业信誉和健全的财务会计制度</w:t>
            </w:r>
          </w:p>
        </w:tc>
        <w:tc>
          <w:tcPr>
            <w:tcW w:w="4984" w:type="dxa"/>
            <w:vMerge w:val="restart"/>
            <w:noWrap/>
            <w:vAlign w:val="center"/>
          </w:tcPr>
          <w:p w14:paraId="3BC44C6C">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投标人提供“基本资格条件承诺函”（格式详见第七篇）</w:t>
            </w:r>
          </w:p>
          <w:p w14:paraId="312EF4FA">
            <w:pPr>
              <w:rPr>
                <w:rFonts w:hint="eastAsia" w:asciiTheme="minorEastAsia" w:hAnsiTheme="minorEastAsia" w:eastAsiaTheme="minorEastAsia" w:cstheme="minorEastAsia"/>
                <w:color w:val="auto"/>
                <w:sz w:val="24"/>
                <w:szCs w:val="24"/>
                <w:highlight w:val="none"/>
              </w:rPr>
            </w:pPr>
          </w:p>
        </w:tc>
      </w:tr>
      <w:tr w14:paraId="263F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580A097C">
            <w:pPr>
              <w:jc w:val="center"/>
              <w:rPr>
                <w:rFonts w:hint="eastAsia" w:asciiTheme="minorEastAsia" w:hAnsiTheme="minorEastAsia" w:eastAsiaTheme="minorEastAsia" w:cstheme="minorEastAsia"/>
                <w:color w:val="auto"/>
                <w:sz w:val="24"/>
                <w:szCs w:val="24"/>
                <w:highlight w:val="none"/>
              </w:rPr>
            </w:pPr>
          </w:p>
        </w:tc>
        <w:tc>
          <w:tcPr>
            <w:tcW w:w="577" w:type="dxa"/>
            <w:vMerge w:val="continue"/>
            <w:noWrap/>
            <w:vAlign w:val="center"/>
          </w:tcPr>
          <w:p w14:paraId="104CFE64">
            <w:pPr>
              <w:rPr>
                <w:rFonts w:hint="eastAsia" w:asciiTheme="minorEastAsia" w:hAnsiTheme="minorEastAsia" w:eastAsiaTheme="minorEastAsia" w:cstheme="minorEastAsia"/>
                <w:color w:val="auto"/>
                <w:sz w:val="24"/>
                <w:szCs w:val="24"/>
                <w:highlight w:val="none"/>
                <w:lang w:val="zh-CN"/>
              </w:rPr>
            </w:pPr>
          </w:p>
        </w:tc>
        <w:tc>
          <w:tcPr>
            <w:tcW w:w="2540" w:type="dxa"/>
            <w:noWrap/>
            <w:vAlign w:val="center"/>
          </w:tcPr>
          <w:p w14:paraId="2DB130F1">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3.具有履行合同所必需的设备和专业技术能力</w:t>
            </w:r>
          </w:p>
        </w:tc>
        <w:tc>
          <w:tcPr>
            <w:tcW w:w="4984" w:type="dxa"/>
            <w:vMerge w:val="continue"/>
            <w:noWrap/>
            <w:vAlign w:val="center"/>
          </w:tcPr>
          <w:p w14:paraId="1E41A91A">
            <w:pPr>
              <w:rPr>
                <w:rFonts w:hint="eastAsia" w:asciiTheme="minorEastAsia" w:hAnsiTheme="minorEastAsia" w:eastAsiaTheme="minorEastAsia" w:cstheme="minorEastAsia"/>
                <w:color w:val="auto"/>
                <w:sz w:val="24"/>
                <w:szCs w:val="24"/>
                <w:highlight w:val="none"/>
              </w:rPr>
            </w:pPr>
          </w:p>
        </w:tc>
      </w:tr>
      <w:tr w14:paraId="24C5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0E73FD37">
            <w:pPr>
              <w:jc w:val="center"/>
              <w:rPr>
                <w:rFonts w:hint="eastAsia" w:asciiTheme="minorEastAsia" w:hAnsiTheme="minorEastAsia" w:eastAsiaTheme="minorEastAsia" w:cstheme="minorEastAsia"/>
                <w:color w:val="auto"/>
                <w:sz w:val="24"/>
                <w:szCs w:val="24"/>
                <w:highlight w:val="none"/>
              </w:rPr>
            </w:pPr>
          </w:p>
        </w:tc>
        <w:tc>
          <w:tcPr>
            <w:tcW w:w="577" w:type="dxa"/>
            <w:vMerge w:val="continue"/>
            <w:noWrap/>
            <w:vAlign w:val="center"/>
          </w:tcPr>
          <w:p w14:paraId="3C4CE3D2">
            <w:pPr>
              <w:rPr>
                <w:rFonts w:hint="eastAsia" w:asciiTheme="minorEastAsia" w:hAnsiTheme="minorEastAsia" w:eastAsiaTheme="minorEastAsia" w:cstheme="minorEastAsia"/>
                <w:color w:val="auto"/>
                <w:sz w:val="24"/>
                <w:szCs w:val="24"/>
                <w:highlight w:val="none"/>
                <w:lang w:val="zh-CN"/>
              </w:rPr>
            </w:pPr>
          </w:p>
        </w:tc>
        <w:tc>
          <w:tcPr>
            <w:tcW w:w="2540" w:type="dxa"/>
            <w:noWrap/>
            <w:vAlign w:val="center"/>
          </w:tcPr>
          <w:p w14:paraId="25D167ED">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4.有依法缴纳税收和社会保障金的良好记录</w:t>
            </w:r>
          </w:p>
        </w:tc>
        <w:tc>
          <w:tcPr>
            <w:tcW w:w="4984" w:type="dxa"/>
            <w:vMerge w:val="continue"/>
            <w:noWrap/>
            <w:vAlign w:val="center"/>
          </w:tcPr>
          <w:p w14:paraId="75B287A9">
            <w:pPr>
              <w:rPr>
                <w:rFonts w:hint="eastAsia" w:asciiTheme="minorEastAsia" w:hAnsiTheme="minorEastAsia" w:eastAsiaTheme="minorEastAsia" w:cstheme="minorEastAsia"/>
                <w:color w:val="auto"/>
                <w:sz w:val="24"/>
                <w:szCs w:val="24"/>
                <w:highlight w:val="none"/>
              </w:rPr>
            </w:pPr>
          </w:p>
        </w:tc>
      </w:tr>
      <w:tr w14:paraId="4862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6AD1F36F">
            <w:pPr>
              <w:jc w:val="center"/>
              <w:rPr>
                <w:rFonts w:hint="eastAsia" w:asciiTheme="minorEastAsia" w:hAnsiTheme="minorEastAsia" w:eastAsiaTheme="minorEastAsia" w:cstheme="minorEastAsia"/>
                <w:color w:val="auto"/>
                <w:sz w:val="24"/>
                <w:szCs w:val="24"/>
                <w:highlight w:val="none"/>
              </w:rPr>
            </w:pPr>
          </w:p>
        </w:tc>
        <w:tc>
          <w:tcPr>
            <w:tcW w:w="577" w:type="dxa"/>
            <w:vMerge w:val="continue"/>
            <w:noWrap/>
            <w:vAlign w:val="center"/>
          </w:tcPr>
          <w:p w14:paraId="0243A866">
            <w:pPr>
              <w:rPr>
                <w:rFonts w:hint="eastAsia" w:asciiTheme="minorEastAsia" w:hAnsiTheme="minorEastAsia" w:eastAsiaTheme="minorEastAsia" w:cstheme="minorEastAsia"/>
                <w:color w:val="auto"/>
                <w:sz w:val="24"/>
                <w:szCs w:val="24"/>
                <w:highlight w:val="none"/>
                <w:lang w:val="zh-CN"/>
              </w:rPr>
            </w:pPr>
          </w:p>
        </w:tc>
        <w:tc>
          <w:tcPr>
            <w:tcW w:w="2540" w:type="dxa"/>
            <w:noWrap/>
            <w:vAlign w:val="center"/>
          </w:tcPr>
          <w:p w14:paraId="049A97F8">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5.参加政府采购活动前三年内，在经营活动中没有重大违法记录（注</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EQ \o\ac(○,</w:instrText>
            </w:r>
            <w:r>
              <w:rPr>
                <w:rFonts w:hint="eastAsia" w:asciiTheme="minorEastAsia" w:hAnsiTheme="minorEastAsia" w:eastAsiaTheme="minorEastAsia" w:cstheme="minorEastAsia"/>
                <w:color w:val="auto"/>
                <w:position w:val="2"/>
                <w:sz w:val="24"/>
                <w:szCs w:val="24"/>
                <w:highlight w:val="none"/>
              </w:rPr>
              <w:instrText xml:space="preserve">1</w:instrText>
            </w:r>
            <w:r>
              <w:rPr>
                <w:rFonts w:hint="eastAsia" w:asciiTheme="minorEastAsia" w:hAnsiTheme="minorEastAsia" w:eastAsiaTheme="minorEastAsia" w:cstheme="minorEastAsia"/>
                <w:color w:val="auto"/>
                <w:sz w:val="24"/>
                <w:szCs w:val="24"/>
                <w:highlight w:val="none"/>
              </w:rPr>
              <w:instrText xml:space="preserve">)</w:instrTex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w:t>
            </w:r>
          </w:p>
        </w:tc>
        <w:tc>
          <w:tcPr>
            <w:tcW w:w="4984" w:type="dxa"/>
            <w:vMerge w:val="continue"/>
            <w:noWrap/>
            <w:vAlign w:val="center"/>
          </w:tcPr>
          <w:p w14:paraId="26311A42">
            <w:pPr>
              <w:rPr>
                <w:rFonts w:hint="eastAsia" w:asciiTheme="minorEastAsia" w:hAnsiTheme="minorEastAsia" w:eastAsiaTheme="minorEastAsia" w:cstheme="minorEastAsia"/>
                <w:color w:val="auto"/>
                <w:sz w:val="24"/>
                <w:szCs w:val="24"/>
                <w:highlight w:val="none"/>
              </w:rPr>
            </w:pPr>
          </w:p>
        </w:tc>
      </w:tr>
      <w:tr w14:paraId="5A38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7" w:type="dxa"/>
            <w:vMerge w:val="continue"/>
            <w:noWrap/>
            <w:vAlign w:val="center"/>
          </w:tcPr>
          <w:p w14:paraId="2E492BAF">
            <w:pPr>
              <w:jc w:val="center"/>
              <w:rPr>
                <w:rFonts w:hint="eastAsia" w:asciiTheme="minorEastAsia" w:hAnsiTheme="minorEastAsia" w:eastAsiaTheme="minorEastAsia" w:cstheme="minorEastAsia"/>
                <w:color w:val="auto"/>
                <w:sz w:val="24"/>
                <w:szCs w:val="24"/>
                <w:highlight w:val="none"/>
              </w:rPr>
            </w:pPr>
          </w:p>
        </w:tc>
        <w:tc>
          <w:tcPr>
            <w:tcW w:w="577" w:type="dxa"/>
            <w:vMerge w:val="continue"/>
            <w:noWrap/>
            <w:vAlign w:val="center"/>
          </w:tcPr>
          <w:p w14:paraId="4C40928C">
            <w:pPr>
              <w:rPr>
                <w:rFonts w:hint="eastAsia" w:asciiTheme="minorEastAsia" w:hAnsiTheme="minorEastAsia" w:eastAsiaTheme="minorEastAsia" w:cstheme="minorEastAsia"/>
                <w:color w:val="auto"/>
                <w:sz w:val="24"/>
                <w:szCs w:val="24"/>
                <w:highlight w:val="none"/>
              </w:rPr>
            </w:pPr>
          </w:p>
        </w:tc>
        <w:tc>
          <w:tcPr>
            <w:tcW w:w="2540" w:type="dxa"/>
            <w:noWrap/>
            <w:vAlign w:val="center"/>
          </w:tcPr>
          <w:p w14:paraId="545C501A">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6.法律、行政法规规定的其他条件</w:t>
            </w:r>
          </w:p>
        </w:tc>
        <w:tc>
          <w:tcPr>
            <w:tcW w:w="4984" w:type="dxa"/>
            <w:noWrap/>
            <w:vAlign w:val="center"/>
          </w:tcPr>
          <w:p w14:paraId="5CAC8506">
            <w:pPr>
              <w:rPr>
                <w:rFonts w:hint="eastAsia" w:asciiTheme="minorEastAsia" w:hAnsiTheme="minorEastAsia" w:eastAsiaTheme="minorEastAsia" w:cstheme="minorEastAsia"/>
                <w:color w:val="auto"/>
                <w:sz w:val="24"/>
                <w:szCs w:val="24"/>
                <w:highlight w:val="none"/>
              </w:rPr>
            </w:pPr>
          </w:p>
        </w:tc>
      </w:tr>
      <w:tr w14:paraId="21EF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4B4BB778">
            <w:pPr>
              <w:jc w:val="center"/>
              <w:rPr>
                <w:rFonts w:hint="eastAsia" w:asciiTheme="minorEastAsia" w:hAnsiTheme="minorEastAsia" w:eastAsiaTheme="minorEastAsia" w:cstheme="minorEastAsia"/>
                <w:color w:val="auto"/>
                <w:sz w:val="24"/>
                <w:szCs w:val="24"/>
                <w:highlight w:val="none"/>
              </w:rPr>
            </w:pPr>
          </w:p>
        </w:tc>
        <w:tc>
          <w:tcPr>
            <w:tcW w:w="577" w:type="dxa"/>
            <w:vMerge w:val="continue"/>
            <w:noWrap/>
            <w:vAlign w:val="center"/>
          </w:tcPr>
          <w:p w14:paraId="4A12D7AE">
            <w:pPr>
              <w:rPr>
                <w:rFonts w:hint="eastAsia" w:asciiTheme="minorEastAsia" w:hAnsiTheme="minorEastAsia" w:eastAsiaTheme="minorEastAsia" w:cstheme="minorEastAsia"/>
                <w:color w:val="auto"/>
                <w:sz w:val="24"/>
                <w:szCs w:val="24"/>
                <w:highlight w:val="none"/>
              </w:rPr>
            </w:pPr>
          </w:p>
        </w:tc>
        <w:tc>
          <w:tcPr>
            <w:tcW w:w="2540" w:type="dxa"/>
            <w:noWrap/>
            <w:vAlign w:val="center"/>
          </w:tcPr>
          <w:p w14:paraId="0A846C4C">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7.本项目的特定资格要求</w:t>
            </w:r>
          </w:p>
        </w:tc>
        <w:tc>
          <w:tcPr>
            <w:tcW w:w="4984" w:type="dxa"/>
            <w:noWrap/>
            <w:vAlign w:val="center"/>
          </w:tcPr>
          <w:p w14:paraId="75908223">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按第一篇“三、投标人资格条件（三）本项目的特定资格要求”的要求提交（如果有）。</w:t>
            </w:r>
          </w:p>
        </w:tc>
      </w:tr>
      <w:tr w14:paraId="5262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noWrap/>
            <w:vAlign w:val="center"/>
          </w:tcPr>
          <w:p w14:paraId="54AB7B3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p>
        </w:tc>
        <w:tc>
          <w:tcPr>
            <w:tcW w:w="3117" w:type="dxa"/>
            <w:gridSpan w:val="2"/>
            <w:noWrap/>
            <w:vAlign w:val="center"/>
          </w:tcPr>
          <w:p w14:paraId="397F0EE5">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落实政府采购政策需满足的资格要求</w:t>
            </w:r>
          </w:p>
        </w:tc>
        <w:tc>
          <w:tcPr>
            <w:tcW w:w="4984" w:type="dxa"/>
            <w:noWrap/>
            <w:vAlign w:val="center"/>
          </w:tcPr>
          <w:p w14:paraId="156FC5C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按第一篇“三、投标人资格要求（二）落实政府采购政策需满足的资格要求”的要求提交（如果有）。</w:t>
            </w:r>
          </w:p>
        </w:tc>
      </w:tr>
      <w:tr w14:paraId="66CA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noWrap/>
            <w:vAlign w:val="center"/>
          </w:tcPr>
          <w:p w14:paraId="7C55603E">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w:t>
            </w:r>
          </w:p>
        </w:tc>
        <w:tc>
          <w:tcPr>
            <w:tcW w:w="3117" w:type="dxa"/>
            <w:gridSpan w:val="2"/>
            <w:noWrap/>
            <w:vAlign w:val="center"/>
          </w:tcPr>
          <w:p w14:paraId="1D781AF0">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投标保证金</w:t>
            </w:r>
          </w:p>
        </w:tc>
        <w:tc>
          <w:tcPr>
            <w:tcW w:w="4984" w:type="dxa"/>
            <w:noWrap/>
            <w:vAlign w:val="center"/>
          </w:tcPr>
          <w:p w14:paraId="617A3F11">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按照招标文件要求足额交纳所投包的投标保证金。</w:t>
            </w:r>
          </w:p>
        </w:tc>
      </w:tr>
    </w:tbl>
    <w:p w14:paraId="00A48158">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注：</w:t>
      </w:r>
    </w:p>
    <w:p w14:paraId="23407A5D">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(1)供应商按“多证合一”登记制度办理营业执照的，税务登记证（副本）和社会保险登记证以供应商所提供的营业执照（副本）复印件为准。</w:t>
      </w:r>
    </w:p>
    <w:p w14:paraId="54C652ED">
      <w:pPr>
        <w:snapToGrid w:val="0"/>
        <w:spacing w:line="360" w:lineRule="auto"/>
        <w:ind w:firstLine="360" w:firstLineChars="150"/>
        <w:rPr>
          <w:rFonts w:hint="eastAsia" w:ascii="方正仿宋_GBK" w:hAnsi="宋体" w:eastAsia="方正仿宋_GBK" w:cs="宋体"/>
          <w:color w:val="auto"/>
          <w:kern w:val="0"/>
          <w:sz w:val="24"/>
          <w:szCs w:val="24"/>
          <w:highlight w:val="none"/>
        </w:rPr>
      </w:pPr>
      <w:r>
        <w:rPr>
          <w:rFonts w:hint="eastAsia" w:ascii="宋体" w:hAnsi="宋体" w:cs="宋体"/>
          <w:color w:val="auto"/>
          <w:sz w:val="24"/>
          <w:szCs w:val="24"/>
          <w:highlight w:val="none"/>
        </w:rPr>
        <w:t>(2)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投标人可于投标截止日期前通过 “信用中国”网站(www.creditchina.gov.cn)、"中国政府采购网"(www.ccgp.gov.cn)等渠道查询信用记录。</w:t>
      </w:r>
    </w:p>
    <w:p w14:paraId="5FA4D2EB">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2.符合性检查。依据竞争性比选文件的规定，从响应文件的有效性、完整性和对竞争性比选文件的响应程度进行审查，以确定是否对竞争性比选文件的实质性要求作出响应。符合性检查资料表如下：</w:t>
      </w:r>
    </w:p>
    <w:tbl>
      <w:tblPr>
        <w:tblStyle w:val="2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14:paraId="31A9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8947A86">
            <w:pPr>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546" w:type="dxa"/>
            <w:gridSpan w:val="2"/>
            <w:vAlign w:val="center"/>
          </w:tcPr>
          <w:p w14:paraId="360C701E">
            <w:pPr>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评审因素</w:t>
            </w:r>
          </w:p>
        </w:tc>
        <w:tc>
          <w:tcPr>
            <w:tcW w:w="5409" w:type="dxa"/>
            <w:vAlign w:val="center"/>
          </w:tcPr>
          <w:p w14:paraId="56BBF986">
            <w:pPr>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评审标准</w:t>
            </w:r>
          </w:p>
        </w:tc>
      </w:tr>
      <w:tr w14:paraId="2119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14:paraId="2287B3C2">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562" w:type="dxa"/>
            <w:vMerge w:val="restart"/>
            <w:vAlign w:val="center"/>
          </w:tcPr>
          <w:p w14:paraId="5B02EEF9">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有效性审查</w:t>
            </w:r>
          </w:p>
        </w:tc>
        <w:tc>
          <w:tcPr>
            <w:tcW w:w="1984" w:type="dxa"/>
            <w:vAlign w:val="center"/>
          </w:tcPr>
          <w:p w14:paraId="4BBF163D">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比选文件签署</w:t>
            </w:r>
          </w:p>
        </w:tc>
        <w:tc>
          <w:tcPr>
            <w:tcW w:w="5409" w:type="dxa"/>
            <w:vAlign w:val="center"/>
          </w:tcPr>
          <w:p w14:paraId="23A96FA6">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竞争性比选文件上法定代表人（或其授权代表）或自然人（供应商为自然人）的签署或盖章齐全。</w:t>
            </w:r>
          </w:p>
        </w:tc>
      </w:tr>
      <w:tr w14:paraId="0410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DC84A32">
            <w:pPr>
              <w:spacing w:line="360" w:lineRule="auto"/>
              <w:jc w:val="center"/>
              <w:rPr>
                <w:rFonts w:ascii="宋体" w:hAnsi="宋体" w:cs="宋体"/>
                <w:color w:val="auto"/>
                <w:kern w:val="0"/>
                <w:sz w:val="24"/>
                <w:szCs w:val="24"/>
                <w:highlight w:val="none"/>
              </w:rPr>
            </w:pPr>
          </w:p>
        </w:tc>
        <w:tc>
          <w:tcPr>
            <w:tcW w:w="1562" w:type="dxa"/>
            <w:vMerge w:val="continue"/>
            <w:vAlign w:val="center"/>
          </w:tcPr>
          <w:p w14:paraId="2B2A0F65">
            <w:pPr>
              <w:spacing w:line="360" w:lineRule="auto"/>
              <w:rPr>
                <w:rFonts w:ascii="宋体" w:hAnsi="宋体" w:cs="宋体"/>
                <w:color w:val="auto"/>
                <w:kern w:val="0"/>
                <w:sz w:val="24"/>
                <w:szCs w:val="24"/>
                <w:highlight w:val="none"/>
              </w:rPr>
            </w:pPr>
          </w:p>
        </w:tc>
        <w:tc>
          <w:tcPr>
            <w:tcW w:w="1984" w:type="dxa"/>
            <w:vAlign w:val="center"/>
          </w:tcPr>
          <w:p w14:paraId="054C5093">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rPr>
              <w:t>报价唯一</w:t>
            </w:r>
          </w:p>
        </w:tc>
        <w:tc>
          <w:tcPr>
            <w:tcW w:w="5409" w:type="dxa"/>
            <w:vAlign w:val="center"/>
          </w:tcPr>
          <w:p w14:paraId="5BC8C4A7">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lang w:val="zh-CN"/>
              </w:rPr>
              <w:t>只能在最高限价内报价，</w:t>
            </w:r>
            <w:r>
              <w:rPr>
                <w:rFonts w:hint="eastAsia" w:ascii="宋体" w:hAnsi="宋体" w:cs="宋体"/>
                <w:color w:val="auto"/>
                <w:sz w:val="24"/>
                <w:szCs w:val="24"/>
                <w:highlight w:val="none"/>
              </w:rPr>
              <w:t>只能有一个有效报价，不得提交选择性报价。</w:t>
            </w:r>
          </w:p>
        </w:tc>
      </w:tr>
      <w:tr w14:paraId="12F6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14:paraId="0C17CFF0">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562" w:type="dxa"/>
            <w:vAlign w:val="center"/>
          </w:tcPr>
          <w:p w14:paraId="28376FAA">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完整性审查</w:t>
            </w:r>
          </w:p>
        </w:tc>
        <w:tc>
          <w:tcPr>
            <w:tcW w:w="1984" w:type="dxa"/>
            <w:vAlign w:val="center"/>
          </w:tcPr>
          <w:p w14:paraId="7C3ADA4F">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lang w:val="zh-CN"/>
              </w:rPr>
              <w:t>比选文件份数</w:t>
            </w:r>
          </w:p>
        </w:tc>
        <w:tc>
          <w:tcPr>
            <w:tcW w:w="5409" w:type="dxa"/>
            <w:vAlign w:val="center"/>
          </w:tcPr>
          <w:p w14:paraId="0978B49B">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lang w:val="zh-CN"/>
              </w:rPr>
              <w:t>竞争性比选文件正、副本数量符合竞争性比选文件要求。</w:t>
            </w:r>
            <w:r>
              <w:rPr>
                <w:rFonts w:hint="eastAsia" w:ascii="宋体" w:hAnsi="宋体" w:cs="宋体"/>
                <w:color w:val="auto"/>
                <w:sz w:val="24"/>
                <w:szCs w:val="24"/>
                <w:highlight w:val="none"/>
              </w:rPr>
              <w:t>响应文件内容齐全、无遗漏。</w:t>
            </w:r>
          </w:p>
        </w:tc>
      </w:tr>
      <w:tr w14:paraId="600D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14:paraId="03939661">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562" w:type="dxa"/>
            <w:vAlign w:val="center"/>
          </w:tcPr>
          <w:p w14:paraId="726369A2">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技术部分</w:t>
            </w:r>
          </w:p>
        </w:tc>
        <w:tc>
          <w:tcPr>
            <w:tcW w:w="1984" w:type="dxa"/>
            <w:vAlign w:val="center"/>
          </w:tcPr>
          <w:p w14:paraId="6E35BC06">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比选文件内容</w:t>
            </w:r>
          </w:p>
        </w:tc>
        <w:tc>
          <w:tcPr>
            <w:tcW w:w="5409" w:type="dxa"/>
            <w:vAlign w:val="center"/>
          </w:tcPr>
          <w:p w14:paraId="235DC4C3">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本比选文件第二篇“项目技术服务要求”部分。</w:t>
            </w:r>
          </w:p>
        </w:tc>
      </w:tr>
      <w:tr w14:paraId="05F3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14:paraId="708B946F">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562" w:type="dxa"/>
            <w:vAlign w:val="center"/>
          </w:tcPr>
          <w:p w14:paraId="3A94A451">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商务部分</w:t>
            </w:r>
          </w:p>
        </w:tc>
        <w:tc>
          <w:tcPr>
            <w:tcW w:w="1984" w:type="dxa"/>
            <w:vAlign w:val="center"/>
          </w:tcPr>
          <w:p w14:paraId="17DC6557">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比选文件内容</w:t>
            </w:r>
          </w:p>
        </w:tc>
        <w:tc>
          <w:tcPr>
            <w:tcW w:w="5409" w:type="dxa"/>
            <w:vAlign w:val="center"/>
          </w:tcPr>
          <w:p w14:paraId="73302526">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本比选文件第三篇“项目商务要求”部分。</w:t>
            </w:r>
          </w:p>
        </w:tc>
      </w:tr>
      <w:tr w14:paraId="62B5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14:paraId="6479F8C7">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562" w:type="dxa"/>
            <w:vAlign w:val="center"/>
          </w:tcPr>
          <w:p w14:paraId="69072160">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竞争性比选有效期</w:t>
            </w:r>
          </w:p>
        </w:tc>
        <w:tc>
          <w:tcPr>
            <w:tcW w:w="1984" w:type="dxa"/>
            <w:vAlign w:val="center"/>
          </w:tcPr>
          <w:p w14:paraId="240FD9D3">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比选文件内容</w:t>
            </w:r>
          </w:p>
        </w:tc>
        <w:tc>
          <w:tcPr>
            <w:tcW w:w="5409" w:type="dxa"/>
            <w:vAlign w:val="center"/>
          </w:tcPr>
          <w:p w14:paraId="417749C3">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比选有效期为比选截止日期后</w:t>
            </w:r>
            <w:r>
              <w:rPr>
                <w:rFonts w:hint="eastAsia" w:ascii="宋体" w:hAnsi="宋体" w:cs="宋体"/>
                <w:color w:val="auto"/>
                <w:kern w:val="0"/>
                <w:sz w:val="24"/>
                <w:szCs w:val="24"/>
                <w:highlight w:val="none"/>
                <w:lang w:val="en-US" w:eastAsia="zh-CN"/>
              </w:rPr>
              <w:t>90</w:t>
            </w:r>
            <w:r>
              <w:rPr>
                <w:rFonts w:hint="eastAsia" w:ascii="宋体" w:hAnsi="宋体" w:cs="宋体"/>
                <w:color w:val="auto"/>
                <w:kern w:val="0"/>
                <w:sz w:val="24"/>
                <w:szCs w:val="24"/>
                <w:highlight w:val="none"/>
              </w:rPr>
              <w:t>天内</w:t>
            </w:r>
          </w:p>
        </w:tc>
      </w:tr>
    </w:tbl>
    <w:p w14:paraId="14983FE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（三）比选申请文件的澄清</w:t>
      </w:r>
    </w:p>
    <w:p w14:paraId="34C67BD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 评审委员会可以要求比选申请人用书面方式对比选申请文件中含义不明确、对同类问题表述不一致内容作必要的澄清、说明或补正。澄清、说明或者补正应以书面方式进行，并不得超出比选申请文件范围或者改变比选申请文件的实质性内容。评审委员会不接受比选申请人主动提出的澄清、说明或补正。</w:t>
      </w:r>
    </w:p>
    <w:p w14:paraId="133B268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 评审委员会对比选申请人提出的澄清、说明或补正有疑问的，可以要求比选申请人进一步澄清、说明或补正，直至满足评审委员会的要求。</w:t>
      </w:r>
    </w:p>
    <w:p w14:paraId="7DFA551F">
      <w:pPr>
        <w:snapToGrid w:val="0"/>
        <w:spacing w:line="46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评审委员会采用综合评分法对提交报价的供应商的响应文件和报价进行综合评分。综合评分法，是指响应文件满足竞争性比选文件全部实质性要求且按照评审因素的量化指标评审得分最高的供应商为成交候选供应商的评审方法。供应商总得分为价格、技术、商务等评定因素分别按照相应权重值计算分项得分后相加，满分为100分。</w:t>
      </w:r>
    </w:p>
    <w:p w14:paraId="24F31970">
      <w:pPr>
        <w:snapToGrid w:val="0"/>
        <w:spacing w:line="46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五）评审委员会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商务条款的优劣顺序排列推荐。若供应商的比选项目技术或服务需求部分为0分，将失去成为成交候选供应商的资格。</w:t>
      </w:r>
    </w:p>
    <w:p w14:paraId="428D76B8">
      <w:pPr>
        <w:pStyle w:val="9"/>
        <w:spacing w:line="460" w:lineRule="exact"/>
        <w:ind w:left="640" w:firstLine="0"/>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三、成交原则</w:t>
      </w:r>
    </w:p>
    <w:p w14:paraId="5223F10B">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（一）评审标准：</w:t>
      </w:r>
    </w:p>
    <w:p w14:paraId="3052D8E4">
      <w:pPr>
        <w:pStyle w:val="5"/>
        <w:spacing w:line="460" w:lineRule="exact"/>
        <w:rPr>
          <w:rFonts w:ascii="宋体" w:hAnsi="宋体" w:cs="宋体"/>
          <w:color w:val="auto"/>
          <w:sz w:val="24"/>
          <w:szCs w:val="24"/>
          <w:highlight w:val="none"/>
        </w:rPr>
      </w:pPr>
    </w:p>
    <w:tbl>
      <w:tblPr>
        <w:tblStyle w:val="23"/>
        <w:tblW w:w="10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1191"/>
        <w:gridCol w:w="885"/>
        <w:gridCol w:w="4500"/>
        <w:gridCol w:w="2071"/>
      </w:tblGrid>
      <w:tr w14:paraId="0246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13E2AB5">
            <w:pPr>
              <w:spacing w:line="4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135" w:type="dxa"/>
            <w:noWrap/>
            <w:vAlign w:val="center"/>
          </w:tcPr>
          <w:p w14:paraId="6BA48C09">
            <w:pPr>
              <w:adjustRightInd w:val="0"/>
              <w:snapToGrid w:val="0"/>
              <w:spacing w:line="4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评分因素及权重</w:t>
            </w:r>
          </w:p>
        </w:tc>
        <w:tc>
          <w:tcPr>
            <w:tcW w:w="1191" w:type="dxa"/>
            <w:vAlign w:val="center"/>
          </w:tcPr>
          <w:p w14:paraId="23907E7A">
            <w:pPr>
              <w:adjustRightInd w:val="0"/>
              <w:snapToGrid w:val="0"/>
              <w:spacing w:line="4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评分项目</w:t>
            </w:r>
          </w:p>
        </w:tc>
        <w:tc>
          <w:tcPr>
            <w:tcW w:w="885" w:type="dxa"/>
            <w:vAlign w:val="center"/>
          </w:tcPr>
          <w:p w14:paraId="53DE124E">
            <w:pPr>
              <w:spacing w:line="4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分值</w:t>
            </w:r>
          </w:p>
        </w:tc>
        <w:tc>
          <w:tcPr>
            <w:tcW w:w="4500" w:type="dxa"/>
            <w:vAlign w:val="center"/>
          </w:tcPr>
          <w:p w14:paraId="4A901541">
            <w:pPr>
              <w:spacing w:line="4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评分标准</w:t>
            </w:r>
          </w:p>
        </w:tc>
        <w:tc>
          <w:tcPr>
            <w:tcW w:w="2071" w:type="dxa"/>
            <w:vAlign w:val="center"/>
          </w:tcPr>
          <w:p w14:paraId="1F0CFA37">
            <w:pPr>
              <w:pStyle w:val="34"/>
              <w:spacing w:before="0" w:after="0" w:line="460" w:lineRule="exact"/>
              <w:rPr>
                <w:rFonts w:ascii="宋体" w:hAnsi="宋体" w:eastAsia="宋体" w:cs="宋体"/>
                <w:b w:val="0"/>
                <w:color w:val="auto"/>
                <w:szCs w:val="24"/>
                <w:highlight w:val="none"/>
              </w:rPr>
            </w:pPr>
            <w:r>
              <w:rPr>
                <w:rFonts w:hint="eastAsia" w:ascii="宋体" w:hAnsi="宋体" w:eastAsia="宋体" w:cs="宋体"/>
                <w:b w:val="0"/>
                <w:color w:val="auto"/>
                <w:szCs w:val="24"/>
                <w:highlight w:val="none"/>
              </w:rPr>
              <w:t>说明</w:t>
            </w:r>
          </w:p>
        </w:tc>
      </w:tr>
      <w:tr w14:paraId="30B4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709" w:type="dxa"/>
            <w:vAlign w:val="center"/>
          </w:tcPr>
          <w:p w14:paraId="1B378E10">
            <w:pPr>
              <w:spacing w:line="4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35" w:type="dxa"/>
            <w:vAlign w:val="center"/>
          </w:tcPr>
          <w:p w14:paraId="03232630">
            <w:pPr>
              <w:adjustRightInd w:val="0"/>
              <w:snapToGrid w:val="0"/>
              <w:spacing w:line="4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经济部分（</w:t>
            </w:r>
            <w:r>
              <w:rPr>
                <w:rFonts w:hint="eastAsia" w:ascii="宋体" w:hAnsi="宋体" w:cs="宋体"/>
                <w:color w:val="auto"/>
                <w:sz w:val="24"/>
                <w:szCs w:val="24"/>
                <w:highlight w:val="none"/>
                <w:u w:val="single"/>
              </w:rPr>
              <w:t xml:space="preserve">50 </w:t>
            </w:r>
            <w:r>
              <w:rPr>
                <w:rFonts w:hint="eastAsia" w:ascii="宋体" w:hAnsi="宋体" w:cs="宋体"/>
                <w:color w:val="auto"/>
                <w:sz w:val="24"/>
                <w:szCs w:val="24"/>
                <w:highlight w:val="none"/>
              </w:rPr>
              <w:t>%）</w:t>
            </w:r>
          </w:p>
        </w:tc>
        <w:tc>
          <w:tcPr>
            <w:tcW w:w="1191" w:type="dxa"/>
            <w:vAlign w:val="center"/>
          </w:tcPr>
          <w:p w14:paraId="10ADD4F0">
            <w:pPr>
              <w:adjustRightInd w:val="0"/>
              <w:snapToGrid w:val="0"/>
              <w:spacing w:line="4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报价</w:t>
            </w:r>
          </w:p>
        </w:tc>
        <w:tc>
          <w:tcPr>
            <w:tcW w:w="885" w:type="dxa"/>
            <w:vAlign w:val="center"/>
          </w:tcPr>
          <w:p w14:paraId="23BE5AB8">
            <w:pPr>
              <w:spacing w:line="4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u w:val="single"/>
              </w:rPr>
              <w:t>50</w:t>
            </w:r>
            <w:r>
              <w:rPr>
                <w:rFonts w:hint="eastAsia" w:ascii="宋体" w:hAnsi="宋体" w:cs="宋体"/>
                <w:color w:val="auto"/>
                <w:sz w:val="24"/>
                <w:szCs w:val="24"/>
                <w:highlight w:val="none"/>
              </w:rPr>
              <w:t>分</w:t>
            </w:r>
          </w:p>
        </w:tc>
        <w:tc>
          <w:tcPr>
            <w:tcW w:w="4500" w:type="dxa"/>
            <w:vAlign w:val="center"/>
          </w:tcPr>
          <w:p w14:paraId="14BA0493">
            <w:pPr>
              <w:adjustRightInd w:val="0"/>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所有通过初步评审合格的供应商的有效报价中去掉六分之一的最低价和相同数量的最高价（不能整除的按小数前整数取整，不足六家报价则不去最高和最低）后的算术平均值即为基准价。保留小数点后两位，小数点后第三位“四舍五入”。</w:t>
            </w:r>
          </w:p>
          <w:p w14:paraId="6394F26A">
            <w:pPr>
              <w:adjustRightInd w:val="0"/>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2.报价与基准价相比，相等不扣分，每增加1％扣0.5分,减少1％扣0.25分，扣完为止。保留小数点后两位，小数点后第三位“四舍五入”。</w:t>
            </w:r>
          </w:p>
          <w:p w14:paraId="1C5B59A6">
            <w:pPr>
              <w:adjustRightInd w:val="0"/>
              <w:snapToGrid w:val="0"/>
              <w:spacing w:line="460" w:lineRule="exact"/>
              <w:ind w:firstLine="28"/>
              <w:rPr>
                <w:rFonts w:ascii="宋体" w:hAnsi="宋体" w:cs="宋体"/>
                <w:color w:val="auto"/>
                <w:sz w:val="24"/>
                <w:szCs w:val="24"/>
                <w:highlight w:val="none"/>
              </w:rPr>
            </w:pPr>
            <w:r>
              <w:rPr>
                <w:rFonts w:hint="eastAsia" w:ascii="宋体" w:hAnsi="宋体" w:cs="宋体"/>
                <w:color w:val="auto"/>
                <w:sz w:val="24"/>
                <w:szCs w:val="24"/>
                <w:highlight w:val="none"/>
              </w:rPr>
              <w:t>计算公式为：</w:t>
            </w:r>
          </w:p>
          <w:p w14:paraId="5936ACD4">
            <w:pPr>
              <w:adjustRightInd w:val="0"/>
              <w:snapToGrid w:val="0"/>
              <w:spacing w:line="460" w:lineRule="exact"/>
              <w:ind w:firstLine="28"/>
              <w:rPr>
                <w:rFonts w:ascii="宋体" w:hAnsi="宋体" w:cs="宋体"/>
                <w:color w:val="auto"/>
                <w:sz w:val="24"/>
                <w:szCs w:val="24"/>
                <w:highlight w:val="none"/>
              </w:rPr>
            </w:pPr>
            <w:r>
              <w:rPr>
                <w:rFonts w:hint="eastAsia" w:ascii="宋体" w:hAnsi="宋体" w:cs="宋体"/>
                <w:color w:val="auto"/>
                <w:sz w:val="24"/>
                <w:szCs w:val="24"/>
                <w:highlight w:val="none"/>
              </w:rPr>
              <w:t>某供应商的报价部分得分＝</w:t>
            </w:r>
            <w:r>
              <w:rPr>
                <w:rFonts w:hint="eastAsia" w:ascii="宋体" w:hAnsi="宋体" w:cs="宋体"/>
                <w:color w:val="auto"/>
                <w:sz w:val="24"/>
                <w:szCs w:val="24"/>
                <w:highlight w:val="none"/>
                <w:u w:val="single"/>
              </w:rPr>
              <w:t>50</w:t>
            </w:r>
            <w:r>
              <w:rPr>
                <w:rFonts w:hint="eastAsia" w:ascii="宋体" w:hAnsi="宋体" w:cs="宋体"/>
                <w:color w:val="auto"/>
                <w:sz w:val="24"/>
                <w:szCs w:val="24"/>
                <w:highlight w:val="none"/>
              </w:rPr>
              <w:t>-∣该供应商报价-基准价∣÷基准价×100×每百分点扣减分值</w:t>
            </w:r>
          </w:p>
        </w:tc>
        <w:tc>
          <w:tcPr>
            <w:tcW w:w="2071" w:type="dxa"/>
            <w:vAlign w:val="center"/>
          </w:tcPr>
          <w:p w14:paraId="0CDF3C4A">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响应文件中提供书面报价文件</w:t>
            </w:r>
          </w:p>
        </w:tc>
      </w:tr>
      <w:tr w14:paraId="384C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09" w:type="dxa"/>
            <w:vMerge w:val="restart"/>
            <w:vAlign w:val="center"/>
          </w:tcPr>
          <w:p w14:paraId="0583AB91">
            <w:pPr>
              <w:spacing w:line="460" w:lineRule="exact"/>
              <w:jc w:val="center"/>
              <w:rPr>
                <w:rFonts w:ascii="宋体" w:hAnsi="宋体" w:cs="宋体"/>
                <w:color w:val="auto"/>
                <w:sz w:val="24"/>
                <w:szCs w:val="24"/>
                <w:highlight w:val="none"/>
              </w:rPr>
            </w:pPr>
          </w:p>
          <w:p w14:paraId="335170B1">
            <w:pPr>
              <w:spacing w:line="460" w:lineRule="exact"/>
              <w:ind w:firstLine="28"/>
              <w:jc w:val="center"/>
              <w:rPr>
                <w:rFonts w:ascii="宋体" w:hAnsi="宋体" w:cs="宋体"/>
                <w:color w:val="auto"/>
                <w:sz w:val="24"/>
                <w:szCs w:val="24"/>
                <w:highlight w:val="none"/>
              </w:rPr>
            </w:pPr>
          </w:p>
          <w:p w14:paraId="00135E94">
            <w:pPr>
              <w:spacing w:line="4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135" w:type="dxa"/>
            <w:vMerge w:val="restart"/>
            <w:vAlign w:val="center"/>
          </w:tcPr>
          <w:p w14:paraId="56269D7A">
            <w:pPr>
              <w:adjustRightInd w:val="0"/>
              <w:snapToGrid w:val="0"/>
              <w:spacing w:line="460" w:lineRule="exact"/>
              <w:jc w:val="center"/>
              <w:rPr>
                <w:rFonts w:ascii="宋体" w:hAnsi="宋体" w:cs="宋体"/>
                <w:color w:val="auto"/>
                <w:sz w:val="24"/>
                <w:szCs w:val="24"/>
                <w:highlight w:val="none"/>
              </w:rPr>
            </w:pPr>
          </w:p>
          <w:p w14:paraId="19687220">
            <w:pPr>
              <w:adjustRightInd w:val="0"/>
              <w:snapToGrid w:val="0"/>
              <w:spacing w:line="4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商务部分（</w:t>
            </w:r>
            <w:r>
              <w:rPr>
                <w:rFonts w:hint="eastAsia" w:ascii="宋体" w:hAnsi="宋体" w:cs="宋体"/>
                <w:color w:val="auto"/>
                <w:sz w:val="24"/>
                <w:szCs w:val="24"/>
                <w:highlight w:val="none"/>
                <w:u w:val="single"/>
              </w:rPr>
              <w:t>20</w:t>
            </w:r>
            <w:r>
              <w:rPr>
                <w:rFonts w:hint="eastAsia" w:ascii="宋体" w:hAnsi="宋体" w:cs="宋体"/>
                <w:color w:val="auto"/>
                <w:sz w:val="24"/>
                <w:szCs w:val="24"/>
                <w:highlight w:val="none"/>
              </w:rPr>
              <w:t>%）</w:t>
            </w:r>
          </w:p>
        </w:tc>
        <w:tc>
          <w:tcPr>
            <w:tcW w:w="1191" w:type="dxa"/>
            <w:vAlign w:val="center"/>
          </w:tcPr>
          <w:p w14:paraId="2969FD74">
            <w:pPr>
              <w:pStyle w:val="12"/>
              <w:spacing w:line="460" w:lineRule="exact"/>
              <w:rPr>
                <w:rFonts w:ascii="宋体" w:hAnsi="宋体" w:cs="宋体"/>
                <w:color w:val="auto"/>
                <w:highlight w:val="none"/>
              </w:rPr>
            </w:pPr>
          </w:p>
          <w:p w14:paraId="6BCD7AB9">
            <w:pPr>
              <w:pStyle w:val="12"/>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企业业绩</w:t>
            </w:r>
          </w:p>
          <w:p w14:paraId="61EC2FF1">
            <w:pPr>
              <w:snapToGrid w:val="0"/>
              <w:spacing w:line="460" w:lineRule="exact"/>
              <w:jc w:val="center"/>
              <w:rPr>
                <w:rFonts w:ascii="宋体" w:hAnsi="宋体" w:cs="宋体"/>
                <w:color w:val="auto"/>
                <w:sz w:val="24"/>
                <w:szCs w:val="24"/>
                <w:highlight w:val="none"/>
              </w:rPr>
            </w:pPr>
          </w:p>
        </w:tc>
        <w:tc>
          <w:tcPr>
            <w:tcW w:w="885" w:type="dxa"/>
            <w:vAlign w:val="center"/>
          </w:tcPr>
          <w:p w14:paraId="595F641D">
            <w:pPr>
              <w:snapToGrid w:val="0"/>
              <w:spacing w:line="460" w:lineRule="exact"/>
              <w:jc w:val="center"/>
              <w:rPr>
                <w:rFonts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rPr>
              <w:t>分</w:t>
            </w:r>
          </w:p>
        </w:tc>
        <w:tc>
          <w:tcPr>
            <w:tcW w:w="4500" w:type="dxa"/>
          </w:tcPr>
          <w:p w14:paraId="0093FD0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除满足资格审查条件的业绩外：</w:t>
            </w:r>
          </w:p>
          <w:p w14:paraId="7233ADF3">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自2022年1月1日起至</w:t>
            </w:r>
            <w:r>
              <w:rPr>
                <w:rFonts w:hint="eastAsia" w:ascii="宋体" w:hAnsi="宋体" w:cs="宋体"/>
                <w:color w:val="auto"/>
                <w:kern w:val="0"/>
                <w:sz w:val="24"/>
                <w:szCs w:val="24"/>
                <w:highlight w:val="none"/>
              </w:rPr>
              <w:t>投标截止</w:t>
            </w:r>
            <w:r>
              <w:rPr>
                <w:rFonts w:hint="eastAsia" w:ascii="宋体" w:hAnsi="宋体" w:cs="宋体"/>
                <w:color w:val="auto"/>
                <w:kern w:val="0"/>
                <w:sz w:val="24"/>
                <w:szCs w:val="24"/>
                <w:highlight w:val="none"/>
                <w:lang w:val="en-US" w:eastAsia="zh-CN"/>
              </w:rPr>
              <w:t>日</w:t>
            </w:r>
            <w:r>
              <w:rPr>
                <w:rFonts w:hint="eastAsia" w:ascii="宋体" w:hAnsi="宋体" w:cs="宋体"/>
                <w:color w:val="auto"/>
                <w:kern w:val="0"/>
                <w:sz w:val="24"/>
                <w:szCs w:val="24"/>
                <w:highlight w:val="none"/>
              </w:rPr>
              <w:t>止</w:t>
            </w:r>
            <w:r>
              <w:rPr>
                <w:rFonts w:hint="eastAsia" w:ascii="宋体" w:hAnsi="宋体" w:cs="宋体"/>
                <w:color w:val="auto"/>
                <w:sz w:val="24"/>
                <w:szCs w:val="24"/>
                <w:highlight w:val="none"/>
              </w:rPr>
              <w:t>（以合同签订时间为准），供应商每提供一个</w:t>
            </w:r>
            <w:r>
              <w:rPr>
                <w:rFonts w:hint="eastAsia" w:ascii="宋体" w:hAnsi="宋体" w:cs="宋体"/>
                <w:color w:val="auto"/>
                <w:sz w:val="24"/>
                <w:szCs w:val="24"/>
                <w:highlight w:val="none"/>
                <w:lang w:val="en-US" w:eastAsia="zh-CN"/>
              </w:rPr>
              <w:t>合同金额20万元以上的</w:t>
            </w:r>
            <w:r>
              <w:rPr>
                <w:rFonts w:hint="eastAsia" w:ascii="宋体" w:hAnsi="宋体" w:cs="宋体"/>
                <w:color w:val="auto"/>
                <w:sz w:val="24"/>
                <w:szCs w:val="24"/>
                <w:highlight w:val="none"/>
              </w:rPr>
              <w:t>水土保持设施验收业绩得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分，最</w:t>
            </w:r>
            <w:r>
              <w:rPr>
                <w:rFonts w:hint="eastAsia" w:ascii="宋体" w:hAnsi="宋体" w:cs="宋体"/>
                <w:color w:val="auto"/>
                <w:sz w:val="24"/>
                <w:szCs w:val="24"/>
                <w:highlight w:val="none"/>
                <w:lang w:val="en-US" w:eastAsia="zh-CN"/>
              </w:rPr>
              <w:t>多</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w:t>
            </w:r>
          </w:p>
          <w:p w14:paraId="406D68EE">
            <w:pPr>
              <w:adjustRightInd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须提供：</w:t>
            </w:r>
            <w:r>
              <w:rPr>
                <w:rFonts w:hint="eastAsia" w:ascii="宋体" w:hAnsi="宋体" w:cs="宋体"/>
                <w:color w:val="auto"/>
                <w:sz w:val="24"/>
                <w:szCs w:val="24"/>
                <w:highlight w:val="none"/>
              </w:rPr>
              <w:t>合同扫描件</w:t>
            </w:r>
            <w:r>
              <w:rPr>
                <w:rFonts w:hint="eastAsia" w:ascii="宋体" w:hAnsi="宋体" w:cs="宋体"/>
                <w:color w:val="auto"/>
                <w:sz w:val="24"/>
                <w:szCs w:val="24"/>
                <w:highlight w:val="none"/>
                <w:lang w:val="en-US" w:eastAsia="zh-CN"/>
              </w:rPr>
              <w:t>及水行政主管部门备案回执</w:t>
            </w:r>
            <w:r>
              <w:rPr>
                <w:rFonts w:hint="eastAsia" w:ascii="宋体" w:hAnsi="宋体" w:cs="宋体"/>
                <w:color w:val="auto"/>
                <w:sz w:val="24"/>
                <w:szCs w:val="24"/>
                <w:highlight w:val="none"/>
              </w:rPr>
              <w:t>复印件</w:t>
            </w:r>
            <w:r>
              <w:rPr>
                <w:rFonts w:hint="eastAsia" w:ascii="宋体" w:hAnsi="宋体" w:cs="宋体"/>
                <w:color w:val="auto"/>
                <w:sz w:val="24"/>
                <w:szCs w:val="24"/>
                <w:highlight w:val="none"/>
                <w:lang w:val="en-US" w:eastAsia="zh-CN"/>
              </w:rPr>
              <w:t>并加盖公章</w:t>
            </w:r>
            <w:r>
              <w:rPr>
                <w:rFonts w:hint="eastAsia" w:ascii="宋体" w:hAnsi="宋体" w:cs="宋体"/>
                <w:color w:val="auto"/>
                <w:sz w:val="24"/>
                <w:szCs w:val="24"/>
                <w:highlight w:val="none"/>
                <w:lang w:eastAsia="zh-CN"/>
              </w:rPr>
              <w:t>。</w:t>
            </w:r>
          </w:p>
        </w:tc>
        <w:tc>
          <w:tcPr>
            <w:tcW w:w="2071" w:type="dxa"/>
            <w:vAlign w:val="center"/>
          </w:tcPr>
          <w:p w14:paraId="32DF6102">
            <w:pPr>
              <w:adjustRightInd w:val="0"/>
              <w:snapToGrid w:val="0"/>
              <w:spacing w:line="460" w:lineRule="exact"/>
              <w:ind w:firstLine="2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同一业绩不重复计分</w:t>
            </w:r>
          </w:p>
        </w:tc>
      </w:tr>
      <w:tr w14:paraId="20BA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09" w:type="dxa"/>
            <w:vMerge w:val="continue"/>
            <w:vAlign w:val="center"/>
          </w:tcPr>
          <w:p w14:paraId="4131BF4B">
            <w:pPr>
              <w:spacing w:line="460" w:lineRule="exact"/>
              <w:ind w:firstLine="28"/>
              <w:jc w:val="center"/>
              <w:rPr>
                <w:rFonts w:ascii="宋体" w:hAnsi="宋体" w:cs="宋体"/>
                <w:color w:val="auto"/>
                <w:sz w:val="24"/>
                <w:szCs w:val="24"/>
                <w:highlight w:val="none"/>
              </w:rPr>
            </w:pPr>
          </w:p>
        </w:tc>
        <w:tc>
          <w:tcPr>
            <w:tcW w:w="1135" w:type="dxa"/>
            <w:vMerge w:val="continue"/>
            <w:vAlign w:val="center"/>
          </w:tcPr>
          <w:p w14:paraId="68C3F061">
            <w:pPr>
              <w:adjustRightInd w:val="0"/>
              <w:snapToGrid w:val="0"/>
              <w:spacing w:line="460" w:lineRule="exact"/>
              <w:ind w:firstLine="28"/>
              <w:jc w:val="center"/>
              <w:rPr>
                <w:rFonts w:ascii="宋体" w:hAnsi="宋体" w:cs="宋体"/>
                <w:color w:val="auto"/>
                <w:sz w:val="24"/>
                <w:szCs w:val="24"/>
                <w:highlight w:val="none"/>
              </w:rPr>
            </w:pPr>
          </w:p>
        </w:tc>
        <w:tc>
          <w:tcPr>
            <w:tcW w:w="1191" w:type="dxa"/>
            <w:vAlign w:val="center"/>
          </w:tcPr>
          <w:p w14:paraId="15A59588">
            <w:pPr>
              <w:snapToGrid w:val="0"/>
              <w:spacing w:line="4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885" w:type="dxa"/>
            <w:vAlign w:val="center"/>
          </w:tcPr>
          <w:p w14:paraId="27942DDD">
            <w:pPr>
              <w:snapToGrid w:val="0"/>
              <w:spacing w:line="460" w:lineRule="exact"/>
              <w:jc w:val="center"/>
              <w:rPr>
                <w:rFonts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rPr>
              <w:t>分</w:t>
            </w:r>
          </w:p>
        </w:tc>
        <w:tc>
          <w:tcPr>
            <w:tcW w:w="4500" w:type="dxa"/>
          </w:tcPr>
          <w:p w14:paraId="5450D30F">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sz w:val="24"/>
                <w:szCs w:val="24"/>
                <w:highlight w:val="none"/>
              </w:rPr>
              <w:t>项目负责人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同时具备水土保持专业正高级职称和注册土木工程师（专业：水利水电工程水土保持）证书的得3分；只</w:t>
            </w:r>
            <w:r>
              <w:rPr>
                <w:rFonts w:hint="eastAsia" w:ascii="宋体" w:hAnsi="宋体" w:cs="宋体"/>
                <w:color w:val="auto"/>
                <w:sz w:val="24"/>
                <w:szCs w:val="24"/>
                <w:highlight w:val="none"/>
              </w:rPr>
              <w:t>具备</w:t>
            </w:r>
            <w:r>
              <w:rPr>
                <w:rFonts w:hint="eastAsia" w:ascii="宋体" w:hAnsi="宋体" w:cs="宋体"/>
                <w:color w:val="auto"/>
                <w:sz w:val="24"/>
                <w:szCs w:val="24"/>
                <w:highlight w:val="none"/>
                <w:lang w:val="en-US" w:eastAsia="zh-CN"/>
              </w:rPr>
              <w:t>其中一项</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不具备</w:t>
            </w:r>
            <w:r>
              <w:rPr>
                <w:rFonts w:hint="eastAsia" w:ascii="宋体" w:hAnsi="宋体" w:cs="宋体"/>
                <w:color w:val="auto"/>
                <w:sz w:val="24"/>
                <w:szCs w:val="24"/>
                <w:highlight w:val="none"/>
              </w:rPr>
              <w:t>不得分。</w:t>
            </w:r>
          </w:p>
          <w:p w14:paraId="41A2640D">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须提供：注册证、职称证及供应商为其缴纳的养老保险证明。</w:t>
            </w:r>
          </w:p>
        </w:tc>
        <w:tc>
          <w:tcPr>
            <w:tcW w:w="2071" w:type="dxa"/>
            <w:vAlign w:val="center"/>
          </w:tcPr>
          <w:p w14:paraId="464416F2">
            <w:pPr>
              <w:adjustRightInd w:val="0"/>
              <w:snapToGrid w:val="0"/>
              <w:spacing w:line="460" w:lineRule="exact"/>
              <w:ind w:firstLine="28"/>
              <w:jc w:val="center"/>
              <w:rPr>
                <w:rFonts w:ascii="宋体" w:hAnsi="宋体" w:cs="宋体"/>
                <w:color w:val="auto"/>
                <w:sz w:val="24"/>
                <w:szCs w:val="24"/>
                <w:highlight w:val="none"/>
              </w:rPr>
            </w:pPr>
            <w:bookmarkStart w:id="29" w:name="OLE_LINK1"/>
            <w:r>
              <w:rPr>
                <w:rFonts w:hint="eastAsia" w:ascii="宋体" w:hAnsi="宋体" w:cs="宋体"/>
                <w:color w:val="auto"/>
                <w:sz w:val="24"/>
                <w:szCs w:val="24"/>
                <w:highlight w:val="none"/>
                <w:lang w:val="en-US" w:eastAsia="zh-CN"/>
              </w:rPr>
              <w:t>养老保险证明时间要求：</w:t>
            </w:r>
            <w:r>
              <w:rPr>
                <w:rFonts w:hint="eastAsia" w:ascii="宋体" w:hAnsi="宋体" w:cs="宋体"/>
                <w:color w:val="auto"/>
                <w:sz w:val="24"/>
                <w:szCs w:val="24"/>
                <w:highlight w:val="none"/>
              </w:rPr>
              <w:t>2024年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月至202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连续</w:t>
            </w:r>
            <w:r>
              <w:rPr>
                <w:rFonts w:hint="eastAsia" w:ascii="宋体" w:hAnsi="宋体" w:cs="宋体"/>
                <w:color w:val="auto"/>
                <w:sz w:val="24"/>
                <w:szCs w:val="24"/>
                <w:highlight w:val="none"/>
              </w:rPr>
              <w:t>养老保险。</w:t>
            </w:r>
            <w:bookmarkEnd w:id="29"/>
          </w:p>
        </w:tc>
      </w:tr>
      <w:tr w14:paraId="3158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09" w:type="dxa"/>
            <w:vMerge w:val="continue"/>
            <w:vAlign w:val="center"/>
          </w:tcPr>
          <w:p w14:paraId="0F96A2CA">
            <w:pPr>
              <w:spacing w:line="460" w:lineRule="exact"/>
              <w:ind w:firstLine="28"/>
              <w:jc w:val="center"/>
              <w:rPr>
                <w:rFonts w:ascii="宋体" w:hAnsi="宋体" w:cs="宋体"/>
                <w:color w:val="auto"/>
                <w:sz w:val="24"/>
                <w:szCs w:val="24"/>
                <w:highlight w:val="none"/>
              </w:rPr>
            </w:pPr>
          </w:p>
        </w:tc>
        <w:tc>
          <w:tcPr>
            <w:tcW w:w="1135" w:type="dxa"/>
            <w:vMerge w:val="continue"/>
            <w:vAlign w:val="center"/>
          </w:tcPr>
          <w:p w14:paraId="3305C614">
            <w:pPr>
              <w:adjustRightInd w:val="0"/>
              <w:snapToGrid w:val="0"/>
              <w:spacing w:line="460" w:lineRule="exact"/>
              <w:ind w:firstLine="28"/>
              <w:jc w:val="center"/>
              <w:rPr>
                <w:rFonts w:ascii="宋体" w:hAnsi="宋体" w:cs="宋体"/>
                <w:color w:val="auto"/>
                <w:sz w:val="24"/>
                <w:szCs w:val="24"/>
                <w:highlight w:val="none"/>
              </w:rPr>
            </w:pPr>
          </w:p>
        </w:tc>
        <w:tc>
          <w:tcPr>
            <w:tcW w:w="1191" w:type="dxa"/>
            <w:vAlign w:val="center"/>
          </w:tcPr>
          <w:p w14:paraId="1D9A10BC">
            <w:pPr>
              <w:snapToGrid w:val="0"/>
              <w:spacing w:line="4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团队其他人员</w:t>
            </w:r>
          </w:p>
        </w:tc>
        <w:tc>
          <w:tcPr>
            <w:tcW w:w="885" w:type="dxa"/>
            <w:vAlign w:val="center"/>
          </w:tcPr>
          <w:p w14:paraId="2B4A0692">
            <w:pPr>
              <w:snapToGrid w:val="0"/>
              <w:spacing w:line="460" w:lineRule="exact"/>
              <w:jc w:val="center"/>
              <w:rPr>
                <w:rFonts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分</w:t>
            </w:r>
          </w:p>
        </w:tc>
        <w:tc>
          <w:tcPr>
            <w:tcW w:w="4500" w:type="dxa"/>
          </w:tcPr>
          <w:p w14:paraId="278E8863">
            <w:pPr>
              <w:adjustRightInd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除项目负责人外，拟投入本项目团队</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其他人员</w:t>
            </w:r>
            <w:r>
              <w:rPr>
                <w:rFonts w:hint="eastAsia" w:ascii="宋体" w:hAnsi="宋体" w:cs="宋体"/>
                <w:color w:val="auto"/>
                <w:sz w:val="24"/>
                <w:szCs w:val="24"/>
                <w:highlight w:val="none"/>
                <w:lang w:val="en-US" w:eastAsia="zh-CN"/>
              </w:rPr>
              <w:t>中，每增加1名水土保持专业高级及以上职称人员得1分。本项最多得5分。</w:t>
            </w:r>
          </w:p>
          <w:p w14:paraId="4927563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须提供：职称证及供应商为其缴纳的养老保险证明。</w:t>
            </w:r>
          </w:p>
        </w:tc>
        <w:tc>
          <w:tcPr>
            <w:tcW w:w="2071" w:type="dxa"/>
            <w:vAlign w:val="center"/>
          </w:tcPr>
          <w:p w14:paraId="7892A282">
            <w:pPr>
              <w:numPr>
                <w:ilvl w:val="0"/>
                <w:numId w:val="0"/>
              </w:numPr>
              <w:adjustRightInd w:val="0"/>
              <w:snapToGrid w:val="0"/>
              <w:spacing w:line="380" w:lineRule="atLeast"/>
              <w:rPr>
                <w:rFonts w:ascii="宋体" w:hAnsi="宋体" w:cs="宋体"/>
                <w:color w:val="auto"/>
                <w:sz w:val="24"/>
                <w:szCs w:val="24"/>
                <w:highlight w:val="none"/>
              </w:rPr>
            </w:pPr>
            <w:r>
              <w:rPr>
                <w:rFonts w:hint="eastAsia" w:ascii="宋体" w:hAnsi="宋体" w:cs="宋体"/>
                <w:color w:val="auto"/>
                <w:sz w:val="24"/>
                <w:szCs w:val="24"/>
                <w:highlight w:val="none"/>
              </w:rPr>
              <w:t>同一人不重复计分；</w:t>
            </w:r>
          </w:p>
          <w:p w14:paraId="5A3A94FD">
            <w:pPr>
              <w:adjustRightInd w:val="0"/>
              <w:snapToGrid w:val="0"/>
              <w:spacing w:line="460" w:lineRule="exact"/>
              <w:ind w:firstLine="28"/>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养老保险证明时间要求：</w:t>
            </w:r>
            <w:r>
              <w:rPr>
                <w:rFonts w:hint="eastAsia" w:ascii="宋体" w:hAnsi="宋体" w:cs="宋体"/>
                <w:color w:val="auto"/>
                <w:sz w:val="24"/>
                <w:szCs w:val="24"/>
                <w:highlight w:val="none"/>
              </w:rPr>
              <w:t>2024年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月至202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连续</w:t>
            </w:r>
            <w:r>
              <w:rPr>
                <w:rFonts w:hint="eastAsia" w:ascii="宋体" w:hAnsi="宋体" w:cs="宋体"/>
                <w:color w:val="auto"/>
                <w:sz w:val="24"/>
                <w:szCs w:val="24"/>
                <w:highlight w:val="none"/>
              </w:rPr>
              <w:t>养老保险。</w:t>
            </w:r>
          </w:p>
        </w:tc>
      </w:tr>
      <w:tr w14:paraId="3498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09" w:type="dxa"/>
            <w:vMerge w:val="continue"/>
            <w:vAlign w:val="center"/>
          </w:tcPr>
          <w:p w14:paraId="39F6DD09">
            <w:pPr>
              <w:spacing w:line="460" w:lineRule="exact"/>
              <w:ind w:firstLine="28"/>
              <w:jc w:val="center"/>
              <w:rPr>
                <w:rFonts w:ascii="宋体" w:hAnsi="宋体" w:cs="宋体"/>
                <w:color w:val="auto"/>
                <w:sz w:val="24"/>
                <w:szCs w:val="24"/>
                <w:highlight w:val="none"/>
              </w:rPr>
            </w:pPr>
          </w:p>
        </w:tc>
        <w:tc>
          <w:tcPr>
            <w:tcW w:w="1135" w:type="dxa"/>
            <w:vMerge w:val="continue"/>
            <w:vAlign w:val="center"/>
          </w:tcPr>
          <w:p w14:paraId="619A07EF">
            <w:pPr>
              <w:adjustRightInd w:val="0"/>
              <w:snapToGrid w:val="0"/>
              <w:spacing w:line="460" w:lineRule="exact"/>
              <w:ind w:firstLine="28"/>
              <w:jc w:val="center"/>
              <w:rPr>
                <w:rFonts w:ascii="宋体" w:hAnsi="宋体" w:cs="宋体"/>
                <w:color w:val="auto"/>
                <w:sz w:val="24"/>
                <w:szCs w:val="24"/>
                <w:highlight w:val="none"/>
              </w:rPr>
            </w:pPr>
          </w:p>
        </w:tc>
        <w:tc>
          <w:tcPr>
            <w:tcW w:w="1191" w:type="dxa"/>
            <w:vAlign w:val="center"/>
          </w:tcPr>
          <w:p w14:paraId="72A832A8">
            <w:pPr>
              <w:snapToGrid w:val="0"/>
              <w:spacing w:line="4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企业实力</w:t>
            </w:r>
          </w:p>
        </w:tc>
        <w:tc>
          <w:tcPr>
            <w:tcW w:w="885" w:type="dxa"/>
            <w:vAlign w:val="center"/>
          </w:tcPr>
          <w:p w14:paraId="1A34BAE9">
            <w:pPr>
              <w:snapToGrid w:val="0"/>
              <w:spacing w:line="460" w:lineRule="exact"/>
              <w:jc w:val="center"/>
              <w:rPr>
                <w:rFonts w:hint="default"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6分</w:t>
            </w:r>
          </w:p>
        </w:tc>
        <w:tc>
          <w:tcPr>
            <w:tcW w:w="4500" w:type="dxa"/>
          </w:tcPr>
          <w:p w14:paraId="12B6162F">
            <w:pPr>
              <w:adjustRightInd w:val="0"/>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供应商持有</w:t>
            </w:r>
            <w:bookmarkStart w:id="30" w:name="OLE_LINK2"/>
            <w:r>
              <w:rPr>
                <w:rFonts w:hint="eastAsia" w:ascii="宋体" w:hAnsi="宋体" w:cs="宋体"/>
                <w:color w:val="auto"/>
                <w:sz w:val="24"/>
                <w:szCs w:val="24"/>
                <w:highlight w:val="none"/>
                <w:lang w:val="en-US" w:eastAsia="zh-CN"/>
              </w:rPr>
              <w:t>水土保持方案编制资质</w:t>
            </w:r>
            <w:bookmarkEnd w:id="30"/>
            <w:r>
              <w:rPr>
                <w:rFonts w:hint="eastAsia" w:ascii="宋体" w:hAnsi="宋体" w:cs="宋体"/>
                <w:color w:val="auto"/>
                <w:sz w:val="24"/>
                <w:szCs w:val="24"/>
                <w:highlight w:val="none"/>
                <w:lang w:val="en-US" w:eastAsia="zh-CN"/>
              </w:rPr>
              <w:t>证书，等级为1星或2星的得1分，3星的得2分，4星及以上的得3分。不具备不得分。</w:t>
            </w:r>
          </w:p>
          <w:p w14:paraId="421001B9">
            <w:pPr>
              <w:adjustRightInd w:val="0"/>
              <w:snapToGrid w:val="0"/>
              <w:spacing w:line="360" w:lineRule="auto"/>
              <w:ind w:firstLine="480" w:firstLineChars="200"/>
              <w:rPr>
                <w:rFonts w:hint="default"/>
                <w:color w:val="auto"/>
                <w:highlight w:val="none"/>
                <w:lang w:val="en-US" w:eastAsia="zh-CN"/>
              </w:rPr>
            </w:pPr>
            <w:r>
              <w:rPr>
                <w:rFonts w:hint="eastAsia" w:ascii="宋体" w:hAnsi="宋体" w:cs="宋体"/>
                <w:color w:val="auto"/>
                <w:sz w:val="24"/>
                <w:szCs w:val="24"/>
                <w:highlight w:val="none"/>
                <w:lang w:val="en-US" w:eastAsia="zh-CN"/>
              </w:rPr>
              <w:t>供应商持有水土保持监测资质证书，等级为1星或2星的得1分，3星的得2分，4星及以上的得3分。不具备不得分。</w:t>
            </w:r>
          </w:p>
        </w:tc>
        <w:tc>
          <w:tcPr>
            <w:tcW w:w="2071" w:type="dxa"/>
            <w:vAlign w:val="center"/>
          </w:tcPr>
          <w:p w14:paraId="3A179EA7">
            <w:pPr>
              <w:adjustRightInd w:val="0"/>
              <w:snapToGrid w:val="0"/>
              <w:spacing w:line="460" w:lineRule="exact"/>
              <w:ind w:firstLine="28"/>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提供资质证书复印件并加盖单位公章。</w:t>
            </w:r>
          </w:p>
        </w:tc>
      </w:tr>
      <w:tr w14:paraId="325A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09" w:type="dxa"/>
            <w:vMerge w:val="restart"/>
            <w:vAlign w:val="center"/>
          </w:tcPr>
          <w:p w14:paraId="42EB6261">
            <w:pPr>
              <w:spacing w:line="4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135" w:type="dxa"/>
            <w:vMerge w:val="restart"/>
            <w:vAlign w:val="center"/>
          </w:tcPr>
          <w:p w14:paraId="76BE8D78">
            <w:pPr>
              <w:adjustRightInd w:val="0"/>
              <w:snapToGrid w:val="0"/>
              <w:spacing w:line="4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技术部分（</w:t>
            </w:r>
            <w:r>
              <w:rPr>
                <w:rFonts w:hint="eastAsia" w:ascii="宋体" w:hAnsi="宋体" w:cs="宋体"/>
                <w:color w:val="auto"/>
                <w:sz w:val="24"/>
                <w:szCs w:val="24"/>
                <w:highlight w:val="none"/>
                <w:u w:val="single"/>
              </w:rPr>
              <w:t>30</w:t>
            </w:r>
            <w:r>
              <w:rPr>
                <w:rFonts w:hint="eastAsia" w:ascii="宋体" w:hAnsi="宋体" w:cs="宋体"/>
                <w:color w:val="auto"/>
                <w:sz w:val="24"/>
                <w:szCs w:val="24"/>
                <w:highlight w:val="none"/>
              </w:rPr>
              <w:t>%）</w:t>
            </w:r>
          </w:p>
        </w:tc>
        <w:tc>
          <w:tcPr>
            <w:tcW w:w="1191" w:type="dxa"/>
            <w:vAlign w:val="center"/>
          </w:tcPr>
          <w:p w14:paraId="2B5F3A3C">
            <w:pPr>
              <w:pStyle w:val="12"/>
              <w:spacing w:line="460" w:lineRule="exact"/>
              <w:rPr>
                <w:rFonts w:ascii="宋体" w:hAnsi="宋体" w:cs="宋体"/>
                <w:color w:val="auto"/>
                <w:sz w:val="24"/>
                <w:szCs w:val="24"/>
                <w:highlight w:val="none"/>
                <w:lang w:val="zh-TW"/>
              </w:rPr>
            </w:pPr>
            <w:r>
              <w:rPr>
                <w:rFonts w:hint="eastAsia" w:ascii="宋体" w:hAnsi="宋体" w:cs="宋体"/>
                <w:color w:val="auto"/>
                <w:sz w:val="24"/>
                <w:szCs w:val="24"/>
                <w:highlight w:val="none"/>
                <w:lang w:val="zh-TW"/>
              </w:rPr>
              <w:t>工作范围及控制目标的理解</w:t>
            </w:r>
          </w:p>
          <w:p w14:paraId="2ED16839">
            <w:pPr>
              <w:snapToGrid w:val="0"/>
              <w:spacing w:line="460" w:lineRule="exact"/>
              <w:jc w:val="center"/>
              <w:rPr>
                <w:rFonts w:ascii="宋体" w:hAnsi="宋体" w:cs="宋体"/>
                <w:color w:val="auto"/>
                <w:sz w:val="24"/>
                <w:szCs w:val="24"/>
                <w:highlight w:val="none"/>
              </w:rPr>
            </w:pPr>
          </w:p>
        </w:tc>
        <w:tc>
          <w:tcPr>
            <w:tcW w:w="885" w:type="dxa"/>
            <w:vAlign w:val="center"/>
          </w:tcPr>
          <w:p w14:paraId="4946DB9E">
            <w:pPr>
              <w:snapToGrid w:val="0"/>
              <w:spacing w:line="460" w:lineRule="exact"/>
              <w:jc w:val="center"/>
              <w:rPr>
                <w:rFonts w:ascii="宋体" w:hAnsi="宋体" w:cs="宋体"/>
                <w:color w:val="auto"/>
                <w:sz w:val="24"/>
                <w:szCs w:val="24"/>
                <w:highlight w:val="none"/>
              </w:rPr>
            </w:pPr>
            <w:r>
              <w:rPr>
                <w:rFonts w:hint="eastAsia" w:ascii="宋体" w:hAnsi="宋体" w:cs="宋体"/>
                <w:color w:val="auto"/>
                <w:sz w:val="24"/>
                <w:szCs w:val="24"/>
                <w:highlight w:val="none"/>
                <w:u w:val="single"/>
              </w:rPr>
              <w:t>5</w:t>
            </w:r>
            <w:r>
              <w:rPr>
                <w:rFonts w:hint="eastAsia" w:ascii="宋体" w:hAnsi="宋体" w:cs="宋体"/>
                <w:color w:val="auto"/>
                <w:sz w:val="24"/>
                <w:szCs w:val="24"/>
                <w:highlight w:val="none"/>
              </w:rPr>
              <w:t>分</w:t>
            </w:r>
          </w:p>
        </w:tc>
        <w:tc>
          <w:tcPr>
            <w:tcW w:w="4500" w:type="dxa"/>
          </w:tcPr>
          <w:p w14:paraId="1E5AB168">
            <w:pPr>
              <w:adjustRightInd w:val="0"/>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TW"/>
              </w:rPr>
              <w:t>对本项目的工作范围理解正确，有明确的控制目标：优秀得</w:t>
            </w:r>
            <w:r>
              <w:rPr>
                <w:rFonts w:hint="eastAsia" w:ascii="宋体" w:hAnsi="宋体" w:cs="宋体"/>
                <w:color w:val="auto"/>
                <w:sz w:val="24"/>
                <w:szCs w:val="24"/>
                <w:highlight w:val="none"/>
              </w:rPr>
              <w:t>4-5</w:t>
            </w:r>
            <w:r>
              <w:rPr>
                <w:rFonts w:hint="eastAsia" w:ascii="宋体" w:hAnsi="宋体" w:cs="宋体"/>
                <w:color w:val="auto"/>
                <w:sz w:val="24"/>
                <w:szCs w:val="24"/>
                <w:highlight w:val="none"/>
                <w:lang w:val="zh-TW"/>
              </w:rPr>
              <w:t>分、良好得</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TW"/>
              </w:rPr>
              <w:t>分、合格得</w:t>
            </w:r>
            <w:r>
              <w:rPr>
                <w:rFonts w:hint="eastAsia" w:ascii="宋体" w:hAnsi="宋体" w:cs="宋体"/>
                <w:color w:val="auto"/>
                <w:sz w:val="24"/>
                <w:szCs w:val="24"/>
                <w:highlight w:val="none"/>
              </w:rPr>
              <w:t>1-2</w:t>
            </w:r>
            <w:r>
              <w:rPr>
                <w:rFonts w:hint="eastAsia" w:ascii="宋体" w:hAnsi="宋体" w:cs="宋体"/>
                <w:color w:val="auto"/>
                <w:sz w:val="24"/>
                <w:szCs w:val="24"/>
                <w:highlight w:val="none"/>
                <w:lang w:val="zh-TW"/>
              </w:rPr>
              <w:t>分，不合格或未提供不得分。</w:t>
            </w:r>
            <w:r>
              <w:rPr>
                <w:rFonts w:hint="eastAsia" w:ascii="宋体" w:hAnsi="宋体" w:cs="宋体"/>
                <w:color w:val="auto"/>
                <w:highlight w:val="none"/>
                <w:lang w:val="zh-TW"/>
              </w:rPr>
              <w:t xml:space="preserve"> </w:t>
            </w:r>
          </w:p>
        </w:tc>
        <w:tc>
          <w:tcPr>
            <w:tcW w:w="2071" w:type="dxa"/>
            <w:vMerge w:val="restart"/>
            <w:vAlign w:val="center"/>
          </w:tcPr>
          <w:p w14:paraId="7FE409DC">
            <w:pPr>
              <w:pStyle w:val="21"/>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评标委员会按各评审因素设定的分值评分。</w:t>
            </w:r>
          </w:p>
          <w:p w14:paraId="4FBEC7D2">
            <w:pPr>
              <w:pStyle w:val="21"/>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取所有评委评分的算术平均值为该投标人技术部分得分。</w:t>
            </w:r>
          </w:p>
          <w:p w14:paraId="589B8E9B">
            <w:pPr>
              <w:adjustRightInd w:val="0"/>
              <w:snapToGrid w:val="0"/>
              <w:spacing w:line="460" w:lineRule="exact"/>
              <w:ind w:firstLine="28"/>
              <w:jc w:val="center"/>
              <w:rPr>
                <w:rFonts w:ascii="宋体" w:hAnsi="宋体" w:cs="宋体"/>
                <w:color w:val="auto"/>
                <w:spacing w:val="1"/>
                <w:szCs w:val="21"/>
                <w:highlight w:val="none"/>
              </w:rPr>
            </w:pPr>
            <w:r>
              <w:rPr>
                <w:rFonts w:hint="eastAsia" w:ascii="宋体" w:hAnsi="宋体" w:cs="宋体"/>
                <w:color w:val="auto"/>
                <w:kern w:val="0"/>
                <w:sz w:val="24"/>
                <w:szCs w:val="24"/>
                <w:highlight w:val="none"/>
                <w:lang w:bidi="ar"/>
              </w:rPr>
              <w:t>技术部分得分的最终结果取小数点后两位，第三位四舍五入。</w:t>
            </w:r>
          </w:p>
          <w:p w14:paraId="502EDBA9">
            <w:pPr>
              <w:adjustRightInd w:val="0"/>
              <w:snapToGrid w:val="0"/>
              <w:spacing w:line="460" w:lineRule="exact"/>
              <w:ind w:firstLine="28"/>
              <w:jc w:val="center"/>
              <w:rPr>
                <w:rFonts w:ascii="宋体" w:hAnsi="宋体" w:cs="宋体"/>
                <w:color w:val="auto"/>
                <w:spacing w:val="1"/>
                <w:szCs w:val="21"/>
                <w:highlight w:val="none"/>
              </w:rPr>
            </w:pPr>
          </w:p>
          <w:p w14:paraId="78AB8B90">
            <w:pPr>
              <w:adjustRightInd w:val="0"/>
              <w:snapToGrid w:val="0"/>
              <w:spacing w:line="460" w:lineRule="exact"/>
              <w:ind w:firstLine="28"/>
              <w:jc w:val="center"/>
              <w:rPr>
                <w:rFonts w:ascii="宋体" w:hAnsi="宋体" w:cs="宋体"/>
                <w:color w:val="auto"/>
                <w:spacing w:val="1"/>
                <w:szCs w:val="21"/>
                <w:highlight w:val="none"/>
              </w:rPr>
            </w:pPr>
          </w:p>
          <w:p w14:paraId="1F98A4FB">
            <w:pPr>
              <w:adjustRightInd w:val="0"/>
              <w:snapToGrid w:val="0"/>
              <w:spacing w:line="460" w:lineRule="exact"/>
              <w:ind w:firstLine="28"/>
              <w:jc w:val="center"/>
              <w:rPr>
                <w:rFonts w:ascii="宋体" w:hAnsi="宋体" w:cs="宋体"/>
                <w:color w:val="auto"/>
                <w:spacing w:val="1"/>
                <w:szCs w:val="21"/>
                <w:highlight w:val="none"/>
              </w:rPr>
            </w:pPr>
          </w:p>
          <w:p w14:paraId="3DF34BEC">
            <w:pPr>
              <w:adjustRightInd w:val="0"/>
              <w:snapToGrid w:val="0"/>
              <w:spacing w:line="460" w:lineRule="exact"/>
              <w:ind w:firstLine="28"/>
              <w:jc w:val="center"/>
              <w:rPr>
                <w:rFonts w:ascii="宋体" w:hAnsi="宋体" w:cs="宋体"/>
                <w:color w:val="auto"/>
                <w:spacing w:val="1"/>
                <w:szCs w:val="21"/>
                <w:highlight w:val="none"/>
              </w:rPr>
            </w:pPr>
          </w:p>
          <w:p w14:paraId="1EB4A5EF">
            <w:pPr>
              <w:adjustRightInd w:val="0"/>
              <w:snapToGrid w:val="0"/>
              <w:spacing w:line="460" w:lineRule="exact"/>
              <w:ind w:firstLine="28"/>
              <w:jc w:val="center"/>
              <w:rPr>
                <w:rFonts w:ascii="宋体" w:hAnsi="宋体" w:cs="宋体"/>
                <w:color w:val="auto"/>
                <w:sz w:val="24"/>
                <w:szCs w:val="24"/>
                <w:highlight w:val="none"/>
              </w:rPr>
            </w:pPr>
          </w:p>
        </w:tc>
      </w:tr>
      <w:tr w14:paraId="4B3C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709" w:type="dxa"/>
            <w:vMerge w:val="continue"/>
            <w:vAlign w:val="center"/>
          </w:tcPr>
          <w:p w14:paraId="71692EAB">
            <w:pPr>
              <w:spacing w:line="460" w:lineRule="exact"/>
              <w:ind w:firstLine="28"/>
              <w:jc w:val="center"/>
              <w:rPr>
                <w:rFonts w:ascii="宋体" w:hAnsi="宋体" w:cs="宋体"/>
                <w:color w:val="auto"/>
                <w:sz w:val="24"/>
                <w:szCs w:val="24"/>
                <w:highlight w:val="none"/>
              </w:rPr>
            </w:pPr>
          </w:p>
        </w:tc>
        <w:tc>
          <w:tcPr>
            <w:tcW w:w="1135" w:type="dxa"/>
            <w:vMerge w:val="continue"/>
            <w:vAlign w:val="center"/>
          </w:tcPr>
          <w:p w14:paraId="505CB807">
            <w:pPr>
              <w:snapToGrid w:val="0"/>
              <w:spacing w:line="460" w:lineRule="exact"/>
              <w:jc w:val="center"/>
              <w:rPr>
                <w:rFonts w:ascii="宋体" w:hAnsi="宋体" w:cs="宋体"/>
                <w:color w:val="auto"/>
                <w:sz w:val="24"/>
                <w:szCs w:val="24"/>
                <w:highlight w:val="none"/>
              </w:rPr>
            </w:pPr>
          </w:p>
        </w:tc>
        <w:tc>
          <w:tcPr>
            <w:tcW w:w="1191" w:type="dxa"/>
            <w:vAlign w:val="center"/>
          </w:tcPr>
          <w:p w14:paraId="50DE66FC">
            <w:pPr>
              <w:adjustRightInd w:val="0"/>
              <w:snapToGrid w:val="0"/>
              <w:spacing w:line="4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工作程序及方法</w:t>
            </w:r>
          </w:p>
        </w:tc>
        <w:tc>
          <w:tcPr>
            <w:tcW w:w="885" w:type="dxa"/>
            <w:vAlign w:val="center"/>
          </w:tcPr>
          <w:p w14:paraId="18E318E5">
            <w:pPr>
              <w:snapToGrid w:val="0"/>
              <w:spacing w:line="460" w:lineRule="exact"/>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10</w:t>
            </w:r>
            <w:r>
              <w:rPr>
                <w:rFonts w:hint="eastAsia" w:ascii="宋体" w:hAnsi="宋体" w:cs="宋体"/>
                <w:color w:val="auto"/>
                <w:sz w:val="24"/>
                <w:szCs w:val="24"/>
                <w:highlight w:val="none"/>
              </w:rPr>
              <w:t>分</w:t>
            </w:r>
          </w:p>
        </w:tc>
        <w:tc>
          <w:tcPr>
            <w:tcW w:w="4500" w:type="dxa"/>
          </w:tcPr>
          <w:p w14:paraId="2E94279B">
            <w:pPr>
              <w:adjustRightInd w:val="0"/>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TW"/>
              </w:rPr>
              <w:t>对本项目的服务工作思路和程序清晰，各项工作方案及内容全面、合理，满足项目要求：优秀得</w:t>
            </w:r>
            <w:r>
              <w:rPr>
                <w:rFonts w:hint="eastAsia" w:ascii="宋体" w:hAnsi="宋体" w:cs="宋体"/>
                <w:color w:val="auto"/>
                <w:sz w:val="24"/>
                <w:szCs w:val="24"/>
                <w:highlight w:val="none"/>
              </w:rPr>
              <w:t>8-10</w:t>
            </w:r>
            <w:r>
              <w:rPr>
                <w:rFonts w:hint="eastAsia" w:ascii="宋体" w:hAnsi="宋体" w:cs="宋体"/>
                <w:color w:val="auto"/>
                <w:sz w:val="24"/>
                <w:szCs w:val="24"/>
                <w:highlight w:val="none"/>
                <w:lang w:val="zh-TW"/>
              </w:rPr>
              <w:t>分、良好得</w:t>
            </w:r>
            <w:r>
              <w:rPr>
                <w:rFonts w:hint="eastAsia" w:ascii="宋体" w:hAnsi="宋体" w:cs="宋体"/>
                <w:color w:val="auto"/>
                <w:sz w:val="24"/>
                <w:szCs w:val="24"/>
                <w:highlight w:val="none"/>
              </w:rPr>
              <w:t>4-7</w:t>
            </w:r>
            <w:r>
              <w:rPr>
                <w:rFonts w:hint="eastAsia" w:ascii="宋体" w:hAnsi="宋体" w:cs="宋体"/>
                <w:color w:val="auto"/>
                <w:sz w:val="24"/>
                <w:szCs w:val="24"/>
                <w:highlight w:val="none"/>
                <w:lang w:val="zh-TW"/>
              </w:rPr>
              <w:t>分、合格得</w:t>
            </w:r>
            <w:r>
              <w:rPr>
                <w:rFonts w:hint="eastAsia" w:ascii="宋体" w:hAnsi="宋体" w:cs="宋体"/>
                <w:color w:val="auto"/>
                <w:sz w:val="24"/>
                <w:szCs w:val="24"/>
                <w:highlight w:val="none"/>
              </w:rPr>
              <w:t>1-3</w:t>
            </w:r>
            <w:r>
              <w:rPr>
                <w:rFonts w:hint="eastAsia" w:ascii="宋体" w:hAnsi="宋体" w:cs="宋体"/>
                <w:color w:val="auto"/>
                <w:sz w:val="24"/>
                <w:szCs w:val="24"/>
                <w:highlight w:val="none"/>
                <w:lang w:val="zh-TW"/>
              </w:rPr>
              <w:t>分，不合格或未提供不得分。</w:t>
            </w:r>
            <w:r>
              <w:rPr>
                <w:rFonts w:hint="eastAsia" w:ascii="宋体" w:hAnsi="宋体" w:cs="宋体"/>
                <w:color w:val="auto"/>
                <w:highlight w:val="none"/>
                <w:lang w:val="zh-TW"/>
              </w:rPr>
              <w:t xml:space="preserve"> </w:t>
            </w:r>
          </w:p>
        </w:tc>
        <w:tc>
          <w:tcPr>
            <w:tcW w:w="2071" w:type="dxa"/>
            <w:vMerge w:val="continue"/>
            <w:vAlign w:val="center"/>
          </w:tcPr>
          <w:p w14:paraId="3817FEC4">
            <w:pPr>
              <w:adjustRightInd w:val="0"/>
              <w:snapToGrid w:val="0"/>
              <w:spacing w:line="460" w:lineRule="exact"/>
              <w:ind w:firstLine="28"/>
              <w:jc w:val="center"/>
              <w:rPr>
                <w:rFonts w:ascii="宋体" w:hAnsi="宋体" w:cs="宋体"/>
                <w:color w:val="auto"/>
                <w:sz w:val="24"/>
                <w:szCs w:val="24"/>
                <w:highlight w:val="none"/>
              </w:rPr>
            </w:pPr>
          </w:p>
        </w:tc>
      </w:tr>
      <w:tr w14:paraId="0909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709" w:type="dxa"/>
            <w:vMerge w:val="continue"/>
            <w:vAlign w:val="center"/>
          </w:tcPr>
          <w:p w14:paraId="184AFB9A">
            <w:pPr>
              <w:spacing w:line="460" w:lineRule="exact"/>
              <w:ind w:firstLine="28"/>
              <w:jc w:val="center"/>
              <w:rPr>
                <w:rFonts w:ascii="宋体" w:hAnsi="宋体" w:cs="宋体"/>
                <w:color w:val="auto"/>
                <w:sz w:val="24"/>
                <w:szCs w:val="24"/>
                <w:highlight w:val="none"/>
              </w:rPr>
            </w:pPr>
          </w:p>
        </w:tc>
        <w:tc>
          <w:tcPr>
            <w:tcW w:w="1135" w:type="dxa"/>
            <w:vMerge w:val="continue"/>
            <w:vAlign w:val="center"/>
          </w:tcPr>
          <w:p w14:paraId="73217E7E">
            <w:pPr>
              <w:snapToGrid w:val="0"/>
              <w:spacing w:line="460" w:lineRule="exact"/>
              <w:jc w:val="center"/>
              <w:rPr>
                <w:rFonts w:ascii="宋体" w:hAnsi="宋体" w:cs="宋体"/>
                <w:color w:val="auto"/>
                <w:sz w:val="24"/>
                <w:szCs w:val="24"/>
                <w:highlight w:val="none"/>
              </w:rPr>
            </w:pPr>
          </w:p>
        </w:tc>
        <w:tc>
          <w:tcPr>
            <w:tcW w:w="1191" w:type="dxa"/>
            <w:vAlign w:val="center"/>
          </w:tcPr>
          <w:p w14:paraId="144E7989">
            <w:pPr>
              <w:adjustRightInd w:val="0"/>
              <w:snapToGrid w:val="0"/>
              <w:spacing w:line="4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lang w:val="zh-TW"/>
              </w:rPr>
              <w:t>进度计划及保障措施</w:t>
            </w:r>
          </w:p>
        </w:tc>
        <w:tc>
          <w:tcPr>
            <w:tcW w:w="885" w:type="dxa"/>
            <w:vAlign w:val="center"/>
          </w:tcPr>
          <w:p w14:paraId="53177164">
            <w:pPr>
              <w:snapToGrid w:val="0"/>
              <w:spacing w:line="460" w:lineRule="exact"/>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10</w:t>
            </w:r>
            <w:r>
              <w:rPr>
                <w:rFonts w:hint="eastAsia" w:ascii="宋体" w:hAnsi="宋体" w:cs="宋体"/>
                <w:color w:val="auto"/>
                <w:sz w:val="24"/>
                <w:szCs w:val="24"/>
                <w:highlight w:val="none"/>
              </w:rPr>
              <w:t>分</w:t>
            </w:r>
          </w:p>
        </w:tc>
        <w:tc>
          <w:tcPr>
            <w:tcW w:w="4500" w:type="dxa"/>
          </w:tcPr>
          <w:p w14:paraId="393F79B3">
            <w:pPr>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zh-TW"/>
              </w:rPr>
              <w:t>工作进度计划科学合理，保证措施有力，进度控制目标、方法、措施、程序和调整措施得当，满足项目进度要求：优秀得</w:t>
            </w:r>
            <w:r>
              <w:rPr>
                <w:rFonts w:hint="eastAsia" w:ascii="宋体" w:hAnsi="宋体" w:cs="宋体"/>
                <w:color w:val="auto"/>
                <w:sz w:val="24"/>
                <w:szCs w:val="24"/>
                <w:highlight w:val="none"/>
              </w:rPr>
              <w:t>8-10</w:t>
            </w:r>
            <w:r>
              <w:rPr>
                <w:rFonts w:hint="eastAsia" w:ascii="宋体" w:hAnsi="宋体" w:cs="宋体"/>
                <w:color w:val="auto"/>
                <w:sz w:val="24"/>
                <w:szCs w:val="24"/>
                <w:highlight w:val="none"/>
                <w:lang w:val="zh-TW"/>
              </w:rPr>
              <w:t>分、良好得</w:t>
            </w:r>
            <w:r>
              <w:rPr>
                <w:rFonts w:hint="eastAsia" w:ascii="宋体" w:hAnsi="宋体" w:cs="宋体"/>
                <w:color w:val="auto"/>
                <w:sz w:val="24"/>
                <w:szCs w:val="24"/>
                <w:highlight w:val="none"/>
              </w:rPr>
              <w:t>4-7</w:t>
            </w:r>
            <w:r>
              <w:rPr>
                <w:rFonts w:hint="eastAsia" w:ascii="宋体" w:hAnsi="宋体" w:cs="宋体"/>
                <w:color w:val="auto"/>
                <w:sz w:val="24"/>
                <w:szCs w:val="24"/>
                <w:highlight w:val="none"/>
                <w:lang w:val="zh-TW"/>
              </w:rPr>
              <w:t>分、合格得</w:t>
            </w:r>
            <w:r>
              <w:rPr>
                <w:rFonts w:hint="eastAsia" w:ascii="宋体" w:hAnsi="宋体" w:cs="宋体"/>
                <w:color w:val="auto"/>
                <w:sz w:val="24"/>
                <w:szCs w:val="24"/>
                <w:highlight w:val="none"/>
              </w:rPr>
              <w:t>1-3</w:t>
            </w:r>
            <w:r>
              <w:rPr>
                <w:rFonts w:hint="eastAsia" w:ascii="宋体" w:hAnsi="宋体" w:cs="宋体"/>
                <w:color w:val="auto"/>
                <w:sz w:val="24"/>
                <w:szCs w:val="24"/>
                <w:highlight w:val="none"/>
                <w:lang w:val="zh-TW"/>
              </w:rPr>
              <w:t>分，不合格或未提供不得分。</w:t>
            </w:r>
          </w:p>
        </w:tc>
        <w:tc>
          <w:tcPr>
            <w:tcW w:w="2071" w:type="dxa"/>
            <w:vMerge w:val="continue"/>
            <w:vAlign w:val="center"/>
          </w:tcPr>
          <w:p w14:paraId="36CABA9D">
            <w:pPr>
              <w:adjustRightInd w:val="0"/>
              <w:snapToGrid w:val="0"/>
              <w:spacing w:line="460" w:lineRule="exact"/>
              <w:ind w:firstLine="28"/>
              <w:jc w:val="center"/>
              <w:rPr>
                <w:rFonts w:ascii="宋体" w:hAnsi="宋体" w:cs="宋体"/>
                <w:color w:val="auto"/>
                <w:sz w:val="24"/>
                <w:szCs w:val="24"/>
                <w:highlight w:val="none"/>
              </w:rPr>
            </w:pPr>
          </w:p>
        </w:tc>
      </w:tr>
      <w:tr w14:paraId="1BDD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709" w:type="dxa"/>
            <w:vMerge w:val="continue"/>
            <w:vAlign w:val="center"/>
          </w:tcPr>
          <w:p w14:paraId="5199D385">
            <w:pPr>
              <w:spacing w:line="460" w:lineRule="exact"/>
              <w:ind w:firstLine="28"/>
              <w:jc w:val="center"/>
              <w:rPr>
                <w:rFonts w:ascii="宋体" w:hAnsi="宋体" w:cs="宋体"/>
                <w:color w:val="auto"/>
                <w:sz w:val="24"/>
                <w:szCs w:val="24"/>
                <w:highlight w:val="none"/>
              </w:rPr>
            </w:pPr>
          </w:p>
        </w:tc>
        <w:tc>
          <w:tcPr>
            <w:tcW w:w="1135" w:type="dxa"/>
            <w:vMerge w:val="continue"/>
            <w:vAlign w:val="center"/>
          </w:tcPr>
          <w:p w14:paraId="40145994">
            <w:pPr>
              <w:snapToGrid w:val="0"/>
              <w:spacing w:line="460" w:lineRule="exact"/>
              <w:jc w:val="center"/>
              <w:rPr>
                <w:rFonts w:ascii="宋体" w:hAnsi="宋体" w:cs="宋体"/>
                <w:color w:val="auto"/>
                <w:sz w:val="24"/>
                <w:szCs w:val="24"/>
                <w:highlight w:val="none"/>
              </w:rPr>
            </w:pPr>
          </w:p>
        </w:tc>
        <w:tc>
          <w:tcPr>
            <w:tcW w:w="1191" w:type="dxa"/>
            <w:vAlign w:val="center"/>
          </w:tcPr>
          <w:p w14:paraId="5260AF71">
            <w:pPr>
              <w:pStyle w:val="12"/>
              <w:spacing w:line="324" w:lineRule="auto"/>
              <w:rPr>
                <w:rFonts w:ascii="宋体" w:hAnsi="宋体" w:cs="宋体"/>
                <w:color w:val="auto"/>
                <w:sz w:val="24"/>
                <w:szCs w:val="24"/>
                <w:highlight w:val="none"/>
                <w:lang w:val="zh-TW"/>
              </w:rPr>
            </w:pPr>
            <w:r>
              <w:rPr>
                <w:rFonts w:hint="eastAsia" w:ascii="宋体" w:hAnsi="宋体" w:cs="宋体"/>
                <w:color w:val="auto"/>
                <w:sz w:val="24"/>
                <w:szCs w:val="24"/>
                <w:highlight w:val="none"/>
                <w:lang w:val="zh-TW"/>
              </w:rPr>
              <w:t>质量管理及保障措施</w:t>
            </w:r>
          </w:p>
          <w:p w14:paraId="7C15668B">
            <w:pPr>
              <w:adjustRightInd w:val="0"/>
              <w:snapToGrid w:val="0"/>
              <w:spacing w:line="460" w:lineRule="exact"/>
              <w:ind w:firstLine="28"/>
              <w:jc w:val="center"/>
              <w:rPr>
                <w:rFonts w:ascii="宋体" w:hAnsi="宋体" w:cs="宋体"/>
                <w:color w:val="auto"/>
                <w:sz w:val="24"/>
                <w:szCs w:val="24"/>
                <w:highlight w:val="none"/>
              </w:rPr>
            </w:pPr>
          </w:p>
        </w:tc>
        <w:tc>
          <w:tcPr>
            <w:tcW w:w="885" w:type="dxa"/>
            <w:vAlign w:val="center"/>
          </w:tcPr>
          <w:p w14:paraId="0765F326">
            <w:pPr>
              <w:snapToGrid w:val="0"/>
              <w:spacing w:line="460" w:lineRule="exact"/>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5</w:t>
            </w:r>
            <w:r>
              <w:rPr>
                <w:rFonts w:hint="eastAsia" w:ascii="宋体" w:hAnsi="宋体" w:cs="宋体"/>
                <w:color w:val="auto"/>
                <w:sz w:val="24"/>
                <w:szCs w:val="24"/>
                <w:highlight w:val="none"/>
              </w:rPr>
              <w:t>分</w:t>
            </w:r>
          </w:p>
        </w:tc>
        <w:tc>
          <w:tcPr>
            <w:tcW w:w="4500" w:type="dxa"/>
          </w:tcPr>
          <w:p w14:paraId="1A1C49EE">
            <w:pPr>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zh-TW"/>
              </w:rPr>
              <w:t>服务工作质量保证体系健全，保障措施得当，质量控制目标、方法、要点、措施、程序全面得力，满足工作质量要求：优秀得</w:t>
            </w:r>
            <w:r>
              <w:rPr>
                <w:rFonts w:hint="eastAsia" w:ascii="宋体" w:hAnsi="宋体" w:cs="宋体"/>
                <w:color w:val="auto"/>
                <w:sz w:val="24"/>
                <w:szCs w:val="24"/>
                <w:highlight w:val="none"/>
              </w:rPr>
              <w:t>4-5</w:t>
            </w:r>
            <w:r>
              <w:rPr>
                <w:rFonts w:hint="eastAsia" w:ascii="宋体" w:hAnsi="宋体" w:cs="宋体"/>
                <w:color w:val="auto"/>
                <w:sz w:val="24"/>
                <w:szCs w:val="24"/>
                <w:highlight w:val="none"/>
                <w:lang w:val="zh-TW"/>
              </w:rPr>
              <w:t>分、良好得</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TW"/>
              </w:rPr>
              <w:t>分、合格得</w:t>
            </w:r>
            <w:r>
              <w:rPr>
                <w:rFonts w:hint="eastAsia" w:ascii="宋体" w:hAnsi="宋体" w:cs="宋体"/>
                <w:color w:val="auto"/>
                <w:sz w:val="24"/>
                <w:szCs w:val="24"/>
                <w:highlight w:val="none"/>
              </w:rPr>
              <w:t>1-2</w:t>
            </w:r>
            <w:r>
              <w:rPr>
                <w:rFonts w:hint="eastAsia" w:ascii="宋体" w:hAnsi="宋体" w:cs="宋体"/>
                <w:color w:val="auto"/>
                <w:sz w:val="24"/>
                <w:szCs w:val="24"/>
                <w:highlight w:val="none"/>
                <w:lang w:val="zh-TW"/>
              </w:rPr>
              <w:t>分，不合格或未提供不得分。</w:t>
            </w:r>
          </w:p>
        </w:tc>
        <w:tc>
          <w:tcPr>
            <w:tcW w:w="2071" w:type="dxa"/>
            <w:vMerge w:val="continue"/>
            <w:vAlign w:val="center"/>
          </w:tcPr>
          <w:p w14:paraId="2348B95B">
            <w:pPr>
              <w:adjustRightInd w:val="0"/>
              <w:snapToGrid w:val="0"/>
              <w:spacing w:line="460" w:lineRule="exact"/>
              <w:ind w:firstLine="28"/>
              <w:jc w:val="center"/>
              <w:rPr>
                <w:rFonts w:ascii="宋体" w:hAnsi="宋体" w:cs="宋体"/>
                <w:color w:val="auto"/>
                <w:sz w:val="24"/>
                <w:szCs w:val="24"/>
                <w:highlight w:val="none"/>
              </w:rPr>
            </w:pPr>
          </w:p>
        </w:tc>
      </w:tr>
    </w:tbl>
    <w:p w14:paraId="0356458A">
      <w:pPr>
        <w:pStyle w:val="28"/>
        <w:spacing w:line="460" w:lineRule="exact"/>
        <w:rPr>
          <w:rFonts w:ascii="宋体" w:hAnsi="宋体" w:cs="宋体"/>
          <w:color w:val="auto"/>
          <w:szCs w:val="24"/>
          <w:highlight w:val="none"/>
        </w:rPr>
      </w:pPr>
    </w:p>
    <w:p w14:paraId="7D420C92">
      <w:pPr>
        <w:widowControl/>
        <w:tabs>
          <w:tab w:val="left" w:pos="3710"/>
        </w:tabs>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（二）有下列情况之一者竞争性比选文件无效：</w:t>
      </w:r>
    </w:p>
    <w:p w14:paraId="6992D50D">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 竞争性比选文件未按照比选文件要求由法定代表人或授权代表签字，或未按比选文件要求的格式加盖公章的；</w:t>
      </w:r>
    </w:p>
    <w:p w14:paraId="5A4821D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 竞争性比选文件未按规定格式和要求填写，内容不全或字迹模糊，辨认不清而影响评审；</w:t>
      </w:r>
    </w:p>
    <w:p w14:paraId="0E9D625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 供应商超出经营范围的或不具备比选文件规定的资格要求的；</w:t>
      </w:r>
    </w:p>
    <w:p w14:paraId="50F5826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 竞争性比选文件出现多个方案或报价的；</w:t>
      </w:r>
    </w:p>
    <w:p w14:paraId="10F90BC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 报价严重偏离市场价格（如报价明显高于或低于市场价格等）；</w:t>
      </w:r>
    </w:p>
    <w:p w14:paraId="6C22014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 报价高于比选最高限价的；</w:t>
      </w:r>
    </w:p>
    <w:p w14:paraId="1E5949F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 未提供符合要求的法定代表人授权委托书的；</w:t>
      </w:r>
    </w:p>
    <w:p w14:paraId="4A23446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 未按比选文件要求提供必要有效证明文件或提供虚假文件的；</w:t>
      </w:r>
    </w:p>
    <w:p w14:paraId="2D8FD39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 竞争性比选文件未按要求密封的；</w:t>
      </w:r>
    </w:p>
    <w:p w14:paraId="788D8A6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 竞争性比选文件附有比选人不能接受的条件；</w:t>
      </w:r>
    </w:p>
    <w:p w14:paraId="4B85558A">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w:t>
      </w:r>
      <w:r>
        <w:rPr>
          <w:rFonts w:hint="eastAsia" w:ascii="宋体" w:hAnsi="宋体" w:cs="宋体"/>
          <w:color w:val="auto"/>
          <w:sz w:val="24"/>
          <w:szCs w:val="24"/>
          <w:highlight w:val="none"/>
        </w:rPr>
        <w:t xml:space="preserve">. </w:t>
      </w:r>
      <w:r>
        <w:rPr>
          <w:rFonts w:hint="eastAsia" w:ascii="宋体" w:hAnsi="宋体" w:cs="宋体"/>
          <w:bCs/>
          <w:color w:val="auto"/>
          <w:sz w:val="24"/>
          <w:szCs w:val="24"/>
          <w:highlight w:val="none"/>
        </w:rPr>
        <w:t>竞争性比选文件正本与副本不一致。</w:t>
      </w:r>
    </w:p>
    <w:p w14:paraId="41B5EBCA">
      <w:pPr>
        <w:widowControl/>
        <w:tabs>
          <w:tab w:val="left" w:pos="371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（三）如有下列情况之一为废标，比选人应当终止竞争性比选活动，发布项目终止公告并说明原因，重新开展比选活动：</w:t>
      </w:r>
    </w:p>
    <w:p w14:paraId="609DF7B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 出现影响比选公正的违法、违规行为的；</w:t>
      </w:r>
    </w:p>
    <w:p w14:paraId="1941044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 在比选过程中符合要求供应商不足3家的；</w:t>
      </w:r>
    </w:p>
    <w:p w14:paraId="771F912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 因重大变故，采购任务取消的。</w:t>
      </w:r>
    </w:p>
    <w:p w14:paraId="396BAB8E">
      <w:pPr>
        <w:spacing w:line="360" w:lineRule="auto"/>
        <w:outlineLvl w:val="0"/>
        <w:rPr>
          <w:rFonts w:ascii="宋体" w:hAnsi="宋体" w:cs="宋体"/>
          <w:b/>
          <w:bCs/>
          <w:color w:val="auto"/>
          <w:sz w:val="36"/>
          <w:szCs w:val="36"/>
          <w:highlight w:val="none"/>
        </w:rPr>
      </w:pPr>
    </w:p>
    <w:p w14:paraId="28CB68A1">
      <w:pPr>
        <w:spacing w:line="360" w:lineRule="auto"/>
        <w:jc w:val="center"/>
        <w:outlineLvl w:val="0"/>
        <w:rPr>
          <w:rFonts w:hint="eastAsia" w:ascii="宋体" w:hAnsi="宋体" w:cs="宋体"/>
          <w:b/>
          <w:bCs/>
          <w:color w:val="auto"/>
          <w:sz w:val="36"/>
          <w:szCs w:val="36"/>
          <w:highlight w:val="none"/>
        </w:rPr>
      </w:pPr>
    </w:p>
    <w:p w14:paraId="63B4AFB5">
      <w:pPr>
        <w:spacing w:line="360" w:lineRule="auto"/>
        <w:jc w:val="both"/>
        <w:outlineLvl w:val="0"/>
        <w:rPr>
          <w:rFonts w:hint="eastAsia" w:ascii="宋体" w:hAnsi="宋体" w:cs="宋体"/>
          <w:b/>
          <w:bCs/>
          <w:color w:val="auto"/>
          <w:sz w:val="36"/>
          <w:szCs w:val="36"/>
          <w:highlight w:val="none"/>
        </w:rPr>
      </w:pPr>
    </w:p>
    <w:p w14:paraId="2DCF9EEC">
      <w:pPr>
        <w:spacing w:line="360" w:lineRule="auto"/>
        <w:jc w:val="center"/>
        <w:outlineLvl w:val="0"/>
        <w:rPr>
          <w:rFonts w:ascii="宋体" w:hAnsi="宋体" w:cs="宋体"/>
          <w:b/>
          <w:bCs/>
          <w:color w:val="auto"/>
          <w:sz w:val="36"/>
          <w:szCs w:val="36"/>
          <w:highlight w:val="none"/>
        </w:rPr>
      </w:pPr>
      <w:r>
        <w:rPr>
          <w:rFonts w:hint="eastAsia" w:ascii="宋体" w:hAnsi="宋体" w:cs="宋体"/>
          <w:b/>
          <w:bCs/>
          <w:color w:val="auto"/>
          <w:sz w:val="36"/>
          <w:szCs w:val="36"/>
          <w:highlight w:val="none"/>
        </w:rPr>
        <w:t>第五篇 竞争性比选须知</w:t>
      </w:r>
    </w:p>
    <w:p w14:paraId="4657425B">
      <w:pPr>
        <w:spacing w:line="360" w:lineRule="auto"/>
        <w:ind w:firstLine="640" w:firstLineChars="200"/>
        <w:rPr>
          <w:rFonts w:ascii="宋体" w:hAnsi="宋体" w:cs="宋体"/>
          <w:color w:val="auto"/>
          <w:sz w:val="32"/>
          <w:highlight w:val="none"/>
        </w:rPr>
      </w:pPr>
    </w:p>
    <w:p w14:paraId="5F11E4EF">
      <w:pPr>
        <w:spacing w:line="360" w:lineRule="auto"/>
        <w:ind w:firstLine="482" w:firstLineChars="20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一、竞争性比选文件</w:t>
      </w:r>
    </w:p>
    <w:p w14:paraId="148A6B7F">
      <w:pPr>
        <w:pStyle w:val="9"/>
        <w:ind w:firstLine="511" w:firstLineChars="21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1.竞争性比选文件由以下部分和供应商所作的一切有效补充、修改和承诺等文件组成。供应商应按照“竞争性比选文件格式”规定的格式编写。应包括：</w:t>
      </w:r>
    </w:p>
    <w:p w14:paraId="2FEF2573">
      <w:pPr>
        <w:pStyle w:val="9"/>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（1）供应商资格证明；</w:t>
      </w:r>
    </w:p>
    <w:p w14:paraId="70C3050D">
      <w:pPr>
        <w:pStyle w:val="9"/>
        <w:tabs>
          <w:tab w:val="left" w:pos="948"/>
        </w:tabs>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（2）供应商法定代表人授权委托书；</w:t>
      </w:r>
    </w:p>
    <w:p w14:paraId="2F14203F">
      <w:pPr>
        <w:pStyle w:val="9"/>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（3）供应商法定代表人和授权代理人身份证明；</w:t>
      </w:r>
    </w:p>
    <w:p w14:paraId="603656EB">
      <w:pPr>
        <w:pStyle w:val="9"/>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（4）商务情况。</w:t>
      </w:r>
    </w:p>
    <w:p w14:paraId="6F84D27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2.报价要求</w:t>
      </w:r>
    </w:p>
    <w:p w14:paraId="7779D226">
      <w:pPr>
        <w:pStyle w:val="9"/>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（1）应严格按照《竞争性比选文件格式》的“报价一览表”的格式认真填写。</w:t>
      </w:r>
    </w:p>
    <w:p w14:paraId="279DF7E0">
      <w:pPr>
        <w:pStyle w:val="9"/>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（2）本项目报价含人工费、交通费、餐饮费、税金等全部费用。因供应商自身原因造成漏报、少报皆由其自行承担责任，比选人不再补偿，即在竞争性比选有效期内价格固定不变。</w:t>
      </w:r>
    </w:p>
    <w:p w14:paraId="32E299DB">
      <w:pPr>
        <w:pStyle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（3）本项目只接受一个方案报价，多个方案报价的将不予接受。</w:t>
      </w:r>
    </w:p>
    <w:p w14:paraId="596A8D84">
      <w:pPr>
        <w:pStyle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（4）竞争性比选文件中“报价表”中各项参数必须响应竞争性比选文件要求，总价金额与按单价汇总金额必须保持一致。</w:t>
      </w:r>
    </w:p>
    <w:p w14:paraId="1326AC2A">
      <w:pPr>
        <w:pStyle w:val="9"/>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二、竞争性比选文件的签署和密封</w:t>
      </w:r>
    </w:p>
    <w:p w14:paraId="790288A0">
      <w:pPr>
        <w:pStyle w:val="9"/>
        <w:ind w:firstLine="480" w:firstLineChars="200"/>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1.份数</w:t>
      </w:r>
    </w:p>
    <w:p w14:paraId="6389BCEC">
      <w:pPr>
        <w:pStyle w:val="9"/>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竞争性比选文件一式三份，正本一份，副本二份，与竞争性比选文件一致的电子文档一份。副本可为正本的复印件，副本必须与正本一致。</w:t>
      </w:r>
    </w:p>
    <w:p w14:paraId="3DF2A1D3">
      <w:pPr>
        <w:pStyle w:val="9"/>
        <w:ind w:firstLine="480" w:firstLineChars="200"/>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2.签署</w:t>
      </w:r>
    </w:p>
    <w:p w14:paraId="7F32975B">
      <w:pPr>
        <w:pStyle w:val="9"/>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比选文件正本必须加盖骑缝章，竞争性比选文件中规定格式的文件应当按要求签名和加盖供应商鲜章。若供应商对竞争性比选文件的错处作必要修改，则应在修改处加盖供应商公章或由法人或法人授权代表签字。</w:t>
      </w:r>
    </w:p>
    <w:p w14:paraId="53C8DCD0">
      <w:pPr>
        <w:pStyle w:val="9"/>
        <w:ind w:firstLine="480" w:firstLineChars="200"/>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3.密封</w:t>
      </w:r>
    </w:p>
    <w:p w14:paraId="37879FE7">
      <w:pPr>
        <w:pStyle w:val="9"/>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比选文件的正本、副本均应用信封分别密封。信封上注明项目名称、供应商名称地址、“正本”“副本”字样及“不准提前启封”字样。信封封口处须用封条加以覆盖密封并加盖供应商公章或法人授权代表签字。</w:t>
      </w:r>
    </w:p>
    <w:p w14:paraId="30A01766">
      <w:pPr>
        <w:spacing w:line="360" w:lineRule="auto"/>
        <w:ind w:firstLine="482" w:firstLineChars="200"/>
        <w:outlineLvl w:val="1"/>
        <w:rPr>
          <w:rFonts w:ascii="宋体" w:hAnsi="宋体" w:cs="宋体"/>
          <w:b/>
          <w:bCs/>
          <w:color w:val="auto"/>
          <w:sz w:val="24"/>
          <w:szCs w:val="24"/>
          <w:highlight w:val="none"/>
        </w:rPr>
      </w:pPr>
      <w:bookmarkStart w:id="31" w:name="_Toc102227322"/>
      <w:bookmarkStart w:id="32" w:name="_Toc187655634"/>
      <w:bookmarkStart w:id="33" w:name="_Toc494374942"/>
      <w:r>
        <w:rPr>
          <w:rFonts w:hint="eastAsia" w:ascii="宋体" w:hAnsi="宋体" w:cs="宋体"/>
          <w:b/>
          <w:bCs/>
          <w:color w:val="auto"/>
          <w:sz w:val="24"/>
          <w:szCs w:val="24"/>
          <w:highlight w:val="none"/>
        </w:rPr>
        <w:t>三、签订</w:t>
      </w:r>
      <w:bookmarkEnd w:id="31"/>
      <w:r>
        <w:rPr>
          <w:rFonts w:hint="eastAsia" w:ascii="宋体" w:hAnsi="宋体" w:cs="宋体"/>
          <w:b/>
          <w:bCs/>
          <w:color w:val="auto"/>
          <w:sz w:val="24"/>
          <w:szCs w:val="24"/>
          <w:highlight w:val="none"/>
        </w:rPr>
        <w:t>合同</w:t>
      </w:r>
      <w:bookmarkEnd w:id="32"/>
      <w:bookmarkEnd w:id="33"/>
    </w:p>
    <w:p w14:paraId="670F54C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1.竞争性比选结束后，成交供应商</w:t>
      </w:r>
      <w:r>
        <w:rPr>
          <w:rFonts w:hint="eastAsia" w:ascii="宋体" w:hAnsi="宋体" w:cs="宋体"/>
          <w:color w:val="auto"/>
          <w:sz w:val="24"/>
          <w:szCs w:val="24"/>
          <w:highlight w:val="none"/>
          <w:lang w:eastAsia="zh-Hans"/>
        </w:rPr>
        <w:t>应于取得中选通知书后</w:t>
      </w:r>
      <w:r>
        <w:rPr>
          <w:rFonts w:hint="eastAsia" w:ascii="宋体" w:hAnsi="宋体" w:cs="宋体"/>
          <w:color w:val="auto"/>
          <w:sz w:val="24"/>
          <w:szCs w:val="24"/>
          <w:highlight w:val="none"/>
        </w:rPr>
        <w:t>30</w:t>
      </w:r>
      <w:r>
        <w:rPr>
          <w:rFonts w:hint="eastAsia" w:ascii="宋体" w:hAnsi="宋体" w:cs="宋体"/>
          <w:color w:val="auto"/>
          <w:sz w:val="24"/>
          <w:szCs w:val="24"/>
          <w:highlight w:val="none"/>
          <w:lang w:eastAsia="zh-Hans"/>
        </w:rPr>
        <w:t>日内</w:t>
      </w:r>
      <w:r>
        <w:rPr>
          <w:rFonts w:hint="eastAsia" w:ascii="宋体" w:hAnsi="宋体" w:cs="宋体"/>
          <w:color w:val="auto"/>
          <w:sz w:val="24"/>
          <w:szCs w:val="24"/>
          <w:highlight w:val="none"/>
        </w:rPr>
        <w:t>按要求与比选人签订书面合同。</w:t>
      </w:r>
    </w:p>
    <w:p w14:paraId="50CAE9A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2.竞争性</w:t>
      </w:r>
      <w:r>
        <w:rPr>
          <w:rFonts w:hint="eastAsia" w:ascii="宋体" w:hAnsi="宋体" w:cs="宋体"/>
          <w:color w:val="auto"/>
          <w:sz w:val="24"/>
          <w:szCs w:val="24"/>
          <w:highlight w:val="none"/>
          <w:lang w:eastAsia="zh-Hans"/>
        </w:rPr>
        <w:t>中选</w:t>
      </w:r>
      <w:r>
        <w:rPr>
          <w:rFonts w:hint="eastAsia" w:ascii="宋体" w:hAnsi="宋体" w:cs="宋体"/>
          <w:color w:val="auto"/>
          <w:sz w:val="24"/>
          <w:szCs w:val="24"/>
          <w:highlight w:val="none"/>
        </w:rPr>
        <w:t>通知书、成交供应商的响应文件及有效承诺文件等，均为签订合同的依据。</w:t>
      </w:r>
    </w:p>
    <w:p w14:paraId="7FE1023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3.如成交供应商放弃成交项目或在签订合同时擅自改变成交状态的，将取消其成交资格。</w:t>
      </w:r>
    </w:p>
    <w:p w14:paraId="61BC5498">
      <w:pPr>
        <w:spacing w:line="360" w:lineRule="auto"/>
        <w:ind w:firstLine="482" w:firstLineChars="20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四、竞争性比选代理服务费</w:t>
      </w:r>
    </w:p>
    <w:p w14:paraId="6A4D3DD3">
      <w:pPr>
        <w:pStyle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成交供应商中选后向比选代理机构缴纳比选代理服务费，由成交供应商在领取中选通知书前一次性向比选代理机构支付。代理服务费的收取标准按照以下标准执行：</w:t>
      </w:r>
    </w:p>
    <w:p w14:paraId="5833A6DC">
      <w:pPr>
        <w:pStyle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按照国家发改委计价格[2002]1980号文和发改价格[2011]534号文件标准执行，以中选价为基数计取比选代理服务费；比选代理服务费以现金、转账等形式支付。</w:t>
      </w:r>
    </w:p>
    <w:p w14:paraId="5D224000">
      <w:pPr>
        <w:pStyle w:val="21"/>
        <w:spacing w:line="360" w:lineRule="auto"/>
        <w:ind w:firstLine="0"/>
        <w:rPr>
          <w:rFonts w:ascii="宋体" w:hAnsi="宋体" w:cs="宋体"/>
          <w:color w:val="auto"/>
          <w:sz w:val="24"/>
          <w:szCs w:val="24"/>
          <w:highlight w:val="none"/>
        </w:rPr>
      </w:pPr>
    </w:p>
    <w:p w14:paraId="58FBA2BF">
      <w:pPr>
        <w:pStyle w:val="21"/>
        <w:spacing w:line="360" w:lineRule="auto"/>
        <w:ind w:firstLine="0"/>
        <w:rPr>
          <w:rFonts w:ascii="宋体" w:hAnsi="宋体" w:cs="宋体"/>
          <w:color w:val="auto"/>
          <w:highlight w:val="none"/>
        </w:rPr>
      </w:pPr>
    </w:p>
    <w:p w14:paraId="0A50DD78">
      <w:pPr>
        <w:pStyle w:val="21"/>
        <w:spacing w:line="360" w:lineRule="auto"/>
        <w:ind w:firstLine="0"/>
        <w:rPr>
          <w:rFonts w:ascii="宋体" w:hAnsi="宋体" w:cs="宋体"/>
          <w:color w:val="auto"/>
          <w:highlight w:val="none"/>
        </w:rPr>
      </w:pPr>
    </w:p>
    <w:p w14:paraId="192CD65F">
      <w:pPr>
        <w:pStyle w:val="21"/>
        <w:spacing w:line="360" w:lineRule="auto"/>
        <w:ind w:firstLine="0"/>
        <w:rPr>
          <w:rFonts w:ascii="宋体" w:hAnsi="宋体" w:cs="宋体"/>
          <w:color w:val="auto"/>
          <w:highlight w:val="none"/>
        </w:rPr>
      </w:pPr>
    </w:p>
    <w:p w14:paraId="5FDE730B">
      <w:pPr>
        <w:spacing w:line="360" w:lineRule="auto"/>
        <w:outlineLvl w:val="0"/>
        <w:rPr>
          <w:rFonts w:ascii="宋体" w:hAnsi="宋体" w:cs="宋体"/>
          <w:color w:val="auto"/>
          <w:sz w:val="44"/>
          <w:highlight w:val="none"/>
        </w:rPr>
      </w:pPr>
      <w:bookmarkStart w:id="34" w:name="_Toc2824"/>
    </w:p>
    <w:p w14:paraId="0B5D1E97">
      <w:pPr>
        <w:spacing w:line="360" w:lineRule="auto"/>
        <w:jc w:val="center"/>
        <w:outlineLvl w:val="0"/>
        <w:rPr>
          <w:rFonts w:ascii="宋体" w:hAnsi="宋体" w:cs="宋体"/>
          <w:b/>
          <w:bCs/>
          <w:color w:val="auto"/>
          <w:sz w:val="36"/>
          <w:szCs w:val="36"/>
          <w:highlight w:val="none"/>
        </w:rPr>
      </w:pPr>
    </w:p>
    <w:p w14:paraId="2C0732FF">
      <w:pPr>
        <w:spacing w:line="360" w:lineRule="auto"/>
        <w:jc w:val="center"/>
        <w:outlineLvl w:val="0"/>
        <w:rPr>
          <w:rFonts w:ascii="宋体" w:hAnsi="宋体" w:cs="宋体"/>
          <w:b/>
          <w:bCs/>
          <w:color w:val="auto"/>
          <w:sz w:val="36"/>
          <w:szCs w:val="36"/>
          <w:highlight w:val="none"/>
        </w:rPr>
      </w:pPr>
    </w:p>
    <w:p w14:paraId="4BA034CA">
      <w:pPr>
        <w:spacing w:line="360" w:lineRule="auto"/>
        <w:jc w:val="center"/>
        <w:outlineLvl w:val="0"/>
        <w:rPr>
          <w:rFonts w:ascii="宋体" w:hAnsi="宋体" w:cs="宋体"/>
          <w:b/>
          <w:bCs/>
          <w:color w:val="auto"/>
          <w:sz w:val="36"/>
          <w:szCs w:val="36"/>
          <w:highlight w:val="none"/>
        </w:rPr>
      </w:pPr>
    </w:p>
    <w:p w14:paraId="036AFD9D">
      <w:pPr>
        <w:spacing w:line="360" w:lineRule="auto"/>
        <w:jc w:val="center"/>
        <w:outlineLvl w:val="0"/>
        <w:rPr>
          <w:rFonts w:hint="eastAsia" w:ascii="宋体" w:hAnsi="宋体" w:cs="宋体"/>
          <w:b/>
          <w:bCs/>
          <w:color w:val="auto"/>
          <w:sz w:val="36"/>
          <w:szCs w:val="36"/>
          <w:highlight w:val="none"/>
        </w:rPr>
      </w:pPr>
    </w:p>
    <w:p w14:paraId="7F782FB6">
      <w:pPr>
        <w:spacing w:line="360" w:lineRule="auto"/>
        <w:jc w:val="center"/>
        <w:outlineLvl w:val="0"/>
        <w:rPr>
          <w:rFonts w:hint="eastAsia" w:ascii="宋体" w:hAnsi="宋体" w:cs="宋体"/>
          <w:b/>
          <w:bCs/>
          <w:color w:val="auto"/>
          <w:sz w:val="36"/>
          <w:szCs w:val="36"/>
          <w:highlight w:val="none"/>
        </w:rPr>
      </w:pPr>
    </w:p>
    <w:p w14:paraId="20EAD943">
      <w:pPr>
        <w:spacing w:line="360" w:lineRule="auto"/>
        <w:jc w:val="center"/>
        <w:outlineLvl w:val="0"/>
        <w:rPr>
          <w:rFonts w:hint="eastAsia" w:ascii="宋体" w:hAnsi="宋体" w:cs="宋体"/>
          <w:b/>
          <w:bCs/>
          <w:color w:val="auto"/>
          <w:sz w:val="36"/>
          <w:szCs w:val="36"/>
          <w:highlight w:val="none"/>
        </w:rPr>
      </w:pPr>
    </w:p>
    <w:p w14:paraId="375B0BC6">
      <w:pPr>
        <w:spacing w:line="360" w:lineRule="auto"/>
        <w:jc w:val="center"/>
        <w:outlineLvl w:val="0"/>
        <w:rPr>
          <w:rFonts w:hint="eastAsia" w:ascii="宋体" w:hAnsi="宋体" w:cs="宋体"/>
          <w:b/>
          <w:bCs/>
          <w:color w:val="auto"/>
          <w:sz w:val="36"/>
          <w:szCs w:val="36"/>
          <w:highlight w:val="none"/>
        </w:rPr>
      </w:pPr>
    </w:p>
    <w:p w14:paraId="53BCFC4E">
      <w:pPr>
        <w:spacing w:line="360" w:lineRule="auto"/>
        <w:jc w:val="center"/>
        <w:outlineLvl w:val="0"/>
        <w:rPr>
          <w:rFonts w:hint="eastAsia" w:ascii="宋体" w:hAnsi="宋体" w:cs="宋体"/>
          <w:b/>
          <w:bCs/>
          <w:color w:val="auto"/>
          <w:sz w:val="36"/>
          <w:szCs w:val="36"/>
          <w:highlight w:val="none"/>
        </w:rPr>
      </w:pPr>
    </w:p>
    <w:p w14:paraId="70052BFC">
      <w:pPr>
        <w:spacing w:line="360" w:lineRule="auto"/>
        <w:jc w:val="center"/>
        <w:outlineLvl w:val="0"/>
        <w:rPr>
          <w:rFonts w:hint="eastAsia" w:ascii="宋体" w:hAnsi="宋体" w:cs="宋体"/>
          <w:b/>
          <w:bCs/>
          <w:color w:val="auto"/>
          <w:sz w:val="36"/>
          <w:szCs w:val="36"/>
          <w:highlight w:val="none"/>
        </w:rPr>
      </w:pPr>
    </w:p>
    <w:p w14:paraId="41CF4A5A">
      <w:pPr>
        <w:spacing w:line="360" w:lineRule="auto"/>
        <w:jc w:val="center"/>
        <w:outlineLvl w:val="0"/>
        <w:rPr>
          <w:rFonts w:ascii="宋体" w:hAnsi="宋体" w:cs="宋体"/>
          <w:b/>
          <w:bCs/>
          <w:color w:val="auto"/>
          <w:sz w:val="36"/>
          <w:szCs w:val="36"/>
          <w:highlight w:val="none"/>
        </w:rPr>
      </w:pPr>
      <w:r>
        <w:rPr>
          <w:rFonts w:hint="eastAsia" w:ascii="宋体" w:hAnsi="宋体" w:cs="宋体"/>
          <w:b/>
          <w:bCs/>
          <w:color w:val="auto"/>
          <w:sz w:val="36"/>
          <w:szCs w:val="36"/>
          <w:highlight w:val="none"/>
        </w:rPr>
        <w:t>第六篇  合同主要条款及格式合同</w:t>
      </w:r>
      <w:bookmarkEnd w:id="34"/>
    </w:p>
    <w:p w14:paraId="15B2E5F5">
      <w:pPr>
        <w:pStyle w:val="9"/>
        <w:ind w:firstLine="0"/>
        <w:rPr>
          <w:rFonts w:ascii="宋体" w:hAnsi="宋体" w:eastAsia="宋体" w:cs="宋体"/>
          <w:color w:val="auto"/>
          <w:kern w:val="0"/>
          <w:sz w:val="28"/>
          <w:szCs w:val="28"/>
          <w:highlight w:val="none"/>
        </w:rPr>
      </w:pPr>
    </w:p>
    <w:p w14:paraId="3C59B8E1">
      <w:pPr>
        <w:pStyle w:val="9"/>
        <w:ind w:firstLine="0"/>
        <w:rPr>
          <w:rFonts w:ascii="宋体" w:hAnsi="宋体" w:eastAsia="宋体" w:cs="宋体"/>
          <w:color w:val="auto"/>
          <w:kern w:val="0"/>
          <w:sz w:val="28"/>
          <w:szCs w:val="28"/>
          <w:highlight w:val="none"/>
        </w:rPr>
      </w:pPr>
    </w:p>
    <w:p w14:paraId="6E5A54B1">
      <w:pPr>
        <w:spacing w:line="600" w:lineRule="auto"/>
        <w:jc w:val="center"/>
        <w:rPr>
          <w:rFonts w:ascii="宋体" w:hAnsi="宋体" w:cs="宋体"/>
          <w:b/>
          <w:color w:val="auto"/>
          <w:sz w:val="44"/>
          <w:szCs w:val="44"/>
          <w:highlight w:val="none"/>
          <w:lang w:bidi="ar"/>
        </w:rPr>
      </w:pPr>
      <w:r>
        <w:rPr>
          <w:rFonts w:hint="eastAsia" w:ascii="宋体" w:hAnsi="宋体" w:cs="宋体"/>
          <w:b/>
          <w:color w:val="auto"/>
          <w:sz w:val="44"/>
          <w:szCs w:val="44"/>
          <w:highlight w:val="none"/>
          <w:lang w:bidi="ar"/>
        </w:rPr>
        <w:t>一品河、黄溪河“清水绿岸”治理提升项目</w:t>
      </w:r>
    </w:p>
    <w:p w14:paraId="0E14F120">
      <w:pPr>
        <w:spacing w:line="60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lang w:bidi="ar"/>
        </w:rPr>
        <w:t>水土保持设施验收服务</w:t>
      </w:r>
      <w:r>
        <w:rPr>
          <w:rFonts w:hint="eastAsia" w:ascii="宋体" w:hAnsi="宋体" w:cs="宋体"/>
          <w:b/>
          <w:bCs/>
          <w:color w:val="auto"/>
          <w:sz w:val="44"/>
          <w:szCs w:val="44"/>
          <w:highlight w:val="none"/>
          <w:lang w:bidi="ar"/>
        </w:rPr>
        <w:t>合同</w:t>
      </w:r>
    </w:p>
    <w:p w14:paraId="1931E974">
      <w:pPr>
        <w:jc w:val="center"/>
        <w:rPr>
          <w:rFonts w:ascii="宋体" w:hAnsi="宋体" w:cs="宋体"/>
          <w:color w:val="auto"/>
          <w:sz w:val="30"/>
          <w:szCs w:val="30"/>
          <w:highlight w:val="none"/>
          <w:lang w:bidi="ar"/>
        </w:rPr>
      </w:pPr>
    </w:p>
    <w:p w14:paraId="7F6667E3">
      <w:pPr>
        <w:ind w:firstLine="3000" w:firstLineChars="1000"/>
        <w:jc w:val="left"/>
        <w:rPr>
          <w:rFonts w:ascii="宋体" w:hAnsi="宋体" w:cs="宋体"/>
          <w:color w:val="auto"/>
          <w:sz w:val="30"/>
          <w:szCs w:val="30"/>
          <w:highlight w:val="none"/>
        </w:rPr>
      </w:pPr>
      <w:r>
        <w:rPr>
          <w:rFonts w:hint="eastAsia" w:ascii="宋体" w:hAnsi="宋体" w:cs="宋体"/>
          <w:color w:val="auto"/>
          <w:sz w:val="30"/>
          <w:szCs w:val="30"/>
          <w:highlight w:val="none"/>
          <w:lang w:bidi="ar"/>
        </w:rPr>
        <w:t>合同编号：</w:t>
      </w:r>
    </w:p>
    <w:p w14:paraId="034E14FC">
      <w:pPr>
        <w:ind w:left="360" w:hanging="360"/>
        <w:jc w:val="center"/>
        <w:rPr>
          <w:rFonts w:ascii="宋体" w:hAnsi="宋体" w:cs="宋体"/>
          <w:b/>
          <w:color w:val="auto"/>
          <w:spacing w:val="100"/>
          <w:sz w:val="30"/>
          <w:szCs w:val="30"/>
          <w:highlight w:val="none"/>
        </w:rPr>
      </w:pPr>
    </w:p>
    <w:p w14:paraId="2BBB978D">
      <w:pPr>
        <w:spacing w:line="360" w:lineRule="auto"/>
        <w:rPr>
          <w:rFonts w:hint="eastAsia" w:ascii="宋体" w:hAnsi="宋体" w:cs="宋体"/>
          <w:b/>
          <w:color w:val="auto"/>
          <w:sz w:val="32"/>
          <w:szCs w:val="32"/>
          <w:highlight w:val="none"/>
        </w:rPr>
      </w:pPr>
    </w:p>
    <w:p w14:paraId="260A6913">
      <w:pPr>
        <w:spacing w:line="600" w:lineRule="auto"/>
        <w:rPr>
          <w:rFonts w:ascii="宋体" w:hAnsi="宋体" w:cs="宋体"/>
          <w:b/>
          <w:color w:val="auto"/>
          <w:sz w:val="30"/>
          <w:szCs w:val="30"/>
          <w:highlight w:val="none"/>
          <w:lang w:bidi="ar"/>
        </w:rPr>
      </w:pPr>
      <w:r>
        <w:rPr>
          <w:rFonts w:hint="eastAsia" w:ascii="宋体" w:hAnsi="宋体" w:cs="宋体"/>
          <w:b/>
          <w:color w:val="auto"/>
          <w:sz w:val="30"/>
          <w:szCs w:val="30"/>
          <w:highlight w:val="none"/>
          <w:lang w:bidi="ar"/>
        </w:rPr>
        <w:t xml:space="preserve">  </w:t>
      </w:r>
    </w:p>
    <w:p w14:paraId="1EFA350F">
      <w:pPr>
        <w:spacing w:line="600" w:lineRule="auto"/>
        <w:ind w:firstLine="1506" w:firstLineChars="500"/>
        <w:rPr>
          <w:rFonts w:ascii="宋体" w:hAnsi="宋体" w:cs="宋体"/>
          <w:b/>
          <w:color w:val="auto"/>
          <w:sz w:val="30"/>
          <w:szCs w:val="30"/>
          <w:highlight w:val="none"/>
          <w:u w:val="thick"/>
        </w:rPr>
      </w:pPr>
      <w:r>
        <w:rPr>
          <w:rFonts w:hint="eastAsia" w:ascii="宋体" w:hAnsi="宋体" w:cs="宋体"/>
          <w:b/>
          <w:color w:val="auto"/>
          <w:sz w:val="30"/>
          <w:szCs w:val="30"/>
          <w:highlight w:val="none"/>
          <w:lang w:bidi="ar"/>
        </w:rPr>
        <w:t>甲方：</w:t>
      </w:r>
      <w:r>
        <w:rPr>
          <w:rFonts w:hint="eastAsia" w:ascii="宋体" w:hAnsi="宋体" w:cs="宋体"/>
          <w:bCs/>
          <w:color w:val="auto"/>
          <w:sz w:val="30"/>
          <w:szCs w:val="30"/>
          <w:highlight w:val="none"/>
          <w:u w:val="single"/>
          <w:lang w:bidi="ar"/>
        </w:rPr>
        <w:t xml:space="preserve"> 重庆德润壹品环境治理有限公司</w:t>
      </w:r>
    </w:p>
    <w:p w14:paraId="378AE8ED">
      <w:pPr>
        <w:spacing w:line="600" w:lineRule="auto"/>
        <w:rPr>
          <w:rFonts w:ascii="宋体" w:hAnsi="宋体" w:cs="宋体"/>
          <w:b/>
          <w:color w:val="auto"/>
          <w:sz w:val="32"/>
          <w:szCs w:val="32"/>
          <w:highlight w:val="none"/>
          <w:u w:val="single"/>
        </w:rPr>
      </w:pPr>
      <w:r>
        <w:rPr>
          <w:rFonts w:hint="eastAsia" w:ascii="宋体" w:hAnsi="宋体" w:cs="宋体"/>
          <w:b/>
          <w:color w:val="auto"/>
          <w:sz w:val="30"/>
          <w:szCs w:val="30"/>
          <w:highlight w:val="none"/>
          <w:lang w:bidi="ar"/>
        </w:rPr>
        <w:t xml:space="preserve">          乙方：</w:t>
      </w:r>
      <w:r>
        <w:rPr>
          <w:rFonts w:hint="eastAsia" w:ascii="宋体" w:hAnsi="宋体" w:cs="宋体"/>
          <w:bCs/>
          <w:color w:val="auto"/>
          <w:sz w:val="30"/>
          <w:szCs w:val="30"/>
          <w:highlight w:val="none"/>
          <w:u w:val="single"/>
          <w:lang w:bidi="ar"/>
        </w:rPr>
        <w:t xml:space="preserve">                             </w:t>
      </w:r>
    </w:p>
    <w:p w14:paraId="758788F8">
      <w:pPr>
        <w:adjustRightInd w:val="0"/>
        <w:spacing w:line="480" w:lineRule="auto"/>
        <w:ind w:left="840" w:firstLine="360"/>
        <w:rPr>
          <w:rFonts w:ascii="宋体" w:hAnsi="宋体" w:cs="宋体"/>
          <w:b/>
          <w:color w:val="auto"/>
          <w:sz w:val="32"/>
          <w:szCs w:val="32"/>
          <w:highlight w:val="none"/>
        </w:rPr>
      </w:pPr>
    </w:p>
    <w:p w14:paraId="7C7897DE">
      <w:pPr>
        <w:adjustRightInd w:val="0"/>
        <w:rPr>
          <w:rFonts w:ascii="宋体" w:hAnsi="宋体" w:cs="宋体"/>
          <w:b/>
          <w:color w:val="auto"/>
          <w:sz w:val="32"/>
          <w:szCs w:val="32"/>
          <w:highlight w:val="none"/>
        </w:rPr>
      </w:pPr>
      <w:r>
        <w:rPr>
          <w:rFonts w:hint="eastAsia" w:ascii="宋体" w:hAnsi="宋体" w:cs="宋体"/>
          <w:b/>
          <w:color w:val="auto"/>
          <w:sz w:val="32"/>
          <w:szCs w:val="32"/>
          <w:highlight w:val="none"/>
          <w:lang w:bidi="ar"/>
        </w:rPr>
        <w:t xml:space="preserve"> </w:t>
      </w:r>
    </w:p>
    <w:p w14:paraId="4E8F7AD8">
      <w:pPr>
        <w:spacing w:line="360" w:lineRule="auto"/>
        <w:ind w:firstLine="2100" w:firstLineChars="700"/>
        <w:rPr>
          <w:rFonts w:ascii="宋体" w:hAnsi="宋体" w:cs="宋体"/>
          <w:color w:val="auto"/>
          <w:sz w:val="30"/>
          <w:szCs w:val="30"/>
          <w:highlight w:val="none"/>
        </w:rPr>
      </w:pPr>
    </w:p>
    <w:p w14:paraId="3673C746">
      <w:pPr>
        <w:spacing w:line="360" w:lineRule="auto"/>
        <w:ind w:firstLine="2100" w:firstLineChars="700"/>
        <w:rPr>
          <w:rFonts w:ascii="宋体" w:hAnsi="宋体" w:cs="宋体"/>
          <w:color w:val="auto"/>
          <w:sz w:val="24"/>
          <w:szCs w:val="32"/>
          <w:highlight w:val="none"/>
          <w:lang w:bidi="ar"/>
        </w:rPr>
        <w:sectPr>
          <w:footerReference r:id="rId5" w:type="default"/>
          <w:pgSz w:w="11906" w:h="16838"/>
          <w:pgMar w:top="1440" w:right="1400" w:bottom="1440" w:left="1400" w:header="851" w:footer="992" w:gutter="0"/>
          <w:cols w:space="0" w:num="1"/>
          <w:docGrid w:type="lines" w:linePitch="312" w:charSpace="0"/>
        </w:sectPr>
      </w:pPr>
      <w:r>
        <w:rPr>
          <w:rFonts w:hint="eastAsia" w:ascii="宋体" w:hAnsi="宋体" w:cs="宋体"/>
          <w:color w:val="auto"/>
          <w:sz w:val="30"/>
          <w:szCs w:val="30"/>
          <w:highlight w:val="none"/>
          <w:lang w:bidi="ar"/>
        </w:rPr>
        <w:t xml:space="preserve">   签订时间：                                     </w:t>
      </w:r>
      <w:bookmarkStart w:id="35" w:name="_Toc296602565"/>
      <w:bookmarkEnd w:id="35"/>
      <w:bookmarkStart w:id="36" w:name="_Toc246997062"/>
      <w:bookmarkEnd w:id="36"/>
      <w:bookmarkStart w:id="37" w:name="_Toc247085834"/>
      <w:bookmarkEnd w:id="37"/>
      <w:bookmarkStart w:id="38" w:name="_Toc369531676"/>
      <w:bookmarkEnd w:id="38"/>
      <w:bookmarkStart w:id="39" w:name="_Toc29298"/>
      <w:bookmarkEnd w:id="39"/>
      <w:bookmarkStart w:id="40" w:name="_Toc246996319"/>
      <w:bookmarkEnd w:id="40"/>
      <w:bookmarkStart w:id="41" w:name="_Toc9766"/>
      <w:bookmarkEnd w:id="41"/>
      <w:bookmarkStart w:id="42" w:name="_Toc369531675"/>
      <w:bookmarkEnd w:id="42"/>
      <w:bookmarkStart w:id="43" w:name="_Toc184635117"/>
      <w:bookmarkEnd w:id="43"/>
      <w:r>
        <w:rPr>
          <w:rFonts w:hint="eastAsia" w:ascii="宋体" w:hAnsi="宋体" w:cs="宋体"/>
          <w:color w:val="auto"/>
          <w:sz w:val="30"/>
          <w:szCs w:val="30"/>
          <w:highlight w:val="none"/>
          <w:lang w:bidi="ar"/>
        </w:rPr>
        <w:t xml:space="preserve">  </w:t>
      </w:r>
    </w:p>
    <w:p w14:paraId="01867F2F">
      <w:pPr>
        <w:spacing w:line="5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bidi="ar"/>
        </w:rPr>
        <w:t>为明确甲、乙双方权利义务，根据《中华人民共和国民法典》和有关法律法规，经甲乙双方协商一致，签订本合同。</w:t>
      </w:r>
    </w:p>
    <w:p w14:paraId="7005D353">
      <w:pPr>
        <w:numPr>
          <w:ilvl w:val="0"/>
          <w:numId w:val="4"/>
        </w:numPr>
        <w:spacing w:line="500" w:lineRule="exact"/>
        <w:ind w:left="0" w:firstLine="0"/>
        <w:outlineLvl w:val="1"/>
        <w:rPr>
          <w:rFonts w:ascii="宋体" w:hAnsi="宋体" w:cs="宋体"/>
          <w:b/>
          <w:color w:val="auto"/>
          <w:sz w:val="24"/>
          <w:highlight w:val="none"/>
        </w:rPr>
      </w:pPr>
      <w:r>
        <w:rPr>
          <w:rFonts w:hint="eastAsia" w:ascii="宋体" w:hAnsi="宋体" w:cs="宋体"/>
          <w:b/>
          <w:color w:val="auto"/>
          <w:sz w:val="24"/>
          <w:highlight w:val="none"/>
          <w:lang w:bidi="ar"/>
        </w:rPr>
        <w:t>服务范围</w:t>
      </w:r>
    </w:p>
    <w:p w14:paraId="63654F97">
      <w:pPr>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szCs w:val="32"/>
          <w:highlight w:val="none"/>
          <w:lang w:bidi="ar"/>
        </w:rPr>
        <w:t>服务范围为一品河、黄溪河“清水绿岸”治理提升项目</w:t>
      </w:r>
      <w:r>
        <w:rPr>
          <w:rFonts w:hint="eastAsia" w:ascii="宋体" w:hAnsi="宋体" w:cs="宋体"/>
          <w:color w:val="auto"/>
          <w:sz w:val="24"/>
          <w:szCs w:val="24"/>
          <w:highlight w:val="none"/>
        </w:rPr>
        <w:t>水行政主管部门管辖的全部区域。</w:t>
      </w:r>
    </w:p>
    <w:p w14:paraId="0F21C574">
      <w:pPr>
        <w:numPr>
          <w:ilvl w:val="0"/>
          <w:numId w:val="4"/>
        </w:numPr>
        <w:spacing w:line="500" w:lineRule="exact"/>
        <w:ind w:left="0" w:firstLine="0"/>
        <w:outlineLvl w:val="1"/>
        <w:rPr>
          <w:rFonts w:ascii="宋体" w:hAnsi="宋体" w:cs="宋体"/>
          <w:b/>
          <w:color w:val="auto"/>
          <w:sz w:val="24"/>
          <w:highlight w:val="none"/>
        </w:rPr>
      </w:pPr>
      <w:r>
        <w:rPr>
          <w:rFonts w:hint="eastAsia" w:ascii="宋体" w:hAnsi="宋体" w:cs="宋体"/>
          <w:b/>
          <w:color w:val="auto"/>
          <w:sz w:val="24"/>
          <w:highlight w:val="none"/>
          <w:lang w:bidi="ar"/>
        </w:rPr>
        <w:t>工作内容及服务期限</w:t>
      </w:r>
    </w:p>
    <w:p w14:paraId="090DED6C">
      <w:pPr>
        <w:pStyle w:val="33"/>
        <w:spacing w:line="460" w:lineRule="atLeast"/>
        <w:rPr>
          <w:rFonts w:hint="eastAsia" w:ascii="宋体" w:hAnsi="宋体" w:eastAsia="宋体" w:cs="宋体"/>
          <w:color w:val="auto"/>
          <w:kern w:val="2"/>
          <w:sz w:val="24"/>
          <w:szCs w:val="32"/>
          <w:highlight w:val="none"/>
          <w:lang w:val="en-US" w:eastAsia="zh-CN" w:bidi="ar"/>
        </w:rPr>
      </w:pPr>
      <w:r>
        <w:rPr>
          <w:rFonts w:hint="eastAsia" w:ascii="宋体" w:hAnsi="宋体" w:eastAsia="宋体" w:cs="宋体"/>
          <w:color w:val="auto"/>
          <w:highlight w:val="none"/>
          <w:lang w:bidi="ar"/>
        </w:rPr>
        <w:t>工作内容：</w:t>
      </w:r>
      <w:r>
        <w:rPr>
          <w:rFonts w:hint="eastAsia" w:ascii="宋体" w:hAnsi="宋体" w:eastAsia="宋体" w:cs="宋体"/>
          <w:color w:val="auto"/>
          <w:kern w:val="2"/>
          <w:sz w:val="24"/>
          <w:szCs w:val="32"/>
          <w:highlight w:val="none"/>
          <w:lang w:val="en-US" w:eastAsia="zh-CN" w:bidi="ar"/>
        </w:rPr>
        <w:t>按照《生产建设项目水土保持设施验收管理办法》的要求, 对一品河、黄溪河“清水绿岸”治理提升项目完成水土保持设施验收的申请文件、现场踏勘、验收专家衔接等事宜，根据水土保持法律法规有关规定及工程建设实际情况编制水土保持设施验收报告，并顺利完成向水行政主管部门的水土保持设施验收备案工作，取得水行政主管部门的备案回执。</w:t>
      </w:r>
    </w:p>
    <w:p w14:paraId="6F5F8A10">
      <w:pPr>
        <w:pStyle w:val="33"/>
        <w:spacing w:line="460" w:lineRule="atLeast"/>
        <w:rPr>
          <w:rFonts w:hint="eastAsia" w:ascii="宋体" w:hAnsi="宋体" w:eastAsia="宋体" w:cs="宋体"/>
          <w:color w:val="auto"/>
          <w:kern w:val="2"/>
          <w:sz w:val="24"/>
          <w:szCs w:val="32"/>
          <w:highlight w:val="none"/>
          <w:lang w:val="en-US" w:eastAsia="zh-CN" w:bidi="ar"/>
        </w:rPr>
      </w:pPr>
      <w:r>
        <w:rPr>
          <w:rFonts w:hint="eastAsia" w:ascii="宋体" w:hAnsi="宋体" w:eastAsia="宋体" w:cs="宋体"/>
          <w:color w:val="auto"/>
          <w:kern w:val="2"/>
          <w:sz w:val="24"/>
          <w:szCs w:val="32"/>
          <w:highlight w:val="none"/>
          <w:lang w:val="en-US" w:eastAsia="zh-CN" w:bidi="ar"/>
        </w:rPr>
        <w:t>服务期限：自合同生效之日起至本项目取得水行政主管部门水土保持设施验收报告的备案回执之日止。</w:t>
      </w:r>
    </w:p>
    <w:p w14:paraId="00A4F878">
      <w:pPr>
        <w:numPr>
          <w:ilvl w:val="0"/>
          <w:numId w:val="4"/>
        </w:numPr>
        <w:spacing w:line="460" w:lineRule="atLeast"/>
        <w:ind w:left="0" w:firstLine="0"/>
        <w:outlineLvl w:val="1"/>
        <w:rPr>
          <w:rFonts w:ascii="宋体" w:hAnsi="宋体" w:cs="宋体"/>
          <w:b/>
          <w:color w:val="auto"/>
          <w:sz w:val="24"/>
          <w:highlight w:val="none"/>
        </w:rPr>
      </w:pPr>
      <w:r>
        <w:rPr>
          <w:rFonts w:hint="eastAsia" w:ascii="宋体" w:hAnsi="宋体" w:cs="宋体"/>
          <w:b/>
          <w:color w:val="auto"/>
          <w:sz w:val="24"/>
          <w:highlight w:val="none"/>
          <w:lang w:bidi="ar"/>
        </w:rPr>
        <w:t>执行技术标准</w:t>
      </w:r>
    </w:p>
    <w:p w14:paraId="5F47BB79">
      <w:pPr>
        <w:numPr>
          <w:ilvl w:val="1"/>
          <w:numId w:val="0"/>
        </w:numPr>
        <w:adjustRightInd w:val="0"/>
        <w:snapToGrid w:val="0"/>
        <w:spacing w:before="78" w:beforeLines="25" w:after="78" w:afterLines="25" w:line="460" w:lineRule="atLeas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包括但不限于：</w:t>
      </w:r>
    </w:p>
    <w:p w14:paraId="37A2D6AE">
      <w:pPr>
        <w:numPr>
          <w:ilvl w:val="0"/>
          <w:numId w:val="5"/>
        </w:numPr>
        <w:adjustRightInd w:val="0"/>
        <w:snapToGrid w:val="0"/>
        <w:spacing w:before="78" w:beforeLines="25" w:after="78" w:afterLines="25" w:line="460" w:lineRule="atLeas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《中华人民共和国水土保持法》；</w:t>
      </w:r>
    </w:p>
    <w:p w14:paraId="6CD2876A">
      <w:pPr>
        <w:snapToGrid w:val="0"/>
        <w:spacing w:before="78" w:beforeLines="25" w:after="78" w:afterLines="25" w:line="460" w:lineRule="atLeas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2、《重庆市实施&lt;中华人民共和国水土保持法&gt;办法》等相关规范。</w:t>
      </w:r>
    </w:p>
    <w:p w14:paraId="5EA4861C">
      <w:pPr>
        <w:numPr>
          <w:ilvl w:val="0"/>
          <w:numId w:val="4"/>
        </w:numPr>
        <w:spacing w:line="460" w:lineRule="atLeast"/>
        <w:ind w:left="0" w:firstLine="0"/>
        <w:outlineLvl w:val="1"/>
        <w:rPr>
          <w:rFonts w:ascii="宋体" w:hAnsi="宋体" w:cs="宋体"/>
          <w:b/>
          <w:color w:val="auto"/>
          <w:sz w:val="24"/>
          <w:highlight w:val="none"/>
        </w:rPr>
      </w:pPr>
      <w:r>
        <w:rPr>
          <w:rFonts w:hint="eastAsia" w:ascii="宋体" w:hAnsi="宋体" w:cs="宋体"/>
          <w:b/>
          <w:color w:val="auto"/>
          <w:sz w:val="24"/>
          <w:highlight w:val="none"/>
          <w:lang w:bidi="ar"/>
        </w:rPr>
        <w:t>工作成果</w:t>
      </w:r>
    </w:p>
    <w:p w14:paraId="11EDBB58">
      <w:pPr>
        <w:pStyle w:val="33"/>
        <w:spacing w:line="460" w:lineRule="atLeast"/>
        <w:rPr>
          <w:rFonts w:ascii="宋体" w:hAnsi="宋体" w:eastAsia="宋体" w:cs="宋体"/>
          <w:color w:val="auto"/>
          <w:highlight w:val="none"/>
        </w:rPr>
      </w:pPr>
      <w:r>
        <w:rPr>
          <w:rFonts w:hint="eastAsia" w:ascii="宋体" w:hAnsi="宋体" w:eastAsia="宋体" w:cs="宋体"/>
          <w:bCs/>
          <w:color w:val="auto"/>
          <w:kern w:val="0"/>
          <w:highlight w:val="none"/>
          <w:lang w:val="en-US" w:eastAsia="zh-CN"/>
        </w:rPr>
        <w:t>乙方</w:t>
      </w:r>
      <w:r>
        <w:rPr>
          <w:rFonts w:hint="eastAsia" w:ascii="宋体" w:hAnsi="宋体" w:eastAsia="宋体" w:cs="宋体"/>
          <w:bCs/>
          <w:color w:val="auto"/>
          <w:kern w:val="0"/>
          <w:highlight w:val="none"/>
        </w:rPr>
        <w:t>应分别完成本项目一品河水土保持设施验收</w:t>
      </w:r>
      <w:r>
        <w:rPr>
          <w:rFonts w:hint="eastAsia" w:ascii="宋体" w:hAnsi="宋体" w:eastAsia="宋体" w:cs="宋体"/>
          <w:bCs/>
          <w:color w:val="auto"/>
          <w:kern w:val="0"/>
          <w:highlight w:val="none"/>
          <w:lang w:val="en-US" w:eastAsia="zh-CN"/>
        </w:rPr>
        <w:t>报告</w:t>
      </w:r>
      <w:r>
        <w:rPr>
          <w:rFonts w:hint="eastAsia" w:ascii="宋体" w:hAnsi="宋体" w:eastAsia="宋体" w:cs="宋体"/>
          <w:bCs/>
          <w:color w:val="auto"/>
          <w:kern w:val="0"/>
          <w:highlight w:val="none"/>
        </w:rPr>
        <w:t>、黄溪河水土保持设施验收</w:t>
      </w:r>
      <w:r>
        <w:rPr>
          <w:rFonts w:hint="eastAsia" w:ascii="宋体" w:hAnsi="宋体" w:eastAsia="宋体" w:cs="宋体"/>
          <w:bCs/>
          <w:color w:val="auto"/>
          <w:kern w:val="0"/>
          <w:highlight w:val="none"/>
          <w:lang w:val="en-US" w:eastAsia="zh-CN"/>
        </w:rPr>
        <w:t>报告</w:t>
      </w:r>
      <w:r>
        <w:rPr>
          <w:rFonts w:hint="eastAsia" w:ascii="宋体" w:hAnsi="宋体" w:eastAsia="宋体" w:cs="宋体"/>
          <w:bCs/>
          <w:color w:val="auto"/>
          <w:kern w:val="0"/>
          <w:highlight w:val="none"/>
        </w:rPr>
        <w:t>，并通过水行政主管部门备案，取得备案</w:t>
      </w:r>
      <w:r>
        <w:rPr>
          <w:rFonts w:hint="eastAsia" w:ascii="宋体" w:hAnsi="宋体" w:eastAsia="宋体" w:cs="宋体"/>
          <w:bCs/>
          <w:color w:val="auto"/>
          <w:kern w:val="0"/>
          <w:highlight w:val="none"/>
          <w:lang w:val="en-US" w:eastAsia="zh-CN"/>
        </w:rPr>
        <w:t>回执</w:t>
      </w:r>
      <w:r>
        <w:rPr>
          <w:rFonts w:hint="eastAsia" w:ascii="宋体" w:hAnsi="宋体" w:eastAsia="宋体" w:cs="宋体"/>
          <w:bCs/>
          <w:color w:val="auto"/>
          <w:kern w:val="0"/>
          <w:highlight w:val="none"/>
        </w:rPr>
        <w:t>。</w:t>
      </w:r>
    </w:p>
    <w:p w14:paraId="62737BFC">
      <w:pPr>
        <w:numPr>
          <w:ilvl w:val="0"/>
          <w:numId w:val="4"/>
        </w:numPr>
        <w:spacing w:line="500" w:lineRule="exact"/>
        <w:ind w:left="0" w:firstLine="0"/>
        <w:outlineLvl w:val="1"/>
        <w:rPr>
          <w:rFonts w:ascii="宋体" w:hAnsi="宋体" w:cs="宋体"/>
          <w:b/>
          <w:color w:val="auto"/>
          <w:sz w:val="24"/>
          <w:highlight w:val="none"/>
        </w:rPr>
      </w:pPr>
      <w:r>
        <w:rPr>
          <w:rFonts w:hint="eastAsia" w:ascii="宋体" w:hAnsi="宋体" w:cs="宋体"/>
          <w:b/>
          <w:color w:val="auto"/>
          <w:sz w:val="24"/>
          <w:highlight w:val="none"/>
          <w:lang w:bidi="ar"/>
        </w:rPr>
        <w:t>乙方向甲方交付的成果及时间</w:t>
      </w:r>
    </w:p>
    <w:p w14:paraId="4962A4D1">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bidi="ar"/>
        </w:rPr>
        <w:t>（1）成果交付</w:t>
      </w:r>
    </w:p>
    <w:p w14:paraId="01EF5D8B">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bidi="ar"/>
        </w:rPr>
        <w:t>成果需给甲方提供电子版</w:t>
      </w:r>
      <w:r>
        <w:rPr>
          <w:rFonts w:hint="eastAsia" w:ascii="宋体" w:hAnsi="宋体" w:cs="宋体"/>
          <w:color w:val="auto"/>
          <w:sz w:val="24"/>
          <w:highlight w:val="none"/>
          <w:u w:val="single"/>
          <w:lang w:bidi="ar"/>
        </w:rPr>
        <w:t xml:space="preserve"> 1</w:t>
      </w:r>
      <w:r>
        <w:rPr>
          <w:rFonts w:hint="eastAsia" w:ascii="宋体" w:hAnsi="宋体" w:cs="宋体"/>
          <w:color w:val="auto"/>
          <w:sz w:val="24"/>
          <w:highlight w:val="none"/>
          <w:lang w:bidi="ar"/>
        </w:rPr>
        <w:t>份（含PDF格式），纸质版</w:t>
      </w:r>
      <w:r>
        <w:rPr>
          <w:rFonts w:hint="eastAsia" w:ascii="宋体" w:hAnsi="宋体" w:cs="宋体"/>
          <w:color w:val="auto"/>
          <w:sz w:val="24"/>
          <w:highlight w:val="none"/>
          <w:u w:val="single"/>
          <w:lang w:bidi="ar"/>
        </w:rPr>
        <w:t xml:space="preserve"> 2 </w:t>
      </w:r>
      <w:r>
        <w:rPr>
          <w:rFonts w:hint="eastAsia" w:ascii="宋体" w:hAnsi="宋体" w:cs="宋体"/>
          <w:color w:val="auto"/>
          <w:sz w:val="24"/>
          <w:highlight w:val="none"/>
          <w:lang w:bidi="ar"/>
        </w:rPr>
        <w:t>份，不含报送水行政主管部门审批所需的文件</w:t>
      </w:r>
      <w:r>
        <w:rPr>
          <w:rFonts w:hint="eastAsia" w:ascii="宋体" w:hAnsi="宋体" w:cs="宋体"/>
          <w:color w:val="auto"/>
          <w:sz w:val="24"/>
          <w:highlight w:val="none"/>
          <w:lang w:eastAsia="zh-Hans" w:bidi="ar"/>
        </w:rPr>
        <w:t>，乙方应按照</w:t>
      </w:r>
      <w:r>
        <w:rPr>
          <w:rFonts w:hint="eastAsia" w:ascii="宋体" w:hAnsi="宋体" w:cs="宋体"/>
          <w:color w:val="auto"/>
          <w:sz w:val="24"/>
          <w:highlight w:val="none"/>
          <w:lang w:bidi="ar"/>
        </w:rPr>
        <w:t>水行政主管部门</w:t>
      </w:r>
      <w:r>
        <w:rPr>
          <w:rFonts w:hint="eastAsia" w:ascii="宋体" w:hAnsi="宋体" w:cs="宋体"/>
          <w:color w:val="auto"/>
          <w:sz w:val="24"/>
          <w:highlight w:val="none"/>
          <w:lang w:eastAsia="zh-Hans" w:bidi="ar"/>
        </w:rPr>
        <w:t>要求另行准备报送文件</w:t>
      </w:r>
      <w:r>
        <w:rPr>
          <w:rFonts w:hint="eastAsia" w:ascii="宋体" w:hAnsi="宋体" w:cs="宋体"/>
          <w:color w:val="auto"/>
          <w:sz w:val="24"/>
          <w:highlight w:val="none"/>
          <w:lang w:bidi="ar"/>
        </w:rPr>
        <w:t>。</w:t>
      </w:r>
    </w:p>
    <w:p w14:paraId="60E3114E">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bidi="ar"/>
        </w:rPr>
        <w:t>（2）成果交付时间</w:t>
      </w:r>
    </w:p>
    <w:p w14:paraId="6FBD0FCF">
      <w:pPr>
        <w:spacing w:line="460" w:lineRule="exact"/>
        <w:ind w:firstLine="480" w:firstLineChars="200"/>
        <w:rPr>
          <w:rFonts w:hint="eastAsia" w:ascii="宋体" w:hAnsi="宋体" w:eastAsia="宋体" w:cs="宋体"/>
          <w:color w:val="auto"/>
          <w:sz w:val="24"/>
          <w:highlight w:val="none"/>
          <w:lang w:bidi="ar"/>
        </w:rPr>
      </w:pPr>
      <w:r>
        <w:rPr>
          <w:rFonts w:hint="eastAsia" w:ascii="宋体" w:hAnsi="宋体" w:cs="宋体"/>
          <w:color w:val="auto"/>
          <w:sz w:val="24"/>
          <w:highlight w:val="none"/>
          <w:lang w:bidi="ar"/>
        </w:rPr>
        <w:t>甲方提供给乙方文件资料之日起，</w:t>
      </w:r>
      <w:r>
        <w:rPr>
          <w:rFonts w:hint="eastAsia" w:ascii="宋体" w:hAnsi="宋体" w:cs="宋体"/>
          <w:color w:val="auto"/>
          <w:sz w:val="24"/>
          <w:highlight w:val="none"/>
          <w:lang w:eastAsia="zh-Hans" w:bidi="ar"/>
        </w:rPr>
        <w:t>乙方保证</w:t>
      </w:r>
      <w:r>
        <w:rPr>
          <w:rFonts w:hint="eastAsia" w:ascii="宋体" w:hAnsi="宋体" w:cs="宋体"/>
          <w:color w:val="auto"/>
          <w:sz w:val="24"/>
          <w:highlight w:val="none"/>
          <w:lang w:bidi="ar"/>
        </w:rPr>
        <w:t>两个月</w:t>
      </w:r>
      <w:r>
        <w:rPr>
          <w:rFonts w:hint="eastAsia" w:ascii="宋体" w:hAnsi="宋体" w:cs="宋体"/>
          <w:color w:val="auto"/>
          <w:sz w:val="24"/>
          <w:highlight w:val="none"/>
          <w:lang w:eastAsia="zh-Hans" w:bidi="ar"/>
        </w:rPr>
        <w:t>内</w:t>
      </w:r>
      <w:r>
        <w:rPr>
          <w:rFonts w:hint="eastAsia" w:ascii="宋体" w:hAnsi="宋体" w:eastAsia="宋体" w:cs="宋体"/>
          <w:color w:val="auto"/>
          <w:sz w:val="24"/>
          <w:highlight w:val="none"/>
          <w:lang w:bidi="ar"/>
        </w:rPr>
        <w:t>完成水土保持设施验收备案工作</w:t>
      </w:r>
      <w:r>
        <w:rPr>
          <w:rFonts w:hint="eastAsia" w:ascii="宋体" w:hAnsi="宋体" w:cs="宋体"/>
          <w:color w:val="auto"/>
          <w:sz w:val="24"/>
          <w:highlight w:val="none"/>
          <w:lang w:val="en-US" w:eastAsia="zh-CN" w:bidi="ar"/>
        </w:rPr>
        <w:t>并取得水行政主管部门的备案回执</w:t>
      </w:r>
      <w:r>
        <w:rPr>
          <w:rFonts w:hint="eastAsia" w:ascii="宋体" w:hAnsi="宋体" w:eastAsia="宋体" w:cs="宋体"/>
          <w:color w:val="auto"/>
          <w:sz w:val="24"/>
          <w:highlight w:val="none"/>
          <w:lang w:bidi="ar"/>
        </w:rPr>
        <w:t>。</w:t>
      </w:r>
    </w:p>
    <w:p w14:paraId="4779B466">
      <w:pPr>
        <w:numPr>
          <w:ilvl w:val="0"/>
          <w:numId w:val="4"/>
        </w:numPr>
        <w:spacing w:line="460" w:lineRule="exact"/>
        <w:ind w:left="0" w:firstLine="0"/>
        <w:outlineLvl w:val="1"/>
        <w:rPr>
          <w:rFonts w:ascii="宋体" w:hAnsi="宋体" w:cs="宋体"/>
          <w:b/>
          <w:color w:val="auto"/>
          <w:sz w:val="24"/>
          <w:highlight w:val="none"/>
        </w:rPr>
      </w:pPr>
      <w:r>
        <w:rPr>
          <w:rFonts w:hint="eastAsia" w:ascii="宋体" w:hAnsi="宋体" w:cs="宋体"/>
          <w:b/>
          <w:color w:val="auto"/>
          <w:sz w:val="24"/>
          <w:highlight w:val="none"/>
        </w:rPr>
        <w:t>项目负责人</w:t>
      </w:r>
    </w:p>
    <w:p w14:paraId="27EBA3A8">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lang w:bidi="ar"/>
        </w:rPr>
        <w:t>乙方项目负责人：</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u w:val="single"/>
          <w:lang w:eastAsia="zh-Hans" w:bidi="ar"/>
        </w:rPr>
        <w:t>（身份证号         ）</w:t>
      </w:r>
      <w:r>
        <w:rPr>
          <w:rFonts w:hint="eastAsia" w:ascii="宋体" w:hAnsi="宋体" w:cs="宋体"/>
          <w:color w:val="auto"/>
          <w:sz w:val="24"/>
          <w:highlight w:val="none"/>
          <w:u w:val="single"/>
          <w:lang w:bidi="ar"/>
        </w:rPr>
        <w:t>，</w:t>
      </w:r>
      <w:r>
        <w:rPr>
          <w:rFonts w:hint="eastAsia" w:ascii="宋体" w:hAnsi="宋体" w:cs="宋体"/>
          <w:color w:val="auto"/>
          <w:sz w:val="24"/>
          <w:szCs w:val="24"/>
          <w:highlight w:val="none"/>
        </w:rPr>
        <w:t>负责乙方与甲方的接洽；负责履行本合同乙方的权利和义务；主持项目团队相关工作。</w:t>
      </w:r>
    </w:p>
    <w:p w14:paraId="7B64E5F5">
      <w:pPr>
        <w:numPr>
          <w:ilvl w:val="0"/>
          <w:numId w:val="4"/>
        </w:numPr>
        <w:spacing w:line="460" w:lineRule="exact"/>
        <w:ind w:left="0" w:firstLine="0"/>
        <w:outlineLvl w:val="1"/>
        <w:rPr>
          <w:rFonts w:ascii="宋体" w:hAnsi="宋体" w:cs="宋体"/>
          <w:b/>
          <w:color w:val="auto"/>
          <w:sz w:val="24"/>
          <w:highlight w:val="none"/>
        </w:rPr>
      </w:pPr>
      <w:r>
        <w:rPr>
          <w:rFonts w:hint="eastAsia" w:ascii="宋体" w:hAnsi="宋体" w:cs="宋体"/>
          <w:b/>
          <w:color w:val="auto"/>
          <w:sz w:val="24"/>
          <w:highlight w:val="none"/>
          <w:lang w:bidi="ar"/>
        </w:rPr>
        <w:t>合同形式及合同金额（以下价格均含税）</w:t>
      </w:r>
    </w:p>
    <w:p w14:paraId="4335B212">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bidi="ar"/>
        </w:rPr>
        <w:t>本合同为固定总价合同，总价（含税）</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元</w:t>
      </w:r>
      <w:r>
        <w:rPr>
          <w:rFonts w:hint="eastAsia" w:ascii="宋体" w:hAnsi="宋体" w:cs="宋体"/>
          <w:color w:val="auto"/>
          <w:sz w:val="24"/>
          <w:szCs w:val="24"/>
          <w:highlight w:val="none"/>
          <w:lang w:bidi="ar"/>
        </w:rPr>
        <w:t>（大写：</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w:t>
      </w:r>
      <w:r>
        <w:rPr>
          <w:rFonts w:hint="eastAsia" w:ascii="宋体" w:hAnsi="宋体" w:cs="宋体"/>
          <w:color w:val="auto"/>
          <w:sz w:val="24"/>
          <w:szCs w:val="24"/>
          <w:highlight w:val="none"/>
          <w:lang w:eastAsia="zh-Hans" w:bidi="ar"/>
        </w:rPr>
        <w:t>，</w:t>
      </w:r>
      <w:r>
        <w:rPr>
          <w:rFonts w:hint="eastAsia" w:ascii="宋体" w:hAnsi="宋体" w:cs="宋体"/>
          <w:color w:val="auto"/>
          <w:sz w:val="24"/>
          <w:szCs w:val="24"/>
          <w:highlight w:val="none"/>
          <w:lang w:bidi="ar"/>
        </w:rPr>
        <w:t>其中不含税金额</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元（大写：</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），增值税税金</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元</w:t>
      </w:r>
      <w:r>
        <w:rPr>
          <w:rFonts w:hint="eastAsia" w:ascii="宋体" w:hAnsi="宋体" w:cs="宋体"/>
          <w:color w:val="auto"/>
          <w:sz w:val="24"/>
          <w:szCs w:val="24"/>
          <w:highlight w:val="none"/>
          <w:lang w:bidi="ar"/>
        </w:rPr>
        <w:t>（大写：</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w:t>
      </w:r>
      <w:r>
        <w:rPr>
          <w:rFonts w:hint="eastAsia" w:ascii="宋体" w:hAnsi="宋体" w:cs="宋体"/>
          <w:color w:val="auto"/>
          <w:sz w:val="24"/>
          <w:highlight w:val="none"/>
          <w:lang w:bidi="ar"/>
        </w:rPr>
        <w:t>。</w:t>
      </w:r>
      <w:r>
        <w:rPr>
          <w:rFonts w:hint="eastAsia" w:ascii="宋体" w:hAnsi="宋体" w:cs="宋体"/>
          <w:color w:val="auto"/>
          <w:sz w:val="24"/>
          <w:szCs w:val="24"/>
          <w:highlight w:val="none"/>
          <w:lang w:val="en-US" w:eastAsia="zh-CN" w:bidi="ar"/>
        </w:rPr>
        <w:t>此外，甲方不再另行支付任何费用</w:t>
      </w:r>
      <w:r>
        <w:rPr>
          <w:rFonts w:hint="eastAsia" w:ascii="宋体" w:hAnsi="宋体" w:cs="宋体"/>
          <w:color w:val="auto"/>
          <w:sz w:val="24"/>
          <w:highlight w:val="none"/>
          <w:lang w:bidi="ar"/>
        </w:rPr>
        <w:t>。</w:t>
      </w:r>
    </w:p>
    <w:p w14:paraId="5D8ED8A4">
      <w:pPr>
        <w:numPr>
          <w:ilvl w:val="0"/>
          <w:numId w:val="4"/>
        </w:numPr>
        <w:spacing w:line="500" w:lineRule="exact"/>
        <w:ind w:left="0" w:firstLine="0"/>
        <w:outlineLvl w:val="1"/>
        <w:rPr>
          <w:rFonts w:ascii="宋体" w:hAnsi="宋体" w:cs="宋体"/>
          <w:b/>
          <w:color w:val="auto"/>
          <w:sz w:val="24"/>
          <w:highlight w:val="none"/>
        </w:rPr>
      </w:pPr>
      <w:r>
        <w:rPr>
          <w:rFonts w:hint="eastAsia" w:ascii="宋体" w:hAnsi="宋体" w:cs="宋体"/>
          <w:b/>
          <w:color w:val="auto"/>
          <w:sz w:val="24"/>
          <w:highlight w:val="none"/>
          <w:lang w:bidi="ar"/>
        </w:rPr>
        <w:t>付款方式与付款节点：</w:t>
      </w:r>
    </w:p>
    <w:p w14:paraId="44F8CBC0">
      <w:pPr>
        <w:spacing w:line="460" w:lineRule="exact"/>
        <w:ind w:firstLine="480" w:firstLineChars="200"/>
        <w:rPr>
          <w:rFonts w:hint="default" w:ascii="宋体" w:hAnsi="宋体" w:eastAsia="宋体" w:cs="宋体"/>
          <w:color w:val="auto"/>
          <w:sz w:val="24"/>
          <w:highlight w:val="none"/>
          <w:lang w:val="en-US" w:bidi="ar"/>
        </w:rPr>
      </w:pPr>
      <w:r>
        <w:rPr>
          <w:rFonts w:hint="eastAsia" w:ascii="宋体" w:hAnsi="宋体" w:eastAsia="宋体" w:cs="宋体"/>
          <w:color w:val="auto"/>
          <w:sz w:val="24"/>
          <w:highlight w:val="none"/>
          <w:lang w:val="en-US" w:eastAsia="zh-CN" w:bidi="ar"/>
        </w:rPr>
        <w:t>1.乙方每</w:t>
      </w:r>
      <w:r>
        <w:rPr>
          <w:rFonts w:hint="eastAsia" w:ascii="宋体" w:hAnsi="宋体" w:eastAsia="宋体" w:cs="宋体"/>
          <w:color w:val="auto"/>
          <w:sz w:val="24"/>
          <w:highlight w:val="none"/>
          <w:lang w:bidi="ar"/>
        </w:rPr>
        <w:t>完成第一个水土保持设施验收报告书</w:t>
      </w:r>
      <w:r>
        <w:rPr>
          <w:rFonts w:hint="eastAsia" w:ascii="宋体" w:hAnsi="宋体" w:eastAsia="宋体" w:cs="宋体"/>
          <w:color w:val="auto"/>
          <w:sz w:val="24"/>
          <w:highlight w:val="none"/>
          <w:lang w:val="en-US" w:eastAsia="zh-CN" w:bidi="ar"/>
        </w:rPr>
        <w:t>或报告表</w:t>
      </w:r>
      <w:r>
        <w:rPr>
          <w:rFonts w:hint="eastAsia" w:ascii="宋体" w:hAnsi="宋体" w:eastAsia="宋体" w:cs="宋体"/>
          <w:color w:val="auto"/>
          <w:sz w:val="24"/>
          <w:highlight w:val="none"/>
          <w:lang w:bidi="ar"/>
        </w:rPr>
        <w:t>并取得水行政主管部门的备案</w:t>
      </w:r>
      <w:r>
        <w:rPr>
          <w:rFonts w:hint="eastAsia" w:ascii="宋体" w:hAnsi="宋体" w:eastAsia="宋体" w:cs="宋体"/>
          <w:color w:val="auto"/>
          <w:sz w:val="24"/>
          <w:highlight w:val="none"/>
          <w:lang w:val="en-US" w:eastAsia="zh-CN" w:bidi="ar"/>
        </w:rPr>
        <w:t>回执</w:t>
      </w:r>
      <w:r>
        <w:rPr>
          <w:rFonts w:hint="eastAsia" w:ascii="宋体" w:hAnsi="宋体" w:eastAsia="宋体" w:cs="宋体"/>
          <w:color w:val="auto"/>
          <w:sz w:val="24"/>
          <w:highlight w:val="none"/>
          <w:lang w:bidi="ar"/>
        </w:rPr>
        <w:t>后30日内，支付合同总价的</w:t>
      </w: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0%</w:t>
      </w:r>
      <w:r>
        <w:rPr>
          <w:rFonts w:hint="eastAsia" w:ascii="宋体" w:hAnsi="宋体" w:eastAsia="宋体" w:cs="宋体"/>
          <w:color w:val="auto"/>
          <w:sz w:val="24"/>
          <w:highlight w:val="none"/>
          <w:lang w:val="en-US" w:eastAsia="zh-CN" w:bidi="ar"/>
        </w:rPr>
        <w:t>,本项支付总额不得超过合同总额的80%。</w:t>
      </w:r>
    </w:p>
    <w:p w14:paraId="54E6B2F7">
      <w:pPr>
        <w:spacing w:line="460" w:lineRule="exact"/>
        <w:ind w:firstLine="480" w:firstLineChars="200"/>
        <w:rPr>
          <w:rFonts w:hint="eastAsia" w:ascii="宋体" w:hAnsi="宋体"/>
          <w:bCs/>
          <w:color w:val="auto"/>
          <w:kern w:val="0"/>
          <w:sz w:val="32"/>
          <w:szCs w:val="32"/>
          <w:highlight w:val="none"/>
          <w:u w:val="single"/>
        </w:rPr>
      </w:pPr>
      <w:r>
        <w:rPr>
          <w:rFonts w:hint="eastAsia" w:ascii="宋体" w:hAnsi="宋体" w:eastAsia="宋体" w:cs="宋体"/>
          <w:color w:val="auto"/>
          <w:sz w:val="24"/>
          <w:highlight w:val="none"/>
          <w:lang w:val="en-US" w:eastAsia="zh-CN" w:bidi="ar"/>
        </w:rPr>
        <w:t>2.乙方完成本项目所有的</w:t>
      </w:r>
      <w:r>
        <w:rPr>
          <w:rFonts w:hint="eastAsia" w:ascii="宋体" w:hAnsi="宋体" w:eastAsia="宋体" w:cs="宋体"/>
          <w:color w:val="auto"/>
          <w:sz w:val="24"/>
          <w:highlight w:val="none"/>
          <w:lang w:bidi="ar"/>
        </w:rPr>
        <w:t>水土保持设施验收</w:t>
      </w:r>
      <w:r>
        <w:rPr>
          <w:rFonts w:hint="eastAsia" w:ascii="宋体" w:hAnsi="宋体" w:eastAsia="宋体" w:cs="宋体"/>
          <w:color w:val="auto"/>
          <w:sz w:val="24"/>
          <w:highlight w:val="none"/>
          <w:lang w:val="en-US" w:eastAsia="zh-CN" w:bidi="ar"/>
        </w:rPr>
        <w:t>服务工作并经</w:t>
      </w:r>
      <w:r>
        <w:rPr>
          <w:rFonts w:hint="eastAsia" w:ascii="宋体" w:hAnsi="宋体" w:cs="宋体"/>
          <w:color w:val="auto"/>
          <w:sz w:val="24"/>
          <w:highlight w:val="none"/>
          <w:lang w:val="en-US" w:eastAsia="zh-CN" w:bidi="ar"/>
        </w:rPr>
        <w:t>甲方</w:t>
      </w:r>
      <w:r>
        <w:rPr>
          <w:rFonts w:hint="eastAsia" w:ascii="宋体" w:hAnsi="宋体" w:eastAsia="宋体" w:cs="宋体"/>
          <w:color w:val="auto"/>
          <w:sz w:val="24"/>
          <w:highlight w:val="none"/>
          <w:lang w:val="en-US" w:eastAsia="zh-CN" w:bidi="ar"/>
        </w:rPr>
        <w:t>确认后30日内，支付至合同总额的100%。</w:t>
      </w:r>
    </w:p>
    <w:p w14:paraId="62C847FB">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Hans"/>
        </w:rPr>
        <w:t>乙方应于甲方每期付款前，向甲方提供</w:t>
      </w:r>
      <w:r>
        <w:rPr>
          <w:rFonts w:hint="eastAsia" w:ascii="宋体" w:hAnsi="宋体" w:cs="宋体"/>
          <w:color w:val="auto"/>
          <w:sz w:val="24"/>
          <w:highlight w:val="none"/>
        </w:rPr>
        <w:t>真实、规范、合法</w:t>
      </w:r>
      <w:r>
        <w:rPr>
          <w:rFonts w:hint="eastAsia" w:ascii="宋体" w:hAnsi="宋体" w:cs="宋体"/>
          <w:color w:val="auto"/>
          <w:sz w:val="24"/>
          <w:highlight w:val="none"/>
          <w:lang w:eastAsia="zh-Hans"/>
        </w:rPr>
        <w:t>、等额的增值税专用发票</w:t>
      </w:r>
      <w:r>
        <w:rPr>
          <w:rFonts w:hint="eastAsia" w:ascii="宋体" w:hAnsi="宋体" w:cs="宋体"/>
          <w:color w:val="auto"/>
          <w:sz w:val="24"/>
          <w:highlight w:val="none"/>
        </w:rPr>
        <w:t>，</w:t>
      </w:r>
      <w:r>
        <w:rPr>
          <w:rFonts w:hint="eastAsia" w:ascii="宋体" w:hAnsi="宋体" w:cs="宋体"/>
          <w:color w:val="auto"/>
          <w:sz w:val="24"/>
          <w:highlight w:val="none"/>
          <w:lang w:eastAsia="zh-Hans"/>
        </w:rPr>
        <w:t>否则甲方有权拒绝付款且不承担任何责任。</w:t>
      </w:r>
      <w:r>
        <w:rPr>
          <w:rFonts w:hint="eastAsia" w:ascii="宋体" w:hAnsi="宋体" w:cs="宋体"/>
          <w:color w:val="auto"/>
          <w:sz w:val="24"/>
          <w:highlight w:val="none"/>
        </w:rPr>
        <w:t>如乙方虚开或提供不合格的增值税专用发票，造成甲方经济损失的，乙方承担全部赔偿责任，并重新向甲方开具符合规定的增值税专用发票。</w:t>
      </w:r>
    </w:p>
    <w:p w14:paraId="6C945E41">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4.乙方</w:t>
      </w:r>
      <w:r>
        <w:rPr>
          <w:rFonts w:hint="eastAsia" w:ascii="宋体" w:hAnsi="宋体" w:cs="宋体"/>
          <w:color w:val="auto"/>
          <w:sz w:val="24"/>
          <w:highlight w:val="none"/>
          <w:lang w:eastAsia="zh-Hans"/>
        </w:rPr>
        <w:t>收款账户</w:t>
      </w:r>
    </w:p>
    <w:p w14:paraId="3D4DABDC">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账号：</w:t>
      </w:r>
    </w:p>
    <w:p w14:paraId="67AE1FDA">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户名：</w:t>
      </w:r>
    </w:p>
    <w:p w14:paraId="1CEFA83C">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w:t>
      </w:r>
    </w:p>
    <w:p w14:paraId="2E181BCB">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乙方需要变更</w:t>
      </w:r>
      <w:r>
        <w:rPr>
          <w:rFonts w:hint="eastAsia" w:ascii="宋体" w:hAnsi="宋体" w:cs="宋体"/>
          <w:color w:val="auto"/>
          <w:sz w:val="24"/>
          <w:highlight w:val="none"/>
          <w:lang w:eastAsia="zh-Hans"/>
        </w:rPr>
        <w:t>收款账户信息</w:t>
      </w:r>
      <w:r>
        <w:rPr>
          <w:rFonts w:hint="eastAsia" w:ascii="宋体" w:hAnsi="宋体" w:cs="宋体"/>
          <w:color w:val="auto"/>
          <w:sz w:val="24"/>
          <w:highlight w:val="none"/>
        </w:rPr>
        <w:t>的，应当及时以书面形式通知甲方，因未及时通知而造成的一切损失，由乙方自行承担。</w:t>
      </w:r>
    </w:p>
    <w:p w14:paraId="50A68D1F">
      <w:pPr>
        <w:numPr>
          <w:ilvl w:val="0"/>
          <w:numId w:val="4"/>
        </w:numPr>
        <w:spacing w:line="500" w:lineRule="exact"/>
        <w:ind w:left="0" w:firstLine="0"/>
        <w:outlineLvl w:val="1"/>
        <w:rPr>
          <w:rFonts w:ascii="宋体" w:hAnsi="宋体" w:cs="宋体"/>
          <w:b/>
          <w:color w:val="auto"/>
          <w:sz w:val="24"/>
          <w:highlight w:val="none"/>
        </w:rPr>
      </w:pPr>
      <w:r>
        <w:rPr>
          <w:rFonts w:hint="eastAsia" w:ascii="宋体" w:hAnsi="宋体" w:cs="宋体"/>
          <w:b/>
          <w:color w:val="auto"/>
          <w:sz w:val="24"/>
          <w:highlight w:val="none"/>
          <w:lang w:bidi="ar"/>
        </w:rPr>
        <w:t>双方责任</w:t>
      </w:r>
    </w:p>
    <w:p w14:paraId="2A11B768">
      <w:pPr>
        <w:tabs>
          <w:tab w:val="left" w:pos="0"/>
          <w:tab w:val="left" w:pos="1134"/>
          <w:tab w:val="left" w:pos="7200"/>
          <w:tab w:val="left" w:pos="8505"/>
        </w:tabs>
        <w:spacing w:line="360" w:lineRule="auto"/>
        <w:ind w:firstLine="482" w:firstLineChars="200"/>
        <w:rPr>
          <w:rFonts w:ascii="宋体" w:hAnsi="宋体" w:cs="宋体"/>
          <w:b/>
          <w:bCs/>
          <w:color w:val="auto"/>
          <w:sz w:val="24"/>
          <w:highlight w:val="none"/>
        </w:rPr>
      </w:pPr>
      <w:bookmarkStart w:id="44" w:name="_Toc43709509"/>
      <w:bookmarkStart w:id="45" w:name="_Hlk11068670"/>
      <w:r>
        <w:rPr>
          <w:rFonts w:hint="eastAsia" w:ascii="宋体" w:hAnsi="宋体" w:cs="宋体"/>
          <w:b/>
          <w:bCs/>
          <w:color w:val="auto"/>
          <w:sz w:val="24"/>
          <w:highlight w:val="none"/>
        </w:rPr>
        <w:t>9.1 甲方责任与权利</w:t>
      </w:r>
      <w:bookmarkEnd w:id="44"/>
    </w:p>
    <w:p w14:paraId="16108AD9">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9.1.1 按合同有关规定及时支付服务费。</w:t>
      </w:r>
    </w:p>
    <w:p w14:paraId="0ED47587">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9.1.2 合同签订后，</w:t>
      </w:r>
      <w:r>
        <w:rPr>
          <w:rFonts w:hint="eastAsia" w:ascii="宋体" w:hAnsi="宋体" w:cs="宋体"/>
          <w:color w:val="auto"/>
          <w:sz w:val="24"/>
          <w:highlight w:val="none"/>
          <w:lang w:val="en-US" w:eastAsia="zh-CN"/>
        </w:rPr>
        <w:t>收到乙方资料清单之日起</w:t>
      </w:r>
      <w:r>
        <w:rPr>
          <w:rFonts w:hint="eastAsia" w:ascii="宋体" w:hAnsi="宋体" w:cs="宋体"/>
          <w:color w:val="auto"/>
          <w:sz w:val="24"/>
          <w:highlight w:val="none"/>
        </w:rPr>
        <w:t>5个工作日内负责向乙方提供开展水土保持设施验收服务所必须的，应由甲方负责的相关工程资料，但仅限于本项目使用，并向乙方告知保密责任和义务。</w:t>
      </w:r>
    </w:p>
    <w:p w14:paraId="35FA6A72">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9.1.3 在合同框架内提供必要的工作和人员协作。</w:t>
      </w:r>
    </w:p>
    <w:p w14:paraId="1A16429A">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9.1.4 对乙方现场的工作予以监督和管理。</w:t>
      </w:r>
    </w:p>
    <w:p w14:paraId="0E97981A">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9.1.5 有权对乙方项目组成员的工作进度、质量以及是否按照甲方制定的规范进行工作等进行监督与检查；有权对乙方的项目组成员进行考核评分，评价其服务质量；有权要求乙方更换其项目组成员。</w:t>
      </w:r>
    </w:p>
    <w:p w14:paraId="3371443A">
      <w:pPr>
        <w:tabs>
          <w:tab w:val="left" w:pos="0"/>
          <w:tab w:val="left" w:pos="1134"/>
          <w:tab w:val="left" w:pos="7200"/>
          <w:tab w:val="left" w:pos="8505"/>
        </w:tabs>
        <w:spacing w:line="360" w:lineRule="auto"/>
        <w:ind w:firstLine="482" w:firstLineChars="200"/>
        <w:rPr>
          <w:rFonts w:ascii="宋体" w:hAnsi="宋体" w:cs="宋体"/>
          <w:b/>
          <w:bCs/>
          <w:color w:val="auto"/>
          <w:sz w:val="24"/>
          <w:highlight w:val="none"/>
        </w:rPr>
      </w:pPr>
      <w:bookmarkStart w:id="46" w:name="_Toc43709510"/>
      <w:r>
        <w:rPr>
          <w:rFonts w:hint="eastAsia" w:ascii="宋体" w:hAnsi="宋体" w:cs="宋体"/>
          <w:b/>
          <w:bCs/>
          <w:color w:val="auto"/>
          <w:sz w:val="24"/>
          <w:highlight w:val="none"/>
        </w:rPr>
        <w:t>9.2 乙方责任与权利</w:t>
      </w:r>
      <w:bookmarkEnd w:id="46"/>
    </w:p>
    <w:p w14:paraId="0D6E6043">
      <w:pPr>
        <w:tabs>
          <w:tab w:val="left" w:pos="0"/>
          <w:tab w:val="left" w:pos="1134"/>
          <w:tab w:val="left" w:pos="7200"/>
          <w:tab w:val="left" w:pos="850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9.2.1 应执行项目所在地区发布的有关法律法规及</w:t>
      </w:r>
      <w:r>
        <w:rPr>
          <w:rFonts w:hint="eastAsia" w:ascii="宋体" w:hAnsi="宋体" w:cs="宋体"/>
          <w:color w:val="auto"/>
          <w:sz w:val="24"/>
          <w:szCs w:val="24"/>
          <w:highlight w:val="none"/>
        </w:rPr>
        <w:t>甲方提供的关于本项目的所有要求。</w:t>
      </w:r>
    </w:p>
    <w:p w14:paraId="34FE1E58">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9.2.2  </w:t>
      </w:r>
      <w:r>
        <w:rPr>
          <w:rFonts w:hint="eastAsia" w:ascii="宋体" w:hAnsi="宋体" w:cs="宋体"/>
          <w:color w:val="auto"/>
          <w:sz w:val="24"/>
          <w:highlight w:val="none"/>
          <w:lang w:val="en-US" w:eastAsia="zh-CN"/>
        </w:rPr>
        <w:t>乙方应于本合同签订后5日内向甲方提交资料清单，</w:t>
      </w:r>
      <w:r>
        <w:rPr>
          <w:rFonts w:hint="eastAsia" w:ascii="宋体" w:hAnsi="宋体" w:cs="宋体"/>
          <w:color w:val="auto"/>
          <w:sz w:val="24"/>
          <w:highlight w:val="none"/>
        </w:rPr>
        <w:t>根据项目具体情况和技术要求确定合理的工作量，按国家及地方水行政主管部门有关规定，完成本项目的水土保持设施验收服务工作。</w:t>
      </w:r>
    </w:p>
    <w:p w14:paraId="03C7A3A0">
      <w:pPr>
        <w:tabs>
          <w:tab w:val="left" w:pos="0"/>
          <w:tab w:val="left" w:pos="1134"/>
          <w:tab w:val="left" w:pos="7200"/>
          <w:tab w:val="left" w:pos="850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9.2.3 应根据《</w:t>
      </w:r>
      <w:r>
        <w:rPr>
          <w:rFonts w:hint="eastAsia" w:ascii="宋体" w:hAnsi="宋体" w:cs="宋体"/>
          <w:color w:val="auto"/>
          <w:sz w:val="24"/>
          <w:szCs w:val="24"/>
          <w:highlight w:val="none"/>
        </w:rPr>
        <w:t>中华人民共和国水土保持法</w:t>
      </w:r>
      <w:r>
        <w:rPr>
          <w:rFonts w:hint="eastAsia" w:ascii="宋体" w:hAnsi="宋体" w:cs="宋体"/>
          <w:color w:val="auto"/>
          <w:sz w:val="24"/>
          <w:highlight w:val="none"/>
        </w:rPr>
        <w:t>》及相关的技术要求做好水土保持设施验收服务工作，明确项目的责任人，并对本项目的</w:t>
      </w:r>
      <w:r>
        <w:rPr>
          <w:rFonts w:hint="eastAsia" w:ascii="宋体" w:hAnsi="宋体" w:cs="宋体"/>
          <w:color w:val="auto"/>
          <w:sz w:val="24"/>
          <w:szCs w:val="24"/>
          <w:highlight w:val="none"/>
        </w:rPr>
        <w:t>水土保持设施验收服务成果质量负责。未经甲方书面同意，乙方不得擅自更换项目负责人。乙方擅自更换项目负责人的，应承担违约责任。乙方需更换专业技术负责人时，应提前</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天书面通知甲方</w:t>
      </w:r>
      <w:r>
        <w:rPr>
          <w:rFonts w:hint="eastAsia" w:ascii="宋体" w:hAnsi="宋体" w:cs="宋体"/>
          <w:color w:val="auto"/>
          <w:sz w:val="24"/>
          <w:szCs w:val="24"/>
          <w:highlight w:val="none"/>
          <w:lang w:val="en-US" w:eastAsia="zh-CN"/>
        </w:rPr>
        <w:t>并</w:t>
      </w:r>
      <w:r>
        <w:rPr>
          <w:rFonts w:hint="eastAsia" w:ascii="宋体" w:hAnsi="宋体" w:cs="宋体"/>
          <w:color w:val="auto"/>
          <w:sz w:val="24"/>
          <w:szCs w:val="24"/>
          <w:highlight w:val="none"/>
        </w:rPr>
        <w:t>应征得甲方书面同意；合同履行过程中如有其他变动，乙方应及时告知甲方变动情况。</w:t>
      </w:r>
    </w:p>
    <w:p w14:paraId="5B843E55">
      <w:pPr>
        <w:tabs>
          <w:tab w:val="left" w:pos="0"/>
          <w:tab w:val="left" w:pos="1134"/>
          <w:tab w:val="left" w:pos="7200"/>
          <w:tab w:val="left" w:pos="850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9.2.4 乙方应将甲方提供的资金用于本项目的开发实施工作之中，在本合同的工作范围内合理安排使用合同费用，不得擅自挪作他用。</w:t>
      </w:r>
    </w:p>
    <w:p w14:paraId="3BA69115">
      <w:pPr>
        <w:tabs>
          <w:tab w:val="left" w:pos="0"/>
          <w:tab w:val="left" w:pos="1134"/>
          <w:tab w:val="left" w:pos="7200"/>
          <w:tab w:val="left" w:pos="850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9.2.5 乙方根据合同规定的项目进度计划，在甲方指定现场完成工作的一切相关费用，由乙方自行承担。</w:t>
      </w:r>
    </w:p>
    <w:p w14:paraId="13EB9398">
      <w:pPr>
        <w:tabs>
          <w:tab w:val="left" w:pos="0"/>
          <w:tab w:val="left" w:pos="1134"/>
          <w:tab w:val="left" w:pos="7200"/>
          <w:tab w:val="left" w:pos="850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9.2.6 按照项目和合同要求组织人员参与配合项目的开发实施工作，乙方应保证项目组人员的技能和稳定性，满足项目开发和实施要求。</w:t>
      </w:r>
    </w:p>
    <w:p w14:paraId="466A1C30">
      <w:pPr>
        <w:tabs>
          <w:tab w:val="left" w:pos="0"/>
          <w:tab w:val="left" w:pos="1134"/>
          <w:tab w:val="left" w:pos="7200"/>
          <w:tab w:val="left" w:pos="8505"/>
        </w:tabs>
        <w:spacing w:line="360" w:lineRule="auto"/>
        <w:ind w:firstLine="480" w:firstLineChars="200"/>
        <w:rPr>
          <w:rFonts w:hint="eastAsia" w:ascii="宋体" w:hAnsi="宋体" w:cs="宋体"/>
          <w:color w:val="auto"/>
          <w:sz w:val="24"/>
          <w:szCs w:val="24"/>
          <w:highlight w:val="none"/>
        </w:rPr>
      </w:pPr>
      <w:bookmarkStart w:id="47" w:name="_Toc43709511"/>
      <w:r>
        <w:rPr>
          <w:rFonts w:hint="eastAsia" w:ascii="宋体" w:hAnsi="宋体" w:cs="宋体"/>
          <w:color w:val="auto"/>
          <w:sz w:val="24"/>
          <w:szCs w:val="24"/>
          <w:highlight w:val="none"/>
        </w:rPr>
        <w:t>9.2.7在</w:t>
      </w:r>
      <w:r>
        <w:rPr>
          <w:rFonts w:hint="eastAsia" w:ascii="宋体" w:hAnsi="宋体" w:cs="宋体"/>
          <w:color w:val="auto"/>
          <w:sz w:val="24"/>
          <w:szCs w:val="24"/>
          <w:highlight w:val="none"/>
          <w:lang w:eastAsia="zh-Hans"/>
        </w:rPr>
        <w:t>项目现场工作</w:t>
      </w:r>
      <w:r>
        <w:rPr>
          <w:rFonts w:hint="eastAsia" w:ascii="宋体" w:hAnsi="宋体" w:cs="宋体"/>
          <w:color w:val="auto"/>
          <w:sz w:val="24"/>
          <w:szCs w:val="24"/>
          <w:highlight w:val="none"/>
        </w:rPr>
        <w:t>过程中</w:t>
      </w:r>
      <w:r>
        <w:rPr>
          <w:rFonts w:hint="eastAsia" w:ascii="宋体" w:hAnsi="宋体" w:cs="宋体"/>
          <w:color w:val="auto"/>
          <w:sz w:val="24"/>
          <w:szCs w:val="24"/>
          <w:highlight w:val="none"/>
          <w:lang w:eastAsia="zh-Hans"/>
        </w:rPr>
        <w:t>，乙方</w:t>
      </w:r>
      <w:r>
        <w:rPr>
          <w:rFonts w:hint="eastAsia" w:ascii="宋体" w:hAnsi="宋体" w:cs="宋体"/>
          <w:color w:val="auto"/>
          <w:sz w:val="24"/>
          <w:szCs w:val="24"/>
          <w:highlight w:val="none"/>
        </w:rPr>
        <w:t>应做好安全防护工作，若出现任何安全事故，由乙方承担全部责任，若甲方因此承担了责任，有权向乙方追偿。</w:t>
      </w:r>
    </w:p>
    <w:p w14:paraId="481908D8">
      <w:pPr>
        <w:tabs>
          <w:tab w:val="left" w:pos="0"/>
          <w:tab w:val="left" w:pos="1134"/>
          <w:tab w:val="left" w:pos="7200"/>
          <w:tab w:val="left" w:pos="8505"/>
        </w:tabs>
        <w:spacing w:line="360" w:lineRule="auto"/>
        <w:ind w:firstLine="480" w:firstLineChars="200"/>
        <w:rPr>
          <w:color w:val="auto"/>
          <w:highlight w:val="none"/>
        </w:rPr>
      </w:pPr>
      <w:r>
        <w:rPr>
          <w:rFonts w:hint="eastAsia" w:ascii="宋体" w:hAnsi="宋体" w:cs="宋体"/>
          <w:color w:val="auto"/>
          <w:sz w:val="24"/>
          <w:szCs w:val="24"/>
          <w:highlight w:val="none"/>
          <w:lang w:val="en-US" w:eastAsia="zh-CN"/>
        </w:rPr>
        <w:t>9.2</w:t>
      </w:r>
      <w:r>
        <w:rPr>
          <w:rFonts w:hint="default" w:ascii="宋体" w:hAnsi="宋体" w:cs="宋体"/>
          <w:color w:val="auto"/>
          <w:sz w:val="24"/>
          <w:szCs w:val="24"/>
          <w:highlight w:val="none"/>
          <w:lang w:val="en-US" w:eastAsia="zh-CN"/>
        </w:rPr>
        <w:t>.8</w:t>
      </w:r>
      <w:r>
        <w:rPr>
          <w:rFonts w:hint="eastAsia" w:ascii="宋体"/>
          <w:bCs/>
          <w:color w:val="auto"/>
          <w:sz w:val="24"/>
          <w:szCs w:val="28"/>
          <w:highlight w:val="none"/>
        </w:rPr>
        <w:t>乙方</w:t>
      </w:r>
      <w:r>
        <w:rPr>
          <w:rFonts w:hint="eastAsia" w:ascii="宋体"/>
          <w:bCs/>
          <w:color w:val="auto"/>
          <w:sz w:val="24"/>
          <w:szCs w:val="28"/>
          <w:highlight w:val="none"/>
          <w:lang w:val="en-US" w:eastAsia="zh-CN"/>
        </w:rPr>
        <w:t>应</w:t>
      </w:r>
      <w:r>
        <w:rPr>
          <w:rFonts w:hint="eastAsia" w:ascii="宋体"/>
          <w:bCs/>
          <w:color w:val="auto"/>
          <w:sz w:val="24"/>
          <w:szCs w:val="28"/>
          <w:highlight w:val="none"/>
        </w:rPr>
        <w:t>按</w:t>
      </w:r>
      <w:r>
        <w:rPr>
          <w:rFonts w:hint="eastAsia" w:ascii="宋体"/>
          <w:bCs/>
          <w:color w:val="auto"/>
          <w:sz w:val="24"/>
          <w:szCs w:val="28"/>
          <w:highlight w:val="none"/>
          <w:lang w:eastAsia="zh-Hans"/>
        </w:rPr>
        <w:t>甲方或</w:t>
      </w:r>
      <w:r>
        <w:rPr>
          <w:rFonts w:hint="eastAsia" w:ascii="宋体"/>
          <w:bCs/>
          <w:color w:val="auto"/>
          <w:sz w:val="24"/>
          <w:szCs w:val="28"/>
          <w:highlight w:val="none"/>
          <w:lang w:val="en-US" w:eastAsia="zh-CN"/>
        </w:rPr>
        <w:t>水行政主管</w:t>
      </w:r>
      <w:r>
        <w:rPr>
          <w:rFonts w:hint="eastAsia" w:ascii="宋体"/>
          <w:bCs/>
          <w:color w:val="auto"/>
          <w:sz w:val="24"/>
          <w:szCs w:val="28"/>
          <w:highlight w:val="none"/>
          <w:lang w:eastAsia="zh-Hans"/>
        </w:rPr>
        <w:t>部门</w:t>
      </w:r>
      <w:r>
        <w:rPr>
          <w:rFonts w:hint="eastAsia" w:ascii="宋体"/>
          <w:bCs/>
          <w:color w:val="auto"/>
          <w:sz w:val="24"/>
          <w:szCs w:val="28"/>
          <w:highlight w:val="none"/>
          <w:lang w:val="en-US" w:eastAsia="zh-CN"/>
        </w:rPr>
        <w:t>要求提交备案资料参与评审</w:t>
      </w:r>
      <w:r>
        <w:rPr>
          <w:rFonts w:hint="eastAsia" w:ascii="宋体"/>
          <w:bCs/>
          <w:color w:val="auto"/>
          <w:sz w:val="24"/>
          <w:szCs w:val="28"/>
          <w:highlight w:val="none"/>
        </w:rPr>
        <w:t>，并根据审查结论负责并对其内容做必要调整补充。乙方</w:t>
      </w:r>
      <w:r>
        <w:rPr>
          <w:rFonts w:hint="eastAsia" w:ascii="宋体"/>
          <w:bCs/>
          <w:color w:val="auto"/>
          <w:sz w:val="24"/>
          <w:szCs w:val="28"/>
          <w:highlight w:val="none"/>
          <w:lang w:eastAsia="zh-Hans"/>
        </w:rPr>
        <w:t>应</w:t>
      </w:r>
      <w:r>
        <w:rPr>
          <w:rFonts w:hint="eastAsia" w:ascii="宋体"/>
          <w:bCs/>
          <w:color w:val="auto"/>
          <w:sz w:val="24"/>
          <w:szCs w:val="28"/>
          <w:highlight w:val="none"/>
        </w:rPr>
        <w:t>按合同规定时限交付资料及文件，做好后期服务工作，负责向甲方进行技术文件交底工作。</w:t>
      </w:r>
    </w:p>
    <w:p w14:paraId="5A01C740">
      <w:pPr>
        <w:tabs>
          <w:tab w:val="left" w:pos="0"/>
          <w:tab w:val="left" w:pos="1134"/>
          <w:tab w:val="left" w:pos="7200"/>
          <w:tab w:val="left" w:pos="8505"/>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9.3 违约责任</w:t>
      </w:r>
      <w:bookmarkEnd w:id="47"/>
    </w:p>
    <w:p w14:paraId="4F4D125E">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9.3.1甲方违约责任</w:t>
      </w:r>
    </w:p>
    <w:p w14:paraId="783EE7CA">
      <w:pPr>
        <w:numPr>
          <w:ilvl w:val="0"/>
          <w:numId w:val="6"/>
        </w:num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因甲方原因如不能及时支付应付给乙方的委托费用，或其他由于甲方原因造成乙方不能正常运行操作而带来的损失和责任，甲方应自行承担。</w:t>
      </w:r>
    </w:p>
    <w:p w14:paraId="4B54001D">
      <w:pPr>
        <w:numPr>
          <w:ilvl w:val="0"/>
          <w:numId w:val="6"/>
        </w:num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除合同另有规定外，如果甲方无故终止合同，应承担由此给乙方带来的直接损失。</w:t>
      </w:r>
    </w:p>
    <w:p w14:paraId="1E1845B9">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9.3.2 乙方违约责任</w:t>
      </w:r>
    </w:p>
    <w:p w14:paraId="7703401E">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如果乙方未经甲方书面同意而单方面终止合同，应承担由此给甲方造成的直接损失。</w:t>
      </w:r>
    </w:p>
    <w:p w14:paraId="034213CC">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因乙方原因导致支付申请不及时，致使甲方不能按合同要求向乙方支付委托费用，乙方应承担因此而遭受的损失及相关费用。</w:t>
      </w:r>
    </w:p>
    <w:p w14:paraId="03AA6FCE">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3）乙方不得以甲方的名义与其他单位发生任何超出甲方授权范围的业务或经济关系，乙方应承担由此带来的损失和后果，甲方将视情节追究其责任。</w:t>
      </w:r>
    </w:p>
    <w:p w14:paraId="005851E0">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4）若因乙方原因导致</w:t>
      </w:r>
      <w:r>
        <w:rPr>
          <w:rFonts w:hint="eastAsia" w:ascii="宋体" w:hAnsi="宋体" w:cs="宋体"/>
          <w:color w:val="auto"/>
          <w:sz w:val="24"/>
          <w:highlight w:val="none"/>
          <w:lang w:eastAsia="zh-Hans"/>
        </w:rPr>
        <w:t>甲方未能在第五条第（2）款约定时限内取得</w:t>
      </w:r>
      <w:r>
        <w:rPr>
          <w:rFonts w:hint="eastAsia" w:ascii="宋体" w:hAnsi="宋体" w:cs="宋体"/>
          <w:color w:val="auto"/>
          <w:sz w:val="24"/>
          <w:szCs w:val="24"/>
          <w:highlight w:val="none"/>
        </w:rPr>
        <w:t>本项目所需的水行政主管部门的</w:t>
      </w:r>
      <w:r>
        <w:rPr>
          <w:rFonts w:hint="eastAsia" w:ascii="宋体" w:hAnsi="宋体" w:cs="宋体"/>
          <w:bCs/>
          <w:color w:val="auto"/>
          <w:kern w:val="0"/>
          <w:sz w:val="24"/>
          <w:szCs w:val="24"/>
          <w:highlight w:val="none"/>
          <w:lang w:val="en-US" w:eastAsia="zh-CN"/>
        </w:rPr>
        <w:t>备案回执</w:t>
      </w:r>
      <w:r>
        <w:rPr>
          <w:rFonts w:hint="eastAsia" w:ascii="宋体" w:hAnsi="宋体" w:cs="宋体"/>
          <w:bCs/>
          <w:color w:val="auto"/>
          <w:kern w:val="0"/>
          <w:sz w:val="24"/>
          <w:szCs w:val="24"/>
          <w:highlight w:val="none"/>
          <w:lang w:eastAsia="zh-Hans"/>
        </w:rPr>
        <w:t>，每逾期一日，</w:t>
      </w:r>
      <w:r>
        <w:rPr>
          <w:rFonts w:hint="eastAsia" w:ascii="宋体" w:hAnsi="宋体" w:cs="宋体"/>
          <w:color w:val="auto"/>
          <w:sz w:val="24"/>
          <w:highlight w:val="none"/>
        </w:rPr>
        <w:t>乙方应向甲方支付违约金</w:t>
      </w:r>
      <w:r>
        <w:rPr>
          <w:rFonts w:hint="eastAsia" w:ascii="宋体" w:hAnsi="宋体" w:cs="宋体"/>
          <w:color w:val="auto"/>
          <w:sz w:val="24"/>
          <w:highlight w:val="none"/>
          <w:u w:val="single"/>
        </w:rPr>
        <w:t>1000</w:t>
      </w:r>
      <w:r>
        <w:rPr>
          <w:rFonts w:hint="eastAsia" w:ascii="宋体" w:hAnsi="宋体" w:cs="宋体"/>
          <w:color w:val="auto"/>
          <w:sz w:val="24"/>
          <w:highlight w:val="none"/>
        </w:rPr>
        <w:t>元，逾期超过30日的，甲方有权单方解除本合同，乙方应向甲方支付违约金</w:t>
      </w:r>
      <w:r>
        <w:rPr>
          <w:rFonts w:hint="eastAsia" w:ascii="宋体" w:hAnsi="宋体" w:cs="宋体"/>
          <w:color w:val="auto"/>
          <w:sz w:val="24"/>
          <w:highlight w:val="none"/>
          <w:u w:val="single"/>
        </w:rPr>
        <w:t>20000</w:t>
      </w:r>
      <w:r>
        <w:rPr>
          <w:rFonts w:hint="eastAsia" w:ascii="宋体" w:hAnsi="宋体" w:cs="宋体"/>
          <w:color w:val="auto"/>
          <w:sz w:val="24"/>
          <w:highlight w:val="none"/>
        </w:rPr>
        <w:t>元，并赔偿因此给甲方造成的损失。</w:t>
      </w:r>
    </w:p>
    <w:p w14:paraId="7EB61159">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Hans"/>
        </w:rPr>
        <w:t>5）乙方应按时向甲方提交工作成果，逾期提交的，</w:t>
      </w:r>
      <w:r>
        <w:rPr>
          <w:rFonts w:hint="eastAsia" w:ascii="宋体" w:hAnsi="宋体" w:cs="宋体"/>
          <w:bCs/>
          <w:color w:val="auto"/>
          <w:kern w:val="0"/>
          <w:sz w:val="24"/>
          <w:szCs w:val="24"/>
          <w:highlight w:val="none"/>
          <w:lang w:eastAsia="zh-Hans"/>
        </w:rPr>
        <w:t>每逾期一日，</w:t>
      </w:r>
      <w:r>
        <w:rPr>
          <w:rFonts w:hint="eastAsia" w:ascii="宋体" w:hAnsi="宋体" w:cs="宋体"/>
          <w:color w:val="auto"/>
          <w:sz w:val="24"/>
          <w:highlight w:val="none"/>
        </w:rPr>
        <w:t>乙方应向甲方支付违约金</w:t>
      </w:r>
      <w:r>
        <w:rPr>
          <w:rFonts w:hint="eastAsia" w:ascii="宋体" w:hAnsi="宋体" w:cs="宋体"/>
          <w:color w:val="auto"/>
          <w:sz w:val="24"/>
          <w:highlight w:val="none"/>
          <w:u w:val="single"/>
        </w:rPr>
        <w:t>1000</w:t>
      </w:r>
      <w:r>
        <w:rPr>
          <w:rFonts w:hint="eastAsia" w:ascii="宋体" w:hAnsi="宋体" w:cs="宋体"/>
          <w:color w:val="auto"/>
          <w:sz w:val="24"/>
          <w:highlight w:val="none"/>
        </w:rPr>
        <w:t>元，逾期超过30日的，甲方有权单方解除本合同，乙方应向甲方支付违约金</w:t>
      </w:r>
      <w:r>
        <w:rPr>
          <w:rFonts w:hint="eastAsia" w:ascii="宋体" w:hAnsi="宋体" w:cs="宋体"/>
          <w:color w:val="auto"/>
          <w:sz w:val="24"/>
          <w:highlight w:val="none"/>
          <w:u w:val="single"/>
        </w:rPr>
        <w:t>20000</w:t>
      </w:r>
      <w:r>
        <w:rPr>
          <w:rFonts w:hint="eastAsia" w:ascii="宋体" w:hAnsi="宋体" w:cs="宋体"/>
          <w:color w:val="auto"/>
          <w:sz w:val="24"/>
          <w:highlight w:val="none"/>
        </w:rPr>
        <w:t>元，并赔偿因此给甲方造成的损失。</w:t>
      </w:r>
    </w:p>
    <w:p w14:paraId="3F6D9E5A">
      <w:pPr>
        <w:numPr>
          <w:ilvl w:val="255"/>
          <w:numId w:val="0"/>
        </w:numPr>
        <w:tabs>
          <w:tab w:val="left" w:pos="0"/>
          <w:tab w:val="left" w:pos="1134"/>
          <w:tab w:val="left" w:pos="7200"/>
          <w:tab w:val="left" w:pos="8505"/>
        </w:tabs>
        <w:spacing w:line="360" w:lineRule="auto"/>
        <w:ind w:firstLine="480" w:firstLineChars="200"/>
        <w:rPr>
          <w:rFonts w:ascii="宋体" w:hAnsi="宋体" w:cs="宋体"/>
          <w:color w:val="auto"/>
          <w:sz w:val="24"/>
          <w:highlight w:val="none"/>
          <w:lang w:eastAsia="zh-Hans"/>
        </w:rPr>
      </w:pPr>
      <w:r>
        <w:rPr>
          <w:rFonts w:hint="eastAsia" w:ascii="宋体" w:hAnsi="宋体" w:cs="宋体"/>
          <w:color w:val="auto"/>
          <w:sz w:val="24"/>
          <w:highlight w:val="none"/>
          <w:lang w:eastAsia="zh-Hans"/>
        </w:rPr>
        <w:t>6）</w:t>
      </w:r>
      <w:r>
        <w:rPr>
          <w:rFonts w:hint="eastAsia" w:ascii="宋体" w:hAnsi="宋体" w:cs="宋体"/>
          <w:color w:val="auto"/>
          <w:sz w:val="24"/>
          <w:highlight w:val="none"/>
        </w:rPr>
        <w:t>乙方应保证</w:t>
      </w:r>
      <w:r>
        <w:rPr>
          <w:rFonts w:hint="eastAsia" w:ascii="宋体" w:hAnsi="宋体" w:cs="宋体"/>
          <w:color w:val="auto"/>
          <w:sz w:val="24"/>
          <w:highlight w:val="none"/>
          <w:lang w:eastAsia="zh-Hans"/>
        </w:rPr>
        <w:t>咨询服务</w:t>
      </w:r>
      <w:r>
        <w:rPr>
          <w:rFonts w:hint="eastAsia" w:ascii="宋体" w:hAnsi="宋体" w:cs="宋体"/>
          <w:color w:val="auto"/>
          <w:sz w:val="24"/>
          <w:highlight w:val="none"/>
        </w:rPr>
        <w:t>成果的科学性、真实性、质量性，若甲方基于对</w:t>
      </w:r>
      <w:r>
        <w:rPr>
          <w:rFonts w:hint="eastAsia" w:ascii="宋体" w:hAnsi="宋体" w:cs="宋体"/>
          <w:color w:val="auto"/>
          <w:sz w:val="24"/>
          <w:highlight w:val="none"/>
          <w:lang w:eastAsia="zh-Hans"/>
        </w:rPr>
        <w:t>咨询服务</w:t>
      </w:r>
      <w:r>
        <w:rPr>
          <w:rFonts w:hint="eastAsia" w:ascii="宋体" w:hAnsi="宋体" w:cs="宋体"/>
          <w:color w:val="auto"/>
          <w:sz w:val="24"/>
          <w:highlight w:val="none"/>
        </w:rPr>
        <w:t>成果的信赖而做出的决策以及因其他</w:t>
      </w:r>
      <w:r>
        <w:rPr>
          <w:rFonts w:hint="eastAsia" w:ascii="宋体" w:hAnsi="宋体" w:cs="宋体"/>
          <w:color w:val="auto"/>
          <w:sz w:val="24"/>
          <w:highlight w:val="none"/>
          <w:lang w:eastAsia="zh-Hans"/>
        </w:rPr>
        <w:t>咨询服务</w:t>
      </w:r>
      <w:r>
        <w:rPr>
          <w:rFonts w:hint="eastAsia" w:ascii="宋体" w:hAnsi="宋体" w:cs="宋体"/>
          <w:color w:val="auto"/>
          <w:sz w:val="24"/>
          <w:highlight w:val="none"/>
        </w:rPr>
        <w:t>成果的原因给甲方造成损失的，由乙方承担全部责任并向甲方支付违约金</w:t>
      </w:r>
      <w:r>
        <w:rPr>
          <w:rFonts w:hint="eastAsia" w:ascii="宋体" w:hAnsi="宋体" w:cs="宋体"/>
          <w:color w:val="auto"/>
          <w:sz w:val="24"/>
          <w:highlight w:val="none"/>
          <w:u w:val="single"/>
        </w:rPr>
        <w:t>20000</w:t>
      </w:r>
      <w:r>
        <w:rPr>
          <w:rFonts w:hint="eastAsia" w:ascii="宋体" w:hAnsi="宋体" w:cs="宋体"/>
          <w:color w:val="auto"/>
          <w:sz w:val="24"/>
          <w:highlight w:val="none"/>
        </w:rPr>
        <w:t>元</w:t>
      </w:r>
      <w:r>
        <w:rPr>
          <w:rFonts w:hint="eastAsia" w:ascii="宋体" w:hAnsi="宋体" w:cs="宋体"/>
          <w:color w:val="auto"/>
          <w:sz w:val="24"/>
          <w:highlight w:val="none"/>
          <w:lang w:eastAsia="zh-Hans"/>
        </w:rPr>
        <w:t>。</w:t>
      </w:r>
    </w:p>
    <w:p w14:paraId="5F14DB5F">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eastAsia="zh-Hans"/>
        </w:rPr>
        <w:t>）</w:t>
      </w:r>
      <w:r>
        <w:rPr>
          <w:rFonts w:hint="eastAsia" w:ascii="宋体" w:hAnsi="宋体" w:cs="宋体"/>
          <w:color w:val="auto"/>
          <w:sz w:val="24"/>
          <w:highlight w:val="none"/>
        </w:rPr>
        <w:t>乙方承诺不向第三方提供</w:t>
      </w:r>
      <w:r>
        <w:rPr>
          <w:rFonts w:hint="eastAsia" w:ascii="宋体" w:hAnsi="宋体" w:cs="宋体"/>
          <w:color w:val="auto"/>
          <w:sz w:val="24"/>
          <w:highlight w:val="none"/>
          <w:lang w:eastAsia="zh-Hans"/>
        </w:rPr>
        <w:t>咨询服务</w:t>
      </w:r>
      <w:r>
        <w:rPr>
          <w:rFonts w:hint="eastAsia" w:ascii="宋体" w:hAnsi="宋体" w:cs="宋体"/>
          <w:color w:val="auto"/>
          <w:sz w:val="24"/>
          <w:highlight w:val="none"/>
        </w:rPr>
        <w:t>数据和结果以及得知的甲方所有资料，否则应向甲方支付违约金</w:t>
      </w:r>
      <w:r>
        <w:rPr>
          <w:rFonts w:hint="eastAsia" w:ascii="宋体" w:hAnsi="宋体" w:cs="宋体"/>
          <w:color w:val="auto"/>
          <w:sz w:val="24"/>
          <w:highlight w:val="none"/>
          <w:u w:val="single"/>
        </w:rPr>
        <w:t>20000</w:t>
      </w:r>
      <w:r>
        <w:rPr>
          <w:rFonts w:hint="eastAsia" w:ascii="宋体" w:hAnsi="宋体" w:cs="宋体"/>
          <w:color w:val="auto"/>
          <w:sz w:val="24"/>
          <w:highlight w:val="none"/>
        </w:rPr>
        <w:t>元并赔偿因此给甲方造成的损失。</w:t>
      </w:r>
    </w:p>
    <w:p w14:paraId="2FF1C8AA">
      <w:pPr>
        <w:pStyle w:val="21"/>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eastAsia="zh-Hans"/>
        </w:rPr>
        <w:t>）</w:t>
      </w:r>
      <w:r>
        <w:rPr>
          <w:rFonts w:hint="eastAsia" w:ascii="宋体" w:hAnsi="宋体" w:cs="宋体"/>
          <w:color w:val="auto"/>
          <w:sz w:val="24"/>
          <w:highlight w:val="none"/>
          <w:lang w:bidi="ar"/>
        </w:rPr>
        <w:t>甲方提供给乙方文件资料之日起三个月</w:t>
      </w:r>
      <w:r>
        <w:rPr>
          <w:rFonts w:hint="eastAsia" w:ascii="宋体" w:hAnsi="宋体" w:cs="宋体"/>
          <w:color w:val="auto"/>
          <w:sz w:val="24"/>
          <w:highlight w:val="none"/>
          <w:lang w:eastAsia="zh-Hans" w:bidi="ar"/>
        </w:rPr>
        <w:t>内</w:t>
      </w:r>
      <w:r>
        <w:rPr>
          <w:rFonts w:hint="eastAsia" w:ascii="宋体" w:hAnsi="宋体" w:cs="宋体"/>
          <w:color w:val="auto"/>
          <w:sz w:val="24"/>
          <w:highlight w:val="none"/>
          <w:lang w:bidi="ar"/>
        </w:rPr>
        <w:t>，</w:t>
      </w:r>
      <w:r>
        <w:rPr>
          <w:rFonts w:hint="eastAsia" w:ascii="宋体" w:hAnsi="宋体" w:cs="宋体"/>
          <w:color w:val="auto"/>
          <w:kern w:val="0"/>
          <w:sz w:val="24"/>
          <w:szCs w:val="24"/>
          <w:highlight w:val="none"/>
        </w:rPr>
        <w:t>因</w:t>
      </w:r>
      <w:r>
        <w:rPr>
          <w:rFonts w:hint="eastAsia" w:ascii="宋体" w:hAnsi="宋体" w:cs="宋体"/>
          <w:color w:val="auto"/>
          <w:sz w:val="24"/>
          <w:szCs w:val="24"/>
          <w:highlight w:val="none"/>
        </w:rPr>
        <w:t>乙方的方案或报告无法通过水行政主管部门审查而无法取得</w:t>
      </w:r>
      <w:r>
        <w:rPr>
          <w:rFonts w:hint="eastAsia" w:ascii="宋体" w:hAnsi="宋体" w:cs="宋体"/>
          <w:color w:val="auto"/>
          <w:sz w:val="24"/>
          <w:szCs w:val="24"/>
          <w:highlight w:val="none"/>
          <w:lang w:val="en-US" w:eastAsia="zh-CN"/>
        </w:rPr>
        <w:t>备案回执</w:t>
      </w:r>
      <w:r>
        <w:rPr>
          <w:rFonts w:hint="eastAsia" w:ascii="宋体" w:hAnsi="宋体" w:cs="宋体"/>
          <w:color w:val="auto"/>
          <w:sz w:val="24"/>
          <w:szCs w:val="24"/>
          <w:highlight w:val="none"/>
        </w:rPr>
        <w:t>时,甲方有权解除合同,乙方应在甲方限定的时间内将已付费用全部返还给甲方。</w:t>
      </w:r>
    </w:p>
    <w:p w14:paraId="33DD5609">
      <w:pPr>
        <w:pStyle w:val="21"/>
        <w:rPr>
          <w:rFonts w:ascii="宋体" w:hAnsi="宋体" w:cs="宋体"/>
          <w:color w:val="auto"/>
          <w:sz w:val="24"/>
          <w:szCs w:val="24"/>
          <w:highlight w:val="none"/>
        </w:rPr>
      </w:pPr>
      <w:r>
        <w:rPr>
          <w:rFonts w:hint="eastAsia" w:ascii="宋体" w:hAnsi="宋体" w:cs="宋体"/>
          <w:color w:val="auto"/>
          <w:sz w:val="24"/>
          <w:highlight w:val="none"/>
          <w:lang w:eastAsia="zh-Hans"/>
        </w:rPr>
        <w:t>9）基于一品河、黄溪河“清水绿岸”治理提升项目（下称“本项目”）的特殊性，甲方就本项目建设做出了较高的承诺且约定了严格的违约责任，为此，乙方同等的对甲方承诺：乙方承担本项目与</w:t>
      </w:r>
      <w:r>
        <w:rPr>
          <w:rFonts w:hint="eastAsia" w:ascii="宋体" w:hAnsi="宋体" w:cs="宋体"/>
          <w:color w:val="auto"/>
          <w:sz w:val="24"/>
          <w:highlight w:val="none"/>
        </w:rPr>
        <w:t>水土保持设施验收服务</w:t>
      </w:r>
      <w:r>
        <w:rPr>
          <w:rFonts w:hint="eastAsia" w:ascii="宋体" w:hAnsi="宋体" w:cs="宋体"/>
          <w:color w:val="auto"/>
          <w:sz w:val="24"/>
          <w:highlight w:val="none"/>
          <w:lang w:eastAsia="zh-Hans"/>
        </w:rPr>
        <w:t>相关责任，政府方基于招标文件、合作协议、项目合同及相应补充协议、文件、附件等对甲方的</w:t>
      </w:r>
      <w:r>
        <w:rPr>
          <w:rFonts w:hint="eastAsia" w:ascii="宋体" w:hAnsi="宋体" w:cs="宋体"/>
          <w:color w:val="auto"/>
          <w:sz w:val="24"/>
          <w:highlight w:val="none"/>
        </w:rPr>
        <w:t>水土保持设施验收</w:t>
      </w:r>
      <w:r>
        <w:rPr>
          <w:rFonts w:hint="eastAsia" w:ascii="宋体" w:hAnsi="宋体" w:cs="宋体"/>
          <w:color w:val="auto"/>
          <w:sz w:val="24"/>
          <w:highlight w:val="none"/>
          <w:lang w:eastAsia="zh-Hans"/>
        </w:rPr>
        <w:t>要求和处罚，无论本合同是否约定，均同样适用于甲方对乙方</w:t>
      </w:r>
      <w:r>
        <w:rPr>
          <w:rFonts w:hint="eastAsia" w:ascii="宋体" w:hAnsi="宋体" w:cs="宋体"/>
          <w:color w:val="auto"/>
          <w:sz w:val="24"/>
          <w:highlight w:val="none"/>
        </w:rPr>
        <w:t>水土保持设施验收服务</w:t>
      </w:r>
      <w:r>
        <w:rPr>
          <w:rFonts w:hint="eastAsia" w:ascii="宋体" w:hAnsi="宋体" w:cs="宋体"/>
          <w:color w:val="auto"/>
          <w:sz w:val="24"/>
          <w:highlight w:val="none"/>
          <w:lang w:eastAsia="zh-Hans"/>
        </w:rPr>
        <w:t>的约束，乙方须承担</w:t>
      </w:r>
      <w:r>
        <w:rPr>
          <w:rFonts w:hint="eastAsia" w:ascii="宋体" w:hAnsi="宋体" w:cs="宋体"/>
          <w:color w:val="auto"/>
          <w:sz w:val="24"/>
          <w:highlight w:val="none"/>
        </w:rPr>
        <w:t>水土保持设施验收</w:t>
      </w:r>
      <w:r>
        <w:rPr>
          <w:rFonts w:hint="eastAsia" w:ascii="宋体" w:hAnsi="宋体" w:cs="宋体"/>
          <w:color w:val="auto"/>
          <w:sz w:val="24"/>
          <w:highlight w:val="none"/>
          <w:lang w:eastAsia="zh-Hans"/>
        </w:rPr>
        <w:t>方面遭致的政府方给予的任何处罚、索赔；乙方将严格按照合同约定履行合同义务，并保证甲方不会因</w:t>
      </w:r>
      <w:r>
        <w:rPr>
          <w:rFonts w:hint="eastAsia" w:ascii="宋体" w:hAnsi="宋体" w:cs="宋体"/>
          <w:color w:val="auto"/>
          <w:sz w:val="24"/>
          <w:highlight w:val="none"/>
        </w:rPr>
        <w:t>水土保持设施验收</w:t>
      </w:r>
      <w:r>
        <w:rPr>
          <w:rFonts w:hint="eastAsia" w:ascii="宋体" w:hAnsi="宋体" w:cs="宋体"/>
          <w:color w:val="auto"/>
          <w:sz w:val="24"/>
          <w:highlight w:val="none"/>
          <w:lang w:eastAsia="zh-Hans"/>
        </w:rPr>
        <w:t>原因而向政府方承担责任或遭受损失或导致甲方可用性付费减少，否则相应给甲方造成的损失、责任均由乙方全部承担。</w:t>
      </w:r>
    </w:p>
    <w:p w14:paraId="5B2D5E41">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9.3.3 双方均应严格履行本合同，由于任何一方使本合同不能履行或不能全部履行，或延迟履行，或履行不符合约定条件时，由过失方承担责任；如属于双方过错，则根据过错大小由双方协商分别承担责任。</w:t>
      </w:r>
    </w:p>
    <w:p w14:paraId="1BF27431">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9.3.4 由于不可抗力的原因导致合同双方不能履行部分或全部责任，有关责任方可以要求免责并提供免责的依据。合同双方应本着友好、合作的原则处理，以最大程度地减少损失。</w:t>
      </w:r>
    </w:p>
    <w:p w14:paraId="2A3AF0BF">
      <w:pPr>
        <w:numPr>
          <w:ilvl w:val="0"/>
          <w:numId w:val="4"/>
        </w:numPr>
        <w:spacing w:line="500" w:lineRule="exact"/>
        <w:ind w:left="0" w:firstLine="0"/>
        <w:outlineLvl w:val="1"/>
        <w:rPr>
          <w:rFonts w:ascii="宋体" w:hAnsi="宋体" w:cs="宋体"/>
          <w:b/>
          <w:color w:val="auto"/>
          <w:sz w:val="24"/>
          <w:highlight w:val="none"/>
          <w:lang w:bidi="ar"/>
        </w:rPr>
      </w:pPr>
      <w:r>
        <w:rPr>
          <w:rFonts w:hint="eastAsia" w:ascii="宋体" w:hAnsi="宋体" w:cs="宋体"/>
          <w:b/>
          <w:color w:val="auto"/>
          <w:sz w:val="24"/>
          <w:highlight w:val="none"/>
          <w:lang w:bidi="ar"/>
        </w:rPr>
        <w:t>验收方式</w:t>
      </w:r>
    </w:p>
    <w:p w14:paraId="314A7597">
      <w:pPr>
        <w:pStyle w:val="33"/>
        <w:spacing w:line="460" w:lineRule="exact"/>
        <w:rPr>
          <w:rFonts w:ascii="宋体" w:hAnsi="宋体" w:eastAsia="宋体" w:cs="宋体"/>
          <w:color w:val="auto"/>
          <w:kern w:val="0"/>
          <w:highlight w:val="none"/>
          <w:u w:val="single"/>
        </w:rPr>
      </w:pPr>
      <w:bookmarkStart w:id="48" w:name="_Toc43709514"/>
      <w:r>
        <w:rPr>
          <w:rFonts w:hint="eastAsia" w:ascii="宋体" w:hAnsi="宋体" w:eastAsia="宋体" w:cs="宋体"/>
          <w:bCs/>
          <w:color w:val="auto"/>
          <w:kern w:val="0"/>
          <w:highlight w:val="none"/>
        </w:rPr>
        <w:t>取得水行政主管部门的</w:t>
      </w:r>
      <w:r>
        <w:rPr>
          <w:rFonts w:hint="eastAsia" w:ascii="宋体" w:hAnsi="宋体" w:eastAsia="宋体" w:cs="宋体"/>
          <w:bCs/>
          <w:color w:val="auto"/>
          <w:kern w:val="0"/>
          <w:highlight w:val="none"/>
          <w:lang w:val="en-US" w:eastAsia="zh-CN"/>
        </w:rPr>
        <w:t>备案回执</w:t>
      </w:r>
      <w:r>
        <w:rPr>
          <w:rFonts w:hint="eastAsia" w:ascii="宋体" w:hAnsi="宋体" w:eastAsia="宋体" w:cs="宋体"/>
          <w:color w:val="auto"/>
          <w:highlight w:val="none"/>
        </w:rPr>
        <w:t>且满足</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提供的关于本项目的所有要求。</w:t>
      </w:r>
    </w:p>
    <w:p w14:paraId="15C7C13B">
      <w:pPr>
        <w:numPr>
          <w:ilvl w:val="0"/>
          <w:numId w:val="4"/>
        </w:numPr>
        <w:spacing w:line="500" w:lineRule="exact"/>
        <w:ind w:left="0" w:firstLine="0"/>
        <w:outlineLvl w:val="1"/>
        <w:rPr>
          <w:rFonts w:ascii="宋体" w:hAnsi="宋体" w:cs="宋体"/>
          <w:b/>
          <w:color w:val="auto"/>
          <w:sz w:val="24"/>
          <w:highlight w:val="none"/>
          <w:lang w:bidi="ar"/>
        </w:rPr>
      </w:pPr>
      <w:r>
        <w:rPr>
          <w:rFonts w:hint="eastAsia" w:ascii="宋体" w:hAnsi="宋体" w:cs="宋体"/>
          <w:b/>
          <w:color w:val="auto"/>
          <w:sz w:val="24"/>
          <w:highlight w:val="none"/>
          <w:lang w:bidi="ar"/>
        </w:rPr>
        <w:t>保密条款</w:t>
      </w:r>
      <w:bookmarkEnd w:id="48"/>
    </w:p>
    <w:p w14:paraId="6CBE62AC">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甲方提供给乙方的资料和数据需履行保密性要求，乙方保证按照要求，不引用、发布或向第三者提供有关的资料和数据。</w:t>
      </w:r>
    </w:p>
    <w:p w14:paraId="2C9BF123">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乙方履行本合同应遵守的保密义务如下：</w:t>
      </w:r>
    </w:p>
    <w:p w14:paraId="1715DC6C">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保密内容（包括技术信息和经营）①涉及本合同的技术文件、资料、经营信息和商业秘密；②本合同技术标的及应用方向；③本技术的销售市场和方向。</w:t>
      </w:r>
    </w:p>
    <w:p w14:paraId="681B0E29">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涉密人员范围：直接或间接涉及本合同技术的有关人；</w:t>
      </w:r>
    </w:p>
    <w:p w14:paraId="024BCBB0">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保密期限：</w:t>
      </w:r>
      <w:r>
        <w:rPr>
          <w:rFonts w:hint="eastAsia" w:ascii="宋体" w:hAnsi="宋体" w:cs="宋体"/>
          <w:color w:val="auto"/>
          <w:sz w:val="24"/>
          <w:highlight w:val="none"/>
          <w:lang w:eastAsia="zh-Hans"/>
        </w:rPr>
        <w:t>自本合同生效之日起至永久</w:t>
      </w:r>
      <w:r>
        <w:rPr>
          <w:rFonts w:hint="eastAsia" w:ascii="宋体" w:hAnsi="宋体" w:cs="宋体"/>
          <w:color w:val="auto"/>
          <w:sz w:val="24"/>
          <w:highlight w:val="none"/>
        </w:rPr>
        <w:t>。</w:t>
      </w:r>
    </w:p>
    <w:p w14:paraId="447F1EB1">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涉密责任：发现泄密隐患和发生泄密事件，立即向公司保密管理部门报告，及时采取补救措施，并协助、配合有关部分进行查处，依照法律法规承担责任。</w:t>
      </w:r>
    </w:p>
    <w:p w14:paraId="07B56235">
      <w:pPr>
        <w:numPr>
          <w:ilvl w:val="0"/>
          <w:numId w:val="4"/>
        </w:numPr>
        <w:spacing w:line="500" w:lineRule="exact"/>
        <w:ind w:left="0" w:firstLine="0"/>
        <w:outlineLvl w:val="1"/>
        <w:rPr>
          <w:rFonts w:ascii="宋体" w:hAnsi="宋体" w:cs="宋体"/>
          <w:b/>
          <w:color w:val="auto"/>
          <w:sz w:val="24"/>
          <w:highlight w:val="none"/>
          <w:lang w:bidi="ar"/>
        </w:rPr>
      </w:pPr>
      <w:bookmarkStart w:id="49" w:name="_Toc43709515"/>
      <w:r>
        <w:rPr>
          <w:rFonts w:hint="eastAsia" w:ascii="宋体" w:hAnsi="宋体" w:cs="宋体"/>
          <w:b/>
          <w:color w:val="auto"/>
          <w:sz w:val="24"/>
          <w:highlight w:val="none"/>
          <w:lang w:bidi="ar"/>
        </w:rPr>
        <w:t>知识产权的归属和分享</w:t>
      </w:r>
      <w:bookmarkEnd w:id="49"/>
    </w:p>
    <w:p w14:paraId="02FFB6E7">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12.1签约方保证本合同涉及的全部技术内容具有自主性和真实性，并不因为本合同的履行而侵犯他人的合法权益；</w:t>
      </w:r>
    </w:p>
    <w:p w14:paraId="147CC93F">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12.2履行本合同产生的技术成果申请专利的权利归甲方所有；</w:t>
      </w:r>
    </w:p>
    <w:p w14:paraId="44DC2358">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12.3履行本合同产生的技术秘密成果使用权归甲方所有；</w:t>
      </w:r>
    </w:p>
    <w:p w14:paraId="16CA6BF6">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12.4履行本合同产生的技术秘密成果转让权归甲方所有；</w:t>
      </w:r>
    </w:p>
    <w:p w14:paraId="1D4B3570">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本合同有效期内，甲方利用乙方提交的技术服务工作成果完成的技术成果归双方所有。乙方不得擅自修改、复制或向第三人转让或用于本合同外的项目，否则，视为乙方违约，乙方承担相应责任。</w:t>
      </w:r>
    </w:p>
    <w:p w14:paraId="4B95BC35">
      <w:pPr>
        <w:numPr>
          <w:ilvl w:val="0"/>
          <w:numId w:val="4"/>
        </w:numPr>
        <w:spacing w:line="500" w:lineRule="exact"/>
        <w:ind w:left="0" w:firstLine="0"/>
        <w:outlineLvl w:val="1"/>
        <w:rPr>
          <w:rFonts w:ascii="宋体" w:hAnsi="宋体" w:cs="宋体"/>
          <w:b/>
          <w:color w:val="auto"/>
          <w:sz w:val="24"/>
          <w:highlight w:val="none"/>
          <w:lang w:bidi="ar"/>
        </w:rPr>
      </w:pPr>
      <w:bookmarkStart w:id="50" w:name="_Toc43709516"/>
      <w:r>
        <w:rPr>
          <w:rFonts w:hint="eastAsia" w:ascii="宋体" w:hAnsi="宋体" w:cs="宋体"/>
          <w:b/>
          <w:color w:val="auto"/>
          <w:sz w:val="24"/>
          <w:highlight w:val="none"/>
          <w:lang w:bidi="ar"/>
        </w:rPr>
        <w:t>风险承担</w:t>
      </w:r>
      <w:bookmarkEnd w:id="50"/>
    </w:p>
    <w:p w14:paraId="4FBA5FEB">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本合同履行过程中，因现有技术水平和客观条件下难以克服的技术困难造成的损失，风险按如下约定承担：由甲乙双方合理分担，合同分担不等于平均分担，因不可抗力因素造成的损失，双方按如下约定承担：如因甲乙双方不能预见，不能避免和不能克服的自然因素或自然因素引起的不可抗力（不可抗力是指合同签订后所发生的当事人不可预见、不能控制的，且当事人用合法手段不能防止发生的时间或情况，包括政治不可抗力、地震、海啸、龙卷风、台风、飓风、大范围或者全国性流行性疾病等，但不包括劳力、材料及航运短缺。为避免疑问，恶的天气情况不包括在不可抗力定义的范围之内）导致任何一方不能履行或不能全面履行合同义务，遭受不可抗力不能履行合同义务的一方，应在不可抗力时间出现10日内通知另一方，并出具不可抗力证明文件。风险责任划分及费用问题由双方协商处理。</w:t>
      </w:r>
    </w:p>
    <w:p w14:paraId="060F59AA">
      <w:pPr>
        <w:numPr>
          <w:ilvl w:val="0"/>
          <w:numId w:val="4"/>
        </w:numPr>
        <w:spacing w:line="500" w:lineRule="exact"/>
        <w:ind w:left="0" w:firstLine="0"/>
        <w:outlineLvl w:val="1"/>
        <w:rPr>
          <w:rFonts w:ascii="宋体" w:hAnsi="宋体" w:cs="宋体"/>
          <w:b/>
          <w:color w:val="auto"/>
          <w:sz w:val="24"/>
          <w:highlight w:val="none"/>
          <w:lang w:bidi="ar"/>
        </w:rPr>
      </w:pPr>
      <w:bookmarkStart w:id="51" w:name="_Toc43709517"/>
      <w:r>
        <w:rPr>
          <w:rFonts w:hint="eastAsia" w:ascii="宋体" w:hAnsi="宋体" w:cs="宋体"/>
          <w:b/>
          <w:color w:val="auto"/>
          <w:sz w:val="24"/>
          <w:highlight w:val="none"/>
          <w:lang w:bidi="ar"/>
        </w:rPr>
        <w:t>合同解除</w:t>
      </w:r>
      <w:bookmarkEnd w:id="51"/>
    </w:p>
    <w:p w14:paraId="35FEB2B7">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双方可协商解除并签订书面解除协议。</w:t>
      </w:r>
      <w:r>
        <w:rPr>
          <w:rFonts w:hint="eastAsia" w:ascii="宋体" w:hAnsi="宋体" w:cs="宋体"/>
          <w:color w:val="auto"/>
          <w:sz w:val="24"/>
          <w:highlight w:val="none"/>
        </w:rPr>
        <w:t>有下列情形出现，视为合同解除：</w:t>
      </w:r>
    </w:p>
    <w:p w14:paraId="06CD5215">
      <w:pPr>
        <w:tabs>
          <w:tab w:val="left" w:pos="0"/>
          <w:tab w:val="left" w:pos="1134"/>
          <w:tab w:val="left" w:pos="7200"/>
          <w:tab w:val="left" w:pos="8505"/>
        </w:tabs>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14.1.发生不可抗力</w:t>
      </w:r>
      <w:r>
        <w:rPr>
          <w:rFonts w:hint="eastAsia" w:ascii="宋体" w:hAnsi="宋体" w:cs="宋体"/>
          <w:color w:val="auto"/>
          <w:sz w:val="24"/>
          <w:highlight w:val="none"/>
          <w:lang w:eastAsia="zh-CN"/>
        </w:rPr>
        <w:t>；</w:t>
      </w:r>
    </w:p>
    <w:p w14:paraId="7CCF48B8">
      <w:pPr>
        <w:tabs>
          <w:tab w:val="left" w:pos="0"/>
          <w:tab w:val="left" w:pos="1134"/>
          <w:tab w:val="left" w:pos="7200"/>
          <w:tab w:val="left" w:pos="8505"/>
        </w:tabs>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14.2.标的技术及与之相关的技术已经公开，使本合同的履行已没有意义或没有必要</w:t>
      </w:r>
      <w:r>
        <w:rPr>
          <w:rFonts w:hint="eastAsia" w:ascii="宋体" w:hAnsi="宋体" w:cs="宋体"/>
          <w:color w:val="auto"/>
          <w:sz w:val="24"/>
          <w:highlight w:val="none"/>
          <w:lang w:eastAsia="zh-CN"/>
        </w:rPr>
        <w:t>；</w:t>
      </w:r>
    </w:p>
    <w:p w14:paraId="56F89428">
      <w:pPr>
        <w:tabs>
          <w:tab w:val="left" w:pos="0"/>
          <w:tab w:val="left" w:pos="1134"/>
          <w:tab w:val="left" w:pos="7200"/>
          <w:tab w:val="left" w:pos="8505"/>
        </w:tabs>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14.3政策变化；</w:t>
      </w:r>
    </w:p>
    <w:p w14:paraId="36629B46">
      <w:pPr>
        <w:tabs>
          <w:tab w:val="left" w:pos="0"/>
          <w:tab w:val="left" w:pos="1134"/>
          <w:tab w:val="left" w:pos="7200"/>
          <w:tab w:val="left" w:pos="8505"/>
        </w:tabs>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14.4工程项目条件发生重大变化。</w:t>
      </w:r>
    </w:p>
    <w:p w14:paraId="0D840D21">
      <w:pPr>
        <w:tabs>
          <w:tab w:val="left" w:pos="0"/>
          <w:tab w:val="left" w:pos="1134"/>
          <w:tab w:val="left" w:pos="7200"/>
          <w:tab w:val="left" w:pos="8505"/>
        </w:tabs>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在合同履行过程中，甲方有权提前解除本合同，无需向乙方进行赔偿或补偿，双方同意按照经甲方书面认可的乙方实际完成的工作量据实结算咨询服务费用。</w:t>
      </w:r>
    </w:p>
    <w:p w14:paraId="052E7ADB">
      <w:pPr>
        <w:numPr>
          <w:ilvl w:val="0"/>
          <w:numId w:val="4"/>
        </w:numPr>
        <w:spacing w:line="500" w:lineRule="exact"/>
        <w:ind w:left="0" w:firstLine="0"/>
        <w:outlineLvl w:val="1"/>
        <w:rPr>
          <w:rFonts w:ascii="宋体" w:hAnsi="宋体" w:cs="宋体"/>
          <w:b/>
          <w:color w:val="auto"/>
          <w:sz w:val="24"/>
          <w:highlight w:val="none"/>
          <w:lang w:bidi="ar"/>
        </w:rPr>
      </w:pPr>
      <w:bookmarkStart w:id="52" w:name="_Toc43709518"/>
      <w:r>
        <w:rPr>
          <w:rFonts w:hint="eastAsia" w:ascii="宋体" w:hAnsi="宋体" w:cs="宋体"/>
          <w:b/>
          <w:color w:val="auto"/>
          <w:sz w:val="24"/>
          <w:highlight w:val="none"/>
          <w:lang w:bidi="ar"/>
        </w:rPr>
        <w:t>争议的解决办法</w:t>
      </w:r>
      <w:bookmarkEnd w:id="52"/>
    </w:p>
    <w:p w14:paraId="0BB0C97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在本合同履行过程中发生争议，双方应当协调解决。</w:t>
      </w:r>
    </w:p>
    <w:p w14:paraId="29BDBB55">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不愿协商或者协商不成的，向项目所在地具有管辖权的法院提起诉讼。</w:t>
      </w:r>
    </w:p>
    <w:p w14:paraId="5B61E9D5">
      <w:pPr>
        <w:numPr>
          <w:ilvl w:val="0"/>
          <w:numId w:val="4"/>
        </w:numPr>
        <w:spacing w:line="500" w:lineRule="exact"/>
        <w:ind w:left="0" w:firstLine="0"/>
        <w:outlineLvl w:val="1"/>
        <w:rPr>
          <w:rFonts w:ascii="宋体" w:hAnsi="宋体" w:cs="宋体"/>
          <w:b/>
          <w:color w:val="auto"/>
          <w:sz w:val="24"/>
          <w:highlight w:val="none"/>
          <w:lang w:bidi="ar"/>
        </w:rPr>
      </w:pPr>
      <w:bookmarkStart w:id="53" w:name="_Toc43709519"/>
      <w:r>
        <w:rPr>
          <w:rFonts w:hint="eastAsia" w:ascii="宋体" w:hAnsi="宋体" w:cs="宋体"/>
          <w:b/>
          <w:color w:val="auto"/>
          <w:sz w:val="24"/>
          <w:highlight w:val="none"/>
          <w:lang w:bidi="ar"/>
        </w:rPr>
        <w:t>适用法律</w:t>
      </w:r>
      <w:bookmarkEnd w:id="53"/>
    </w:p>
    <w:p w14:paraId="46D5B02C">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合同适用法律为中华人民共和国现行法律和法规、规章及条例，以及重庆市现行规定和条例等。</w:t>
      </w:r>
    </w:p>
    <w:p w14:paraId="33CF184E">
      <w:pPr>
        <w:numPr>
          <w:ilvl w:val="0"/>
          <w:numId w:val="4"/>
        </w:numPr>
        <w:spacing w:line="500" w:lineRule="exact"/>
        <w:ind w:left="0" w:firstLine="0"/>
        <w:outlineLvl w:val="1"/>
        <w:rPr>
          <w:rFonts w:ascii="宋体" w:hAnsi="宋体" w:cs="宋体"/>
          <w:b/>
          <w:color w:val="auto"/>
          <w:sz w:val="24"/>
          <w:highlight w:val="none"/>
          <w:lang w:bidi="ar"/>
        </w:rPr>
      </w:pPr>
      <w:bookmarkStart w:id="54" w:name="_Toc43709520"/>
      <w:r>
        <w:rPr>
          <w:rFonts w:hint="eastAsia" w:ascii="宋体" w:hAnsi="宋体" w:cs="宋体"/>
          <w:b/>
          <w:color w:val="auto"/>
          <w:sz w:val="24"/>
          <w:highlight w:val="none"/>
          <w:lang w:bidi="ar"/>
        </w:rPr>
        <w:t>其他</w:t>
      </w:r>
      <w:bookmarkEnd w:id="54"/>
    </w:p>
    <w:p w14:paraId="42F92679">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本合同未尽事宜，双方另行协商确定。</w:t>
      </w:r>
    </w:p>
    <w:p w14:paraId="3E0A3976">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除甲方事先书面同意外，乙方不得自行转让其应履行的合同项下的责任和义务。</w:t>
      </w:r>
    </w:p>
    <w:p w14:paraId="3C368330">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17.3 乙方管辖范围内的固定资产不得挪作它用，如有特殊情况，应报甲方审批。</w:t>
      </w:r>
    </w:p>
    <w:p w14:paraId="22A090E2">
      <w:pPr>
        <w:tabs>
          <w:tab w:val="left" w:pos="0"/>
          <w:tab w:val="left" w:pos="1134"/>
          <w:tab w:val="left" w:pos="7200"/>
          <w:tab w:val="left" w:pos="8505"/>
        </w:tabs>
        <w:spacing w:line="360" w:lineRule="auto"/>
        <w:ind w:firstLine="480" w:firstLineChars="200"/>
        <w:rPr>
          <w:rFonts w:ascii="宋体" w:hAnsi="宋体" w:cs="宋体"/>
          <w:color w:val="auto"/>
          <w:sz w:val="24"/>
          <w:highlight w:val="none"/>
          <w:lang w:eastAsia="zh-Hans"/>
        </w:rPr>
      </w:pPr>
      <w:r>
        <w:rPr>
          <w:rFonts w:hint="eastAsia" w:ascii="宋体" w:hAnsi="宋体" w:cs="宋体"/>
          <w:color w:val="auto"/>
          <w:sz w:val="24"/>
          <w:highlight w:val="none"/>
        </w:rPr>
        <w:t xml:space="preserve">17.4 </w:t>
      </w:r>
      <w:r>
        <w:rPr>
          <w:rFonts w:hint="eastAsia" w:ascii="宋体" w:hAnsi="宋体" w:cs="宋体"/>
          <w:color w:val="auto"/>
          <w:sz w:val="24"/>
          <w:highlight w:val="none"/>
          <w:lang w:eastAsia="zh-Hans"/>
        </w:rPr>
        <w:t>甲方</w:t>
      </w:r>
      <w:r>
        <w:rPr>
          <w:rFonts w:hint="eastAsia" w:ascii="宋体" w:hAnsi="宋体" w:cs="宋体"/>
          <w:color w:val="auto"/>
          <w:sz w:val="24"/>
          <w:highlight w:val="none"/>
        </w:rPr>
        <w:t>有权提前</w:t>
      </w:r>
      <w:r>
        <w:rPr>
          <w:rFonts w:hint="eastAsia" w:ascii="宋体" w:hAnsi="宋体" w:cs="宋体"/>
          <w:color w:val="auto"/>
          <w:sz w:val="24"/>
          <w:highlight w:val="none"/>
          <w:lang w:eastAsia="zh-Hans"/>
        </w:rPr>
        <w:t>解除本合同，双方按照乙方实际完成的工作量据实结算咨询服务费用。</w:t>
      </w:r>
    </w:p>
    <w:p w14:paraId="407B1506">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17.5 合同履行过程中，若双方发生争议，应本着平等互利、互谅互让的原则协商解决，分歧仍得不到解决时，向项目所在地具有管辖权的法院提起诉讼。</w:t>
      </w:r>
    </w:p>
    <w:p w14:paraId="2826FD9F">
      <w:pPr>
        <w:tabs>
          <w:tab w:val="left" w:pos="0"/>
          <w:tab w:val="left" w:pos="1134"/>
          <w:tab w:val="left" w:pos="7200"/>
          <w:tab w:val="left" w:pos="85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17.6 本合同经</w:t>
      </w:r>
      <w:r>
        <w:rPr>
          <w:rFonts w:hint="eastAsia" w:ascii="宋体" w:hAnsi="宋体" w:cs="宋体"/>
          <w:color w:val="auto"/>
          <w:sz w:val="24"/>
          <w:highlight w:val="none"/>
          <w:lang w:eastAsia="zh-Hans"/>
        </w:rPr>
        <w:t>双方</w:t>
      </w:r>
      <w:r>
        <w:rPr>
          <w:rFonts w:hint="eastAsia" w:ascii="宋体" w:hAnsi="宋体" w:cs="宋体"/>
          <w:color w:val="auto"/>
          <w:sz w:val="24"/>
          <w:highlight w:val="none"/>
        </w:rPr>
        <w:t>法</w:t>
      </w:r>
      <w:r>
        <w:rPr>
          <w:rFonts w:hint="eastAsia" w:ascii="宋体" w:hAnsi="宋体" w:cs="宋体"/>
          <w:color w:val="auto"/>
          <w:sz w:val="24"/>
          <w:highlight w:val="none"/>
          <w:lang w:eastAsia="zh-Hans"/>
        </w:rPr>
        <w:t>定代表</w:t>
      </w:r>
      <w:r>
        <w:rPr>
          <w:rFonts w:hint="eastAsia" w:ascii="宋体" w:hAnsi="宋体" w:cs="宋体"/>
          <w:color w:val="auto"/>
          <w:sz w:val="24"/>
          <w:highlight w:val="none"/>
        </w:rPr>
        <w:t>人或授权代表签字</w:t>
      </w:r>
      <w:r>
        <w:rPr>
          <w:rFonts w:hint="eastAsia" w:ascii="宋体" w:hAnsi="宋体" w:cs="宋体"/>
          <w:color w:val="auto"/>
          <w:sz w:val="24"/>
          <w:highlight w:val="none"/>
          <w:lang w:eastAsia="zh-Hans"/>
        </w:rPr>
        <w:t>并加</w:t>
      </w:r>
      <w:r>
        <w:rPr>
          <w:rFonts w:hint="eastAsia" w:ascii="宋体" w:hAnsi="宋体" w:cs="宋体"/>
          <w:color w:val="auto"/>
          <w:sz w:val="24"/>
          <w:highlight w:val="none"/>
        </w:rPr>
        <w:t>盖</w:t>
      </w:r>
      <w:r>
        <w:rPr>
          <w:rFonts w:hint="eastAsia" w:ascii="宋体" w:hAnsi="宋体" w:cs="宋体"/>
          <w:color w:val="auto"/>
          <w:sz w:val="24"/>
          <w:highlight w:val="none"/>
          <w:lang w:eastAsia="zh-Hans"/>
        </w:rPr>
        <w:t>公</w:t>
      </w:r>
      <w:r>
        <w:rPr>
          <w:rFonts w:hint="eastAsia" w:ascii="宋体" w:hAnsi="宋体" w:cs="宋体"/>
          <w:color w:val="auto"/>
          <w:sz w:val="24"/>
          <w:highlight w:val="none"/>
        </w:rPr>
        <w:t>章后生效，本合同规定的双方责任和义务履行完毕后自动失效。</w:t>
      </w:r>
    </w:p>
    <w:p w14:paraId="69405D8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 xml:space="preserve">17.7 </w:t>
      </w:r>
      <w:r>
        <w:rPr>
          <w:rFonts w:hint="eastAsia" w:ascii="宋体" w:hAnsi="宋体" w:cs="宋体"/>
          <w:color w:val="auto"/>
          <w:sz w:val="24"/>
          <w:szCs w:val="24"/>
          <w:highlight w:val="none"/>
        </w:rPr>
        <w:t>双方约定合同一式</w:t>
      </w:r>
      <w:r>
        <w:rPr>
          <w:rFonts w:hint="eastAsia" w:ascii="宋体" w:hAnsi="宋体" w:cs="宋体"/>
          <w:color w:val="auto"/>
          <w:sz w:val="24"/>
          <w:szCs w:val="24"/>
          <w:highlight w:val="none"/>
          <w:u w:val="single"/>
        </w:rPr>
        <w:t xml:space="preserve"> 陆 </w:t>
      </w:r>
      <w:r>
        <w:rPr>
          <w:rFonts w:hint="eastAsia" w:ascii="宋体" w:hAnsi="宋体" w:cs="宋体"/>
          <w:color w:val="auto"/>
          <w:sz w:val="24"/>
          <w:szCs w:val="24"/>
          <w:highlight w:val="none"/>
        </w:rPr>
        <w:t>份，甲方执</w:t>
      </w:r>
      <w:r>
        <w:rPr>
          <w:rFonts w:hint="eastAsia" w:ascii="宋体" w:hAnsi="宋体" w:cs="宋体"/>
          <w:color w:val="auto"/>
          <w:sz w:val="24"/>
          <w:szCs w:val="24"/>
          <w:highlight w:val="none"/>
          <w:u w:val="single"/>
        </w:rPr>
        <w:t xml:space="preserve"> 肆 </w:t>
      </w:r>
      <w:r>
        <w:rPr>
          <w:rFonts w:hint="eastAsia" w:ascii="宋体" w:hAnsi="宋体" w:cs="宋体"/>
          <w:color w:val="auto"/>
          <w:sz w:val="24"/>
          <w:szCs w:val="24"/>
          <w:highlight w:val="none"/>
        </w:rPr>
        <w:t>份</w:t>
      </w:r>
      <w:r>
        <w:rPr>
          <w:rFonts w:hint="eastAsia" w:ascii="宋体" w:hAnsi="宋体" w:cs="宋体"/>
          <w:color w:val="auto"/>
          <w:sz w:val="24"/>
          <w:szCs w:val="24"/>
          <w:highlight w:val="none"/>
          <w:lang w:eastAsia="zh-Hans"/>
        </w:rPr>
        <w:t>，</w:t>
      </w:r>
      <w:r>
        <w:rPr>
          <w:rFonts w:hint="eastAsia" w:ascii="宋体" w:hAnsi="宋体" w:cs="宋体"/>
          <w:color w:val="auto"/>
          <w:sz w:val="24"/>
          <w:szCs w:val="24"/>
          <w:highlight w:val="none"/>
        </w:rPr>
        <w:t>乙方执</w:t>
      </w:r>
      <w:r>
        <w:rPr>
          <w:rFonts w:hint="eastAsia" w:ascii="宋体" w:hAnsi="宋体" w:cs="宋体"/>
          <w:color w:val="auto"/>
          <w:sz w:val="24"/>
          <w:szCs w:val="24"/>
          <w:highlight w:val="none"/>
          <w:u w:val="single"/>
        </w:rPr>
        <w:t xml:space="preserve"> 贰 </w:t>
      </w:r>
      <w:r>
        <w:rPr>
          <w:rFonts w:hint="eastAsia" w:ascii="宋体" w:hAnsi="宋体" w:cs="宋体"/>
          <w:color w:val="auto"/>
          <w:sz w:val="24"/>
          <w:szCs w:val="24"/>
          <w:highlight w:val="none"/>
        </w:rPr>
        <w:t>份</w:t>
      </w:r>
      <w:r>
        <w:rPr>
          <w:rFonts w:hint="eastAsia" w:ascii="宋体" w:hAnsi="宋体" w:cs="宋体"/>
          <w:color w:val="auto"/>
          <w:sz w:val="24"/>
          <w:szCs w:val="24"/>
          <w:highlight w:val="none"/>
          <w:lang w:eastAsia="zh-Hans"/>
        </w:rPr>
        <w:t>，具有同等法律效力</w:t>
      </w:r>
      <w:r>
        <w:rPr>
          <w:rFonts w:hint="eastAsia" w:ascii="宋体" w:hAnsi="宋体" w:cs="宋体"/>
          <w:color w:val="auto"/>
          <w:sz w:val="24"/>
          <w:szCs w:val="24"/>
          <w:highlight w:val="none"/>
        </w:rPr>
        <w:t>。</w:t>
      </w:r>
    </w:p>
    <w:p w14:paraId="28143DDF">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第十八条  通知与送达</w:t>
      </w:r>
    </w:p>
    <w:p w14:paraId="3D9516A8">
      <w:pPr>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bCs/>
          <w:color w:val="auto"/>
          <w:sz w:val="24"/>
          <w:szCs w:val="24"/>
          <w:highlight w:val="none"/>
        </w:rPr>
        <w:t>甲方：</w:t>
      </w:r>
      <w:r>
        <w:rPr>
          <w:rFonts w:hint="eastAsia" w:ascii="宋体" w:hAnsi="宋体" w:cs="宋体"/>
          <w:color w:val="auto"/>
          <w:sz w:val="24"/>
          <w:szCs w:val="24"/>
          <w:highlight w:val="none"/>
          <w:u w:val="single"/>
        </w:rPr>
        <w:t>重庆德润壹品环境治理有限公司</w:t>
      </w:r>
    </w:p>
    <w:p w14:paraId="634B037B">
      <w:pPr>
        <w:widowControl/>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bCs/>
          <w:color w:val="auto"/>
          <w:sz w:val="24"/>
          <w:szCs w:val="24"/>
          <w:highlight w:val="none"/>
        </w:rPr>
        <w:t>通讯地址：</w:t>
      </w:r>
      <w:r>
        <w:rPr>
          <w:rFonts w:hint="eastAsia" w:ascii="宋体" w:hAnsi="宋体" w:cs="宋体"/>
          <w:color w:val="auto"/>
          <w:kern w:val="0"/>
          <w:sz w:val="24"/>
          <w:szCs w:val="24"/>
          <w:highlight w:val="none"/>
          <w:u w:val="single"/>
        </w:rPr>
        <w:t>重庆市巴南区渝南大道298号 1幢15-8,15-9,15-10</w:t>
      </w:r>
    </w:p>
    <w:p w14:paraId="26DE4832">
      <w:pPr>
        <w:spacing w:line="360" w:lineRule="auto"/>
        <w:ind w:firstLine="480" w:firstLineChars="200"/>
        <w:rPr>
          <w:rFonts w:ascii="宋体" w:hAnsi="宋体" w:cs="宋体"/>
          <w:bCs/>
          <w:color w:val="auto"/>
          <w:sz w:val="24"/>
          <w:szCs w:val="24"/>
          <w:highlight w:val="none"/>
          <w:u w:val="single"/>
        </w:rPr>
      </w:pPr>
      <w:r>
        <w:rPr>
          <w:rFonts w:hint="eastAsia" w:ascii="宋体" w:hAnsi="宋体" w:cs="宋体"/>
          <w:bCs/>
          <w:color w:val="auto"/>
          <w:sz w:val="24"/>
          <w:szCs w:val="24"/>
          <w:highlight w:val="none"/>
        </w:rPr>
        <w:t>联系人：</w:t>
      </w:r>
    </w:p>
    <w:p w14:paraId="77BB62E3">
      <w:pPr>
        <w:pStyle w:val="21"/>
        <w:ind w:firstLine="480" w:firstLineChars="200"/>
        <w:rPr>
          <w:rFonts w:ascii="宋体" w:hAnsi="宋体" w:cs="宋体"/>
          <w:bCs/>
          <w:color w:val="auto"/>
          <w:sz w:val="24"/>
          <w:szCs w:val="24"/>
          <w:highlight w:val="none"/>
          <w:u w:val="single"/>
        </w:rPr>
      </w:pPr>
      <w:r>
        <w:rPr>
          <w:rFonts w:hint="eastAsia" w:ascii="宋体" w:hAnsi="宋体" w:cs="宋体"/>
          <w:bCs/>
          <w:color w:val="auto"/>
          <w:sz w:val="24"/>
          <w:szCs w:val="24"/>
          <w:highlight w:val="none"/>
        </w:rPr>
        <w:t>电话：</w:t>
      </w:r>
    </w:p>
    <w:p w14:paraId="24DA123D">
      <w:pPr>
        <w:spacing w:line="360" w:lineRule="auto"/>
        <w:ind w:firstLine="480" w:firstLineChars="200"/>
        <w:jc w:val="left"/>
        <w:rPr>
          <w:rFonts w:ascii="宋体" w:hAnsi="宋体" w:cs="宋体"/>
          <w:bCs/>
          <w:color w:val="auto"/>
          <w:sz w:val="24"/>
          <w:szCs w:val="24"/>
          <w:highlight w:val="none"/>
        </w:rPr>
      </w:pPr>
    </w:p>
    <w:p w14:paraId="763306C4">
      <w:pPr>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bCs/>
          <w:color w:val="auto"/>
          <w:sz w:val="24"/>
          <w:szCs w:val="24"/>
          <w:highlight w:val="none"/>
        </w:rPr>
        <w:t>乙方：</w:t>
      </w:r>
    </w:p>
    <w:p w14:paraId="4B55C47E">
      <w:pPr>
        <w:widowControl/>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bCs/>
          <w:color w:val="auto"/>
          <w:sz w:val="24"/>
          <w:szCs w:val="24"/>
          <w:highlight w:val="none"/>
        </w:rPr>
        <w:t>通讯地址：</w:t>
      </w:r>
    </w:p>
    <w:p w14:paraId="46F54AC0">
      <w:pPr>
        <w:spacing w:line="360" w:lineRule="auto"/>
        <w:ind w:firstLine="480" w:firstLineChars="200"/>
        <w:rPr>
          <w:rFonts w:ascii="宋体" w:hAnsi="宋体" w:cs="宋体"/>
          <w:bCs/>
          <w:color w:val="auto"/>
          <w:sz w:val="24"/>
          <w:szCs w:val="24"/>
          <w:highlight w:val="none"/>
          <w:u w:val="single"/>
        </w:rPr>
      </w:pPr>
      <w:r>
        <w:rPr>
          <w:rFonts w:hint="eastAsia" w:ascii="宋体" w:hAnsi="宋体" w:cs="宋体"/>
          <w:bCs/>
          <w:color w:val="auto"/>
          <w:sz w:val="24"/>
          <w:szCs w:val="24"/>
          <w:highlight w:val="none"/>
        </w:rPr>
        <w:t>联系人：</w:t>
      </w:r>
    </w:p>
    <w:p w14:paraId="4FEE0482">
      <w:pPr>
        <w:pStyle w:val="21"/>
        <w:ind w:firstLine="480" w:firstLineChars="200"/>
        <w:rPr>
          <w:rFonts w:ascii="宋体" w:hAnsi="宋体" w:cs="宋体"/>
          <w:color w:val="auto"/>
          <w:highlight w:val="none"/>
        </w:rPr>
      </w:pPr>
      <w:r>
        <w:rPr>
          <w:rFonts w:hint="eastAsia" w:ascii="宋体" w:hAnsi="宋体" w:cs="宋体"/>
          <w:bCs/>
          <w:color w:val="auto"/>
          <w:sz w:val="24"/>
          <w:szCs w:val="24"/>
          <w:highlight w:val="none"/>
        </w:rPr>
        <w:t>电话：</w:t>
      </w:r>
    </w:p>
    <w:bookmarkEnd w:id="45"/>
    <w:p w14:paraId="63C096AA">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合同一方或任何第三方根据本合同发给另一方的任何通知，包括批准、证明、确定、请求及各类诉讼、仲裁文书等，均可向上述地址送达。按照约定地址寄送的，寄出之日起两日即视为送达。受送达人拒收或他人代收的，不影响送达的效力。如任何一方变更送达地址的，需在变更前十日以书面形式通知另一方。未予书面通知的，按照原约定送达地址送达的，仍视为有效送达。</w:t>
      </w:r>
    </w:p>
    <w:p w14:paraId="5AE4C81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（以下无正文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为合同签章处</w:t>
      </w:r>
      <w:r>
        <w:rPr>
          <w:rFonts w:hint="eastAsia" w:ascii="宋体" w:hAnsi="宋体" w:cs="宋体"/>
          <w:color w:val="auto"/>
          <w:sz w:val="24"/>
          <w:szCs w:val="24"/>
          <w:highlight w:val="none"/>
        </w:rPr>
        <w:t>）</w:t>
      </w:r>
    </w:p>
    <w:p w14:paraId="4A83BA5F">
      <w:pPr>
        <w:pStyle w:val="18"/>
        <w:widowControl w:val="0"/>
        <w:snapToGrid w:val="0"/>
        <w:spacing w:before="0" w:beforeAutospacing="0" w:after="0" w:afterAutospacing="0"/>
        <w:jc w:val="both"/>
        <w:rPr>
          <w:rFonts w:cs="宋体"/>
          <w:color w:val="auto"/>
          <w:kern w:val="2"/>
          <w:highlight w:val="none"/>
          <w:lang w:bidi="ar"/>
        </w:rPr>
      </w:pPr>
    </w:p>
    <w:p w14:paraId="0CCC17C8">
      <w:pPr>
        <w:pStyle w:val="18"/>
        <w:widowControl w:val="0"/>
        <w:snapToGrid w:val="0"/>
        <w:spacing w:before="0" w:beforeAutospacing="0" w:after="0" w:afterAutospacing="0"/>
        <w:jc w:val="both"/>
        <w:rPr>
          <w:rFonts w:cs="宋体"/>
          <w:color w:val="auto"/>
          <w:kern w:val="2"/>
          <w:highlight w:val="none"/>
          <w:lang w:bidi="ar"/>
        </w:rPr>
      </w:pPr>
      <w:r>
        <w:rPr>
          <w:rFonts w:hint="eastAsia" w:cs="宋体"/>
          <w:color w:val="auto"/>
          <w:kern w:val="2"/>
          <w:highlight w:val="none"/>
          <w:lang w:bidi="ar"/>
        </w:rPr>
        <w:t>甲方：                                      乙方：</w:t>
      </w:r>
    </w:p>
    <w:p w14:paraId="4EADBDC5">
      <w:pPr>
        <w:pStyle w:val="18"/>
        <w:widowControl w:val="0"/>
        <w:snapToGrid w:val="0"/>
        <w:spacing w:before="0" w:beforeAutospacing="0" w:after="0" w:afterAutospacing="0"/>
        <w:ind w:firstLine="720" w:firstLineChars="300"/>
        <w:jc w:val="both"/>
        <w:rPr>
          <w:rFonts w:cs="宋体"/>
          <w:color w:val="auto"/>
          <w:kern w:val="2"/>
          <w:highlight w:val="none"/>
          <w:lang w:bidi="ar"/>
        </w:rPr>
      </w:pPr>
    </w:p>
    <w:p w14:paraId="57D4D233">
      <w:pPr>
        <w:pStyle w:val="18"/>
        <w:widowControl w:val="0"/>
        <w:snapToGrid w:val="0"/>
        <w:spacing w:before="0" w:beforeAutospacing="0" w:after="0" w:afterAutospacing="0"/>
        <w:ind w:firstLine="720" w:firstLineChars="300"/>
        <w:jc w:val="both"/>
        <w:rPr>
          <w:rFonts w:cs="宋体"/>
          <w:color w:val="auto"/>
          <w:kern w:val="2"/>
          <w:highlight w:val="none"/>
          <w:lang w:bidi="ar"/>
        </w:rPr>
      </w:pPr>
      <w:r>
        <w:rPr>
          <w:rFonts w:hint="eastAsia" w:cs="宋体"/>
          <w:color w:val="auto"/>
          <w:kern w:val="2"/>
          <w:highlight w:val="none"/>
          <w:lang w:bidi="ar"/>
        </w:rPr>
        <w:t>（盖单位公章）                            （盖单位公章）</w:t>
      </w:r>
    </w:p>
    <w:p w14:paraId="3EC5A428">
      <w:pPr>
        <w:pStyle w:val="18"/>
        <w:widowControl w:val="0"/>
        <w:snapToGrid w:val="0"/>
        <w:spacing w:before="0" w:beforeAutospacing="0" w:after="0" w:afterAutospacing="0"/>
        <w:ind w:firstLine="720" w:firstLineChars="300"/>
        <w:jc w:val="both"/>
        <w:rPr>
          <w:rFonts w:cs="宋体"/>
          <w:color w:val="auto"/>
          <w:kern w:val="2"/>
          <w:highlight w:val="none"/>
          <w:lang w:bidi="ar"/>
        </w:rPr>
      </w:pPr>
    </w:p>
    <w:p w14:paraId="743D8FCD">
      <w:pPr>
        <w:pStyle w:val="18"/>
        <w:widowControl w:val="0"/>
        <w:snapToGrid w:val="0"/>
        <w:spacing w:before="0" w:beforeAutospacing="0" w:after="0" w:afterAutospacing="0" w:line="500" w:lineRule="exact"/>
        <w:jc w:val="both"/>
        <w:rPr>
          <w:rFonts w:cs="宋体"/>
          <w:color w:val="auto"/>
          <w:kern w:val="2"/>
          <w:highlight w:val="none"/>
          <w:lang w:bidi="ar"/>
        </w:rPr>
      </w:pPr>
    </w:p>
    <w:p w14:paraId="319809F6">
      <w:pPr>
        <w:pStyle w:val="18"/>
        <w:widowControl w:val="0"/>
        <w:snapToGrid w:val="0"/>
        <w:spacing w:before="0" w:beforeAutospacing="0" w:after="0" w:afterAutospacing="0" w:line="500" w:lineRule="exact"/>
        <w:jc w:val="both"/>
        <w:rPr>
          <w:rFonts w:cs="宋体"/>
          <w:color w:val="auto"/>
          <w:kern w:val="2"/>
          <w:highlight w:val="none"/>
          <w:lang w:bidi="ar"/>
        </w:rPr>
      </w:pPr>
      <w:r>
        <w:rPr>
          <w:rFonts w:hint="eastAsia" w:cs="宋体"/>
          <w:color w:val="auto"/>
          <w:kern w:val="2"/>
          <w:highlight w:val="none"/>
          <w:lang w:bidi="ar"/>
        </w:rPr>
        <w:t xml:space="preserve">法定代表人或                                法定代表人或  </w:t>
      </w:r>
    </w:p>
    <w:p w14:paraId="552DAA1A">
      <w:pPr>
        <w:pStyle w:val="18"/>
        <w:widowControl w:val="0"/>
        <w:snapToGrid w:val="0"/>
        <w:spacing w:before="0" w:beforeAutospacing="0" w:after="0" w:afterAutospacing="0" w:line="500" w:lineRule="exact"/>
        <w:jc w:val="both"/>
        <w:rPr>
          <w:rFonts w:cs="宋体"/>
          <w:color w:val="auto"/>
          <w:kern w:val="2"/>
          <w:highlight w:val="none"/>
          <w:lang w:bidi="ar"/>
        </w:rPr>
      </w:pPr>
      <w:r>
        <w:rPr>
          <w:rFonts w:hint="eastAsia" w:cs="宋体"/>
          <w:color w:val="auto"/>
          <w:kern w:val="2"/>
          <w:highlight w:val="none"/>
          <w:lang w:bidi="ar"/>
        </w:rPr>
        <w:t xml:space="preserve">委托代理人(签字）：                         委托代理人（签字）：                             </w:t>
      </w:r>
    </w:p>
    <w:p w14:paraId="0EB69CA1">
      <w:pPr>
        <w:pStyle w:val="18"/>
        <w:widowControl w:val="0"/>
        <w:snapToGrid w:val="0"/>
        <w:spacing w:before="0" w:beforeAutospacing="0" w:after="0" w:afterAutospacing="0" w:line="500" w:lineRule="exact"/>
        <w:jc w:val="both"/>
        <w:rPr>
          <w:rFonts w:cs="宋体"/>
          <w:color w:val="auto"/>
          <w:kern w:val="2"/>
          <w:highlight w:val="none"/>
          <w:lang w:bidi="ar"/>
        </w:rPr>
      </w:pPr>
    </w:p>
    <w:p w14:paraId="61024ABB">
      <w:pPr>
        <w:pStyle w:val="18"/>
        <w:widowControl w:val="0"/>
        <w:snapToGrid w:val="0"/>
        <w:spacing w:before="0" w:beforeAutospacing="0" w:after="0" w:afterAutospacing="0" w:line="500" w:lineRule="exact"/>
        <w:jc w:val="both"/>
        <w:rPr>
          <w:rFonts w:cs="宋体"/>
          <w:b/>
          <w:color w:val="auto"/>
          <w:sz w:val="32"/>
          <w:szCs w:val="32"/>
          <w:highlight w:val="none"/>
          <w:lang w:bidi="ar"/>
        </w:rPr>
        <w:sectPr>
          <w:footerReference r:id="rId6" w:type="default"/>
          <w:pgSz w:w="11906" w:h="16838"/>
          <w:pgMar w:top="1440" w:right="1797" w:bottom="1440" w:left="1797" w:header="851" w:footer="992" w:gutter="0"/>
          <w:cols w:space="720" w:num="1"/>
          <w:docGrid w:type="lines" w:linePitch="312" w:charSpace="0"/>
        </w:sectPr>
      </w:pPr>
      <w:r>
        <w:rPr>
          <w:rFonts w:hint="eastAsia" w:cs="宋体"/>
          <w:color w:val="auto"/>
          <w:kern w:val="2"/>
          <w:highlight w:val="none"/>
          <w:lang w:bidi="ar"/>
        </w:rPr>
        <w:t>日期：                                      日期</w:t>
      </w:r>
    </w:p>
    <w:p w14:paraId="12920875">
      <w:pPr>
        <w:spacing w:line="360" w:lineRule="auto"/>
        <w:jc w:val="center"/>
        <w:outlineLvl w:val="0"/>
        <w:rPr>
          <w:rFonts w:ascii="宋体" w:hAnsi="宋体" w:cs="宋体"/>
          <w:b/>
          <w:bCs/>
          <w:color w:val="auto"/>
          <w:sz w:val="36"/>
          <w:szCs w:val="36"/>
          <w:highlight w:val="none"/>
        </w:rPr>
      </w:pPr>
      <w:r>
        <w:rPr>
          <w:rFonts w:hint="eastAsia" w:ascii="宋体" w:hAnsi="宋体" w:cs="宋体"/>
          <w:b/>
          <w:bCs/>
          <w:color w:val="auto"/>
          <w:sz w:val="36"/>
          <w:szCs w:val="36"/>
          <w:highlight w:val="none"/>
        </w:rPr>
        <w:t>第七篇 比选文件组成及要求格式</w:t>
      </w:r>
    </w:p>
    <w:p w14:paraId="71F12AFF">
      <w:pPr>
        <w:snapToGrid w:val="0"/>
        <w:spacing w:line="360" w:lineRule="auto"/>
        <w:ind w:firstLine="482" w:firstLineChars="200"/>
        <w:rPr>
          <w:rFonts w:ascii="宋体" w:hAnsi="宋体" w:cs="宋体"/>
          <w:b/>
          <w:color w:val="auto"/>
          <w:sz w:val="24"/>
          <w:szCs w:val="24"/>
          <w:highlight w:val="none"/>
        </w:rPr>
      </w:pPr>
    </w:p>
    <w:p w14:paraId="1D7428D9">
      <w:pPr>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一、经济文件</w:t>
      </w:r>
    </w:p>
    <w:p w14:paraId="332AB81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报价一览表</w:t>
      </w:r>
    </w:p>
    <w:p w14:paraId="282C7017">
      <w:pPr>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二、资格文件组成</w:t>
      </w:r>
    </w:p>
    <w:p w14:paraId="2C4CC34A">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6CA1C667">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6F72603A">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5DAE8184">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（四）基本资格条件承诺函</w:t>
      </w:r>
    </w:p>
    <w:p w14:paraId="03205124">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w:t>
      </w:r>
    </w:p>
    <w:p w14:paraId="384C9202">
      <w:pPr>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三、技术文件</w:t>
      </w:r>
    </w:p>
    <w:p w14:paraId="65C76313">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（一）服务方案</w:t>
      </w:r>
    </w:p>
    <w:p w14:paraId="6D1BADA3">
      <w:pPr>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sz w:val="24"/>
          <w:szCs w:val="24"/>
          <w:highlight w:val="none"/>
        </w:rPr>
        <w:t>（二）技术条款差异表</w:t>
      </w:r>
    </w:p>
    <w:p w14:paraId="16BD028E">
      <w:pPr>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四、商务文件</w:t>
      </w:r>
    </w:p>
    <w:p w14:paraId="1F8B799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（一）竞争性比选函（格式）</w:t>
      </w:r>
    </w:p>
    <w:p w14:paraId="33A30471">
      <w:pPr>
        <w:snapToGrid w:val="0"/>
        <w:spacing w:line="440" w:lineRule="exact"/>
        <w:ind w:firstLine="480" w:firstLineChars="200"/>
        <w:jc w:val="left"/>
        <w:rPr>
          <w:rFonts w:ascii="宋体" w:hAnsi="宋体" w:cs="宋体"/>
          <w:color w:val="auto"/>
          <w:sz w:val="24"/>
          <w:szCs w:val="24"/>
          <w:highlight w:val="none"/>
        </w:rPr>
      </w:pPr>
      <w:bookmarkStart w:id="55" w:name="_Toc8512"/>
      <w:bookmarkStart w:id="56" w:name="_Toc492721037"/>
      <w:bookmarkStart w:id="57" w:name="_Toc429584884"/>
      <w:r>
        <w:rPr>
          <w:rFonts w:hint="eastAsia" w:ascii="宋体" w:hAnsi="宋体" w:cs="宋体"/>
          <w:color w:val="auto"/>
          <w:sz w:val="24"/>
          <w:szCs w:val="24"/>
          <w:highlight w:val="none"/>
        </w:rPr>
        <w:t>（二）供应商基本情况介绍及商务部分</w:t>
      </w:r>
    </w:p>
    <w:p w14:paraId="110C2688">
      <w:p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（三）商务条款差异表</w:t>
      </w:r>
    </w:p>
    <w:p w14:paraId="31EC53F3">
      <w:pPr>
        <w:snapToGrid w:val="0"/>
        <w:spacing w:line="440" w:lineRule="exact"/>
        <w:ind w:firstLine="420" w:firstLineChars="200"/>
        <w:jc w:val="left"/>
        <w:rPr>
          <w:rFonts w:ascii="宋体" w:hAnsi="宋体" w:cs="宋体"/>
          <w:color w:val="auto"/>
          <w:highlight w:val="none"/>
        </w:rPr>
      </w:pPr>
    </w:p>
    <w:p w14:paraId="1876F961">
      <w:pPr>
        <w:pStyle w:val="4"/>
        <w:pageBreakBefore/>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一、经济文件</w:t>
      </w:r>
      <w:bookmarkEnd w:id="55"/>
      <w:bookmarkEnd w:id="56"/>
      <w:bookmarkEnd w:id="57"/>
    </w:p>
    <w:p w14:paraId="100A0463">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报价一览表</w:t>
      </w:r>
    </w:p>
    <w:p w14:paraId="7403906A">
      <w:pPr>
        <w:spacing w:line="360"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竞争性比选项目名称：</w:t>
      </w:r>
      <w:r>
        <w:rPr>
          <w:rFonts w:hint="eastAsia" w:ascii="宋体" w:hAnsi="宋体" w:cs="宋体"/>
          <w:color w:val="auto"/>
          <w:sz w:val="24"/>
          <w:szCs w:val="24"/>
          <w:highlight w:val="none"/>
          <w:u w:val="single"/>
        </w:rPr>
        <w:t>一品河、黄溪河“清水绿岸”治理提升项目水土保持设施验收服务</w:t>
      </w:r>
    </w:p>
    <w:tbl>
      <w:tblPr>
        <w:tblStyle w:val="23"/>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49"/>
        <w:gridCol w:w="1590"/>
        <w:gridCol w:w="2953"/>
        <w:gridCol w:w="1919"/>
      </w:tblGrid>
      <w:tr w14:paraId="5926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526" w:type="dxa"/>
            <w:vAlign w:val="center"/>
          </w:tcPr>
          <w:p w14:paraId="7E868B2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8211" w:type="dxa"/>
            <w:gridSpan w:val="4"/>
            <w:vAlign w:val="center"/>
          </w:tcPr>
          <w:p w14:paraId="55D4ADA4">
            <w:pPr>
              <w:spacing w:line="360" w:lineRule="auto"/>
              <w:jc w:val="center"/>
              <w:rPr>
                <w:rFonts w:ascii="宋体" w:hAnsi="宋体" w:cs="宋体"/>
                <w:color w:val="auto"/>
                <w:sz w:val="24"/>
                <w:szCs w:val="24"/>
                <w:highlight w:val="none"/>
              </w:rPr>
            </w:pPr>
          </w:p>
        </w:tc>
      </w:tr>
      <w:tr w14:paraId="16A3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3275" w:type="dxa"/>
            <w:gridSpan w:val="2"/>
            <w:vAlign w:val="center"/>
          </w:tcPr>
          <w:p w14:paraId="5A7C4EC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1590" w:type="dxa"/>
            <w:vAlign w:val="center"/>
          </w:tcPr>
          <w:p w14:paraId="177B3CCF">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报价</w:t>
            </w:r>
          </w:p>
        </w:tc>
        <w:tc>
          <w:tcPr>
            <w:tcW w:w="2953" w:type="dxa"/>
            <w:vAlign w:val="center"/>
          </w:tcPr>
          <w:p w14:paraId="75A7DE4A">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服务期限</w:t>
            </w:r>
          </w:p>
        </w:tc>
        <w:tc>
          <w:tcPr>
            <w:tcW w:w="1919" w:type="dxa"/>
            <w:vAlign w:val="center"/>
          </w:tcPr>
          <w:p w14:paraId="5AC1B830">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服务地点</w:t>
            </w:r>
          </w:p>
        </w:tc>
      </w:tr>
      <w:tr w14:paraId="656A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3275" w:type="dxa"/>
            <w:gridSpan w:val="2"/>
            <w:tcBorders>
              <w:bottom w:val="single" w:color="auto" w:sz="4" w:space="0"/>
            </w:tcBorders>
            <w:vAlign w:val="center"/>
          </w:tcPr>
          <w:p w14:paraId="7B450315">
            <w:pPr>
              <w:spacing w:line="360" w:lineRule="auto"/>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水土保持设施验收服务</w:t>
            </w:r>
          </w:p>
        </w:tc>
        <w:tc>
          <w:tcPr>
            <w:tcW w:w="1590" w:type="dxa"/>
            <w:tcBorders>
              <w:bottom w:val="single" w:color="auto" w:sz="4" w:space="0"/>
            </w:tcBorders>
          </w:tcPr>
          <w:p w14:paraId="34597279">
            <w:pPr>
              <w:spacing w:line="360" w:lineRule="auto"/>
              <w:jc w:val="center"/>
              <w:rPr>
                <w:rFonts w:ascii="宋体" w:hAnsi="宋体" w:cs="宋体"/>
                <w:color w:val="auto"/>
                <w:sz w:val="24"/>
                <w:szCs w:val="24"/>
                <w:highlight w:val="none"/>
              </w:rPr>
            </w:pPr>
          </w:p>
        </w:tc>
        <w:tc>
          <w:tcPr>
            <w:tcW w:w="2953" w:type="dxa"/>
            <w:tcBorders>
              <w:bottom w:val="single" w:color="auto" w:sz="4" w:space="0"/>
            </w:tcBorders>
          </w:tcPr>
          <w:p w14:paraId="7904FD9D">
            <w:pPr>
              <w:spacing w:line="360" w:lineRule="auto"/>
              <w:jc w:val="center"/>
              <w:rPr>
                <w:rFonts w:ascii="宋体" w:hAnsi="宋体" w:cs="宋体"/>
                <w:color w:val="auto"/>
                <w:sz w:val="24"/>
                <w:szCs w:val="24"/>
                <w:highlight w:val="none"/>
              </w:rPr>
            </w:pPr>
          </w:p>
        </w:tc>
        <w:tc>
          <w:tcPr>
            <w:tcW w:w="1919" w:type="dxa"/>
            <w:tcBorders>
              <w:bottom w:val="single" w:color="auto" w:sz="4" w:space="0"/>
            </w:tcBorders>
          </w:tcPr>
          <w:p w14:paraId="0FF62EB0">
            <w:pPr>
              <w:spacing w:line="360" w:lineRule="auto"/>
              <w:jc w:val="center"/>
              <w:rPr>
                <w:rFonts w:ascii="宋体" w:hAnsi="宋体" w:cs="宋体"/>
                <w:color w:val="auto"/>
                <w:sz w:val="24"/>
                <w:szCs w:val="24"/>
                <w:highlight w:val="none"/>
              </w:rPr>
            </w:pPr>
          </w:p>
        </w:tc>
      </w:tr>
      <w:tr w14:paraId="429F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9737" w:type="dxa"/>
            <w:gridSpan w:val="5"/>
            <w:tcBorders>
              <w:bottom w:val="single" w:color="auto" w:sz="4" w:space="0"/>
            </w:tcBorders>
            <w:vAlign w:val="center"/>
          </w:tcPr>
          <w:p w14:paraId="42C5CDD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报价（大写）：</w:t>
            </w:r>
          </w:p>
        </w:tc>
      </w:tr>
      <w:tr w14:paraId="3FB8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737" w:type="dxa"/>
            <w:gridSpan w:val="5"/>
            <w:vAlign w:val="center"/>
          </w:tcPr>
          <w:p w14:paraId="2BABD83E">
            <w:pPr>
              <w:pStyle w:val="11"/>
              <w:spacing w:before="120"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备注： </w:t>
            </w:r>
          </w:p>
        </w:tc>
      </w:tr>
    </w:tbl>
    <w:p w14:paraId="27FB7BB0">
      <w:pPr>
        <w:pStyle w:val="11"/>
        <w:spacing w:line="360" w:lineRule="auto"/>
        <w:rPr>
          <w:rFonts w:ascii="宋体" w:hAnsi="宋体" w:cs="宋体"/>
          <w:color w:val="auto"/>
          <w:sz w:val="24"/>
          <w:szCs w:val="24"/>
          <w:highlight w:val="none"/>
        </w:rPr>
      </w:pPr>
    </w:p>
    <w:p w14:paraId="62CF7647">
      <w:pPr>
        <w:spacing w:line="360" w:lineRule="auto"/>
        <w:rPr>
          <w:rFonts w:ascii="宋体" w:hAnsi="宋体" w:cs="宋体"/>
          <w:color w:val="auto"/>
          <w:sz w:val="24"/>
          <w:szCs w:val="24"/>
          <w:highlight w:val="none"/>
        </w:rPr>
      </w:pPr>
    </w:p>
    <w:p w14:paraId="40B81238">
      <w:pPr>
        <w:spacing w:line="360" w:lineRule="auto"/>
        <w:rPr>
          <w:rFonts w:ascii="宋体" w:hAnsi="宋体" w:cs="宋体"/>
          <w:color w:val="auto"/>
          <w:sz w:val="24"/>
          <w:szCs w:val="24"/>
          <w:highlight w:val="none"/>
        </w:rPr>
      </w:pPr>
    </w:p>
    <w:p w14:paraId="4C7CF519">
      <w:pPr>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供应商法定代表人或法定代表人授权代表或自然人：</w:t>
      </w:r>
    </w:p>
    <w:p w14:paraId="25E611F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EE05B1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（供应商公章）                               （签字或盖章）</w:t>
      </w:r>
    </w:p>
    <w:p w14:paraId="04EF7DC7">
      <w:pPr>
        <w:spacing w:line="360" w:lineRule="auto"/>
        <w:rPr>
          <w:rFonts w:ascii="宋体" w:hAnsi="宋体" w:cs="宋体"/>
          <w:color w:val="auto"/>
          <w:sz w:val="24"/>
          <w:szCs w:val="24"/>
          <w:highlight w:val="none"/>
        </w:rPr>
      </w:pPr>
    </w:p>
    <w:p w14:paraId="529A0CD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CBE31C5">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0AB0DABA">
      <w:pPr>
        <w:snapToGrid w:val="0"/>
        <w:spacing w:line="360" w:lineRule="auto"/>
        <w:ind w:firstLine="480" w:firstLineChars="200"/>
        <w:rPr>
          <w:rFonts w:ascii="宋体" w:hAnsi="宋体" w:cs="宋体"/>
          <w:color w:val="auto"/>
          <w:sz w:val="24"/>
          <w:szCs w:val="24"/>
          <w:highlight w:val="none"/>
        </w:rPr>
      </w:pPr>
    </w:p>
    <w:p w14:paraId="2D32CDDC">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说明：</w:t>
      </w:r>
    </w:p>
    <w:p w14:paraId="1318EF8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1.报价一览表按格式填列；</w:t>
      </w:r>
    </w:p>
    <w:p w14:paraId="4720F727">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2.报价一览表在开标大会上当众宣读，务必填写清楚，准确无误；</w:t>
      </w:r>
    </w:p>
    <w:p w14:paraId="09015EB7">
      <w:pPr>
        <w:pStyle w:val="4"/>
        <w:pageBreakBefore/>
        <w:spacing w:line="360" w:lineRule="auto"/>
        <w:rPr>
          <w:rFonts w:ascii="宋体" w:hAnsi="宋体" w:cs="宋体"/>
          <w:color w:val="auto"/>
          <w:sz w:val="24"/>
          <w:szCs w:val="24"/>
          <w:highlight w:val="none"/>
        </w:rPr>
      </w:pPr>
      <w:bookmarkStart w:id="58" w:name="_Toc30222"/>
      <w:r>
        <w:rPr>
          <w:rFonts w:hint="eastAsia" w:ascii="宋体" w:hAnsi="宋体" w:cs="宋体"/>
          <w:color w:val="auto"/>
          <w:sz w:val="24"/>
          <w:szCs w:val="24"/>
          <w:highlight w:val="none"/>
        </w:rPr>
        <w:t>二、资格文件</w:t>
      </w:r>
    </w:p>
    <w:p w14:paraId="718AA4C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2AA08650">
      <w:pPr>
        <w:tabs>
          <w:tab w:val="left" w:pos="6300"/>
        </w:tabs>
        <w:snapToGrid w:val="0"/>
        <w:spacing w:line="360" w:lineRule="auto"/>
        <w:ind w:firstLine="570"/>
        <w:rPr>
          <w:rFonts w:ascii="宋体" w:hAnsi="宋体" w:cs="宋体"/>
          <w:color w:val="auto"/>
          <w:sz w:val="24"/>
          <w:szCs w:val="24"/>
          <w:highlight w:val="none"/>
        </w:rPr>
      </w:pPr>
    </w:p>
    <w:p w14:paraId="617AAB7C">
      <w:pPr>
        <w:tabs>
          <w:tab w:val="left" w:pos="6300"/>
        </w:tabs>
        <w:snapToGrid w:val="0"/>
        <w:spacing w:line="360" w:lineRule="auto"/>
        <w:ind w:firstLine="570"/>
        <w:rPr>
          <w:rFonts w:ascii="宋体" w:hAnsi="宋体" w:cs="宋体"/>
          <w:color w:val="auto"/>
          <w:sz w:val="24"/>
          <w:szCs w:val="24"/>
          <w:highlight w:val="none"/>
        </w:rPr>
      </w:pPr>
    </w:p>
    <w:p w14:paraId="168E245F">
      <w:pPr>
        <w:tabs>
          <w:tab w:val="left" w:pos="6300"/>
        </w:tabs>
        <w:snapToGrid w:val="0"/>
        <w:spacing w:line="360" w:lineRule="auto"/>
        <w:ind w:firstLine="570"/>
        <w:rPr>
          <w:rFonts w:ascii="宋体" w:hAnsi="宋体" w:cs="宋体"/>
          <w:color w:val="auto"/>
          <w:sz w:val="24"/>
          <w:szCs w:val="24"/>
          <w:highlight w:val="none"/>
        </w:rPr>
      </w:pPr>
    </w:p>
    <w:p w14:paraId="312E9BBE">
      <w:pPr>
        <w:tabs>
          <w:tab w:val="left" w:pos="6300"/>
        </w:tabs>
        <w:snapToGrid w:val="0"/>
        <w:spacing w:line="360" w:lineRule="auto"/>
        <w:ind w:firstLine="570"/>
        <w:rPr>
          <w:rFonts w:ascii="宋体" w:hAnsi="宋体" w:cs="宋体"/>
          <w:color w:val="auto"/>
          <w:sz w:val="24"/>
          <w:szCs w:val="24"/>
          <w:highlight w:val="none"/>
        </w:rPr>
      </w:pPr>
    </w:p>
    <w:p w14:paraId="42A31773">
      <w:pPr>
        <w:tabs>
          <w:tab w:val="left" w:pos="6300"/>
        </w:tabs>
        <w:snapToGrid w:val="0"/>
        <w:spacing w:line="360" w:lineRule="auto"/>
        <w:jc w:val="left"/>
        <w:rPr>
          <w:rFonts w:ascii="宋体" w:hAnsi="宋体" w:cs="宋体"/>
          <w:color w:val="auto"/>
          <w:sz w:val="24"/>
          <w:szCs w:val="24"/>
          <w:highlight w:val="none"/>
        </w:rPr>
      </w:pPr>
    </w:p>
    <w:p w14:paraId="3BC6F7C3">
      <w:pPr>
        <w:tabs>
          <w:tab w:val="left" w:pos="6300"/>
        </w:tabs>
        <w:snapToGrid w:val="0"/>
        <w:spacing w:line="360" w:lineRule="auto"/>
        <w:jc w:val="center"/>
        <w:rPr>
          <w:rFonts w:ascii="宋体" w:hAnsi="宋体" w:cs="宋体"/>
          <w:color w:val="auto"/>
          <w:sz w:val="24"/>
          <w:szCs w:val="24"/>
          <w:highlight w:val="none"/>
        </w:rPr>
      </w:pPr>
    </w:p>
    <w:p w14:paraId="7617A830">
      <w:pPr>
        <w:tabs>
          <w:tab w:val="left" w:pos="6300"/>
        </w:tabs>
        <w:snapToGrid w:val="0"/>
        <w:spacing w:line="360" w:lineRule="auto"/>
        <w:jc w:val="center"/>
        <w:rPr>
          <w:rFonts w:ascii="宋体" w:hAnsi="宋体" w:cs="宋体"/>
          <w:color w:val="auto"/>
          <w:sz w:val="24"/>
          <w:szCs w:val="24"/>
          <w:highlight w:val="none"/>
        </w:rPr>
      </w:pPr>
    </w:p>
    <w:p w14:paraId="1299C764">
      <w:pPr>
        <w:tabs>
          <w:tab w:val="left" w:pos="6300"/>
        </w:tabs>
        <w:snapToGrid w:val="0"/>
        <w:spacing w:line="360" w:lineRule="auto"/>
        <w:jc w:val="center"/>
        <w:rPr>
          <w:rFonts w:ascii="宋体" w:hAnsi="宋体" w:cs="宋体"/>
          <w:color w:val="auto"/>
          <w:sz w:val="24"/>
          <w:szCs w:val="24"/>
          <w:highlight w:val="none"/>
        </w:rPr>
      </w:pPr>
    </w:p>
    <w:p w14:paraId="0A9837C7">
      <w:pPr>
        <w:tabs>
          <w:tab w:val="left" w:pos="6300"/>
        </w:tabs>
        <w:snapToGrid w:val="0"/>
        <w:spacing w:line="360" w:lineRule="auto"/>
        <w:jc w:val="center"/>
        <w:rPr>
          <w:rFonts w:ascii="宋体" w:hAnsi="宋体" w:cs="宋体"/>
          <w:color w:val="auto"/>
          <w:sz w:val="24"/>
          <w:szCs w:val="24"/>
          <w:highlight w:val="none"/>
        </w:rPr>
      </w:pPr>
    </w:p>
    <w:p w14:paraId="07E9A313">
      <w:pPr>
        <w:tabs>
          <w:tab w:val="left" w:pos="6300"/>
        </w:tabs>
        <w:snapToGrid w:val="0"/>
        <w:spacing w:line="360" w:lineRule="auto"/>
        <w:jc w:val="center"/>
        <w:rPr>
          <w:rFonts w:ascii="宋体" w:hAnsi="宋体" w:cs="宋体"/>
          <w:color w:val="auto"/>
          <w:sz w:val="24"/>
          <w:szCs w:val="24"/>
          <w:highlight w:val="none"/>
        </w:rPr>
      </w:pPr>
    </w:p>
    <w:p w14:paraId="6EA04FD7">
      <w:pPr>
        <w:tabs>
          <w:tab w:val="left" w:pos="6300"/>
        </w:tabs>
        <w:snapToGrid w:val="0"/>
        <w:spacing w:line="360" w:lineRule="auto"/>
        <w:jc w:val="center"/>
        <w:rPr>
          <w:rFonts w:ascii="宋体" w:hAnsi="宋体" w:cs="宋体"/>
          <w:color w:val="auto"/>
          <w:sz w:val="24"/>
          <w:szCs w:val="24"/>
          <w:highlight w:val="none"/>
        </w:rPr>
      </w:pPr>
    </w:p>
    <w:p w14:paraId="7A8B1253">
      <w:pPr>
        <w:tabs>
          <w:tab w:val="left" w:pos="6300"/>
        </w:tabs>
        <w:snapToGrid w:val="0"/>
        <w:spacing w:line="360" w:lineRule="auto"/>
        <w:jc w:val="center"/>
        <w:rPr>
          <w:rFonts w:ascii="宋体" w:hAnsi="宋体" w:cs="宋体"/>
          <w:color w:val="auto"/>
          <w:sz w:val="24"/>
          <w:szCs w:val="24"/>
          <w:highlight w:val="none"/>
        </w:rPr>
      </w:pPr>
    </w:p>
    <w:p w14:paraId="16053971">
      <w:pPr>
        <w:tabs>
          <w:tab w:val="left" w:pos="6300"/>
        </w:tabs>
        <w:snapToGrid w:val="0"/>
        <w:spacing w:line="360" w:lineRule="auto"/>
        <w:jc w:val="center"/>
        <w:rPr>
          <w:rFonts w:ascii="宋体" w:hAnsi="宋体" w:cs="宋体"/>
          <w:color w:val="auto"/>
          <w:sz w:val="24"/>
          <w:szCs w:val="24"/>
          <w:highlight w:val="none"/>
        </w:rPr>
      </w:pPr>
    </w:p>
    <w:p w14:paraId="7F199535">
      <w:pPr>
        <w:tabs>
          <w:tab w:val="left" w:pos="6300"/>
        </w:tabs>
        <w:snapToGrid w:val="0"/>
        <w:spacing w:line="360" w:lineRule="auto"/>
        <w:jc w:val="center"/>
        <w:rPr>
          <w:rFonts w:ascii="宋体" w:hAnsi="宋体" w:cs="宋体"/>
          <w:color w:val="auto"/>
          <w:sz w:val="24"/>
          <w:szCs w:val="24"/>
          <w:highlight w:val="none"/>
        </w:rPr>
      </w:pPr>
    </w:p>
    <w:p w14:paraId="412C42E1">
      <w:pPr>
        <w:tabs>
          <w:tab w:val="left" w:pos="6300"/>
        </w:tabs>
        <w:snapToGrid w:val="0"/>
        <w:spacing w:line="360" w:lineRule="auto"/>
        <w:jc w:val="center"/>
        <w:rPr>
          <w:rFonts w:ascii="宋体" w:hAnsi="宋体" w:cs="宋体"/>
          <w:color w:val="auto"/>
          <w:sz w:val="24"/>
          <w:szCs w:val="24"/>
          <w:highlight w:val="none"/>
        </w:rPr>
      </w:pPr>
    </w:p>
    <w:p w14:paraId="13D0F97D">
      <w:pPr>
        <w:tabs>
          <w:tab w:val="left" w:pos="6300"/>
        </w:tabs>
        <w:snapToGrid w:val="0"/>
        <w:spacing w:line="360" w:lineRule="auto"/>
        <w:jc w:val="center"/>
        <w:rPr>
          <w:rFonts w:ascii="宋体" w:hAnsi="宋体" w:cs="宋体"/>
          <w:color w:val="auto"/>
          <w:sz w:val="24"/>
          <w:szCs w:val="24"/>
          <w:highlight w:val="none"/>
        </w:rPr>
      </w:pPr>
    </w:p>
    <w:p w14:paraId="56CEE28C">
      <w:pPr>
        <w:tabs>
          <w:tab w:val="left" w:pos="6300"/>
        </w:tabs>
        <w:snapToGrid w:val="0"/>
        <w:spacing w:line="360" w:lineRule="auto"/>
        <w:jc w:val="center"/>
        <w:rPr>
          <w:rFonts w:ascii="宋体" w:hAnsi="宋体" w:cs="宋体"/>
          <w:color w:val="auto"/>
          <w:sz w:val="24"/>
          <w:szCs w:val="24"/>
          <w:highlight w:val="none"/>
        </w:rPr>
      </w:pPr>
    </w:p>
    <w:p w14:paraId="492FEF86">
      <w:pPr>
        <w:tabs>
          <w:tab w:val="left" w:pos="6300"/>
        </w:tabs>
        <w:snapToGrid w:val="0"/>
        <w:spacing w:line="360" w:lineRule="auto"/>
        <w:jc w:val="center"/>
        <w:rPr>
          <w:rFonts w:ascii="宋体" w:hAnsi="宋体" w:cs="宋体"/>
          <w:color w:val="auto"/>
          <w:sz w:val="24"/>
          <w:szCs w:val="24"/>
          <w:highlight w:val="none"/>
        </w:rPr>
      </w:pPr>
    </w:p>
    <w:p w14:paraId="32F9FC76">
      <w:pPr>
        <w:tabs>
          <w:tab w:val="left" w:pos="6300"/>
        </w:tabs>
        <w:snapToGrid w:val="0"/>
        <w:spacing w:line="360" w:lineRule="auto"/>
        <w:jc w:val="center"/>
        <w:rPr>
          <w:rFonts w:ascii="宋体" w:hAnsi="宋体" w:cs="宋体"/>
          <w:color w:val="auto"/>
          <w:sz w:val="24"/>
          <w:szCs w:val="24"/>
          <w:highlight w:val="none"/>
        </w:rPr>
      </w:pPr>
    </w:p>
    <w:p w14:paraId="777A411C">
      <w:pPr>
        <w:tabs>
          <w:tab w:val="left" w:pos="6300"/>
        </w:tabs>
        <w:snapToGrid w:val="0"/>
        <w:spacing w:line="360" w:lineRule="auto"/>
        <w:jc w:val="center"/>
        <w:rPr>
          <w:rFonts w:ascii="宋体" w:hAnsi="宋体" w:cs="宋体"/>
          <w:color w:val="auto"/>
          <w:sz w:val="24"/>
          <w:szCs w:val="24"/>
          <w:highlight w:val="none"/>
        </w:rPr>
      </w:pPr>
    </w:p>
    <w:p w14:paraId="0D09902C">
      <w:pPr>
        <w:tabs>
          <w:tab w:val="left" w:pos="6300"/>
        </w:tabs>
        <w:snapToGrid w:val="0"/>
        <w:spacing w:line="360" w:lineRule="auto"/>
        <w:jc w:val="center"/>
        <w:rPr>
          <w:rFonts w:ascii="宋体" w:hAnsi="宋体" w:cs="宋体"/>
          <w:color w:val="auto"/>
          <w:sz w:val="24"/>
          <w:szCs w:val="24"/>
          <w:highlight w:val="none"/>
        </w:rPr>
      </w:pPr>
    </w:p>
    <w:p w14:paraId="1CACFC06">
      <w:pPr>
        <w:tabs>
          <w:tab w:val="left" w:pos="6300"/>
        </w:tabs>
        <w:snapToGrid w:val="0"/>
        <w:spacing w:line="360" w:lineRule="auto"/>
        <w:rPr>
          <w:rFonts w:ascii="宋体" w:hAnsi="宋体" w:cs="宋体"/>
          <w:color w:val="auto"/>
          <w:sz w:val="24"/>
          <w:szCs w:val="24"/>
          <w:highlight w:val="none"/>
        </w:rPr>
      </w:pPr>
    </w:p>
    <w:p w14:paraId="741887DC">
      <w:pPr>
        <w:pStyle w:val="2"/>
        <w:spacing w:line="360" w:lineRule="auto"/>
        <w:rPr>
          <w:rFonts w:ascii="宋体" w:hAnsi="宋体" w:cs="宋体"/>
          <w:color w:val="auto"/>
          <w:sz w:val="24"/>
          <w:szCs w:val="24"/>
          <w:highlight w:val="none"/>
        </w:rPr>
      </w:pPr>
    </w:p>
    <w:p w14:paraId="0CD3B3A1">
      <w:pPr>
        <w:spacing w:line="360" w:lineRule="auto"/>
        <w:rPr>
          <w:rFonts w:ascii="宋体" w:hAnsi="宋体" w:cs="宋体"/>
          <w:color w:val="auto"/>
          <w:sz w:val="24"/>
          <w:szCs w:val="24"/>
          <w:highlight w:val="none"/>
        </w:rPr>
      </w:pPr>
    </w:p>
    <w:p w14:paraId="76591C8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53E4E9A2">
      <w:pPr>
        <w:tabs>
          <w:tab w:val="left" w:pos="6300"/>
        </w:tabs>
        <w:snapToGrid w:val="0"/>
        <w:spacing w:line="360" w:lineRule="auto"/>
        <w:ind w:firstLine="570"/>
        <w:rPr>
          <w:rFonts w:ascii="宋体" w:hAnsi="宋体" w:cs="宋体"/>
          <w:color w:val="auto"/>
          <w:sz w:val="24"/>
          <w:szCs w:val="24"/>
          <w:highlight w:val="none"/>
        </w:rPr>
      </w:pPr>
    </w:p>
    <w:p w14:paraId="33DB64CF">
      <w:pPr>
        <w:tabs>
          <w:tab w:val="left" w:pos="6300"/>
        </w:tabs>
        <w:snapToGrid w:val="0"/>
        <w:spacing w:line="360"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竞争性比选项目名称：</w:t>
      </w:r>
      <w:r>
        <w:rPr>
          <w:rFonts w:hint="eastAsia" w:ascii="宋体" w:hAnsi="宋体" w:cs="宋体"/>
          <w:color w:val="auto"/>
          <w:sz w:val="24"/>
          <w:szCs w:val="24"/>
          <w:highlight w:val="none"/>
          <w:u w:val="single"/>
        </w:rPr>
        <w:t xml:space="preserve">                                                </w:t>
      </w:r>
    </w:p>
    <w:p w14:paraId="1E93CD41">
      <w:pPr>
        <w:tabs>
          <w:tab w:val="left" w:pos="6300"/>
        </w:tabs>
        <w:snapToGrid w:val="0"/>
        <w:spacing w:line="360" w:lineRule="auto"/>
        <w:ind w:firstLine="570"/>
        <w:rPr>
          <w:rFonts w:ascii="宋体" w:hAnsi="宋体" w:cs="宋体"/>
          <w:color w:val="auto"/>
          <w:sz w:val="24"/>
          <w:szCs w:val="24"/>
          <w:highlight w:val="none"/>
        </w:rPr>
      </w:pPr>
    </w:p>
    <w:p w14:paraId="2ECB642E">
      <w:pPr>
        <w:tabs>
          <w:tab w:val="left" w:pos="630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（比选人名称）：</w:t>
      </w:r>
    </w:p>
    <w:p w14:paraId="5D9CE998">
      <w:pPr>
        <w:tabs>
          <w:tab w:val="left" w:pos="6300"/>
        </w:tabs>
        <w:snapToGrid w:val="0"/>
        <w:spacing w:line="360"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（法定代表人姓名）在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（职务名称）职务，是（供应商名称）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w:t>
      </w:r>
    </w:p>
    <w:p w14:paraId="40BF2BF0">
      <w:pPr>
        <w:tabs>
          <w:tab w:val="left" w:pos="6300"/>
        </w:tabs>
        <w:snapToGrid w:val="0"/>
        <w:spacing w:line="360" w:lineRule="auto"/>
        <w:ind w:firstLine="570"/>
        <w:rPr>
          <w:rFonts w:ascii="宋体" w:hAnsi="宋体" w:cs="宋体"/>
          <w:color w:val="auto"/>
          <w:sz w:val="24"/>
          <w:szCs w:val="24"/>
          <w:highlight w:val="none"/>
        </w:rPr>
      </w:pPr>
    </w:p>
    <w:p w14:paraId="78E35CF1">
      <w:pPr>
        <w:tabs>
          <w:tab w:val="left" w:pos="6300"/>
        </w:tabs>
        <w:snapToGrid w:val="0"/>
        <w:spacing w:line="360"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55B296FF">
      <w:pPr>
        <w:tabs>
          <w:tab w:val="left" w:pos="6300"/>
        </w:tabs>
        <w:snapToGrid w:val="0"/>
        <w:spacing w:line="360" w:lineRule="auto"/>
        <w:ind w:firstLine="570"/>
        <w:rPr>
          <w:rFonts w:ascii="宋体" w:hAnsi="宋体" w:cs="宋体"/>
          <w:color w:val="auto"/>
          <w:sz w:val="24"/>
          <w:szCs w:val="24"/>
          <w:highlight w:val="none"/>
        </w:rPr>
      </w:pPr>
    </w:p>
    <w:p w14:paraId="2C8ECD1D">
      <w:pPr>
        <w:tabs>
          <w:tab w:val="left" w:pos="6300"/>
        </w:tabs>
        <w:snapToGrid w:val="0"/>
        <w:spacing w:line="360" w:lineRule="auto"/>
        <w:ind w:firstLine="570"/>
        <w:rPr>
          <w:rFonts w:ascii="宋体" w:hAnsi="宋体" w:cs="宋体"/>
          <w:color w:val="auto"/>
          <w:sz w:val="24"/>
          <w:szCs w:val="24"/>
          <w:highlight w:val="none"/>
        </w:rPr>
      </w:pPr>
    </w:p>
    <w:p w14:paraId="0286876F">
      <w:pPr>
        <w:tabs>
          <w:tab w:val="left" w:pos="6300"/>
        </w:tabs>
        <w:snapToGrid w:val="0"/>
        <w:spacing w:line="360"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w:t>
      </w:r>
    </w:p>
    <w:p w14:paraId="247B15DD">
      <w:pPr>
        <w:tabs>
          <w:tab w:val="left" w:pos="6300"/>
        </w:tabs>
        <w:snapToGrid w:val="0"/>
        <w:spacing w:line="360" w:lineRule="auto"/>
        <w:ind w:firstLine="5848" w:firstLineChars="2437"/>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14:paraId="09773CF1">
      <w:pPr>
        <w:tabs>
          <w:tab w:val="left" w:pos="6300"/>
        </w:tabs>
        <w:snapToGrid w:val="0"/>
        <w:spacing w:line="360" w:lineRule="auto"/>
        <w:ind w:firstLine="570"/>
        <w:rPr>
          <w:rFonts w:ascii="宋体" w:hAnsi="宋体" w:cs="宋体"/>
          <w:color w:val="auto"/>
          <w:sz w:val="24"/>
          <w:szCs w:val="24"/>
          <w:highlight w:val="none"/>
        </w:rPr>
      </w:pPr>
    </w:p>
    <w:p w14:paraId="483B97DE">
      <w:pPr>
        <w:tabs>
          <w:tab w:val="left" w:pos="6300"/>
        </w:tabs>
        <w:snapToGrid w:val="0"/>
        <w:spacing w:line="360"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5A5BB54A">
      <w:pPr>
        <w:tabs>
          <w:tab w:val="left" w:pos="6300"/>
        </w:tabs>
        <w:snapToGrid w:val="0"/>
        <w:spacing w:line="360"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法定代表人电话：XXXXXXX      电子邮箱：XXXXXX@XXXXX（若授权他人办理并签署竞争性比选文件的可不填写）</w:t>
      </w:r>
    </w:p>
    <w:p w14:paraId="05F3087F">
      <w:pPr>
        <w:tabs>
          <w:tab w:val="left" w:pos="6300"/>
        </w:tabs>
        <w:snapToGrid w:val="0"/>
        <w:spacing w:line="360"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（附：法定代表人身份证正反面复印件）</w:t>
      </w:r>
    </w:p>
    <w:p w14:paraId="6ABCFAEE">
      <w:pPr>
        <w:tabs>
          <w:tab w:val="left" w:pos="6300"/>
        </w:tabs>
        <w:snapToGrid w:val="0"/>
        <w:spacing w:line="360" w:lineRule="auto"/>
        <w:ind w:firstLine="570"/>
        <w:rPr>
          <w:rFonts w:ascii="宋体" w:hAnsi="宋体" w:cs="宋体"/>
          <w:color w:val="auto"/>
          <w:sz w:val="24"/>
          <w:szCs w:val="24"/>
          <w:highlight w:val="none"/>
        </w:rPr>
      </w:pPr>
    </w:p>
    <w:p w14:paraId="0B67C95B">
      <w:pPr>
        <w:tabs>
          <w:tab w:val="left" w:pos="6300"/>
        </w:tabs>
        <w:snapToGrid w:val="0"/>
        <w:spacing w:line="360" w:lineRule="auto"/>
        <w:ind w:firstLine="570"/>
        <w:rPr>
          <w:rFonts w:ascii="宋体" w:hAnsi="宋体" w:cs="宋体"/>
          <w:color w:val="auto"/>
          <w:sz w:val="24"/>
          <w:szCs w:val="24"/>
          <w:highlight w:val="none"/>
        </w:rPr>
      </w:pPr>
    </w:p>
    <w:p w14:paraId="2E4FF714">
      <w:pPr>
        <w:tabs>
          <w:tab w:val="left" w:pos="6300"/>
        </w:tabs>
        <w:snapToGrid w:val="0"/>
        <w:spacing w:line="360" w:lineRule="auto"/>
        <w:ind w:firstLine="570"/>
        <w:rPr>
          <w:rFonts w:ascii="宋体" w:hAnsi="宋体" w:cs="宋体"/>
          <w:color w:val="auto"/>
          <w:sz w:val="24"/>
          <w:szCs w:val="24"/>
          <w:highlight w:val="none"/>
        </w:rPr>
      </w:pPr>
    </w:p>
    <w:p w14:paraId="25872755">
      <w:pPr>
        <w:tabs>
          <w:tab w:val="left" w:pos="6300"/>
        </w:tabs>
        <w:snapToGrid w:val="0"/>
        <w:spacing w:line="360" w:lineRule="auto"/>
        <w:ind w:firstLine="570"/>
        <w:rPr>
          <w:rFonts w:ascii="宋体" w:hAnsi="宋体" w:cs="宋体"/>
          <w:color w:val="auto"/>
          <w:sz w:val="24"/>
          <w:szCs w:val="24"/>
          <w:highlight w:val="none"/>
        </w:rPr>
      </w:pPr>
    </w:p>
    <w:p w14:paraId="6E5CA792">
      <w:pPr>
        <w:tabs>
          <w:tab w:val="left" w:pos="6300"/>
        </w:tabs>
        <w:snapToGrid w:val="0"/>
        <w:spacing w:line="360" w:lineRule="auto"/>
        <w:ind w:firstLine="570"/>
        <w:rPr>
          <w:rFonts w:ascii="宋体" w:hAnsi="宋体" w:cs="宋体"/>
          <w:color w:val="auto"/>
          <w:sz w:val="24"/>
          <w:szCs w:val="24"/>
          <w:highlight w:val="none"/>
        </w:rPr>
      </w:pPr>
    </w:p>
    <w:p w14:paraId="3C84A2B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br w:type="column"/>
      </w:r>
    </w:p>
    <w:p w14:paraId="190A016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35F882D4">
      <w:pPr>
        <w:tabs>
          <w:tab w:val="left" w:pos="6300"/>
        </w:tabs>
        <w:snapToGrid w:val="0"/>
        <w:spacing w:line="360"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8429862">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竞争性比选项目名称：</w:t>
      </w:r>
      <w:r>
        <w:rPr>
          <w:rFonts w:hint="eastAsia" w:ascii="宋体" w:hAnsi="宋体" w:cs="宋体"/>
          <w:color w:val="auto"/>
          <w:sz w:val="24"/>
          <w:szCs w:val="24"/>
          <w:highlight w:val="none"/>
          <w:u w:val="single"/>
        </w:rPr>
        <w:t xml:space="preserve">                                                </w:t>
      </w:r>
    </w:p>
    <w:p w14:paraId="564AF695">
      <w:pPr>
        <w:tabs>
          <w:tab w:val="left" w:pos="6300"/>
        </w:tabs>
        <w:snapToGrid w:val="0"/>
        <w:spacing w:line="360" w:lineRule="auto"/>
        <w:ind w:firstLine="570"/>
        <w:rPr>
          <w:rFonts w:ascii="宋体" w:hAnsi="宋体" w:cs="宋体"/>
          <w:color w:val="auto"/>
          <w:sz w:val="24"/>
          <w:szCs w:val="24"/>
          <w:highlight w:val="none"/>
        </w:rPr>
      </w:pPr>
    </w:p>
    <w:p w14:paraId="196DE4C6">
      <w:pPr>
        <w:tabs>
          <w:tab w:val="left" w:pos="630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（比选人名称）：</w:t>
      </w:r>
    </w:p>
    <w:p w14:paraId="5868AA19">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（供应商法定代表人名称）是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（供应商名称）的法定代表人，特授权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（被授权人姓名及身份证代码）代表我单位全权办理上述项目的竞争性比选、谈判、签约等具体工作，并签署全部有关文件、协议及合同。</w:t>
      </w:r>
    </w:p>
    <w:p w14:paraId="6FD4A810">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我单位对被授权人的签署负全部责任。</w:t>
      </w:r>
    </w:p>
    <w:p w14:paraId="372AA368">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在撤消授权的书面通知以前，本授权书一直有效。被授权人在授权书有效期内签署的所有文件不因授权的撤消而失效。</w:t>
      </w:r>
    </w:p>
    <w:p w14:paraId="56DEAB81">
      <w:pPr>
        <w:tabs>
          <w:tab w:val="left" w:pos="6300"/>
        </w:tabs>
        <w:snapToGrid w:val="0"/>
        <w:spacing w:line="360" w:lineRule="auto"/>
        <w:ind w:firstLine="570"/>
        <w:rPr>
          <w:rFonts w:ascii="宋体" w:hAnsi="宋体" w:cs="宋体"/>
          <w:color w:val="auto"/>
          <w:sz w:val="24"/>
          <w:szCs w:val="24"/>
          <w:highlight w:val="none"/>
        </w:rPr>
      </w:pPr>
    </w:p>
    <w:p w14:paraId="55C10145">
      <w:pPr>
        <w:tabs>
          <w:tab w:val="left" w:pos="6300"/>
        </w:tabs>
        <w:snapToGrid w:val="0"/>
        <w:spacing w:line="360" w:lineRule="auto"/>
        <w:ind w:firstLine="570"/>
        <w:rPr>
          <w:rFonts w:ascii="宋体" w:hAnsi="宋体" w:cs="宋体"/>
          <w:color w:val="auto"/>
          <w:sz w:val="24"/>
          <w:szCs w:val="24"/>
          <w:highlight w:val="none"/>
        </w:rPr>
      </w:pPr>
    </w:p>
    <w:p w14:paraId="5458B5A9">
      <w:pPr>
        <w:tabs>
          <w:tab w:val="left" w:pos="6300"/>
        </w:tabs>
        <w:snapToGrid w:val="0"/>
        <w:spacing w:line="360"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被授权人：                                 供应商法定代表人：</w:t>
      </w:r>
    </w:p>
    <w:p w14:paraId="4A0F5172">
      <w:pPr>
        <w:tabs>
          <w:tab w:val="left" w:pos="6300"/>
        </w:tabs>
        <w:snapToGrid w:val="0"/>
        <w:spacing w:line="360"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（签署或盖章）                                （签署或盖章）</w:t>
      </w:r>
    </w:p>
    <w:p w14:paraId="31F553B6">
      <w:pPr>
        <w:tabs>
          <w:tab w:val="left" w:pos="6300"/>
        </w:tabs>
        <w:snapToGrid w:val="0"/>
        <w:spacing w:line="360"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（附：被授权人身份证正反面复印件）                                     </w:t>
      </w:r>
    </w:p>
    <w:p w14:paraId="35359ED9">
      <w:pPr>
        <w:tabs>
          <w:tab w:val="left" w:pos="6300"/>
        </w:tabs>
        <w:snapToGrid w:val="0"/>
        <w:spacing w:line="360" w:lineRule="auto"/>
        <w:ind w:right="480" w:firstLine="57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（供应商公章）</w:t>
      </w:r>
    </w:p>
    <w:p w14:paraId="4B157158">
      <w:pPr>
        <w:tabs>
          <w:tab w:val="left" w:pos="6300"/>
        </w:tabs>
        <w:snapToGrid w:val="0"/>
        <w:spacing w:line="360" w:lineRule="auto"/>
        <w:ind w:right="480" w:firstLine="57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0E4803BC">
      <w:pPr>
        <w:tabs>
          <w:tab w:val="left" w:pos="6300"/>
        </w:tabs>
        <w:snapToGrid w:val="0"/>
        <w:spacing w:line="360" w:lineRule="auto"/>
        <w:ind w:right="720" w:firstLine="570"/>
        <w:jc w:val="right"/>
        <w:rPr>
          <w:rFonts w:ascii="宋体" w:hAnsi="宋体" w:cs="宋体"/>
          <w:color w:val="auto"/>
          <w:sz w:val="24"/>
          <w:szCs w:val="24"/>
          <w:highlight w:val="none"/>
        </w:rPr>
      </w:pPr>
    </w:p>
    <w:p w14:paraId="7C34AC39">
      <w:pPr>
        <w:tabs>
          <w:tab w:val="left" w:pos="6300"/>
        </w:tabs>
        <w:snapToGrid w:val="0"/>
        <w:spacing w:line="360" w:lineRule="auto"/>
        <w:ind w:right="480" w:firstLine="570"/>
        <w:jc w:val="left"/>
        <w:rPr>
          <w:rFonts w:ascii="宋体" w:hAnsi="宋体" w:cs="宋体"/>
          <w:color w:val="auto"/>
          <w:sz w:val="24"/>
          <w:szCs w:val="24"/>
          <w:highlight w:val="none"/>
        </w:rPr>
      </w:pPr>
      <w:r>
        <w:rPr>
          <w:rFonts w:hint="eastAsia" w:ascii="宋体" w:hAnsi="宋体" w:cs="宋体"/>
          <w:color w:val="auto"/>
          <w:sz w:val="24"/>
          <w:szCs w:val="24"/>
          <w:highlight w:val="none"/>
        </w:rPr>
        <w:t>被授权人电话：XXXXXXX     电子邮箱：XXXXXX@XXXXX（若法定代表人办理并签署竞争性比选文件的可不填写）</w:t>
      </w:r>
    </w:p>
    <w:p w14:paraId="6DFCED9D">
      <w:pPr>
        <w:tabs>
          <w:tab w:val="left" w:pos="6300"/>
        </w:tabs>
        <w:snapToGrid w:val="0"/>
        <w:spacing w:line="360" w:lineRule="auto"/>
        <w:ind w:right="480" w:firstLine="570"/>
        <w:jc w:val="left"/>
        <w:rPr>
          <w:rFonts w:ascii="宋体" w:hAnsi="宋体" w:cs="宋体"/>
          <w:color w:val="auto"/>
          <w:sz w:val="24"/>
          <w:szCs w:val="24"/>
          <w:highlight w:val="none"/>
        </w:rPr>
      </w:pPr>
      <w:r>
        <w:rPr>
          <w:rFonts w:hint="eastAsia" w:ascii="宋体" w:hAnsi="宋体" w:cs="宋体"/>
          <w:color w:val="auto"/>
          <w:sz w:val="24"/>
          <w:szCs w:val="24"/>
          <w:highlight w:val="none"/>
        </w:rPr>
        <w:t>注：</w:t>
      </w:r>
    </w:p>
    <w:p w14:paraId="5B12A5A2">
      <w:pPr>
        <w:tabs>
          <w:tab w:val="left" w:pos="6300"/>
        </w:tabs>
        <w:snapToGrid w:val="0"/>
        <w:spacing w:line="360" w:lineRule="auto"/>
        <w:ind w:right="480" w:firstLine="570"/>
        <w:jc w:val="left"/>
        <w:rPr>
          <w:rFonts w:ascii="宋体" w:hAnsi="宋体" w:cs="宋体"/>
          <w:color w:val="auto"/>
          <w:sz w:val="24"/>
          <w:szCs w:val="24"/>
          <w:highlight w:val="none"/>
        </w:rPr>
      </w:pPr>
      <w:r>
        <w:rPr>
          <w:rFonts w:hint="eastAsia" w:ascii="宋体" w:hAnsi="宋体" w:cs="宋体"/>
          <w:color w:val="auto"/>
          <w:sz w:val="24"/>
          <w:szCs w:val="24"/>
          <w:highlight w:val="none"/>
        </w:rPr>
        <w:t>1.若为法定代表人办理并签署竞争性比选文件的，不提供此文件。</w:t>
      </w:r>
    </w:p>
    <w:p w14:paraId="33D22DC0">
      <w:pPr>
        <w:tabs>
          <w:tab w:val="left" w:pos="6300"/>
        </w:tabs>
        <w:snapToGrid w:val="0"/>
        <w:spacing w:line="360" w:lineRule="auto"/>
        <w:ind w:right="480" w:firstLine="570"/>
        <w:jc w:val="left"/>
        <w:rPr>
          <w:rFonts w:ascii="宋体" w:hAnsi="宋体" w:cs="宋体"/>
          <w:color w:val="auto"/>
          <w:sz w:val="24"/>
          <w:szCs w:val="24"/>
          <w:highlight w:val="none"/>
        </w:rPr>
      </w:pPr>
      <w:r>
        <w:rPr>
          <w:rFonts w:hint="eastAsia" w:ascii="宋体" w:hAnsi="宋体" w:cs="宋体"/>
          <w:color w:val="auto"/>
          <w:sz w:val="24"/>
          <w:szCs w:val="24"/>
          <w:highlight w:val="none"/>
        </w:rPr>
        <w:t>2.若为联合体竞争性比选的，法定代表人授权委托书由联合体主办方</w:t>
      </w:r>
      <w:r>
        <w:rPr>
          <w:rFonts w:hint="eastAsia" w:ascii="宋体" w:hAnsi="宋体" w:cs="宋体"/>
          <w:color w:val="auto"/>
          <w:kern w:val="0"/>
          <w:sz w:val="24"/>
          <w:szCs w:val="24"/>
          <w:highlight w:val="none"/>
        </w:rPr>
        <w:t>（主体）</w:t>
      </w:r>
      <w:r>
        <w:rPr>
          <w:rFonts w:hint="eastAsia" w:ascii="宋体" w:hAnsi="宋体" w:cs="宋体"/>
          <w:color w:val="auto"/>
          <w:sz w:val="24"/>
          <w:szCs w:val="24"/>
          <w:highlight w:val="none"/>
        </w:rPr>
        <w:t>出具。</w:t>
      </w:r>
    </w:p>
    <w:p w14:paraId="7555F4A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br w:type="column"/>
      </w:r>
    </w:p>
    <w:p w14:paraId="59213D37">
      <w:pPr>
        <w:spacing w:line="400" w:lineRule="exact"/>
        <w:ind w:firstLine="480" w:firstLineChars="200"/>
        <w:jc w:val="left"/>
        <w:rPr>
          <w:rFonts w:hint="eastAsia" w:ascii="方正仿宋_GBK" w:hAnsi="仿宋" w:eastAsia="方正仿宋_GBK"/>
          <w:color w:val="auto"/>
          <w:sz w:val="24"/>
          <w:szCs w:val="24"/>
          <w:highlight w:val="none"/>
        </w:rPr>
      </w:pPr>
      <w:r>
        <w:rPr>
          <w:rFonts w:hint="eastAsia" w:ascii="宋体" w:hAnsi="宋体" w:eastAsia="宋体" w:cs="宋体"/>
          <w:color w:val="auto"/>
          <w:sz w:val="24"/>
          <w:szCs w:val="28"/>
          <w:highlight w:val="none"/>
        </w:rPr>
        <w:t>（四）基本资格条件承诺函</w:t>
      </w:r>
    </w:p>
    <w:p w14:paraId="25B7275A">
      <w:pPr>
        <w:jc w:val="center"/>
        <w:outlineLvl w:val="0"/>
        <w:rPr>
          <w:rFonts w:hint="eastAsia" w:ascii="方正仿宋_GBK" w:hAnsi="方正仿宋_GBK" w:eastAsia="方正仿宋_GBK" w:cs="方正仿宋_GBK"/>
          <w:b/>
          <w:bCs/>
          <w:color w:val="auto"/>
          <w:sz w:val="28"/>
          <w:highlight w:val="none"/>
        </w:rPr>
      </w:pPr>
      <w:r>
        <w:rPr>
          <w:rFonts w:hint="eastAsia" w:ascii="方正仿宋_GBK" w:hAnsi="方正仿宋_GBK" w:eastAsia="方正仿宋_GBK" w:cs="方正仿宋_GBK"/>
          <w:b/>
          <w:bCs/>
          <w:color w:val="auto"/>
          <w:sz w:val="28"/>
          <w:highlight w:val="none"/>
        </w:rPr>
        <w:t>基本资格条件承诺函</w:t>
      </w:r>
    </w:p>
    <w:p w14:paraId="37A1E1BC">
      <w:pPr>
        <w:tabs>
          <w:tab w:val="left" w:pos="6300"/>
        </w:tabs>
        <w:snapToGrid w:val="0"/>
        <w:spacing w:line="360" w:lineRule="auto"/>
        <w:rPr>
          <w:rFonts w:ascii="宋体" w:hAnsi="宋体" w:cs="宋体"/>
          <w:color w:val="auto"/>
          <w:sz w:val="24"/>
          <w:szCs w:val="24"/>
          <w:highlight w:val="none"/>
        </w:rPr>
      </w:pPr>
    </w:p>
    <w:p w14:paraId="3ACBD479">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00D04D24">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4E2225EE">
      <w:pPr>
        <w:spacing w:line="4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241C5D65">
      <w:pPr>
        <w:spacing w:line="4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2.我方未列入在信用中国网站（</w:t>
      </w:r>
      <w:bookmarkStart w:id="59" w:name="OLE_LINK3"/>
      <w:r>
        <w:rPr>
          <w:rFonts w:hint="eastAsia" w:ascii="宋体" w:hAnsi="宋体" w:cs="宋体"/>
          <w:color w:val="auto"/>
          <w:sz w:val="24"/>
          <w:szCs w:val="28"/>
          <w:highlight w:val="none"/>
        </w:rPr>
        <w:t>www.creditchina.gov.cn</w:t>
      </w:r>
      <w:bookmarkEnd w:id="59"/>
      <w:r>
        <w:rPr>
          <w:rFonts w:hint="eastAsia" w:ascii="宋体" w:hAnsi="宋体" w:cs="宋体"/>
          <w:color w:val="auto"/>
          <w:sz w:val="24"/>
          <w:szCs w:val="28"/>
          <w:highlight w:val="none"/>
        </w:rPr>
        <w:t>）“失信被执行人”、“重大税收违法案件当事人名单”中，也未列入中国政府采购网（www.ccgp.gov.cn）“政府采购严重违法失信行为记录名单”中。</w:t>
      </w:r>
    </w:p>
    <w:p w14:paraId="26ED8D76">
      <w:pPr>
        <w:spacing w:line="4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3.我方在采购项目评审（评标）环节结束后，随时接受采购人、采购代理机构的检查验证，配合提供相关证明材料，证明符合《中华人民共和国政府采购法》规定的投标人基本资格条件。</w:t>
      </w:r>
    </w:p>
    <w:p w14:paraId="2D02B9C8">
      <w:pPr>
        <w:spacing w:line="4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我方对以上承诺负全部法律责任。</w:t>
      </w:r>
    </w:p>
    <w:p w14:paraId="4CF628A1">
      <w:pPr>
        <w:spacing w:line="4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特此承诺。</w:t>
      </w:r>
    </w:p>
    <w:p w14:paraId="211D9997">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45BA63A">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09E300F0">
      <w:pPr>
        <w:tabs>
          <w:tab w:val="left" w:pos="6300"/>
        </w:tabs>
        <w:snapToGrid w:val="0"/>
        <w:spacing w:line="500" w:lineRule="exact"/>
        <w:jc w:val="right"/>
        <w:rPr>
          <w:rFonts w:hint="eastAsia" w:ascii="方正仿宋_GBK" w:hAnsi="宋体" w:eastAsia="方正仿宋_GBK"/>
          <w:color w:val="auto"/>
          <w:sz w:val="24"/>
          <w:szCs w:val="24"/>
          <w:highlight w:val="none"/>
        </w:rPr>
      </w:pPr>
      <w:r>
        <w:rPr>
          <w:rFonts w:hint="eastAsia" w:ascii="宋体" w:hAnsi="宋体" w:eastAsia="宋体" w:cs="宋体"/>
          <w:color w:val="auto"/>
          <w:sz w:val="24"/>
          <w:highlight w:val="none"/>
        </w:rPr>
        <w:t>年   月   日</w:t>
      </w:r>
    </w:p>
    <w:p w14:paraId="7BD3BF93">
      <w:pPr>
        <w:numPr>
          <w:ilvl w:val="0"/>
          <w:numId w:val="0"/>
        </w:numPr>
        <w:snapToGrid/>
        <w:spacing w:line="440" w:lineRule="exact"/>
        <w:ind w:left="120" w:firstLine="0" w:firstLineChars="0"/>
        <w:jc w:val="left"/>
        <w:rPr>
          <w:rFonts w:ascii="宋体" w:hAnsi="宋体" w:cs="宋体"/>
          <w:color w:val="auto"/>
          <w:sz w:val="24"/>
          <w:szCs w:val="24"/>
          <w:highlight w:val="none"/>
        </w:rPr>
      </w:pPr>
      <w:r>
        <w:rPr>
          <w:rFonts w:ascii="宋体" w:hAnsi="宋体"/>
          <w:color w:val="auto"/>
          <w:sz w:val="24"/>
          <w:szCs w:val="24"/>
          <w:highlight w:val="none"/>
        </w:rPr>
        <w:br w:type="page"/>
      </w:r>
    </w:p>
    <w:p w14:paraId="1CFC984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rPr>
        <w:t>）特定资格条件证书或证明文件</w:t>
      </w:r>
    </w:p>
    <w:p w14:paraId="34B16D14">
      <w:pPr>
        <w:snapToGri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说明：供应商按“多证合一”登记制度办理营业执照的，税务登记证（副本）和社会保险登记证以供应商所提供的法人营业执照（副本）复印件为准。</w:t>
      </w:r>
    </w:p>
    <w:p w14:paraId="09C10AFA">
      <w:pPr>
        <w:tabs>
          <w:tab w:val="left" w:pos="6300"/>
        </w:tabs>
        <w:snapToGrid w:val="0"/>
        <w:spacing w:line="360" w:lineRule="auto"/>
        <w:ind w:firstLine="570"/>
        <w:jc w:val="left"/>
        <w:rPr>
          <w:rFonts w:ascii="宋体" w:hAnsi="宋体" w:cs="宋体"/>
          <w:color w:val="auto"/>
          <w:sz w:val="24"/>
          <w:szCs w:val="24"/>
          <w:highlight w:val="none"/>
        </w:rPr>
      </w:pPr>
    </w:p>
    <w:p w14:paraId="218D88D4">
      <w:pPr>
        <w:tabs>
          <w:tab w:val="left" w:pos="6300"/>
        </w:tabs>
        <w:snapToGrid w:val="0"/>
        <w:spacing w:line="360" w:lineRule="auto"/>
        <w:ind w:firstLine="570"/>
        <w:jc w:val="left"/>
        <w:rPr>
          <w:rFonts w:ascii="宋体" w:hAnsi="宋体" w:cs="宋体"/>
          <w:color w:val="auto"/>
          <w:sz w:val="24"/>
          <w:szCs w:val="24"/>
          <w:highlight w:val="none"/>
        </w:rPr>
      </w:pPr>
    </w:p>
    <w:p w14:paraId="4B6320A3">
      <w:pPr>
        <w:tabs>
          <w:tab w:val="left" w:pos="6300"/>
        </w:tabs>
        <w:snapToGrid w:val="0"/>
        <w:spacing w:line="360" w:lineRule="auto"/>
        <w:ind w:firstLine="570"/>
        <w:jc w:val="left"/>
        <w:rPr>
          <w:rFonts w:ascii="宋体" w:hAnsi="宋体" w:cs="宋体"/>
          <w:color w:val="auto"/>
          <w:sz w:val="24"/>
          <w:szCs w:val="24"/>
          <w:highlight w:val="none"/>
        </w:rPr>
      </w:pPr>
    </w:p>
    <w:p w14:paraId="71C5FBD6">
      <w:pPr>
        <w:tabs>
          <w:tab w:val="left" w:pos="6300"/>
        </w:tabs>
        <w:snapToGrid w:val="0"/>
        <w:spacing w:line="360" w:lineRule="auto"/>
        <w:ind w:firstLine="570"/>
        <w:jc w:val="left"/>
        <w:rPr>
          <w:rFonts w:ascii="宋体" w:hAnsi="宋体" w:cs="宋体"/>
          <w:color w:val="auto"/>
          <w:sz w:val="24"/>
          <w:szCs w:val="24"/>
          <w:highlight w:val="none"/>
        </w:rPr>
      </w:pPr>
    </w:p>
    <w:p w14:paraId="79DBFAFC">
      <w:pPr>
        <w:tabs>
          <w:tab w:val="left" w:pos="6300"/>
        </w:tabs>
        <w:snapToGrid w:val="0"/>
        <w:spacing w:line="360" w:lineRule="auto"/>
        <w:ind w:firstLine="570"/>
        <w:jc w:val="left"/>
        <w:rPr>
          <w:rFonts w:ascii="宋体" w:hAnsi="宋体" w:cs="宋体"/>
          <w:color w:val="auto"/>
          <w:sz w:val="24"/>
          <w:szCs w:val="24"/>
          <w:highlight w:val="none"/>
        </w:rPr>
      </w:pPr>
    </w:p>
    <w:p w14:paraId="6719518F">
      <w:pPr>
        <w:tabs>
          <w:tab w:val="left" w:pos="6300"/>
        </w:tabs>
        <w:snapToGrid w:val="0"/>
        <w:spacing w:line="360" w:lineRule="auto"/>
        <w:ind w:firstLine="570"/>
        <w:jc w:val="left"/>
        <w:rPr>
          <w:rFonts w:ascii="宋体" w:hAnsi="宋体" w:cs="宋体"/>
          <w:color w:val="auto"/>
          <w:sz w:val="24"/>
          <w:szCs w:val="24"/>
          <w:highlight w:val="none"/>
        </w:rPr>
      </w:pPr>
    </w:p>
    <w:p w14:paraId="259BE356">
      <w:pPr>
        <w:tabs>
          <w:tab w:val="left" w:pos="6300"/>
        </w:tabs>
        <w:snapToGrid w:val="0"/>
        <w:spacing w:line="360" w:lineRule="auto"/>
        <w:ind w:firstLine="570"/>
        <w:jc w:val="left"/>
        <w:rPr>
          <w:rFonts w:ascii="宋体" w:hAnsi="宋体" w:cs="宋体"/>
          <w:color w:val="auto"/>
          <w:sz w:val="24"/>
          <w:szCs w:val="24"/>
          <w:highlight w:val="none"/>
        </w:rPr>
      </w:pPr>
    </w:p>
    <w:p w14:paraId="36687977">
      <w:pPr>
        <w:tabs>
          <w:tab w:val="left" w:pos="6300"/>
        </w:tabs>
        <w:snapToGrid w:val="0"/>
        <w:spacing w:line="360" w:lineRule="auto"/>
        <w:ind w:firstLine="570"/>
        <w:jc w:val="left"/>
        <w:rPr>
          <w:rFonts w:ascii="宋体" w:hAnsi="宋体" w:cs="宋体"/>
          <w:color w:val="auto"/>
          <w:sz w:val="24"/>
          <w:szCs w:val="24"/>
          <w:highlight w:val="none"/>
        </w:rPr>
      </w:pPr>
    </w:p>
    <w:p w14:paraId="667956A1">
      <w:pPr>
        <w:tabs>
          <w:tab w:val="left" w:pos="6300"/>
        </w:tabs>
        <w:snapToGrid w:val="0"/>
        <w:spacing w:line="360" w:lineRule="auto"/>
        <w:ind w:firstLine="570"/>
        <w:jc w:val="left"/>
        <w:rPr>
          <w:rFonts w:ascii="宋体" w:hAnsi="宋体" w:cs="宋体"/>
          <w:color w:val="auto"/>
          <w:sz w:val="24"/>
          <w:szCs w:val="24"/>
          <w:highlight w:val="none"/>
        </w:rPr>
      </w:pPr>
    </w:p>
    <w:p w14:paraId="5ACB6F89">
      <w:pPr>
        <w:tabs>
          <w:tab w:val="left" w:pos="6300"/>
        </w:tabs>
        <w:snapToGrid w:val="0"/>
        <w:spacing w:line="360" w:lineRule="auto"/>
        <w:ind w:firstLine="570"/>
        <w:jc w:val="left"/>
        <w:rPr>
          <w:rFonts w:ascii="宋体" w:hAnsi="宋体" w:cs="宋体"/>
          <w:color w:val="auto"/>
          <w:sz w:val="24"/>
          <w:szCs w:val="24"/>
          <w:highlight w:val="none"/>
        </w:rPr>
      </w:pPr>
    </w:p>
    <w:p w14:paraId="3CB2F1C8">
      <w:pPr>
        <w:tabs>
          <w:tab w:val="left" w:pos="6300"/>
        </w:tabs>
        <w:snapToGrid w:val="0"/>
        <w:spacing w:line="360" w:lineRule="auto"/>
        <w:ind w:firstLine="570"/>
        <w:jc w:val="left"/>
        <w:rPr>
          <w:rFonts w:ascii="宋体" w:hAnsi="宋体" w:cs="宋体"/>
          <w:color w:val="auto"/>
          <w:sz w:val="24"/>
          <w:szCs w:val="24"/>
          <w:highlight w:val="none"/>
        </w:rPr>
      </w:pPr>
    </w:p>
    <w:p w14:paraId="63596387">
      <w:pPr>
        <w:tabs>
          <w:tab w:val="left" w:pos="6300"/>
        </w:tabs>
        <w:snapToGrid w:val="0"/>
        <w:spacing w:line="360" w:lineRule="auto"/>
        <w:ind w:firstLine="570"/>
        <w:jc w:val="left"/>
        <w:rPr>
          <w:rFonts w:ascii="宋体" w:hAnsi="宋体" w:cs="宋体"/>
          <w:color w:val="auto"/>
          <w:sz w:val="24"/>
          <w:szCs w:val="24"/>
          <w:highlight w:val="none"/>
        </w:rPr>
      </w:pPr>
    </w:p>
    <w:p w14:paraId="758AE57D">
      <w:pPr>
        <w:tabs>
          <w:tab w:val="left" w:pos="6300"/>
        </w:tabs>
        <w:snapToGrid w:val="0"/>
        <w:spacing w:line="360" w:lineRule="auto"/>
        <w:ind w:firstLine="570"/>
        <w:jc w:val="left"/>
        <w:rPr>
          <w:rFonts w:ascii="宋体" w:hAnsi="宋体" w:cs="宋体"/>
          <w:color w:val="auto"/>
          <w:sz w:val="24"/>
          <w:szCs w:val="24"/>
          <w:highlight w:val="none"/>
        </w:rPr>
      </w:pPr>
    </w:p>
    <w:p w14:paraId="69BBDA8C">
      <w:pPr>
        <w:tabs>
          <w:tab w:val="left" w:pos="6300"/>
        </w:tabs>
        <w:snapToGrid w:val="0"/>
        <w:spacing w:line="360" w:lineRule="auto"/>
        <w:ind w:firstLine="570"/>
        <w:jc w:val="left"/>
        <w:rPr>
          <w:rFonts w:ascii="宋体" w:hAnsi="宋体" w:cs="宋体"/>
          <w:color w:val="auto"/>
          <w:sz w:val="24"/>
          <w:szCs w:val="24"/>
          <w:highlight w:val="none"/>
        </w:rPr>
      </w:pPr>
    </w:p>
    <w:p w14:paraId="354BE41D">
      <w:pPr>
        <w:tabs>
          <w:tab w:val="left" w:pos="6300"/>
        </w:tabs>
        <w:snapToGrid w:val="0"/>
        <w:spacing w:line="360" w:lineRule="auto"/>
        <w:ind w:firstLine="570"/>
        <w:jc w:val="left"/>
        <w:rPr>
          <w:rFonts w:ascii="宋体" w:hAnsi="宋体" w:cs="宋体"/>
          <w:color w:val="auto"/>
          <w:sz w:val="24"/>
          <w:szCs w:val="24"/>
          <w:highlight w:val="none"/>
        </w:rPr>
      </w:pPr>
    </w:p>
    <w:p w14:paraId="79C9CB04">
      <w:pPr>
        <w:pStyle w:val="4"/>
        <w:pageBreakBefore/>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三、技术文件</w:t>
      </w:r>
      <w:bookmarkEnd w:id="58"/>
    </w:p>
    <w:p w14:paraId="504D71CB">
      <w:pPr>
        <w:spacing w:line="360" w:lineRule="auto"/>
        <w:jc w:val="center"/>
        <w:rPr>
          <w:rFonts w:ascii="宋体" w:hAnsi="宋体" w:cs="宋体"/>
          <w:b/>
          <w:bCs/>
          <w:color w:val="auto"/>
          <w:sz w:val="24"/>
          <w:szCs w:val="24"/>
          <w:highlight w:val="none"/>
        </w:rPr>
      </w:pPr>
      <w:bookmarkStart w:id="60" w:name="_Toc429584886"/>
      <w:bookmarkStart w:id="61" w:name="_Toc492721039"/>
      <w:bookmarkStart w:id="62" w:name="_Toc24399"/>
      <w:r>
        <w:rPr>
          <w:rFonts w:hint="eastAsia" w:ascii="宋体" w:hAnsi="宋体" w:cs="宋体"/>
          <w:b/>
          <w:bCs/>
          <w:color w:val="auto"/>
          <w:sz w:val="24"/>
          <w:szCs w:val="24"/>
          <w:highlight w:val="none"/>
        </w:rPr>
        <w:t>（一）服务方案</w:t>
      </w:r>
    </w:p>
    <w:p w14:paraId="0421B853">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可参照本比选文件“第二篇项目技术服务要求”及“第四篇评审办法”各要点提供相关资料或其他相关材料。 </w:t>
      </w:r>
    </w:p>
    <w:p w14:paraId="73D856C0">
      <w:pPr>
        <w:spacing w:line="440" w:lineRule="exact"/>
        <w:rPr>
          <w:rFonts w:ascii="宋体" w:hAnsi="宋体" w:cs="宋体"/>
          <w:color w:val="auto"/>
          <w:sz w:val="24"/>
          <w:szCs w:val="24"/>
          <w:highlight w:val="none"/>
        </w:rPr>
      </w:pPr>
    </w:p>
    <w:p w14:paraId="0789AF8C">
      <w:pPr>
        <w:spacing w:line="440" w:lineRule="exact"/>
        <w:rPr>
          <w:rFonts w:ascii="宋体" w:hAnsi="宋体" w:cs="宋体"/>
          <w:color w:val="auto"/>
          <w:sz w:val="24"/>
          <w:szCs w:val="24"/>
          <w:highlight w:val="none"/>
        </w:rPr>
      </w:pPr>
    </w:p>
    <w:p w14:paraId="361CCD44">
      <w:pPr>
        <w:spacing w:line="440" w:lineRule="exact"/>
        <w:rPr>
          <w:rFonts w:ascii="宋体" w:hAnsi="宋体" w:cs="宋体"/>
          <w:color w:val="auto"/>
          <w:sz w:val="24"/>
          <w:szCs w:val="24"/>
          <w:highlight w:val="none"/>
        </w:rPr>
      </w:pPr>
    </w:p>
    <w:p w14:paraId="63EFB7C8">
      <w:pPr>
        <w:spacing w:line="440" w:lineRule="exact"/>
        <w:rPr>
          <w:rFonts w:ascii="宋体" w:hAnsi="宋体" w:cs="宋体"/>
          <w:color w:val="auto"/>
          <w:sz w:val="24"/>
          <w:szCs w:val="24"/>
          <w:highlight w:val="none"/>
        </w:rPr>
      </w:pPr>
    </w:p>
    <w:p w14:paraId="3380B5B4">
      <w:pPr>
        <w:spacing w:line="440" w:lineRule="exact"/>
        <w:rPr>
          <w:rFonts w:ascii="宋体" w:hAnsi="宋体" w:cs="宋体"/>
          <w:color w:val="auto"/>
          <w:sz w:val="24"/>
          <w:szCs w:val="24"/>
          <w:highlight w:val="none"/>
        </w:rPr>
      </w:pPr>
    </w:p>
    <w:p w14:paraId="775E57C8">
      <w:pPr>
        <w:spacing w:line="440" w:lineRule="exact"/>
        <w:rPr>
          <w:rFonts w:ascii="宋体" w:hAnsi="宋体" w:cs="宋体"/>
          <w:color w:val="auto"/>
          <w:sz w:val="24"/>
          <w:szCs w:val="24"/>
          <w:highlight w:val="none"/>
        </w:rPr>
      </w:pPr>
    </w:p>
    <w:p w14:paraId="6B14D42E">
      <w:pPr>
        <w:spacing w:line="440" w:lineRule="exact"/>
        <w:rPr>
          <w:rFonts w:ascii="宋体" w:hAnsi="宋体" w:cs="宋体"/>
          <w:color w:val="auto"/>
          <w:sz w:val="24"/>
          <w:szCs w:val="24"/>
          <w:highlight w:val="none"/>
        </w:rPr>
      </w:pPr>
    </w:p>
    <w:p w14:paraId="3132D247">
      <w:pPr>
        <w:spacing w:line="440" w:lineRule="exact"/>
        <w:rPr>
          <w:rFonts w:ascii="宋体" w:hAnsi="宋体" w:cs="宋体"/>
          <w:color w:val="auto"/>
          <w:sz w:val="24"/>
          <w:szCs w:val="24"/>
          <w:highlight w:val="none"/>
        </w:rPr>
      </w:pPr>
    </w:p>
    <w:p w14:paraId="263982E5">
      <w:pPr>
        <w:spacing w:line="440" w:lineRule="exact"/>
        <w:rPr>
          <w:rFonts w:ascii="宋体" w:hAnsi="宋体" w:cs="宋体"/>
          <w:color w:val="auto"/>
          <w:sz w:val="24"/>
          <w:szCs w:val="24"/>
          <w:highlight w:val="none"/>
        </w:rPr>
      </w:pPr>
    </w:p>
    <w:p w14:paraId="4A51FF84">
      <w:pPr>
        <w:spacing w:line="440" w:lineRule="exact"/>
        <w:rPr>
          <w:rFonts w:ascii="宋体" w:hAnsi="宋体" w:cs="宋体"/>
          <w:color w:val="auto"/>
          <w:sz w:val="24"/>
          <w:szCs w:val="24"/>
          <w:highlight w:val="none"/>
        </w:rPr>
      </w:pPr>
    </w:p>
    <w:p w14:paraId="6DA59721">
      <w:pPr>
        <w:spacing w:line="440" w:lineRule="exact"/>
        <w:rPr>
          <w:rFonts w:ascii="宋体" w:hAnsi="宋体" w:cs="宋体"/>
          <w:color w:val="auto"/>
          <w:sz w:val="24"/>
          <w:szCs w:val="24"/>
          <w:highlight w:val="none"/>
        </w:rPr>
      </w:pPr>
    </w:p>
    <w:p w14:paraId="471B6C71">
      <w:pPr>
        <w:spacing w:line="440" w:lineRule="exact"/>
        <w:rPr>
          <w:rFonts w:ascii="宋体" w:hAnsi="宋体" w:cs="宋体"/>
          <w:color w:val="auto"/>
          <w:sz w:val="24"/>
          <w:szCs w:val="24"/>
          <w:highlight w:val="none"/>
        </w:rPr>
      </w:pPr>
    </w:p>
    <w:p w14:paraId="5A099AA6">
      <w:pPr>
        <w:spacing w:line="440" w:lineRule="exact"/>
        <w:rPr>
          <w:rFonts w:ascii="宋体" w:hAnsi="宋体" w:cs="宋体"/>
          <w:color w:val="auto"/>
          <w:sz w:val="24"/>
          <w:szCs w:val="24"/>
          <w:highlight w:val="none"/>
        </w:rPr>
      </w:pPr>
    </w:p>
    <w:p w14:paraId="2675D847">
      <w:pPr>
        <w:spacing w:line="440" w:lineRule="exact"/>
        <w:rPr>
          <w:rFonts w:ascii="宋体" w:hAnsi="宋体" w:cs="宋体"/>
          <w:color w:val="auto"/>
          <w:sz w:val="24"/>
          <w:szCs w:val="24"/>
          <w:highlight w:val="none"/>
        </w:rPr>
      </w:pPr>
    </w:p>
    <w:p w14:paraId="5C4CC15B">
      <w:pPr>
        <w:spacing w:line="440" w:lineRule="exact"/>
        <w:rPr>
          <w:rFonts w:ascii="宋体" w:hAnsi="宋体" w:cs="宋体"/>
          <w:color w:val="auto"/>
          <w:sz w:val="24"/>
          <w:szCs w:val="24"/>
          <w:highlight w:val="none"/>
        </w:rPr>
      </w:pPr>
    </w:p>
    <w:p w14:paraId="63E301D2">
      <w:pPr>
        <w:spacing w:line="440" w:lineRule="exact"/>
        <w:rPr>
          <w:rFonts w:ascii="宋体" w:hAnsi="宋体" w:cs="宋体"/>
          <w:color w:val="auto"/>
          <w:sz w:val="24"/>
          <w:szCs w:val="24"/>
          <w:highlight w:val="none"/>
        </w:rPr>
      </w:pPr>
    </w:p>
    <w:p w14:paraId="549B0384">
      <w:pPr>
        <w:spacing w:line="440" w:lineRule="exact"/>
        <w:rPr>
          <w:rFonts w:ascii="宋体" w:hAnsi="宋体" w:cs="宋体"/>
          <w:color w:val="auto"/>
          <w:sz w:val="24"/>
          <w:szCs w:val="24"/>
          <w:highlight w:val="none"/>
        </w:rPr>
      </w:pPr>
    </w:p>
    <w:p w14:paraId="4C5C9CC9">
      <w:pPr>
        <w:spacing w:line="440" w:lineRule="exact"/>
        <w:rPr>
          <w:rFonts w:ascii="宋体" w:hAnsi="宋体" w:cs="宋体"/>
          <w:color w:val="auto"/>
          <w:sz w:val="24"/>
          <w:szCs w:val="24"/>
          <w:highlight w:val="none"/>
        </w:rPr>
      </w:pPr>
    </w:p>
    <w:p w14:paraId="11A584FB">
      <w:pPr>
        <w:spacing w:line="440" w:lineRule="exact"/>
        <w:rPr>
          <w:rFonts w:ascii="宋体" w:hAnsi="宋体" w:cs="宋体"/>
          <w:color w:val="auto"/>
          <w:sz w:val="24"/>
          <w:szCs w:val="24"/>
          <w:highlight w:val="none"/>
        </w:rPr>
      </w:pPr>
    </w:p>
    <w:p w14:paraId="7D0E18EF">
      <w:pPr>
        <w:spacing w:line="440" w:lineRule="exact"/>
        <w:rPr>
          <w:rFonts w:ascii="宋体" w:hAnsi="宋体" w:cs="宋体"/>
          <w:color w:val="auto"/>
          <w:sz w:val="24"/>
          <w:szCs w:val="24"/>
          <w:highlight w:val="none"/>
        </w:rPr>
      </w:pPr>
    </w:p>
    <w:p w14:paraId="7F4FB528">
      <w:pPr>
        <w:spacing w:line="440" w:lineRule="exact"/>
        <w:rPr>
          <w:rFonts w:ascii="宋体" w:hAnsi="宋体" w:cs="宋体"/>
          <w:color w:val="auto"/>
          <w:sz w:val="24"/>
          <w:szCs w:val="24"/>
          <w:highlight w:val="none"/>
        </w:rPr>
      </w:pPr>
    </w:p>
    <w:p w14:paraId="6C9E9D8A">
      <w:pPr>
        <w:spacing w:line="440" w:lineRule="exact"/>
        <w:rPr>
          <w:rFonts w:ascii="宋体" w:hAnsi="宋体" w:cs="宋体"/>
          <w:color w:val="auto"/>
          <w:sz w:val="24"/>
          <w:szCs w:val="24"/>
          <w:highlight w:val="none"/>
        </w:rPr>
      </w:pPr>
    </w:p>
    <w:p w14:paraId="3BD9C144">
      <w:pPr>
        <w:spacing w:line="440" w:lineRule="exact"/>
        <w:rPr>
          <w:rFonts w:ascii="宋体" w:hAnsi="宋体" w:cs="宋体"/>
          <w:color w:val="auto"/>
          <w:sz w:val="24"/>
          <w:szCs w:val="24"/>
          <w:highlight w:val="none"/>
        </w:rPr>
      </w:pPr>
    </w:p>
    <w:p w14:paraId="51C8302A">
      <w:pPr>
        <w:spacing w:line="440" w:lineRule="exact"/>
        <w:rPr>
          <w:rFonts w:ascii="宋体" w:hAnsi="宋体" w:cs="宋体"/>
          <w:color w:val="auto"/>
          <w:sz w:val="24"/>
          <w:szCs w:val="24"/>
          <w:highlight w:val="none"/>
        </w:rPr>
      </w:pPr>
    </w:p>
    <w:p w14:paraId="4AF74B48">
      <w:pPr>
        <w:spacing w:line="4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（二）技术条款差异表</w:t>
      </w:r>
    </w:p>
    <w:p w14:paraId="529D16AD">
      <w:pPr>
        <w:pStyle w:val="11"/>
        <w:tabs>
          <w:tab w:val="left" w:pos="6300"/>
        </w:tabs>
        <w:snapToGrid w:val="0"/>
        <w:spacing w:line="440" w:lineRule="exact"/>
        <w:ind w:firstLine="480" w:firstLineChars="200"/>
        <w:outlineLvl w:val="0"/>
        <w:rPr>
          <w:rFonts w:ascii="宋体" w:hAnsi="宋体" w:cs="宋体"/>
          <w:color w:val="auto"/>
          <w:sz w:val="24"/>
          <w:highlight w:val="none"/>
        </w:rPr>
      </w:pPr>
      <w:r>
        <w:rPr>
          <w:rFonts w:hint="eastAsia" w:ascii="宋体" w:hAnsi="宋体" w:cs="宋体"/>
          <w:color w:val="auto"/>
          <w:sz w:val="24"/>
          <w:szCs w:val="28"/>
          <w:highlight w:val="none"/>
        </w:rPr>
        <w:t>比选项目名称</w:t>
      </w:r>
      <w:r>
        <w:rPr>
          <w:rFonts w:hint="eastAsia" w:ascii="宋体" w:hAnsi="宋体" w:cs="宋体"/>
          <w:color w:val="auto"/>
          <w:sz w:val="24"/>
          <w:highlight w:val="none"/>
        </w:rPr>
        <w:t>：</w:t>
      </w:r>
    </w:p>
    <w:tbl>
      <w:tblPr>
        <w:tblStyle w:val="23"/>
        <w:tblW w:w="7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417"/>
        <w:gridCol w:w="2509"/>
        <w:gridCol w:w="1879"/>
      </w:tblGrid>
      <w:tr w14:paraId="55CA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33" w:type="dxa"/>
            <w:vAlign w:val="center"/>
          </w:tcPr>
          <w:p w14:paraId="6D9F55E5">
            <w:pPr>
              <w:tabs>
                <w:tab w:val="left" w:pos="6300"/>
              </w:tabs>
              <w:snapToGrid w:val="0"/>
              <w:spacing w:line="440" w:lineRule="exact"/>
              <w:jc w:val="center"/>
              <w:outlineLvl w:val="0"/>
              <w:rPr>
                <w:rFonts w:ascii="宋体" w:hAnsi="宋体" w:cs="宋体"/>
                <w:color w:val="auto"/>
                <w:szCs w:val="21"/>
                <w:highlight w:val="none"/>
              </w:rPr>
            </w:pPr>
            <w:r>
              <w:rPr>
                <w:rFonts w:hint="eastAsia" w:ascii="宋体" w:hAnsi="宋体" w:cs="宋体"/>
                <w:color w:val="auto"/>
                <w:szCs w:val="21"/>
                <w:highlight w:val="none"/>
              </w:rPr>
              <w:t>序号</w:t>
            </w:r>
          </w:p>
        </w:tc>
        <w:tc>
          <w:tcPr>
            <w:tcW w:w="2417" w:type="dxa"/>
            <w:vAlign w:val="center"/>
          </w:tcPr>
          <w:p w14:paraId="65FF29D7">
            <w:pPr>
              <w:tabs>
                <w:tab w:val="left" w:pos="6300"/>
              </w:tabs>
              <w:snapToGrid w:val="0"/>
              <w:spacing w:line="440" w:lineRule="exact"/>
              <w:jc w:val="center"/>
              <w:outlineLvl w:val="0"/>
              <w:rPr>
                <w:rFonts w:ascii="宋体" w:hAnsi="宋体" w:cs="宋体"/>
                <w:color w:val="auto"/>
                <w:szCs w:val="21"/>
                <w:highlight w:val="none"/>
              </w:rPr>
            </w:pPr>
            <w:r>
              <w:rPr>
                <w:rFonts w:hint="eastAsia" w:ascii="宋体" w:hAnsi="宋体" w:cs="宋体"/>
                <w:color w:val="auto"/>
                <w:szCs w:val="21"/>
                <w:highlight w:val="none"/>
              </w:rPr>
              <w:t>比选要求</w:t>
            </w:r>
          </w:p>
        </w:tc>
        <w:tc>
          <w:tcPr>
            <w:tcW w:w="2509" w:type="dxa"/>
            <w:vAlign w:val="center"/>
          </w:tcPr>
          <w:p w14:paraId="1905E41F">
            <w:pPr>
              <w:tabs>
                <w:tab w:val="left" w:pos="6300"/>
              </w:tabs>
              <w:snapToGrid w:val="0"/>
              <w:spacing w:line="440" w:lineRule="exact"/>
              <w:jc w:val="center"/>
              <w:outlineLvl w:val="0"/>
              <w:rPr>
                <w:rFonts w:ascii="宋体" w:hAnsi="宋体" w:cs="宋体"/>
                <w:color w:val="auto"/>
                <w:szCs w:val="21"/>
                <w:highlight w:val="none"/>
              </w:rPr>
            </w:pPr>
            <w:r>
              <w:rPr>
                <w:rFonts w:hint="eastAsia" w:ascii="宋体" w:hAnsi="宋体" w:cs="宋体"/>
                <w:color w:val="auto"/>
                <w:szCs w:val="21"/>
                <w:highlight w:val="none"/>
              </w:rPr>
              <w:t>响应应答</w:t>
            </w:r>
          </w:p>
        </w:tc>
        <w:tc>
          <w:tcPr>
            <w:tcW w:w="1879" w:type="dxa"/>
            <w:vAlign w:val="center"/>
          </w:tcPr>
          <w:p w14:paraId="22D494D8">
            <w:pPr>
              <w:tabs>
                <w:tab w:val="left" w:pos="6300"/>
              </w:tabs>
              <w:snapToGrid w:val="0"/>
              <w:spacing w:line="440" w:lineRule="exact"/>
              <w:jc w:val="center"/>
              <w:outlineLvl w:val="0"/>
              <w:rPr>
                <w:rFonts w:ascii="宋体" w:hAnsi="宋体" w:cs="宋体"/>
                <w:color w:val="auto"/>
                <w:szCs w:val="21"/>
                <w:highlight w:val="none"/>
              </w:rPr>
            </w:pPr>
            <w:r>
              <w:rPr>
                <w:rFonts w:hint="eastAsia" w:ascii="宋体" w:hAnsi="宋体" w:cs="宋体"/>
                <w:color w:val="auto"/>
                <w:szCs w:val="21"/>
                <w:highlight w:val="none"/>
              </w:rPr>
              <w:t>差异说明</w:t>
            </w:r>
          </w:p>
        </w:tc>
      </w:tr>
      <w:tr w14:paraId="40E1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33" w:type="dxa"/>
            <w:vAlign w:val="center"/>
          </w:tcPr>
          <w:p w14:paraId="15F614D6">
            <w:pPr>
              <w:tabs>
                <w:tab w:val="left" w:pos="6300"/>
              </w:tabs>
              <w:snapToGrid w:val="0"/>
              <w:spacing w:line="440" w:lineRule="exact"/>
              <w:jc w:val="center"/>
              <w:outlineLvl w:val="0"/>
              <w:rPr>
                <w:rFonts w:ascii="宋体" w:hAnsi="宋体" w:cs="宋体"/>
                <w:color w:val="auto"/>
                <w:szCs w:val="21"/>
                <w:highlight w:val="none"/>
              </w:rPr>
            </w:pPr>
          </w:p>
        </w:tc>
        <w:tc>
          <w:tcPr>
            <w:tcW w:w="2417" w:type="dxa"/>
            <w:vAlign w:val="center"/>
          </w:tcPr>
          <w:p w14:paraId="2AEB5021">
            <w:pPr>
              <w:tabs>
                <w:tab w:val="left" w:pos="6300"/>
              </w:tabs>
              <w:snapToGrid w:val="0"/>
              <w:spacing w:line="440" w:lineRule="exact"/>
              <w:jc w:val="center"/>
              <w:outlineLvl w:val="0"/>
              <w:rPr>
                <w:rFonts w:ascii="宋体" w:hAnsi="宋体" w:cs="宋体"/>
                <w:color w:val="auto"/>
                <w:szCs w:val="21"/>
                <w:highlight w:val="none"/>
              </w:rPr>
            </w:pPr>
          </w:p>
        </w:tc>
        <w:tc>
          <w:tcPr>
            <w:tcW w:w="2509" w:type="dxa"/>
            <w:vAlign w:val="center"/>
          </w:tcPr>
          <w:p w14:paraId="51E3AA41">
            <w:pPr>
              <w:tabs>
                <w:tab w:val="left" w:pos="6300"/>
              </w:tabs>
              <w:snapToGrid w:val="0"/>
              <w:spacing w:line="440" w:lineRule="exact"/>
              <w:jc w:val="center"/>
              <w:outlineLvl w:val="0"/>
              <w:rPr>
                <w:rFonts w:ascii="宋体" w:hAnsi="宋体" w:cs="宋体"/>
                <w:color w:val="auto"/>
                <w:szCs w:val="21"/>
                <w:highlight w:val="none"/>
              </w:rPr>
            </w:pPr>
          </w:p>
        </w:tc>
        <w:tc>
          <w:tcPr>
            <w:tcW w:w="1879" w:type="dxa"/>
            <w:vAlign w:val="center"/>
          </w:tcPr>
          <w:p w14:paraId="00D22FF4">
            <w:pPr>
              <w:tabs>
                <w:tab w:val="left" w:pos="6300"/>
              </w:tabs>
              <w:snapToGrid w:val="0"/>
              <w:spacing w:line="440" w:lineRule="exact"/>
              <w:jc w:val="center"/>
              <w:outlineLvl w:val="0"/>
              <w:rPr>
                <w:rFonts w:ascii="宋体" w:hAnsi="宋体" w:cs="宋体"/>
                <w:color w:val="auto"/>
                <w:szCs w:val="21"/>
                <w:highlight w:val="none"/>
              </w:rPr>
            </w:pPr>
          </w:p>
        </w:tc>
      </w:tr>
      <w:tr w14:paraId="3912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33" w:type="dxa"/>
            <w:vAlign w:val="center"/>
          </w:tcPr>
          <w:p w14:paraId="6D89EDCA">
            <w:pPr>
              <w:tabs>
                <w:tab w:val="left" w:pos="6300"/>
              </w:tabs>
              <w:snapToGrid w:val="0"/>
              <w:spacing w:line="440" w:lineRule="exact"/>
              <w:jc w:val="center"/>
              <w:outlineLvl w:val="0"/>
              <w:rPr>
                <w:rFonts w:ascii="宋体" w:hAnsi="宋体" w:cs="宋体"/>
                <w:color w:val="auto"/>
                <w:szCs w:val="21"/>
                <w:highlight w:val="none"/>
              </w:rPr>
            </w:pPr>
          </w:p>
        </w:tc>
        <w:tc>
          <w:tcPr>
            <w:tcW w:w="2417" w:type="dxa"/>
            <w:vAlign w:val="center"/>
          </w:tcPr>
          <w:p w14:paraId="21CA306D">
            <w:pPr>
              <w:tabs>
                <w:tab w:val="left" w:pos="6300"/>
              </w:tabs>
              <w:snapToGrid w:val="0"/>
              <w:spacing w:line="440" w:lineRule="exact"/>
              <w:jc w:val="center"/>
              <w:outlineLvl w:val="0"/>
              <w:rPr>
                <w:rFonts w:ascii="宋体" w:hAnsi="宋体" w:cs="宋体"/>
                <w:color w:val="auto"/>
                <w:szCs w:val="21"/>
                <w:highlight w:val="none"/>
              </w:rPr>
            </w:pPr>
          </w:p>
        </w:tc>
        <w:tc>
          <w:tcPr>
            <w:tcW w:w="2509" w:type="dxa"/>
            <w:vAlign w:val="center"/>
          </w:tcPr>
          <w:p w14:paraId="6182E4FB">
            <w:pPr>
              <w:tabs>
                <w:tab w:val="left" w:pos="6300"/>
              </w:tabs>
              <w:snapToGrid w:val="0"/>
              <w:spacing w:line="440" w:lineRule="exact"/>
              <w:jc w:val="center"/>
              <w:outlineLvl w:val="0"/>
              <w:rPr>
                <w:rFonts w:ascii="宋体" w:hAnsi="宋体" w:cs="宋体"/>
                <w:color w:val="auto"/>
                <w:szCs w:val="21"/>
                <w:highlight w:val="none"/>
              </w:rPr>
            </w:pPr>
          </w:p>
        </w:tc>
        <w:tc>
          <w:tcPr>
            <w:tcW w:w="1879" w:type="dxa"/>
            <w:vAlign w:val="center"/>
          </w:tcPr>
          <w:p w14:paraId="06D30A53">
            <w:pPr>
              <w:tabs>
                <w:tab w:val="left" w:pos="6300"/>
              </w:tabs>
              <w:snapToGrid w:val="0"/>
              <w:spacing w:line="440" w:lineRule="exact"/>
              <w:jc w:val="center"/>
              <w:outlineLvl w:val="0"/>
              <w:rPr>
                <w:rFonts w:ascii="宋体" w:hAnsi="宋体" w:cs="宋体"/>
                <w:color w:val="auto"/>
                <w:szCs w:val="21"/>
                <w:highlight w:val="none"/>
              </w:rPr>
            </w:pPr>
          </w:p>
        </w:tc>
      </w:tr>
      <w:tr w14:paraId="2C7A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33" w:type="dxa"/>
            <w:vAlign w:val="center"/>
          </w:tcPr>
          <w:p w14:paraId="47B6B3F1">
            <w:pPr>
              <w:tabs>
                <w:tab w:val="left" w:pos="6300"/>
              </w:tabs>
              <w:snapToGrid w:val="0"/>
              <w:spacing w:line="440" w:lineRule="exact"/>
              <w:jc w:val="center"/>
              <w:outlineLvl w:val="0"/>
              <w:rPr>
                <w:rFonts w:ascii="宋体" w:hAnsi="宋体" w:cs="宋体"/>
                <w:color w:val="auto"/>
                <w:szCs w:val="21"/>
                <w:highlight w:val="none"/>
              </w:rPr>
            </w:pPr>
          </w:p>
        </w:tc>
        <w:tc>
          <w:tcPr>
            <w:tcW w:w="2417" w:type="dxa"/>
            <w:vAlign w:val="center"/>
          </w:tcPr>
          <w:p w14:paraId="34A91E89">
            <w:pPr>
              <w:tabs>
                <w:tab w:val="left" w:pos="6300"/>
              </w:tabs>
              <w:snapToGrid w:val="0"/>
              <w:spacing w:line="440" w:lineRule="exact"/>
              <w:jc w:val="center"/>
              <w:outlineLvl w:val="0"/>
              <w:rPr>
                <w:rFonts w:ascii="宋体" w:hAnsi="宋体" w:cs="宋体"/>
                <w:color w:val="auto"/>
                <w:szCs w:val="21"/>
                <w:highlight w:val="none"/>
              </w:rPr>
            </w:pPr>
          </w:p>
        </w:tc>
        <w:tc>
          <w:tcPr>
            <w:tcW w:w="2509" w:type="dxa"/>
            <w:vAlign w:val="center"/>
          </w:tcPr>
          <w:p w14:paraId="551FEC5D">
            <w:pPr>
              <w:tabs>
                <w:tab w:val="left" w:pos="6300"/>
              </w:tabs>
              <w:snapToGrid w:val="0"/>
              <w:spacing w:line="440" w:lineRule="exact"/>
              <w:jc w:val="center"/>
              <w:outlineLvl w:val="0"/>
              <w:rPr>
                <w:rFonts w:ascii="宋体" w:hAnsi="宋体" w:cs="宋体"/>
                <w:color w:val="auto"/>
                <w:szCs w:val="21"/>
                <w:highlight w:val="none"/>
              </w:rPr>
            </w:pPr>
          </w:p>
        </w:tc>
        <w:tc>
          <w:tcPr>
            <w:tcW w:w="1879" w:type="dxa"/>
            <w:vAlign w:val="center"/>
          </w:tcPr>
          <w:p w14:paraId="2614807B">
            <w:pPr>
              <w:tabs>
                <w:tab w:val="left" w:pos="6300"/>
              </w:tabs>
              <w:snapToGrid w:val="0"/>
              <w:spacing w:line="440" w:lineRule="exact"/>
              <w:jc w:val="center"/>
              <w:outlineLvl w:val="0"/>
              <w:rPr>
                <w:rFonts w:ascii="宋体" w:hAnsi="宋体" w:cs="宋体"/>
                <w:color w:val="auto"/>
                <w:szCs w:val="21"/>
                <w:highlight w:val="none"/>
              </w:rPr>
            </w:pPr>
          </w:p>
        </w:tc>
      </w:tr>
      <w:tr w14:paraId="508A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33" w:type="dxa"/>
            <w:vAlign w:val="center"/>
          </w:tcPr>
          <w:p w14:paraId="761F0E1A">
            <w:pPr>
              <w:tabs>
                <w:tab w:val="left" w:pos="6300"/>
              </w:tabs>
              <w:snapToGrid w:val="0"/>
              <w:spacing w:line="440" w:lineRule="exact"/>
              <w:jc w:val="center"/>
              <w:outlineLvl w:val="0"/>
              <w:rPr>
                <w:rFonts w:ascii="宋体" w:hAnsi="宋体" w:cs="宋体"/>
                <w:color w:val="auto"/>
                <w:szCs w:val="21"/>
                <w:highlight w:val="none"/>
              </w:rPr>
            </w:pPr>
          </w:p>
        </w:tc>
        <w:tc>
          <w:tcPr>
            <w:tcW w:w="2417" w:type="dxa"/>
            <w:vAlign w:val="center"/>
          </w:tcPr>
          <w:p w14:paraId="2B16C44C">
            <w:pPr>
              <w:tabs>
                <w:tab w:val="left" w:pos="6300"/>
              </w:tabs>
              <w:snapToGrid w:val="0"/>
              <w:spacing w:line="440" w:lineRule="exact"/>
              <w:jc w:val="center"/>
              <w:outlineLvl w:val="0"/>
              <w:rPr>
                <w:rFonts w:ascii="宋体" w:hAnsi="宋体" w:cs="宋体"/>
                <w:color w:val="auto"/>
                <w:szCs w:val="21"/>
                <w:highlight w:val="none"/>
              </w:rPr>
            </w:pPr>
          </w:p>
        </w:tc>
        <w:tc>
          <w:tcPr>
            <w:tcW w:w="2509" w:type="dxa"/>
            <w:vAlign w:val="center"/>
          </w:tcPr>
          <w:p w14:paraId="7B34F265">
            <w:pPr>
              <w:tabs>
                <w:tab w:val="left" w:pos="6300"/>
              </w:tabs>
              <w:snapToGrid w:val="0"/>
              <w:spacing w:line="440" w:lineRule="exact"/>
              <w:jc w:val="center"/>
              <w:outlineLvl w:val="0"/>
              <w:rPr>
                <w:rFonts w:ascii="宋体" w:hAnsi="宋体" w:cs="宋体"/>
                <w:color w:val="auto"/>
                <w:szCs w:val="21"/>
                <w:highlight w:val="none"/>
              </w:rPr>
            </w:pPr>
          </w:p>
        </w:tc>
        <w:tc>
          <w:tcPr>
            <w:tcW w:w="1879" w:type="dxa"/>
            <w:vAlign w:val="center"/>
          </w:tcPr>
          <w:p w14:paraId="206C50F1">
            <w:pPr>
              <w:tabs>
                <w:tab w:val="left" w:pos="6300"/>
              </w:tabs>
              <w:snapToGrid w:val="0"/>
              <w:spacing w:line="440" w:lineRule="exact"/>
              <w:jc w:val="center"/>
              <w:outlineLvl w:val="0"/>
              <w:rPr>
                <w:rFonts w:ascii="宋体" w:hAnsi="宋体" w:cs="宋体"/>
                <w:color w:val="auto"/>
                <w:szCs w:val="21"/>
                <w:highlight w:val="none"/>
              </w:rPr>
            </w:pPr>
          </w:p>
        </w:tc>
      </w:tr>
      <w:tr w14:paraId="047C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33" w:type="dxa"/>
            <w:vAlign w:val="center"/>
          </w:tcPr>
          <w:p w14:paraId="6152C118">
            <w:pPr>
              <w:tabs>
                <w:tab w:val="left" w:pos="6300"/>
              </w:tabs>
              <w:snapToGrid w:val="0"/>
              <w:spacing w:line="440" w:lineRule="exact"/>
              <w:jc w:val="center"/>
              <w:outlineLvl w:val="0"/>
              <w:rPr>
                <w:rFonts w:ascii="宋体" w:hAnsi="宋体" w:cs="宋体"/>
                <w:color w:val="auto"/>
                <w:szCs w:val="21"/>
                <w:highlight w:val="none"/>
              </w:rPr>
            </w:pPr>
          </w:p>
        </w:tc>
        <w:tc>
          <w:tcPr>
            <w:tcW w:w="2417" w:type="dxa"/>
            <w:vAlign w:val="center"/>
          </w:tcPr>
          <w:p w14:paraId="4ADC81C0">
            <w:pPr>
              <w:tabs>
                <w:tab w:val="left" w:pos="6300"/>
              </w:tabs>
              <w:snapToGrid w:val="0"/>
              <w:spacing w:line="440" w:lineRule="exact"/>
              <w:jc w:val="center"/>
              <w:outlineLvl w:val="0"/>
              <w:rPr>
                <w:rFonts w:ascii="宋体" w:hAnsi="宋体" w:cs="宋体"/>
                <w:color w:val="auto"/>
                <w:szCs w:val="21"/>
                <w:highlight w:val="none"/>
              </w:rPr>
            </w:pPr>
          </w:p>
        </w:tc>
        <w:tc>
          <w:tcPr>
            <w:tcW w:w="2509" w:type="dxa"/>
            <w:vAlign w:val="center"/>
          </w:tcPr>
          <w:p w14:paraId="36A5951D">
            <w:pPr>
              <w:tabs>
                <w:tab w:val="left" w:pos="6300"/>
              </w:tabs>
              <w:snapToGrid w:val="0"/>
              <w:spacing w:line="440" w:lineRule="exact"/>
              <w:jc w:val="center"/>
              <w:outlineLvl w:val="0"/>
              <w:rPr>
                <w:rFonts w:ascii="宋体" w:hAnsi="宋体" w:cs="宋体"/>
                <w:color w:val="auto"/>
                <w:szCs w:val="21"/>
                <w:highlight w:val="none"/>
              </w:rPr>
            </w:pPr>
          </w:p>
        </w:tc>
        <w:tc>
          <w:tcPr>
            <w:tcW w:w="1879" w:type="dxa"/>
            <w:vAlign w:val="center"/>
          </w:tcPr>
          <w:p w14:paraId="49C7E6E2">
            <w:pPr>
              <w:tabs>
                <w:tab w:val="left" w:pos="6300"/>
              </w:tabs>
              <w:snapToGrid w:val="0"/>
              <w:spacing w:line="440" w:lineRule="exact"/>
              <w:jc w:val="center"/>
              <w:outlineLvl w:val="0"/>
              <w:rPr>
                <w:rFonts w:ascii="宋体" w:hAnsi="宋体" w:cs="宋体"/>
                <w:color w:val="auto"/>
                <w:szCs w:val="21"/>
                <w:highlight w:val="none"/>
              </w:rPr>
            </w:pPr>
          </w:p>
        </w:tc>
      </w:tr>
      <w:tr w14:paraId="7989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33" w:type="dxa"/>
            <w:vAlign w:val="center"/>
          </w:tcPr>
          <w:p w14:paraId="08D6CF8D">
            <w:pPr>
              <w:tabs>
                <w:tab w:val="left" w:pos="6300"/>
              </w:tabs>
              <w:snapToGrid w:val="0"/>
              <w:spacing w:line="440" w:lineRule="exact"/>
              <w:jc w:val="center"/>
              <w:outlineLvl w:val="0"/>
              <w:rPr>
                <w:rFonts w:ascii="宋体" w:hAnsi="宋体" w:cs="宋体"/>
                <w:color w:val="auto"/>
                <w:szCs w:val="21"/>
                <w:highlight w:val="none"/>
              </w:rPr>
            </w:pPr>
          </w:p>
        </w:tc>
        <w:tc>
          <w:tcPr>
            <w:tcW w:w="2417" w:type="dxa"/>
            <w:vAlign w:val="center"/>
          </w:tcPr>
          <w:p w14:paraId="2548AE42">
            <w:pPr>
              <w:tabs>
                <w:tab w:val="left" w:pos="6300"/>
              </w:tabs>
              <w:snapToGrid w:val="0"/>
              <w:spacing w:line="440" w:lineRule="exact"/>
              <w:jc w:val="center"/>
              <w:outlineLvl w:val="0"/>
              <w:rPr>
                <w:rFonts w:ascii="宋体" w:hAnsi="宋体" w:cs="宋体"/>
                <w:color w:val="auto"/>
                <w:szCs w:val="21"/>
                <w:highlight w:val="none"/>
              </w:rPr>
            </w:pPr>
          </w:p>
        </w:tc>
        <w:tc>
          <w:tcPr>
            <w:tcW w:w="2509" w:type="dxa"/>
            <w:vAlign w:val="center"/>
          </w:tcPr>
          <w:p w14:paraId="411E1D55">
            <w:pPr>
              <w:tabs>
                <w:tab w:val="left" w:pos="6300"/>
              </w:tabs>
              <w:snapToGrid w:val="0"/>
              <w:spacing w:line="440" w:lineRule="exact"/>
              <w:jc w:val="center"/>
              <w:outlineLvl w:val="0"/>
              <w:rPr>
                <w:rFonts w:ascii="宋体" w:hAnsi="宋体" w:cs="宋体"/>
                <w:color w:val="auto"/>
                <w:szCs w:val="21"/>
                <w:highlight w:val="none"/>
              </w:rPr>
            </w:pPr>
          </w:p>
        </w:tc>
        <w:tc>
          <w:tcPr>
            <w:tcW w:w="1879" w:type="dxa"/>
            <w:vAlign w:val="center"/>
          </w:tcPr>
          <w:p w14:paraId="611C6178">
            <w:pPr>
              <w:tabs>
                <w:tab w:val="left" w:pos="6300"/>
              </w:tabs>
              <w:snapToGrid w:val="0"/>
              <w:spacing w:line="440" w:lineRule="exact"/>
              <w:jc w:val="center"/>
              <w:outlineLvl w:val="0"/>
              <w:rPr>
                <w:rFonts w:ascii="宋体" w:hAnsi="宋体" w:cs="宋体"/>
                <w:color w:val="auto"/>
                <w:szCs w:val="21"/>
                <w:highlight w:val="none"/>
              </w:rPr>
            </w:pPr>
          </w:p>
        </w:tc>
      </w:tr>
      <w:tr w14:paraId="3AE5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33" w:type="dxa"/>
            <w:vAlign w:val="center"/>
          </w:tcPr>
          <w:p w14:paraId="56C84E80">
            <w:pPr>
              <w:tabs>
                <w:tab w:val="left" w:pos="6300"/>
              </w:tabs>
              <w:snapToGrid w:val="0"/>
              <w:spacing w:line="440" w:lineRule="exact"/>
              <w:jc w:val="center"/>
              <w:outlineLvl w:val="0"/>
              <w:rPr>
                <w:rFonts w:ascii="宋体" w:hAnsi="宋体" w:cs="宋体"/>
                <w:color w:val="auto"/>
                <w:szCs w:val="21"/>
                <w:highlight w:val="none"/>
              </w:rPr>
            </w:pPr>
          </w:p>
        </w:tc>
        <w:tc>
          <w:tcPr>
            <w:tcW w:w="2417" w:type="dxa"/>
            <w:vAlign w:val="center"/>
          </w:tcPr>
          <w:p w14:paraId="43502D7B">
            <w:pPr>
              <w:tabs>
                <w:tab w:val="left" w:pos="6300"/>
              </w:tabs>
              <w:snapToGrid w:val="0"/>
              <w:spacing w:line="440" w:lineRule="exact"/>
              <w:jc w:val="center"/>
              <w:outlineLvl w:val="0"/>
              <w:rPr>
                <w:rFonts w:ascii="宋体" w:hAnsi="宋体" w:cs="宋体"/>
                <w:color w:val="auto"/>
                <w:szCs w:val="21"/>
                <w:highlight w:val="none"/>
              </w:rPr>
            </w:pPr>
          </w:p>
        </w:tc>
        <w:tc>
          <w:tcPr>
            <w:tcW w:w="2509" w:type="dxa"/>
            <w:vAlign w:val="center"/>
          </w:tcPr>
          <w:p w14:paraId="4BFDD6D1">
            <w:pPr>
              <w:tabs>
                <w:tab w:val="left" w:pos="6300"/>
              </w:tabs>
              <w:snapToGrid w:val="0"/>
              <w:spacing w:line="440" w:lineRule="exact"/>
              <w:jc w:val="center"/>
              <w:outlineLvl w:val="0"/>
              <w:rPr>
                <w:rFonts w:ascii="宋体" w:hAnsi="宋体" w:cs="宋体"/>
                <w:color w:val="auto"/>
                <w:szCs w:val="21"/>
                <w:highlight w:val="none"/>
              </w:rPr>
            </w:pPr>
          </w:p>
        </w:tc>
        <w:tc>
          <w:tcPr>
            <w:tcW w:w="1879" w:type="dxa"/>
            <w:vAlign w:val="center"/>
          </w:tcPr>
          <w:p w14:paraId="62BB1F78">
            <w:pPr>
              <w:tabs>
                <w:tab w:val="left" w:pos="6300"/>
              </w:tabs>
              <w:snapToGrid w:val="0"/>
              <w:spacing w:line="440" w:lineRule="exact"/>
              <w:jc w:val="center"/>
              <w:outlineLvl w:val="0"/>
              <w:rPr>
                <w:rFonts w:ascii="宋体" w:hAnsi="宋体" w:cs="宋体"/>
                <w:color w:val="auto"/>
                <w:szCs w:val="21"/>
                <w:highlight w:val="none"/>
              </w:rPr>
            </w:pPr>
          </w:p>
        </w:tc>
      </w:tr>
      <w:tr w14:paraId="3E36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33" w:type="dxa"/>
            <w:vAlign w:val="center"/>
          </w:tcPr>
          <w:p w14:paraId="61037290">
            <w:pPr>
              <w:tabs>
                <w:tab w:val="left" w:pos="6300"/>
              </w:tabs>
              <w:snapToGrid w:val="0"/>
              <w:spacing w:line="440" w:lineRule="exact"/>
              <w:jc w:val="center"/>
              <w:outlineLvl w:val="0"/>
              <w:rPr>
                <w:rFonts w:ascii="宋体" w:hAnsi="宋体" w:cs="宋体"/>
                <w:color w:val="auto"/>
                <w:szCs w:val="21"/>
                <w:highlight w:val="none"/>
              </w:rPr>
            </w:pPr>
          </w:p>
        </w:tc>
        <w:tc>
          <w:tcPr>
            <w:tcW w:w="2417" w:type="dxa"/>
            <w:vAlign w:val="center"/>
          </w:tcPr>
          <w:p w14:paraId="095BA2F3">
            <w:pPr>
              <w:tabs>
                <w:tab w:val="left" w:pos="6300"/>
              </w:tabs>
              <w:snapToGrid w:val="0"/>
              <w:spacing w:line="440" w:lineRule="exact"/>
              <w:jc w:val="center"/>
              <w:outlineLvl w:val="0"/>
              <w:rPr>
                <w:rFonts w:ascii="宋体" w:hAnsi="宋体" w:cs="宋体"/>
                <w:color w:val="auto"/>
                <w:szCs w:val="21"/>
                <w:highlight w:val="none"/>
              </w:rPr>
            </w:pPr>
          </w:p>
        </w:tc>
        <w:tc>
          <w:tcPr>
            <w:tcW w:w="2509" w:type="dxa"/>
            <w:vAlign w:val="center"/>
          </w:tcPr>
          <w:p w14:paraId="7AE51C28">
            <w:pPr>
              <w:tabs>
                <w:tab w:val="left" w:pos="6300"/>
              </w:tabs>
              <w:snapToGrid w:val="0"/>
              <w:spacing w:line="440" w:lineRule="exact"/>
              <w:jc w:val="center"/>
              <w:outlineLvl w:val="0"/>
              <w:rPr>
                <w:rFonts w:ascii="宋体" w:hAnsi="宋体" w:cs="宋体"/>
                <w:color w:val="auto"/>
                <w:szCs w:val="21"/>
                <w:highlight w:val="none"/>
              </w:rPr>
            </w:pPr>
          </w:p>
        </w:tc>
        <w:tc>
          <w:tcPr>
            <w:tcW w:w="1879" w:type="dxa"/>
            <w:vAlign w:val="center"/>
          </w:tcPr>
          <w:p w14:paraId="49D1A562">
            <w:pPr>
              <w:tabs>
                <w:tab w:val="left" w:pos="6300"/>
              </w:tabs>
              <w:snapToGrid w:val="0"/>
              <w:spacing w:line="440" w:lineRule="exact"/>
              <w:jc w:val="center"/>
              <w:outlineLvl w:val="0"/>
              <w:rPr>
                <w:rFonts w:ascii="宋体" w:hAnsi="宋体" w:cs="宋体"/>
                <w:color w:val="auto"/>
                <w:szCs w:val="21"/>
                <w:highlight w:val="none"/>
              </w:rPr>
            </w:pPr>
          </w:p>
        </w:tc>
      </w:tr>
      <w:tr w14:paraId="3EFC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33" w:type="dxa"/>
            <w:vAlign w:val="center"/>
          </w:tcPr>
          <w:p w14:paraId="42377CC0">
            <w:pPr>
              <w:tabs>
                <w:tab w:val="left" w:pos="6300"/>
              </w:tabs>
              <w:snapToGrid w:val="0"/>
              <w:spacing w:line="440" w:lineRule="exact"/>
              <w:jc w:val="center"/>
              <w:outlineLvl w:val="0"/>
              <w:rPr>
                <w:rFonts w:ascii="宋体" w:hAnsi="宋体" w:cs="宋体"/>
                <w:color w:val="auto"/>
                <w:szCs w:val="21"/>
                <w:highlight w:val="none"/>
              </w:rPr>
            </w:pPr>
          </w:p>
        </w:tc>
        <w:tc>
          <w:tcPr>
            <w:tcW w:w="2417" w:type="dxa"/>
            <w:vAlign w:val="center"/>
          </w:tcPr>
          <w:p w14:paraId="48EE4BC4">
            <w:pPr>
              <w:tabs>
                <w:tab w:val="left" w:pos="6300"/>
              </w:tabs>
              <w:snapToGrid w:val="0"/>
              <w:spacing w:line="440" w:lineRule="exact"/>
              <w:jc w:val="center"/>
              <w:outlineLvl w:val="0"/>
              <w:rPr>
                <w:rFonts w:ascii="宋体" w:hAnsi="宋体" w:cs="宋体"/>
                <w:color w:val="auto"/>
                <w:szCs w:val="21"/>
                <w:highlight w:val="none"/>
              </w:rPr>
            </w:pPr>
          </w:p>
        </w:tc>
        <w:tc>
          <w:tcPr>
            <w:tcW w:w="2509" w:type="dxa"/>
            <w:vAlign w:val="center"/>
          </w:tcPr>
          <w:p w14:paraId="4033C421">
            <w:pPr>
              <w:tabs>
                <w:tab w:val="left" w:pos="6300"/>
              </w:tabs>
              <w:snapToGrid w:val="0"/>
              <w:spacing w:line="440" w:lineRule="exact"/>
              <w:jc w:val="center"/>
              <w:outlineLvl w:val="0"/>
              <w:rPr>
                <w:rFonts w:ascii="宋体" w:hAnsi="宋体" w:cs="宋体"/>
                <w:color w:val="auto"/>
                <w:szCs w:val="21"/>
                <w:highlight w:val="none"/>
              </w:rPr>
            </w:pPr>
          </w:p>
        </w:tc>
        <w:tc>
          <w:tcPr>
            <w:tcW w:w="1879" w:type="dxa"/>
            <w:vAlign w:val="center"/>
          </w:tcPr>
          <w:p w14:paraId="3E830B5F">
            <w:pPr>
              <w:tabs>
                <w:tab w:val="left" w:pos="6300"/>
              </w:tabs>
              <w:snapToGrid w:val="0"/>
              <w:spacing w:line="440" w:lineRule="exact"/>
              <w:jc w:val="center"/>
              <w:outlineLvl w:val="0"/>
              <w:rPr>
                <w:rFonts w:ascii="宋体" w:hAnsi="宋体" w:cs="宋体"/>
                <w:color w:val="auto"/>
                <w:szCs w:val="21"/>
                <w:highlight w:val="none"/>
              </w:rPr>
            </w:pPr>
          </w:p>
        </w:tc>
      </w:tr>
    </w:tbl>
    <w:p w14:paraId="616445BA">
      <w:pPr>
        <w:snapToGrid w:val="0"/>
        <w:spacing w:line="440" w:lineRule="exact"/>
        <w:rPr>
          <w:rFonts w:ascii="宋体" w:hAnsi="宋体" w:cs="宋体"/>
          <w:color w:val="auto"/>
          <w:sz w:val="24"/>
          <w:szCs w:val="24"/>
          <w:highlight w:val="none"/>
        </w:rPr>
      </w:pPr>
    </w:p>
    <w:p w14:paraId="0B83EFFF">
      <w:pPr>
        <w:spacing w:line="44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供应商：                                  法定代表人授权代表：</w:t>
      </w:r>
    </w:p>
    <w:p w14:paraId="3AC8AF1C">
      <w:pPr>
        <w:spacing w:line="44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425F273B">
      <w:pPr>
        <w:spacing w:line="44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（供应商公章）                               （签字或盖章）</w:t>
      </w:r>
    </w:p>
    <w:p w14:paraId="111F5153">
      <w:pPr>
        <w:tabs>
          <w:tab w:val="left" w:pos="6300"/>
        </w:tabs>
        <w:snapToGrid w:val="0"/>
        <w:spacing w:line="44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5C14AEBE">
      <w:pPr>
        <w:tabs>
          <w:tab w:val="left" w:pos="6300"/>
        </w:tabs>
        <w:snapToGrid w:val="0"/>
        <w:spacing w:line="440" w:lineRule="exact"/>
        <w:ind w:firstLine="570"/>
        <w:rPr>
          <w:rFonts w:ascii="宋体" w:hAnsi="宋体" w:cs="宋体"/>
          <w:color w:val="auto"/>
          <w:sz w:val="24"/>
          <w:highlight w:val="none"/>
        </w:rPr>
      </w:pPr>
      <w:r>
        <w:rPr>
          <w:rFonts w:hint="eastAsia" w:ascii="宋体" w:hAnsi="宋体" w:cs="宋体"/>
          <w:color w:val="auto"/>
          <w:sz w:val="24"/>
          <w:highlight w:val="none"/>
        </w:rPr>
        <w:t>注：</w:t>
      </w:r>
    </w:p>
    <w:p w14:paraId="5C1C17A3">
      <w:pPr>
        <w:tabs>
          <w:tab w:val="left" w:pos="6300"/>
        </w:tabs>
        <w:snapToGrid w:val="0"/>
        <w:spacing w:line="4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1、本表即为对本项目“第二篇项目技术服务要求”中所列技术要求进行比较和响应；</w:t>
      </w:r>
    </w:p>
    <w:p w14:paraId="4A9E323B">
      <w:pPr>
        <w:tabs>
          <w:tab w:val="left" w:pos="6300"/>
        </w:tabs>
        <w:snapToGrid w:val="0"/>
        <w:spacing w:line="4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2、该表必须按照比选文件要求逐条如实填写，根据响应情况在“差异说明”项填写正偏离或负偏离及原因，完全符合的填写“无差异”；</w:t>
      </w:r>
    </w:p>
    <w:p w14:paraId="55BE908B">
      <w:pPr>
        <w:tabs>
          <w:tab w:val="left" w:pos="6300"/>
        </w:tabs>
        <w:snapToGrid w:val="0"/>
        <w:spacing w:line="4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3、该表可扩展；</w:t>
      </w:r>
    </w:p>
    <w:p w14:paraId="2E6BB87B">
      <w:pPr>
        <w:tabs>
          <w:tab w:val="left" w:pos="6300"/>
        </w:tabs>
        <w:snapToGrid w:val="0"/>
        <w:spacing w:line="4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4、可附相关技术支撑材料。（格式自定）</w:t>
      </w:r>
    </w:p>
    <w:p w14:paraId="551160F3">
      <w:pPr>
        <w:pStyle w:val="2"/>
        <w:ind w:firstLine="480" w:firstLineChars="200"/>
        <w:rPr>
          <w:rFonts w:ascii="宋体" w:hAnsi="宋体" w:cs="宋体"/>
          <w:color w:val="auto"/>
          <w:sz w:val="24"/>
          <w:szCs w:val="24"/>
          <w:highlight w:val="none"/>
        </w:rPr>
      </w:pPr>
    </w:p>
    <w:p w14:paraId="3A0B39FD">
      <w:pPr>
        <w:pageBreakBefore/>
        <w:tabs>
          <w:tab w:val="left" w:pos="6300"/>
        </w:tabs>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四、商务文件</w:t>
      </w:r>
      <w:bookmarkEnd w:id="60"/>
      <w:bookmarkEnd w:id="61"/>
      <w:bookmarkEnd w:id="62"/>
    </w:p>
    <w:p w14:paraId="2B3EC1DF">
      <w:pPr>
        <w:snapToGrid w:val="0"/>
        <w:spacing w:before="159" w:beforeLines="50"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（一）竞争性比选函（格式）</w:t>
      </w:r>
    </w:p>
    <w:p w14:paraId="32D289AF">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竞争性比选项目名称：</w:t>
      </w:r>
      <w:r>
        <w:rPr>
          <w:rFonts w:hint="eastAsia" w:ascii="宋体" w:hAnsi="宋体" w:cs="宋体"/>
          <w:color w:val="auto"/>
          <w:sz w:val="24"/>
          <w:szCs w:val="24"/>
          <w:highlight w:val="none"/>
          <w:u w:val="single"/>
        </w:rPr>
        <w:t xml:space="preserve">                                             </w:t>
      </w:r>
    </w:p>
    <w:p w14:paraId="1AA34305">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（比选人名称）：</w:t>
      </w:r>
    </w:p>
    <w:p w14:paraId="7EB07F7E">
      <w:pPr>
        <w:snapToGrid w:val="0"/>
        <w:spacing w:before="159"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（供应商名称）系中华人民共和国合法企业，注册地址：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。我方就参加本次竞争性比选有关事项郑重声明如下：</w:t>
      </w:r>
    </w:p>
    <w:p w14:paraId="39EE7986">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一、我方完全理解并接受该项目竞争性比选文件所有要求。</w:t>
      </w:r>
    </w:p>
    <w:p w14:paraId="6D18967E">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二、我方提交的所有竞争性比选文件、资料都是准确和真实的，如有虚假或隐瞒，我方愿意承担一切法律责任。</w:t>
      </w:r>
    </w:p>
    <w:p w14:paraId="04999E90">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三、我方承诺按照竞争性比选文件要求，提供竞争性比选项目的技术服务。</w:t>
      </w:r>
    </w:p>
    <w:p w14:paraId="5B4BE229">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四、我方按要求提交的竞争性比选文件为：竞争性比选文件正本1份，副本2份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电子文件1份</w:t>
      </w:r>
      <w:r>
        <w:rPr>
          <w:rFonts w:hint="eastAsia" w:ascii="宋体" w:hAnsi="宋体" w:cs="宋体"/>
          <w:color w:val="auto"/>
          <w:sz w:val="24"/>
          <w:szCs w:val="24"/>
          <w:highlight w:val="none"/>
        </w:rPr>
        <w:t>。</w:t>
      </w:r>
    </w:p>
    <w:p w14:paraId="33F235F5">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五、我方承诺：本次竞争性比选的有效期为90天。</w:t>
      </w:r>
    </w:p>
    <w:p w14:paraId="4C895654">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六、我方竞争性比选报价为固定价。即在竞争性比选有效期和合同有效期内，该报价固定不变。</w:t>
      </w:r>
    </w:p>
    <w:p w14:paraId="72F5BA62">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七、如果我方成交，我方将履行各项要求以及我方竞争性比选文件的各项承诺，按《中华人民共和国民法典》及合同约定条款承担我方责任。</w:t>
      </w:r>
    </w:p>
    <w:p w14:paraId="63F5018B">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八、我方未为比选项目提供整体设计、规范编制或者项目管理、监理、检测等服务。</w:t>
      </w:r>
    </w:p>
    <w:p w14:paraId="44C05851">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九、我方理解，最低报价不是成交的唯一条件。</w:t>
      </w:r>
    </w:p>
    <w:p w14:paraId="3EDDD162">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十、我方同意按有关规定及竞争性比选文件要求，缴纳足额竞争性比选保证金。</w:t>
      </w:r>
    </w:p>
    <w:p w14:paraId="35472EA1">
      <w:pPr>
        <w:tabs>
          <w:tab w:val="left" w:pos="6300"/>
        </w:tabs>
        <w:snapToGrid w:val="0"/>
        <w:spacing w:line="360" w:lineRule="auto"/>
        <w:ind w:firstLine="6240" w:firstLineChars="2600"/>
        <w:rPr>
          <w:rFonts w:ascii="宋体" w:hAnsi="宋体" w:cs="宋体"/>
          <w:color w:val="auto"/>
          <w:sz w:val="24"/>
          <w:szCs w:val="24"/>
          <w:highlight w:val="none"/>
        </w:rPr>
      </w:pPr>
    </w:p>
    <w:p w14:paraId="03A4F7A2">
      <w:pPr>
        <w:tabs>
          <w:tab w:val="left" w:pos="6300"/>
        </w:tabs>
        <w:snapToGrid w:val="0"/>
        <w:spacing w:line="360" w:lineRule="auto"/>
        <w:ind w:firstLine="6240" w:firstLineChars="2600"/>
        <w:rPr>
          <w:rFonts w:ascii="宋体" w:hAnsi="宋体" w:cs="宋体"/>
          <w:color w:val="auto"/>
          <w:sz w:val="24"/>
          <w:szCs w:val="24"/>
          <w:highlight w:val="none"/>
        </w:rPr>
      </w:pPr>
    </w:p>
    <w:p w14:paraId="2346B2B9">
      <w:pPr>
        <w:tabs>
          <w:tab w:val="left" w:pos="6300"/>
        </w:tabs>
        <w:snapToGrid w:val="0"/>
        <w:spacing w:line="360" w:lineRule="auto"/>
        <w:ind w:firstLine="6240" w:firstLineChars="2600"/>
        <w:rPr>
          <w:rFonts w:ascii="宋体" w:hAnsi="宋体" w:cs="宋体"/>
          <w:color w:val="auto"/>
          <w:sz w:val="24"/>
          <w:szCs w:val="24"/>
          <w:highlight w:val="none"/>
        </w:rPr>
      </w:pPr>
    </w:p>
    <w:p w14:paraId="1B6DD00D">
      <w:pPr>
        <w:tabs>
          <w:tab w:val="left" w:pos="6300"/>
        </w:tabs>
        <w:snapToGrid w:val="0"/>
        <w:spacing w:line="360" w:lineRule="auto"/>
        <w:ind w:firstLine="6240" w:firstLineChars="2600"/>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14:paraId="7BFF9C1F">
      <w:pPr>
        <w:tabs>
          <w:tab w:val="left" w:pos="6300"/>
        </w:tabs>
        <w:snapToGrid w:val="0"/>
        <w:spacing w:line="360" w:lineRule="auto"/>
        <w:ind w:firstLine="6480" w:firstLineChars="2700"/>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68A046D4">
      <w:pPr>
        <w:widowControl/>
        <w:spacing w:line="440" w:lineRule="exact"/>
        <w:jc w:val="center"/>
        <w:rPr>
          <w:rFonts w:ascii="宋体" w:hAnsi="宋体" w:cs="宋体"/>
          <w:color w:val="auto"/>
          <w:sz w:val="24"/>
          <w:szCs w:val="24"/>
          <w:highlight w:val="none"/>
        </w:rPr>
      </w:pPr>
      <w:r>
        <w:rPr>
          <w:rFonts w:hint="eastAsia" w:ascii="宋体" w:hAnsi="宋体" w:cs="宋体"/>
          <w:b/>
          <w:bCs/>
          <w:color w:val="auto"/>
          <w:sz w:val="24"/>
          <w:szCs w:val="24"/>
          <w:highlight w:val="none"/>
        </w:rPr>
        <w:t>（二）供应商基本情况介绍及商务部分</w:t>
      </w:r>
    </w:p>
    <w:p w14:paraId="72F59ADE">
      <w:pPr>
        <w:tabs>
          <w:tab w:val="left" w:pos="6300"/>
        </w:tabs>
        <w:snapToGrid w:val="0"/>
        <w:spacing w:line="440" w:lineRule="exact"/>
        <w:ind w:firstLine="420" w:firstLineChars="200"/>
        <w:outlineLvl w:val="0"/>
        <w:rPr>
          <w:rFonts w:ascii="宋体" w:hAnsi="宋体" w:cs="宋体"/>
          <w:color w:val="auto"/>
          <w:highlight w:val="none"/>
        </w:rPr>
      </w:pPr>
    </w:p>
    <w:p w14:paraId="315CFC2B">
      <w:pPr>
        <w:numPr>
          <w:ilvl w:val="0"/>
          <w:numId w:val="7"/>
        </w:numPr>
        <w:tabs>
          <w:tab w:val="left" w:pos="6300"/>
        </w:tabs>
        <w:snapToGrid w:val="0"/>
        <w:spacing w:line="440" w:lineRule="exact"/>
        <w:ind w:firstLine="480" w:firstLineChars="200"/>
        <w:outlineLvl w:val="0"/>
        <w:rPr>
          <w:rFonts w:ascii="宋体" w:hAnsi="宋体" w:cs="宋体"/>
          <w:color w:val="auto"/>
          <w:sz w:val="24"/>
          <w:szCs w:val="24"/>
          <w:highlight w:val="none"/>
        </w:rPr>
      </w:pPr>
      <w:r>
        <w:rPr>
          <w:rFonts w:hint="eastAsia" w:ascii="宋体" w:hAnsi="宋体" w:cs="宋体"/>
          <w:color w:val="auto"/>
          <w:sz w:val="24"/>
          <w:szCs w:val="24"/>
          <w:highlight w:val="none"/>
        </w:rPr>
        <w:t>基本情况介绍</w:t>
      </w:r>
    </w:p>
    <w:p w14:paraId="75EB10CE">
      <w:pPr>
        <w:tabs>
          <w:tab w:val="left" w:pos="6300"/>
        </w:tabs>
        <w:snapToGrid w:val="0"/>
        <w:spacing w:line="360" w:lineRule="auto"/>
        <w:rPr>
          <w:rFonts w:ascii="宋体" w:hAnsi="宋体" w:cs="宋体"/>
          <w:color w:val="auto"/>
          <w:sz w:val="24"/>
          <w:szCs w:val="24"/>
          <w:highlight w:val="none"/>
        </w:rPr>
      </w:pPr>
    </w:p>
    <w:p w14:paraId="01E325ED">
      <w:pPr>
        <w:pStyle w:val="2"/>
        <w:rPr>
          <w:rFonts w:ascii="宋体" w:hAnsi="宋体" w:cs="宋体"/>
          <w:color w:val="auto"/>
          <w:sz w:val="24"/>
          <w:szCs w:val="24"/>
          <w:highlight w:val="none"/>
        </w:rPr>
      </w:pPr>
    </w:p>
    <w:p w14:paraId="6674C138">
      <w:pPr>
        <w:rPr>
          <w:rFonts w:ascii="宋体" w:hAnsi="宋体" w:cs="宋体"/>
          <w:color w:val="auto"/>
          <w:sz w:val="24"/>
          <w:szCs w:val="24"/>
          <w:highlight w:val="none"/>
        </w:rPr>
      </w:pPr>
    </w:p>
    <w:p w14:paraId="78C1F7FC">
      <w:pPr>
        <w:pStyle w:val="2"/>
        <w:rPr>
          <w:rFonts w:ascii="宋体" w:hAnsi="宋体" w:cs="宋体"/>
          <w:color w:val="auto"/>
          <w:sz w:val="24"/>
          <w:szCs w:val="24"/>
          <w:highlight w:val="none"/>
        </w:rPr>
      </w:pPr>
    </w:p>
    <w:p w14:paraId="3B2960E3">
      <w:pPr>
        <w:rPr>
          <w:rFonts w:ascii="宋体" w:hAnsi="宋体" w:cs="宋体"/>
          <w:color w:val="auto"/>
          <w:sz w:val="24"/>
          <w:szCs w:val="24"/>
          <w:highlight w:val="none"/>
        </w:rPr>
      </w:pPr>
    </w:p>
    <w:p w14:paraId="36125522">
      <w:pPr>
        <w:pStyle w:val="2"/>
        <w:rPr>
          <w:rFonts w:ascii="宋体" w:hAnsi="宋体" w:cs="宋体"/>
          <w:color w:val="auto"/>
          <w:sz w:val="24"/>
          <w:szCs w:val="24"/>
          <w:highlight w:val="none"/>
        </w:rPr>
      </w:pPr>
    </w:p>
    <w:p w14:paraId="4D60055E">
      <w:pPr>
        <w:rPr>
          <w:rFonts w:ascii="宋体" w:hAnsi="宋体" w:cs="宋体"/>
          <w:color w:val="auto"/>
          <w:sz w:val="24"/>
          <w:szCs w:val="24"/>
          <w:highlight w:val="none"/>
        </w:rPr>
      </w:pPr>
    </w:p>
    <w:p w14:paraId="77976300">
      <w:pPr>
        <w:pStyle w:val="2"/>
        <w:rPr>
          <w:rFonts w:ascii="宋体" w:hAnsi="宋体" w:cs="宋体"/>
          <w:color w:val="auto"/>
          <w:sz w:val="24"/>
          <w:szCs w:val="24"/>
          <w:highlight w:val="none"/>
        </w:rPr>
      </w:pPr>
    </w:p>
    <w:p w14:paraId="6F7524F2">
      <w:pPr>
        <w:rPr>
          <w:rFonts w:ascii="宋体" w:hAnsi="宋体" w:cs="宋体"/>
          <w:color w:val="auto"/>
          <w:sz w:val="24"/>
          <w:szCs w:val="24"/>
          <w:highlight w:val="none"/>
        </w:rPr>
      </w:pPr>
    </w:p>
    <w:p w14:paraId="031C8A16">
      <w:pPr>
        <w:pStyle w:val="2"/>
        <w:rPr>
          <w:rFonts w:ascii="宋体" w:hAnsi="宋体" w:cs="宋体"/>
          <w:color w:val="auto"/>
          <w:sz w:val="24"/>
          <w:szCs w:val="24"/>
          <w:highlight w:val="none"/>
        </w:rPr>
      </w:pPr>
    </w:p>
    <w:p w14:paraId="326E5991">
      <w:pPr>
        <w:rPr>
          <w:rFonts w:ascii="宋体" w:hAnsi="宋体" w:cs="宋体"/>
          <w:color w:val="auto"/>
          <w:sz w:val="24"/>
          <w:szCs w:val="24"/>
          <w:highlight w:val="none"/>
        </w:rPr>
      </w:pPr>
    </w:p>
    <w:p w14:paraId="7D81D75C">
      <w:pPr>
        <w:pStyle w:val="2"/>
        <w:rPr>
          <w:rFonts w:ascii="宋体" w:hAnsi="宋体" w:cs="宋体"/>
          <w:color w:val="auto"/>
          <w:sz w:val="24"/>
          <w:szCs w:val="24"/>
          <w:highlight w:val="none"/>
        </w:rPr>
      </w:pPr>
    </w:p>
    <w:p w14:paraId="5A03DFA7">
      <w:pPr>
        <w:rPr>
          <w:rFonts w:ascii="宋体" w:hAnsi="宋体" w:cs="宋体"/>
          <w:color w:val="auto"/>
          <w:sz w:val="24"/>
          <w:szCs w:val="24"/>
          <w:highlight w:val="none"/>
        </w:rPr>
      </w:pPr>
    </w:p>
    <w:p w14:paraId="6CDA0C0C">
      <w:pPr>
        <w:pStyle w:val="2"/>
        <w:rPr>
          <w:rFonts w:ascii="宋体" w:hAnsi="宋体" w:cs="宋体"/>
          <w:color w:val="auto"/>
          <w:sz w:val="24"/>
          <w:szCs w:val="24"/>
          <w:highlight w:val="none"/>
        </w:rPr>
      </w:pPr>
    </w:p>
    <w:p w14:paraId="514D734B">
      <w:pPr>
        <w:rPr>
          <w:rFonts w:ascii="宋体" w:hAnsi="宋体" w:cs="宋体"/>
          <w:color w:val="auto"/>
          <w:sz w:val="24"/>
          <w:szCs w:val="24"/>
          <w:highlight w:val="none"/>
        </w:rPr>
      </w:pPr>
    </w:p>
    <w:p w14:paraId="238F6A13">
      <w:pPr>
        <w:pStyle w:val="2"/>
        <w:rPr>
          <w:rFonts w:ascii="宋体" w:hAnsi="宋体" w:cs="宋体"/>
          <w:color w:val="auto"/>
          <w:sz w:val="24"/>
          <w:szCs w:val="24"/>
          <w:highlight w:val="none"/>
        </w:rPr>
      </w:pPr>
    </w:p>
    <w:p w14:paraId="4F2FF78E">
      <w:pPr>
        <w:rPr>
          <w:rFonts w:ascii="宋体" w:hAnsi="宋体" w:cs="宋体"/>
          <w:color w:val="auto"/>
          <w:sz w:val="24"/>
          <w:szCs w:val="24"/>
          <w:highlight w:val="none"/>
        </w:rPr>
      </w:pPr>
    </w:p>
    <w:p w14:paraId="4E7BA1E7">
      <w:pPr>
        <w:pStyle w:val="2"/>
        <w:rPr>
          <w:rFonts w:ascii="宋体" w:hAnsi="宋体" w:cs="宋体"/>
          <w:color w:val="auto"/>
          <w:sz w:val="24"/>
          <w:szCs w:val="24"/>
          <w:highlight w:val="none"/>
        </w:rPr>
      </w:pPr>
    </w:p>
    <w:p w14:paraId="37D7849C">
      <w:pPr>
        <w:rPr>
          <w:rFonts w:ascii="宋体" w:hAnsi="宋体" w:cs="宋体"/>
          <w:color w:val="auto"/>
          <w:sz w:val="24"/>
          <w:szCs w:val="24"/>
          <w:highlight w:val="none"/>
        </w:rPr>
      </w:pPr>
    </w:p>
    <w:p w14:paraId="49CC28AB">
      <w:pPr>
        <w:pStyle w:val="2"/>
        <w:rPr>
          <w:rFonts w:ascii="宋体" w:hAnsi="宋体" w:cs="宋体"/>
          <w:color w:val="auto"/>
          <w:sz w:val="24"/>
          <w:szCs w:val="24"/>
          <w:highlight w:val="none"/>
        </w:rPr>
      </w:pPr>
    </w:p>
    <w:p w14:paraId="540ABA5E">
      <w:pPr>
        <w:rPr>
          <w:rFonts w:ascii="宋体" w:hAnsi="宋体" w:cs="宋体"/>
          <w:color w:val="auto"/>
          <w:sz w:val="24"/>
          <w:szCs w:val="24"/>
          <w:highlight w:val="none"/>
        </w:rPr>
      </w:pPr>
    </w:p>
    <w:p w14:paraId="7620D3C1">
      <w:pPr>
        <w:pStyle w:val="2"/>
        <w:rPr>
          <w:rFonts w:ascii="宋体" w:hAnsi="宋体" w:cs="宋体"/>
          <w:color w:val="auto"/>
          <w:sz w:val="24"/>
          <w:szCs w:val="24"/>
          <w:highlight w:val="none"/>
        </w:rPr>
      </w:pPr>
    </w:p>
    <w:p w14:paraId="65868C55">
      <w:pPr>
        <w:rPr>
          <w:rFonts w:ascii="宋体" w:hAnsi="宋体" w:cs="宋体"/>
          <w:color w:val="auto"/>
          <w:sz w:val="24"/>
          <w:szCs w:val="24"/>
          <w:highlight w:val="none"/>
        </w:rPr>
      </w:pPr>
    </w:p>
    <w:p w14:paraId="2DDCFC3F">
      <w:pPr>
        <w:pStyle w:val="2"/>
        <w:rPr>
          <w:rFonts w:ascii="宋体" w:hAnsi="宋体" w:cs="宋体"/>
          <w:color w:val="auto"/>
          <w:sz w:val="24"/>
          <w:szCs w:val="24"/>
          <w:highlight w:val="none"/>
        </w:rPr>
      </w:pPr>
    </w:p>
    <w:p w14:paraId="2D465F8E">
      <w:pPr>
        <w:rPr>
          <w:rFonts w:ascii="宋体" w:hAnsi="宋体" w:cs="宋体"/>
          <w:color w:val="auto"/>
          <w:sz w:val="24"/>
          <w:szCs w:val="24"/>
          <w:highlight w:val="none"/>
        </w:rPr>
      </w:pPr>
    </w:p>
    <w:p w14:paraId="305FD868">
      <w:pPr>
        <w:pStyle w:val="2"/>
        <w:rPr>
          <w:rFonts w:ascii="宋体" w:hAnsi="宋体" w:cs="宋体"/>
          <w:color w:val="auto"/>
          <w:sz w:val="24"/>
          <w:szCs w:val="24"/>
          <w:highlight w:val="none"/>
        </w:rPr>
      </w:pPr>
    </w:p>
    <w:p w14:paraId="265B9557">
      <w:pPr>
        <w:rPr>
          <w:rFonts w:ascii="宋体" w:hAnsi="宋体" w:cs="宋体"/>
          <w:color w:val="auto"/>
          <w:sz w:val="24"/>
          <w:szCs w:val="24"/>
          <w:highlight w:val="none"/>
        </w:rPr>
      </w:pPr>
    </w:p>
    <w:p w14:paraId="6311D1B1">
      <w:pPr>
        <w:pStyle w:val="2"/>
        <w:rPr>
          <w:rFonts w:ascii="宋体" w:hAnsi="宋体" w:cs="宋体"/>
          <w:color w:val="auto"/>
          <w:sz w:val="24"/>
          <w:szCs w:val="24"/>
          <w:highlight w:val="none"/>
        </w:rPr>
      </w:pPr>
    </w:p>
    <w:p w14:paraId="01441C52">
      <w:pPr>
        <w:rPr>
          <w:rFonts w:ascii="宋体" w:hAnsi="宋体" w:cs="宋体"/>
          <w:color w:val="auto"/>
          <w:sz w:val="24"/>
          <w:szCs w:val="24"/>
          <w:highlight w:val="none"/>
        </w:rPr>
      </w:pPr>
    </w:p>
    <w:p w14:paraId="7147420F">
      <w:pPr>
        <w:pStyle w:val="2"/>
        <w:rPr>
          <w:rFonts w:ascii="宋体" w:hAnsi="宋体" w:cs="宋体"/>
          <w:color w:val="auto"/>
          <w:sz w:val="24"/>
          <w:szCs w:val="24"/>
          <w:highlight w:val="none"/>
        </w:rPr>
      </w:pPr>
    </w:p>
    <w:p w14:paraId="27A15A4A">
      <w:pPr>
        <w:numPr>
          <w:ilvl w:val="0"/>
          <w:numId w:val="7"/>
        </w:numPr>
        <w:tabs>
          <w:tab w:val="left" w:pos="6300"/>
        </w:tabs>
        <w:snapToGrid w:val="0"/>
        <w:spacing w:line="440" w:lineRule="exact"/>
        <w:ind w:firstLine="480" w:firstLineChars="200"/>
        <w:outlineLvl w:val="0"/>
        <w:rPr>
          <w:rFonts w:ascii="宋体" w:hAnsi="宋体" w:cs="宋体"/>
          <w:color w:val="auto"/>
          <w:sz w:val="24"/>
          <w:szCs w:val="24"/>
          <w:highlight w:val="none"/>
        </w:rPr>
      </w:pPr>
      <w:r>
        <w:rPr>
          <w:rFonts w:hint="eastAsia" w:ascii="宋体" w:hAnsi="宋体" w:cs="宋体"/>
          <w:color w:val="auto"/>
          <w:sz w:val="24"/>
          <w:szCs w:val="24"/>
          <w:highlight w:val="none"/>
        </w:rPr>
        <w:t>商务部分（包括但不限于）</w:t>
      </w:r>
      <w:r>
        <w:rPr>
          <w:rFonts w:hint="eastAsia" w:ascii="宋体" w:hAnsi="宋体" w:cs="宋体"/>
          <w:color w:val="auto"/>
          <w:highlight w:val="none"/>
        </w:rPr>
        <w:t>：</w:t>
      </w:r>
      <w:r>
        <w:rPr>
          <w:rFonts w:hint="eastAsia" w:ascii="宋体" w:hAnsi="宋体" w:cs="宋体"/>
          <w:color w:val="auto"/>
          <w:sz w:val="24"/>
          <w:szCs w:val="24"/>
          <w:highlight w:val="none"/>
        </w:rPr>
        <w:t>业绩、人员等</w:t>
      </w:r>
    </w:p>
    <w:p w14:paraId="6BB3F1ED">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可参照本比选文件“第三篇项目商务要求”及“第四篇评审办法”各要点提供相关资料或其他相关材料。</w:t>
      </w:r>
    </w:p>
    <w:p w14:paraId="75EE8919">
      <w:pPr>
        <w:pStyle w:val="2"/>
        <w:rPr>
          <w:rFonts w:ascii="宋体" w:hAnsi="宋体" w:cs="宋体"/>
          <w:color w:val="auto"/>
          <w:sz w:val="24"/>
          <w:szCs w:val="24"/>
          <w:highlight w:val="none"/>
        </w:rPr>
      </w:pPr>
    </w:p>
    <w:p w14:paraId="5D228CD1">
      <w:pPr>
        <w:rPr>
          <w:rFonts w:ascii="宋体" w:hAnsi="宋体" w:cs="宋体"/>
          <w:color w:val="auto"/>
          <w:sz w:val="24"/>
          <w:szCs w:val="24"/>
          <w:highlight w:val="none"/>
        </w:rPr>
      </w:pPr>
    </w:p>
    <w:p w14:paraId="2F0B818C">
      <w:pPr>
        <w:pStyle w:val="2"/>
        <w:rPr>
          <w:rFonts w:ascii="宋体" w:hAnsi="宋体" w:cs="宋体"/>
          <w:color w:val="auto"/>
          <w:sz w:val="24"/>
          <w:szCs w:val="24"/>
          <w:highlight w:val="none"/>
        </w:rPr>
      </w:pPr>
    </w:p>
    <w:p w14:paraId="19B608A9">
      <w:pPr>
        <w:rPr>
          <w:rFonts w:ascii="宋体" w:hAnsi="宋体" w:cs="宋体"/>
          <w:color w:val="auto"/>
          <w:sz w:val="24"/>
          <w:szCs w:val="24"/>
          <w:highlight w:val="none"/>
        </w:rPr>
      </w:pPr>
    </w:p>
    <w:p w14:paraId="57D1FD19">
      <w:pPr>
        <w:pStyle w:val="2"/>
        <w:rPr>
          <w:rFonts w:ascii="宋体" w:hAnsi="宋体" w:cs="宋体"/>
          <w:color w:val="auto"/>
          <w:sz w:val="24"/>
          <w:szCs w:val="24"/>
          <w:highlight w:val="none"/>
        </w:rPr>
      </w:pPr>
    </w:p>
    <w:p w14:paraId="225A8A4E">
      <w:pPr>
        <w:rPr>
          <w:rFonts w:ascii="宋体" w:hAnsi="宋体" w:cs="宋体"/>
          <w:color w:val="auto"/>
          <w:sz w:val="24"/>
          <w:szCs w:val="24"/>
          <w:highlight w:val="none"/>
        </w:rPr>
      </w:pPr>
    </w:p>
    <w:p w14:paraId="26CBF2A7">
      <w:pPr>
        <w:pStyle w:val="2"/>
        <w:rPr>
          <w:rFonts w:ascii="宋体" w:hAnsi="宋体" w:cs="宋体"/>
          <w:color w:val="auto"/>
          <w:sz w:val="24"/>
          <w:szCs w:val="24"/>
          <w:highlight w:val="none"/>
        </w:rPr>
      </w:pPr>
    </w:p>
    <w:p w14:paraId="498C0DBD">
      <w:pPr>
        <w:rPr>
          <w:rFonts w:ascii="宋体" w:hAnsi="宋体" w:cs="宋体"/>
          <w:color w:val="auto"/>
          <w:sz w:val="24"/>
          <w:szCs w:val="24"/>
          <w:highlight w:val="none"/>
        </w:rPr>
      </w:pPr>
    </w:p>
    <w:p w14:paraId="6AB0FD61">
      <w:pPr>
        <w:pStyle w:val="2"/>
        <w:rPr>
          <w:rFonts w:ascii="宋体" w:hAnsi="宋体" w:cs="宋体"/>
          <w:color w:val="auto"/>
          <w:sz w:val="24"/>
          <w:szCs w:val="24"/>
          <w:highlight w:val="none"/>
        </w:rPr>
      </w:pPr>
    </w:p>
    <w:p w14:paraId="29D415BE">
      <w:pPr>
        <w:rPr>
          <w:rFonts w:ascii="宋体" w:hAnsi="宋体" w:cs="宋体"/>
          <w:color w:val="auto"/>
          <w:sz w:val="24"/>
          <w:szCs w:val="24"/>
          <w:highlight w:val="none"/>
        </w:rPr>
      </w:pPr>
    </w:p>
    <w:p w14:paraId="7B2B7B8B">
      <w:pPr>
        <w:pStyle w:val="2"/>
        <w:rPr>
          <w:rFonts w:ascii="宋体" w:hAnsi="宋体" w:cs="宋体"/>
          <w:color w:val="auto"/>
          <w:sz w:val="24"/>
          <w:szCs w:val="24"/>
          <w:highlight w:val="none"/>
        </w:rPr>
      </w:pPr>
    </w:p>
    <w:p w14:paraId="35DC0191">
      <w:pPr>
        <w:rPr>
          <w:rFonts w:ascii="宋体" w:hAnsi="宋体" w:cs="宋体"/>
          <w:color w:val="auto"/>
          <w:sz w:val="24"/>
          <w:szCs w:val="24"/>
          <w:highlight w:val="none"/>
        </w:rPr>
      </w:pPr>
    </w:p>
    <w:p w14:paraId="3F065645">
      <w:pPr>
        <w:pStyle w:val="2"/>
        <w:rPr>
          <w:rFonts w:ascii="宋体" w:hAnsi="宋体" w:cs="宋体"/>
          <w:color w:val="auto"/>
          <w:sz w:val="24"/>
          <w:szCs w:val="24"/>
          <w:highlight w:val="none"/>
        </w:rPr>
      </w:pPr>
    </w:p>
    <w:p w14:paraId="484461C6">
      <w:pPr>
        <w:rPr>
          <w:rFonts w:ascii="宋体" w:hAnsi="宋体" w:cs="宋体"/>
          <w:color w:val="auto"/>
          <w:sz w:val="24"/>
          <w:szCs w:val="24"/>
          <w:highlight w:val="none"/>
        </w:rPr>
      </w:pPr>
    </w:p>
    <w:p w14:paraId="6B5072D4">
      <w:pPr>
        <w:pStyle w:val="2"/>
        <w:rPr>
          <w:rFonts w:ascii="宋体" w:hAnsi="宋体" w:cs="宋体"/>
          <w:color w:val="auto"/>
          <w:sz w:val="24"/>
          <w:szCs w:val="24"/>
          <w:highlight w:val="none"/>
        </w:rPr>
      </w:pPr>
    </w:p>
    <w:p w14:paraId="3B4D235C">
      <w:pPr>
        <w:rPr>
          <w:rFonts w:ascii="宋体" w:hAnsi="宋体" w:cs="宋体"/>
          <w:color w:val="auto"/>
          <w:sz w:val="24"/>
          <w:szCs w:val="24"/>
          <w:highlight w:val="none"/>
        </w:rPr>
      </w:pPr>
    </w:p>
    <w:p w14:paraId="24B02557">
      <w:pPr>
        <w:pStyle w:val="2"/>
        <w:rPr>
          <w:rFonts w:ascii="宋体" w:hAnsi="宋体" w:cs="宋体"/>
          <w:color w:val="auto"/>
          <w:sz w:val="24"/>
          <w:szCs w:val="24"/>
          <w:highlight w:val="none"/>
        </w:rPr>
      </w:pPr>
    </w:p>
    <w:p w14:paraId="605D0698">
      <w:pPr>
        <w:rPr>
          <w:rFonts w:ascii="宋体" w:hAnsi="宋体" w:cs="宋体"/>
          <w:color w:val="auto"/>
          <w:sz w:val="24"/>
          <w:szCs w:val="24"/>
          <w:highlight w:val="none"/>
        </w:rPr>
      </w:pPr>
    </w:p>
    <w:p w14:paraId="3A410C36">
      <w:pPr>
        <w:pStyle w:val="2"/>
        <w:rPr>
          <w:rFonts w:ascii="宋体" w:hAnsi="宋体" w:cs="宋体"/>
          <w:color w:val="auto"/>
          <w:sz w:val="24"/>
          <w:szCs w:val="24"/>
          <w:highlight w:val="none"/>
        </w:rPr>
      </w:pPr>
    </w:p>
    <w:p w14:paraId="2FFF3D68">
      <w:pPr>
        <w:rPr>
          <w:rFonts w:ascii="宋体" w:hAnsi="宋体" w:cs="宋体"/>
          <w:color w:val="auto"/>
          <w:sz w:val="24"/>
          <w:szCs w:val="24"/>
          <w:highlight w:val="none"/>
        </w:rPr>
      </w:pPr>
    </w:p>
    <w:p w14:paraId="65206A58">
      <w:pPr>
        <w:pStyle w:val="2"/>
        <w:rPr>
          <w:rFonts w:ascii="宋体" w:hAnsi="宋体" w:cs="宋体"/>
          <w:color w:val="auto"/>
          <w:sz w:val="24"/>
          <w:szCs w:val="24"/>
          <w:highlight w:val="none"/>
        </w:rPr>
      </w:pPr>
    </w:p>
    <w:p w14:paraId="27964EE1">
      <w:pPr>
        <w:rPr>
          <w:rFonts w:ascii="宋体" w:hAnsi="宋体" w:cs="宋体"/>
          <w:color w:val="auto"/>
          <w:sz w:val="24"/>
          <w:szCs w:val="24"/>
          <w:highlight w:val="none"/>
        </w:rPr>
      </w:pPr>
    </w:p>
    <w:p w14:paraId="7AEDC9A9">
      <w:pPr>
        <w:pStyle w:val="2"/>
        <w:rPr>
          <w:rFonts w:ascii="宋体" w:hAnsi="宋体" w:cs="宋体"/>
          <w:color w:val="auto"/>
          <w:sz w:val="24"/>
          <w:szCs w:val="24"/>
          <w:highlight w:val="none"/>
        </w:rPr>
      </w:pPr>
    </w:p>
    <w:p w14:paraId="6987F6F7">
      <w:pPr>
        <w:rPr>
          <w:rFonts w:ascii="宋体" w:hAnsi="宋体" w:cs="宋体"/>
          <w:color w:val="auto"/>
          <w:sz w:val="24"/>
          <w:szCs w:val="24"/>
          <w:highlight w:val="none"/>
        </w:rPr>
      </w:pPr>
    </w:p>
    <w:p w14:paraId="547F12EC">
      <w:pPr>
        <w:pStyle w:val="2"/>
        <w:rPr>
          <w:rFonts w:ascii="宋体" w:hAnsi="宋体" w:cs="宋体"/>
          <w:color w:val="auto"/>
          <w:sz w:val="24"/>
          <w:szCs w:val="24"/>
          <w:highlight w:val="none"/>
        </w:rPr>
      </w:pPr>
    </w:p>
    <w:p w14:paraId="123A926D">
      <w:pPr>
        <w:rPr>
          <w:rFonts w:ascii="宋体" w:hAnsi="宋体" w:cs="宋体"/>
          <w:color w:val="auto"/>
          <w:sz w:val="24"/>
          <w:szCs w:val="24"/>
          <w:highlight w:val="none"/>
        </w:rPr>
      </w:pPr>
    </w:p>
    <w:p w14:paraId="368F7D41">
      <w:pPr>
        <w:pStyle w:val="2"/>
        <w:rPr>
          <w:rFonts w:ascii="宋体" w:hAnsi="宋体" w:cs="宋体"/>
          <w:color w:val="auto"/>
          <w:sz w:val="24"/>
          <w:szCs w:val="24"/>
          <w:highlight w:val="none"/>
        </w:rPr>
      </w:pPr>
    </w:p>
    <w:p w14:paraId="5EAD21AD">
      <w:pPr>
        <w:rPr>
          <w:rFonts w:ascii="宋体" w:hAnsi="宋体" w:cs="宋体"/>
          <w:color w:val="auto"/>
          <w:sz w:val="24"/>
          <w:szCs w:val="24"/>
          <w:highlight w:val="none"/>
        </w:rPr>
      </w:pPr>
    </w:p>
    <w:p w14:paraId="4242CBAE">
      <w:pPr>
        <w:pStyle w:val="2"/>
        <w:rPr>
          <w:rFonts w:ascii="宋体" w:hAnsi="宋体" w:cs="宋体"/>
          <w:color w:val="auto"/>
          <w:sz w:val="24"/>
          <w:szCs w:val="24"/>
          <w:highlight w:val="none"/>
        </w:rPr>
      </w:pPr>
    </w:p>
    <w:p w14:paraId="23E04D11">
      <w:pPr>
        <w:tabs>
          <w:tab w:val="left" w:pos="6300"/>
        </w:tabs>
        <w:snapToGrid w:val="0"/>
        <w:spacing w:line="440" w:lineRule="exact"/>
        <w:ind w:left="420" w:leftChars="200"/>
        <w:jc w:val="center"/>
        <w:outlineLvl w:val="0"/>
        <w:rPr>
          <w:rFonts w:ascii="宋体" w:hAnsi="宋体" w:cs="宋体"/>
          <w:color w:val="auto"/>
          <w:sz w:val="24"/>
          <w:szCs w:val="28"/>
          <w:highlight w:val="none"/>
        </w:rPr>
      </w:pPr>
      <w:r>
        <w:rPr>
          <w:rFonts w:hint="eastAsia" w:ascii="宋体" w:hAnsi="宋体" w:cs="宋体"/>
          <w:b/>
          <w:bCs/>
          <w:color w:val="auto"/>
          <w:sz w:val="24"/>
          <w:szCs w:val="24"/>
          <w:highlight w:val="none"/>
        </w:rPr>
        <w:t>（三）商务条款差异表</w:t>
      </w:r>
    </w:p>
    <w:p w14:paraId="176EC835">
      <w:pPr>
        <w:pStyle w:val="11"/>
        <w:tabs>
          <w:tab w:val="left" w:pos="6300"/>
        </w:tabs>
        <w:snapToGrid w:val="0"/>
        <w:spacing w:line="440" w:lineRule="exact"/>
        <w:ind w:firstLine="480" w:firstLineChars="200"/>
        <w:outlineLvl w:val="0"/>
        <w:rPr>
          <w:rFonts w:ascii="宋体" w:hAnsi="宋体" w:cs="宋体"/>
          <w:color w:val="auto"/>
          <w:sz w:val="24"/>
          <w:highlight w:val="none"/>
        </w:rPr>
      </w:pPr>
      <w:r>
        <w:rPr>
          <w:rFonts w:hint="eastAsia" w:ascii="宋体" w:hAnsi="宋体" w:cs="宋体"/>
          <w:color w:val="auto"/>
          <w:sz w:val="24"/>
          <w:szCs w:val="28"/>
          <w:highlight w:val="none"/>
        </w:rPr>
        <w:t>比选项目名称</w:t>
      </w:r>
      <w:r>
        <w:rPr>
          <w:rFonts w:hint="eastAsia" w:ascii="宋体" w:hAnsi="宋体" w:cs="宋体"/>
          <w:color w:val="auto"/>
          <w:sz w:val="24"/>
          <w:highlight w:val="none"/>
        </w:rPr>
        <w:t>：</w:t>
      </w:r>
    </w:p>
    <w:tbl>
      <w:tblPr>
        <w:tblStyle w:val="23"/>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7260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3C3A3C97">
            <w:pPr>
              <w:tabs>
                <w:tab w:val="left" w:pos="6300"/>
              </w:tabs>
              <w:snapToGrid w:val="0"/>
              <w:spacing w:line="440" w:lineRule="exact"/>
              <w:jc w:val="center"/>
              <w:outlineLvl w:val="0"/>
              <w:rPr>
                <w:rFonts w:ascii="宋体" w:hAnsi="宋体" w:cs="宋体"/>
                <w:color w:val="auto"/>
                <w:szCs w:val="21"/>
                <w:highlight w:val="none"/>
              </w:rPr>
            </w:pPr>
            <w:r>
              <w:rPr>
                <w:rFonts w:hint="eastAsia" w:ascii="宋体" w:hAnsi="宋体" w:cs="宋体"/>
                <w:color w:val="auto"/>
                <w:szCs w:val="21"/>
                <w:highlight w:val="none"/>
              </w:rPr>
              <w:t>序号</w:t>
            </w:r>
          </w:p>
        </w:tc>
        <w:tc>
          <w:tcPr>
            <w:tcW w:w="2428" w:type="dxa"/>
            <w:vAlign w:val="center"/>
          </w:tcPr>
          <w:p w14:paraId="292C36E7">
            <w:pPr>
              <w:tabs>
                <w:tab w:val="left" w:pos="6300"/>
              </w:tabs>
              <w:snapToGrid w:val="0"/>
              <w:spacing w:line="440" w:lineRule="exact"/>
              <w:jc w:val="center"/>
              <w:outlineLvl w:val="0"/>
              <w:rPr>
                <w:rFonts w:ascii="宋体" w:hAnsi="宋体" w:cs="宋体"/>
                <w:color w:val="auto"/>
                <w:szCs w:val="21"/>
                <w:highlight w:val="none"/>
              </w:rPr>
            </w:pPr>
            <w:r>
              <w:rPr>
                <w:rFonts w:hint="eastAsia" w:ascii="宋体" w:hAnsi="宋体" w:cs="宋体"/>
                <w:color w:val="auto"/>
                <w:szCs w:val="21"/>
                <w:highlight w:val="none"/>
              </w:rPr>
              <w:t>比选商务要求</w:t>
            </w:r>
          </w:p>
        </w:tc>
        <w:tc>
          <w:tcPr>
            <w:tcW w:w="2520" w:type="dxa"/>
            <w:vAlign w:val="center"/>
          </w:tcPr>
          <w:p w14:paraId="6CB8D6E0">
            <w:pPr>
              <w:tabs>
                <w:tab w:val="left" w:pos="6300"/>
              </w:tabs>
              <w:snapToGrid w:val="0"/>
              <w:spacing w:line="440" w:lineRule="exact"/>
              <w:jc w:val="center"/>
              <w:outlineLvl w:val="0"/>
              <w:rPr>
                <w:rFonts w:ascii="宋体" w:hAnsi="宋体" w:cs="宋体"/>
                <w:color w:val="auto"/>
                <w:szCs w:val="21"/>
                <w:highlight w:val="none"/>
              </w:rPr>
            </w:pPr>
            <w:r>
              <w:rPr>
                <w:rFonts w:hint="eastAsia" w:ascii="宋体" w:hAnsi="宋体" w:cs="宋体"/>
                <w:color w:val="auto"/>
                <w:szCs w:val="21"/>
                <w:highlight w:val="none"/>
              </w:rPr>
              <w:t>响应商务应答</w:t>
            </w:r>
          </w:p>
        </w:tc>
        <w:tc>
          <w:tcPr>
            <w:tcW w:w="1888" w:type="dxa"/>
            <w:vAlign w:val="center"/>
          </w:tcPr>
          <w:p w14:paraId="6FEF4815">
            <w:pPr>
              <w:tabs>
                <w:tab w:val="left" w:pos="6300"/>
              </w:tabs>
              <w:snapToGrid w:val="0"/>
              <w:spacing w:line="440" w:lineRule="exact"/>
              <w:jc w:val="center"/>
              <w:outlineLvl w:val="0"/>
              <w:rPr>
                <w:rFonts w:ascii="宋体" w:hAnsi="宋体" w:cs="宋体"/>
                <w:color w:val="auto"/>
                <w:szCs w:val="21"/>
                <w:highlight w:val="none"/>
              </w:rPr>
            </w:pPr>
            <w:r>
              <w:rPr>
                <w:rFonts w:hint="eastAsia" w:ascii="宋体" w:hAnsi="宋体" w:cs="宋体"/>
                <w:color w:val="auto"/>
                <w:szCs w:val="21"/>
                <w:highlight w:val="none"/>
              </w:rPr>
              <w:t>差异说明</w:t>
            </w:r>
          </w:p>
        </w:tc>
      </w:tr>
      <w:tr w14:paraId="5306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FE7BC68">
            <w:pPr>
              <w:tabs>
                <w:tab w:val="left" w:pos="6300"/>
              </w:tabs>
              <w:snapToGrid w:val="0"/>
              <w:spacing w:line="440" w:lineRule="exact"/>
              <w:jc w:val="center"/>
              <w:outlineLvl w:val="0"/>
              <w:rPr>
                <w:rFonts w:ascii="宋体" w:hAnsi="宋体" w:cs="宋体"/>
                <w:color w:val="auto"/>
                <w:szCs w:val="21"/>
                <w:highlight w:val="none"/>
              </w:rPr>
            </w:pPr>
          </w:p>
        </w:tc>
        <w:tc>
          <w:tcPr>
            <w:tcW w:w="2428" w:type="dxa"/>
            <w:vAlign w:val="center"/>
          </w:tcPr>
          <w:p w14:paraId="4056BF17">
            <w:pPr>
              <w:tabs>
                <w:tab w:val="left" w:pos="6300"/>
              </w:tabs>
              <w:snapToGrid w:val="0"/>
              <w:spacing w:line="440" w:lineRule="exact"/>
              <w:jc w:val="center"/>
              <w:outlineLvl w:val="0"/>
              <w:rPr>
                <w:rFonts w:ascii="宋体" w:hAnsi="宋体" w:cs="宋体"/>
                <w:color w:val="auto"/>
                <w:szCs w:val="21"/>
                <w:highlight w:val="none"/>
              </w:rPr>
            </w:pPr>
          </w:p>
        </w:tc>
        <w:tc>
          <w:tcPr>
            <w:tcW w:w="2520" w:type="dxa"/>
            <w:vAlign w:val="center"/>
          </w:tcPr>
          <w:p w14:paraId="7F4134E7">
            <w:pPr>
              <w:tabs>
                <w:tab w:val="left" w:pos="6300"/>
              </w:tabs>
              <w:snapToGrid w:val="0"/>
              <w:spacing w:line="440" w:lineRule="exact"/>
              <w:jc w:val="center"/>
              <w:outlineLvl w:val="0"/>
              <w:rPr>
                <w:rFonts w:ascii="宋体" w:hAnsi="宋体" w:cs="宋体"/>
                <w:color w:val="auto"/>
                <w:szCs w:val="21"/>
                <w:highlight w:val="none"/>
              </w:rPr>
            </w:pPr>
          </w:p>
        </w:tc>
        <w:tc>
          <w:tcPr>
            <w:tcW w:w="1888" w:type="dxa"/>
            <w:vAlign w:val="center"/>
          </w:tcPr>
          <w:p w14:paraId="569550FA">
            <w:pPr>
              <w:tabs>
                <w:tab w:val="left" w:pos="6300"/>
              </w:tabs>
              <w:snapToGrid w:val="0"/>
              <w:spacing w:line="440" w:lineRule="exact"/>
              <w:jc w:val="center"/>
              <w:outlineLvl w:val="0"/>
              <w:rPr>
                <w:rFonts w:ascii="宋体" w:hAnsi="宋体" w:cs="宋体"/>
                <w:color w:val="auto"/>
                <w:szCs w:val="21"/>
                <w:highlight w:val="none"/>
              </w:rPr>
            </w:pPr>
          </w:p>
        </w:tc>
      </w:tr>
      <w:tr w14:paraId="590B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C904160">
            <w:pPr>
              <w:tabs>
                <w:tab w:val="left" w:pos="6300"/>
              </w:tabs>
              <w:snapToGrid w:val="0"/>
              <w:spacing w:line="440" w:lineRule="exact"/>
              <w:jc w:val="center"/>
              <w:outlineLvl w:val="0"/>
              <w:rPr>
                <w:rFonts w:ascii="宋体" w:hAnsi="宋体" w:cs="宋体"/>
                <w:color w:val="auto"/>
                <w:szCs w:val="21"/>
                <w:highlight w:val="none"/>
              </w:rPr>
            </w:pPr>
          </w:p>
        </w:tc>
        <w:tc>
          <w:tcPr>
            <w:tcW w:w="2428" w:type="dxa"/>
            <w:vAlign w:val="center"/>
          </w:tcPr>
          <w:p w14:paraId="3A2BBCB6">
            <w:pPr>
              <w:tabs>
                <w:tab w:val="left" w:pos="6300"/>
              </w:tabs>
              <w:snapToGrid w:val="0"/>
              <w:spacing w:line="440" w:lineRule="exact"/>
              <w:jc w:val="center"/>
              <w:outlineLvl w:val="0"/>
              <w:rPr>
                <w:rFonts w:ascii="宋体" w:hAnsi="宋体" w:cs="宋体"/>
                <w:color w:val="auto"/>
                <w:szCs w:val="21"/>
                <w:highlight w:val="none"/>
              </w:rPr>
            </w:pPr>
          </w:p>
        </w:tc>
        <w:tc>
          <w:tcPr>
            <w:tcW w:w="2520" w:type="dxa"/>
            <w:vAlign w:val="center"/>
          </w:tcPr>
          <w:p w14:paraId="0143D40D">
            <w:pPr>
              <w:tabs>
                <w:tab w:val="left" w:pos="6300"/>
              </w:tabs>
              <w:snapToGrid w:val="0"/>
              <w:spacing w:line="440" w:lineRule="exact"/>
              <w:jc w:val="center"/>
              <w:outlineLvl w:val="0"/>
              <w:rPr>
                <w:rFonts w:ascii="宋体" w:hAnsi="宋体" w:cs="宋体"/>
                <w:color w:val="auto"/>
                <w:szCs w:val="21"/>
                <w:highlight w:val="none"/>
              </w:rPr>
            </w:pPr>
          </w:p>
        </w:tc>
        <w:tc>
          <w:tcPr>
            <w:tcW w:w="1888" w:type="dxa"/>
            <w:vAlign w:val="center"/>
          </w:tcPr>
          <w:p w14:paraId="39592EE2">
            <w:pPr>
              <w:tabs>
                <w:tab w:val="left" w:pos="6300"/>
              </w:tabs>
              <w:snapToGrid w:val="0"/>
              <w:spacing w:line="440" w:lineRule="exact"/>
              <w:jc w:val="center"/>
              <w:outlineLvl w:val="0"/>
              <w:rPr>
                <w:rFonts w:ascii="宋体" w:hAnsi="宋体" w:cs="宋体"/>
                <w:color w:val="auto"/>
                <w:szCs w:val="21"/>
                <w:highlight w:val="none"/>
              </w:rPr>
            </w:pPr>
          </w:p>
        </w:tc>
      </w:tr>
      <w:tr w14:paraId="0913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B0E48E0">
            <w:pPr>
              <w:tabs>
                <w:tab w:val="left" w:pos="6300"/>
              </w:tabs>
              <w:snapToGrid w:val="0"/>
              <w:spacing w:line="440" w:lineRule="exact"/>
              <w:jc w:val="center"/>
              <w:outlineLvl w:val="0"/>
              <w:rPr>
                <w:rFonts w:ascii="宋体" w:hAnsi="宋体" w:cs="宋体"/>
                <w:color w:val="auto"/>
                <w:szCs w:val="21"/>
                <w:highlight w:val="none"/>
              </w:rPr>
            </w:pPr>
          </w:p>
        </w:tc>
        <w:tc>
          <w:tcPr>
            <w:tcW w:w="2428" w:type="dxa"/>
            <w:vAlign w:val="center"/>
          </w:tcPr>
          <w:p w14:paraId="155A5BBC">
            <w:pPr>
              <w:tabs>
                <w:tab w:val="left" w:pos="6300"/>
              </w:tabs>
              <w:snapToGrid w:val="0"/>
              <w:spacing w:line="440" w:lineRule="exact"/>
              <w:jc w:val="center"/>
              <w:outlineLvl w:val="0"/>
              <w:rPr>
                <w:rFonts w:ascii="宋体" w:hAnsi="宋体" w:cs="宋体"/>
                <w:color w:val="auto"/>
                <w:szCs w:val="21"/>
                <w:highlight w:val="none"/>
              </w:rPr>
            </w:pPr>
          </w:p>
        </w:tc>
        <w:tc>
          <w:tcPr>
            <w:tcW w:w="2520" w:type="dxa"/>
            <w:vAlign w:val="center"/>
          </w:tcPr>
          <w:p w14:paraId="7EE5CC6A">
            <w:pPr>
              <w:tabs>
                <w:tab w:val="left" w:pos="6300"/>
              </w:tabs>
              <w:snapToGrid w:val="0"/>
              <w:spacing w:line="440" w:lineRule="exact"/>
              <w:jc w:val="center"/>
              <w:outlineLvl w:val="0"/>
              <w:rPr>
                <w:rFonts w:ascii="宋体" w:hAnsi="宋体" w:cs="宋体"/>
                <w:color w:val="auto"/>
                <w:szCs w:val="21"/>
                <w:highlight w:val="none"/>
              </w:rPr>
            </w:pPr>
          </w:p>
        </w:tc>
        <w:tc>
          <w:tcPr>
            <w:tcW w:w="1888" w:type="dxa"/>
            <w:vAlign w:val="center"/>
          </w:tcPr>
          <w:p w14:paraId="35362FD4">
            <w:pPr>
              <w:tabs>
                <w:tab w:val="left" w:pos="6300"/>
              </w:tabs>
              <w:snapToGrid w:val="0"/>
              <w:spacing w:line="440" w:lineRule="exact"/>
              <w:jc w:val="center"/>
              <w:outlineLvl w:val="0"/>
              <w:rPr>
                <w:rFonts w:ascii="宋体" w:hAnsi="宋体" w:cs="宋体"/>
                <w:color w:val="auto"/>
                <w:szCs w:val="21"/>
                <w:highlight w:val="none"/>
              </w:rPr>
            </w:pPr>
          </w:p>
        </w:tc>
      </w:tr>
      <w:tr w14:paraId="4595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30F307A">
            <w:pPr>
              <w:tabs>
                <w:tab w:val="left" w:pos="6300"/>
              </w:tabs>
              <w:snapToGrid w:val="0"/>
              <w:spacing w:line="440" w:lineRule="exact"/>
              <w:jc w:val="center"/>
              <w:outlineLvl w:val="0"/>
              <w:rPr>
                <w:rFonts w:ascii="宋体" w:hAnsi="宋体" w:cs="宋体"/>
                <w:color w:val="auto"/>
                <w:szCs w:val="21"/>
                <w:highlight w:val="none"/>
              </w:rPr>
            </w:pPr>
          </w:p>
        </w:tc>
        <w:tc>
          <w:tcPr>
            <w:tcW w:w="2428" w:type="dxa"/>
            <w:vAlign w:val="center"/>
          </w:tcPr>
          <w:p w14:paraId="37454D76">
            <w:pPr>
              <w:tabs>
                <w:tab w:val="left" w:pos="6300"/>
              </w:tabs>
              <w:snapToGrid w:val="0"/>
              <w:spacing w:line="440" w:lineRule="exact"/>
              <w:jc w:val="center"/>
              <w:outlineLvl w:val="0"/>
              <w:rPr>
                <w:rFonts w:ascii="宋体" w:hAnsi="宋体" w:cs="宋体"/>
                <w:color w:val="auto"/>
                <w:szCs w:val="21"/>
                <w:highlight w:val="none"/>
              </w:rPr>
            </w:pPr>
          </w:p>
        </w:tc>
        <w:tc>
          <w:tcPr>
            <w:tcW w:w="2520" w:type="dxa"/>
            <w:vAlign w:val="center"/>
          </w:tcPr>
          <w:p w14:paraId="535E784D">
            <w:pPr>
              <w:tabs>
                <w:tab w:val="left" w:pos="6300"/>
              </w:tabs>
              <w:snapToGrid w:val="0"/>
              <w:spacing w:line="440" w:lineRule="exact"/>
              <w:jc w:val="center"/>
              <w:outlineLvl w:val="0"/>
              <w:rPr>
                <w:rFonts w:ascii="宋体" w:hAnsi="宋体" w:cs="宋体"/>
                <w:color w:val="auto"/>
                <w:szCs w:val="21"/>
                <w:highlight w:val="none"/>
              </w:rPr>
            </w:pPr>
          </w:p>
        </w:tc>
        <w:tc>
          <w:tcPr>
            <w:tcW w:w="1888" w:type="dxa"/>
            <w:vAlign w:val="center"/>
          </w:tcPr>
          <w:p w14:paraId="70D7D4D7">
            <w:pPr>
              <w:tabs>
                <w:tab w:val="left" w:pos="6300"/>
              </w:tabs>
              <w:snapToGrid w:val="0"/>
              <w:spacing w:line="440" w:lineRule="exact"/>
              <w:jc w:val="center"/>
              <w:outlineLvl w:val="0"/>
              <w:rPr>
                <w:rFonts w:ascii="宋体" w:hAnsi="宋体" w:cs="宋体"/>
                <w:color w:val="auto"/>
                <w:szCs w:val="21"/>
                <w:highlight w:val="none"/>
              </w:rPr>
            </w:pPr>
          </w:p>
        </w:tc>
      </w:tr>
      <w:tr w14:paraId="56AF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66BBA98">
            <w:pPr>
              <w:tabs>
                <w:tab w:val="left" w:pos="6300"/>
              </w:tabs>
              <w:snapToGrid w:val="0"/>
              <w:spacing w:line="440" w:lineRule="exact"/>
              <w:jc w:val="center"/>
              <w:outlineLvl w:val="0"/>
              <w:rPr>
                <w:rFonts w:ascii="宋体" w:hAnsi="宋体" w:cs="宋体"/>
                <w:color w:val="auto"/>
                <w:szCs w:val="21"/>
                <w:highlight w:val="none"/>
              </w:rPr>
            </w:pPr>
          </w:p>
        </w:tc>
        <w:tc>
          <w:tcPr>
            <w:tcW w:w="2428" w:type="dxa"/>
            <w:vAlign w:val="center"/>
          </w:tcPr>
          <w:p w14:paraId="1D690747">
            <w:pPr>
              <w:tabs>
                <w:tab w:val="left" w:pos="6300"/>
              </w:tabs>
              <w:snapToGrid w:val="0"/>
              <w:spacing w:line="440" w:lineRule="exact"/>
              <w:jc w:val="center"/>
              <w:outlineLvl w:val="0"/>
              <w:rPr>
                <w:rFonts w:ascii="宋体" w:hAnsi="宋体" w:cs="宋体"/>
                <w:color w:val="auto"/>
                <w:szCs w:val="21"/>
                <w:highlight w:val="none"/>
              </w:rPr>
            </w:pPr>
          </w:p>
        </w:tc>
        <w:tc>
          <w:tcPr>
            <w:tcW w:w="2520" w:type="dxa"/>
            <w:vAlign w:val="center"/>
          </w:tcPr>
          <w:p w14:paraId="18A56DA8">
            <w:pPr>
              <w:tabs>
                <w:tab w:val="left" w:pos="6300"/>
              </w:tabs>
              <w:snapToGrid w:val="0"/>
              <w:spacing w:line="440" w:lineRule="exact"/>
              <w:jc w:val="center"/>
              <w:outlineLvl w:val="0"/>
              <w:rPr>
                <w:rFonts w:ascii="宋体" w:hAnsi="宋体" w:cs="宋体"/>
                <w:color w:val="auto"/>
                <w:szCs w:val="21"/>
                <w:highlight w:val="none"/>
              </w:rPr>
            </w:pPr>
          </w:p>
        </w:tc>
        <w:tc>
          <w:tcPr>
            <w:tcW w:w="1888" w:type="dxa"/>
            <w:vAlign w:val="center"/>
          </w:tcPr>
          <w:p w14:paraId="319DC893">
            <w:pPr>
              <w:tabs>
                <w:tab w:val="left" w:pos="6300"/>
              </w:tabs>
              <w:snapToGrid w:val="0"/>
              <w:spacing w:line="440" w:lineRule="exact"/>
              <w:jc w:val="center"/>
              <w:outlineLvl w:val="0"/>
              <w:rPr>
                <w:rFonts w:ascii="宋体" w:hAnsi="宋体" w:cs="宋体"/>
                <w:color w:val="auto"/>
                <w:szCs w:val="21"/>
                <w:highlight w:val="none"/>
              </w:rPr>
            </w:pPr>
          </w:p>
        </w:tc>
      </w:tr>
      <w:tr w14:paraId="28CF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21CA3C6">
            <w:pPr>
              <w:tabs>
                <w:tab w:val="left" w:pos="6300"/>
              </w:tabs>
              <w:snapToGrid w:val="0"/>
              <w:spacing w:line="440" w:lineRule="exact"/>
              <w:jc w:val="center"/>
              <w:outlineLvl w:val="0"/>
              <w:rPr>
                <w:rFonts w:ascii="宋体" w:hAnsi="宋体" w:cs="宋体"/>
                <w:color w:val="auto"/>
                <w:szCs w:val="21"/>
                <w:highlight w:val="none"/>
              </w:rPr>
            </w:pPr>
          </w:p>
        </w:tc>
        <w:tc>
          <w:tcPr>
            <w:tcW w:w="2428" w:type="dxa"/>
            <w:vAlign w:val="center"/>
          </w:tcPr>
          <w:p w14:paraId="6A9360BD">
            <w:pPr>
              <w:tabs>
                <w:tab w:val="left" w:pos="6300"/>
              </w:tabs>
              <w:snapToGrid w:val="0"/>
              <w:spacing w:line="440" w:lineRule="exact"/>
              <w:jc w:val="center"/>
              <w:outlineLvl w:val="0"/>
              <w:rPr>
                <w:rFonts w:ascii="宋体" w:hAnsi="宋体" w:cs="宋体"/>
                <w:color w:val="auto"/>
                <w:szCs w:val="21"/>
                <w:highlight w:val="none"/>
              </w:rPr>
            </w:pPr>
          </w:p>
        </w:tc>
        <w:tc>
          <w:tcPr>
            <w:tcW w:w="2520" w:type="dxa"/>
            <w:vAlign w:val="center"/>
          </w:tcPr>
          <w:p w14:paraId="04CCDCEE">
            <w:pPr>
              <w:tabs>
                <w:tab w:val="left" w:pos="6300"/>
              </w:tabs>
              <w:snapToGrid w:val="0"/>
              <w:spacing w:line="440" w:lineRule="exact"/>
              <w:jc w:val="center"/>
              <w:outlineLvl w:val="0"/>
              <w:rPr>
                <w:rFonts w:ascii="宋体" w:hAnsi="宋体" w:cs="宋体"/>
                <w:color w:val="auto"/>
                <w:szCs w:val="21"/>
                <w:highlight w:val="none"/>
              </w:rPr>
            </w:pPr>
          </w:p>
        </w:tc>
        <w:tc>
          <w:tcPr>
            <w:tcW w:w="1888" w:type="dxa"/>
            <w:vAlign w:val="center"/>
          </w:tcPr>
          <w:p w14:paraId="415D176E">
            <w:pPr>
              <w:tabs>
                <w:tab w:val="left" w:pos="6300"/>
              </w:tabs>
              <w:snapToGrid w:val="0"/>
              <w:spacing w:line="440" w:lineRule="exact"/>
              <w:jc w:val="center"/>
              <w:outlineLvl w:val="0"/>
              <w:rPr>
                <w:rFonts w:ascii="宋体" w:hAnsi="宋体" w:cs="宋体"/>
                <w:color w:val="auto"/>
                <w:szCs w:val="21"/>
                <w:highlight w:val="none"/>
              </w:rPr>
            </w:pPr>
          </w:p>
        </w:tc>
      </w:tr>
      <w:tr w14:paraId="478E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B233F8E">
            <w:pPr>
              <w:tabs>
                <w:tab w:val="left" w:pos="6300"/>
              </w:tabs>
              <w:snapToGrid w:val="0"/>
              <w:spacing w:line="440" w:lineRule="exact"/>
              <w:jc w:val="center"/>
              <w:outlineLvl w:val="0"/>
              <w:rPr>
                <w:rFonts w:ascii="宋体" w:hAnsi="宋体" w:cs="宋体"/>
                <w:color w:val="auto"/>
                <w:szCs w:val="21"/>
                <w:highlight w:val="none"/>
              </w:rPr>
            </w:pPr>
          </w:p>
        </w:tc>
        <w:tc>
          <w:tcPr>
            <w:tcW w:w="2428" w:type="dxa"/>
            <w:vAlign w:val="center"/>
          </w:tcPr>
          <w:p w14:paraId="2CAF8690">
            <w:pPr>
              <w:tabs>
                <w:tab w:val="left" w:pos="6300"/>
              </w:tabs>
              <w:snapToGrid w:val="0"/>
              <w:spacing w:line="440" w:lineRule="exact"/>
              <w:jc w:val="center"/>
              <w:outlineLvl w:val="0"/>
              <w:rPr>
                <w:rFonts w:ascii="宋体" w:hAnsi="宋体" w:cs="宋体"/>
                <w:color w:val="auto"/>
                <w:szCs w:val="21"/>
                <w:highlight w:val="none"/>
              </w:rPr>
            </w:pPr>
          </w:p>
        </w:tc>
        <w:tc>
          <w:tcPr>
            <w:tcW w:w="2520" w:type="dxa"/>
            <w:vAlign w:val="center"/>
          </w:tcPr>
          <w:p w14:paraId="250964F4">
            <w:pPr>
              <w:tabs>
                <w:tab w:val="left" w:pos="6300"/>
              </w:tabs>
              <w:snapToGrid w:val="0"/>
              <w:spacing w:line="440" w:lineRule="exact"/>
              <w:jc w:val="center"/>
              <w:outlineLvl w:val="0"/>
              <w:rPr>
                <w:rFonts w:ascii="宋体" w:hAnsi="宋体" w:cs="宋体"/>
                <w:color w:val="auto"/>
                <w:szCs w:val="21"/>
                <w:highlight w:val="none"/>
              </w:rPr>
            </w:pPr>
          </w:p>
        </w:tc>
        <w:tc>
          <w:tcPr>
            <w:tcW w:w="1888" w:type="dxa"/>
            <w:vAlign w:val="center"/>
          </w:tcPr>
          <w:p w14:paraId="0C174762">
            <w:pPr>
              <w:tabs>
                <w:tab w:val="left" w:pos="6300"/>
              </w:tabs>
              <w:snapToGrid w:val="0"/>
              <w:spacing w:line="440" w:lineRule="exact"/>
              <w:jc w:val="center"/>
              <w:outlineLvl w:val="0"/>
              <w:rPr>
                <w:rFonts w:ascii="宋体" w:hAnsi="宋体" w:cs="宋体"/>
                <w:color w:val="auto"/>
                <w:szCs w:val="21"/>
                <w:highlight w:val="none"/>
              </w:rPr>
            </w:pPr>
          </w:p>
        </w:tc>
      </w:tr>
    </w:tbl>
    <w:p w14:paraId="6E18AFD9">
      <w:pPr>
        <w:pStyle w:val="2"/>
        <w:rPr>
          <w:rFonts w:ascii="宋体" w:hAnsi="宋体" w:cs="宋体"/>
          <w:color w:val="auto"/>
          <w:highlight w:val="none"/>
        </w:rPr>
      </w:pPr>
    </w:p>
    <w:p w14:paraId="53F4BC2E">
      <w:pPr>
        <w:spacing w:line="44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投标人：                                  法定代表人授权代表：</w:t>
      </w:r>
    </w:p>
    <w:p w14:paraId="4AB3D42B">
      <w:pPr>
        <w:spacing w:line="440" w:lineRule="exact"/>
        <w:rPr>
          <w:rFonts w:ascii="宋体" w:hAnsi="宋体" w:cs="宋体"/>
          <w:color w:val="auto"/>
          <w:sz w:val="24"/>
          <w:szCs w:val="28"/>
          <w:highlight w:val="none"/>
        </w:rPr>
      </w:pPr>
    </w:p>
    <w:p w14:paraId="14B726FF">
      <w:pPr>
        <w:spacing w:line="44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（投标人公章）                               （签字或盖章）</w:t>
      </w:r>
    </w:p>
    <w:p w14:paraId="4DCFC6E3">
      <w:pPr>
        <w:tabs>
          <w:tab w:val="left" w:pos="6300"/>
        </w:tabs>
        <w:snapToGrid w:val="0"/>
        <w:spacing w:line="44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79E6D75A">
      <w:pPr>
        <w:tabs>
          <w:tab w:val="left" w:pos="6300"/>
        </w:tabs>
        <w:snapToGrid w:val="0"/>
        <w:spacing w:line="440" w:lineRule="exact"/>
        <w:ind w:firstLine="570"/>
        <w:rPr>
          <w:rFonts w:ascii="宋体" w:hAnsi="宋体" w:cs="宋体"/>
          <w:color w:val="auto"/>
          <w:sz w:val="24"/>
          <w:highlight w:val="none"/>
        </w:rPr>
      </w:pPr>
    </w:p>
    <w:p w14:paraId="18AC34CE">
      <w:pPr>
        <w:tabs>
          <w:tab w:val="left" w:pos="6300"/>
        </w:tabs>
        <w:snapToGrid w:val="0"/>
        <w:spacing w:line="440" w:lineRule="exact"/>
        <w:ind w:firstLine="570"/>
        <w:rPr>
          <w:rFonts w:ascii="宋体" w:hAnsi="宋体" w:cs="宋体"/>
          <w:color w:val="auto"/>
          <w:sz w:val="24"/>
          <w:highlight w:val="none"/>
        </w:rPr>
      </w:pPr>
    </w:p>
    <w:p w14:paraId="4BDB12BA">
      <w:pPr>
        <w:tabs>
          <w:tab w:val="left" w:pos="6300"/>
        </w:tabs>
        <w:snapToGrid w:val="0"/>
        <w:spacing w:line="440" w:lineRule="exact"/>
        <w:ind w:firstLine="570"/>
        <w:rPr>
          <w:rFonts w:ascii="宋体" w:hAnsi="宋体" w:cs="宋体"/>
          <w:color w:val="auto"/>
          <w:sz w:val="24"/>
          <w:highlight w:val="none"/>
        </w:rPr>
      </w:pPr>
      <w:r>
        <w:rPr>
          <w:rFonts w:hint="eastAsia" w:ascii="宋体" w:hAnsi="宋体" w:cs="宋体"/>
          <w:color w:val="auto"/>
          <w:sz w:val="24"/>
          <w:highlight w:val="none"/>
        </w:rPr>
        <w:t>注：</w:t>
      </w:r>
    </w:p>
    <w:p w14:paraId="082053CB">
      <w:pPr>
        <w:tabs>
          <w:tab w:val="left" w:pos="6300"/>
        </w:tabs>
        <w:snapToGrid w:val="0"/>
        <w:spacing w:line="4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1、本表即为对本项目“第三篇项目商务要求”中所列商务条款进行比较和响应；</w:t>
      </w:r>
    </w:p>
    <w:p w14:paraId="2D226E6E">
      <w:pPr>
        <w:tabs>
          <w:tab w:val="left" w:pos="6300"/>
        </w:tabs>
        <w:snapToGrid w:val="0"/>
        <w:spacing w:line="4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2、该表必须按照比选文件要求逐条如实填写，根据响应情况在“差异说明”项填写正偏离或负偏离及原因，完全符合的填写“无差异”。</w:t>
      </w:r>
    </w:p>
    <w:p w14:paraId="65D731A6">
      <w:pPr>
        <w:tabs>
          <w:tab w:val="left" w:pos="6300"/>
        </w:tabs>
        <w:snapToGrid w:val="0"/>
        <w:spacing w:line="4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3、该表可扩展。</w:t>
      </w:r>
    </w:p>
    <w:p w14:paraId="71982418">
      <w:pPr>
        <w:tabs>
          <w:tab w:val="left" w:pos="6300"/>
        </w:tabs>
        <w:snapToGrid w:val="0"/>
        <w:spacing w:line="4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4、其他与项目有关的资料（自附）</w:t>
      </w:r>
    </w:p>
    <w:p w14:paraId="68EC55ED">
      <w:pPr>
        <w:pStyle w:val="2"/>
        <w:rPr>
          <w:rFonts w:ascii="宋体" w:hAnsi="宋体" w:cs="宋体"/>
          <w:color w:val="auto"/>
          <w:highlight w:val="none"/>
        </w:rPr>
      </w:pPr>
    </w:p>
    <w:p w14:paraId="29548699">
      <w:pPr>
        <w:rPr>
          <w:rFonts w:ascii="宋体" w:hAnsi="宋体" w:cs="宋体"/>
          <w:color w:val="auto"/>
          <w:highlight w:val="none"/>
        </w:rPr>
      </w:pPr>
    </w:p>
    <w:p w14:paraId="31C1BD20">
      <w:pPr>
        <w:pStyle w:val="2"/>
        <w:rPr>
          <w:rFonts w:ascii="宋体" w:hAnsi="宋体" w:cs="宋体"/>
          <w:color w:val="auto"/>
          <w:highlight w:val="none"/>
        </w:rPr>
      </w:pPr>
    </w:p>
    <w:p w14:paraId="1A95B7C5">
      <w:pPr>
        <w:rPr>
          <w:rFonts w:ascii="宋体" w:hAnsi="宋体" w:cs="宋体"/>
          <w:color w:val="auto"/>
          <w:highlight w:val="none"/>
        </w:rPr>
      </w:pPr>
    </w:p>
    <w:p w14:paraId="3DA70F0E">
      <w:pPr>
        <w:pStyle w:val="2"/>
        <w:rPr>
          <w:rFonts w:ascii="宋体" w:hAnsi="宋体" w:cs="宋体"/>
          <w:color w:val="auto"/>
          <w:highlight w:val="none"/>
        </w:rPr>
      </w:pPr>
    </w:p>
    <w:p w14:paraId="116D19E7">
      <w:pPr>
        <w:rPr>
          <w:rFonts w:ascii="宋体" w:hAnsi="宋体" w:cs="宋体"/>
          <w:color w:val="auto"/>
          <w:highlight w:val="none"/>
        </w:rPr>
      </w:pPr>
    </w:p>
    <w:p w14:paraId="51BE80E4">
      <w:pPr>
        <w:pStyle w:val="2"/>
        <w:rPr>
          <w:rFonts w:ascii="宋体" w:hAnsi="宋体" w:cs="宋体"/>
          <w:color w:val="auto"/>
          <w:highlight w:val="none"/>
        </w:rPr>
      </w:pPr>
    </w:p>
    <w:p w14:paraId="2E6F2EE2">
      <w:pPr>
        <w:rPr>
          <w:rFonts w:ascii="宋体" w:hAnsi="宋体" w:cs="宋体"/>
          <w:color w:val="auto"/>
          <w:highlight w:val="none"/>
        </w:rPr>
      </w:pPr>
    </w:p>
    <w:p w14:paraId="1F325709">
      <w:pPr>
        <w:pStyle w:val="2"/>
        <w:rPr>
          <w:rFonts w:ascii="宋体" w:hAnsi="宋体" w:cs="宋体"/>
          <w:color w:val="auto"/>
          <w:highlight w:val="none"/>
        </w:rPr>
      </w:pPr>
    </w:p>
    <w:p w14:paraId="578A1F2B">
      <w:pPr>
        <w:tabs>
          <w:tab w:val="left" w:pos="6300"/>
        </w:tabs>
        <w:snapToGrid w:val="0"/>
        <w:spacing w:line="4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（结束）</w:t>
      </w:r>
    </w:p>
    <w:p w14:paraId="35416B8F">
      <w:pPr>
        <w:rPr>
          <w:rFonts w:ascii="宋体" w:hAnsi="宋体" w:cs="宋体"/>
          <w:color w:val="auto"/>
          <w:highlight w:val="none"/>
        </w:rPr>
      </w:pPr>
    </w:p>
    <w:p w14:paraId="5CFBCFFC">
      <w:pPr>
        <w:pStyle w:val="2"/>
        <w:rPr>
          <w:rFonts w:ascii="宋体" w:hAnsi="宋体" w:cs="宋体"/>
          <w:color w:val="auto"/>
          <w:highlight w:val="none"/>
        </w:rPr>
      </w:pPr>
    </w:p>
    <w:sectPr>
      <w:headerReference r:id="rId7" w:type="default"/>
      <w:footerReference r:id="rId8" w:type="default"/>
      <w:pgSz w:w="11906" w:h="16838"/>
      <w:pgMar w:top="2098" w:right="1474" w:bottom="1984" w:left="158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6A441C8-3B4E-4AAB-9F29-440C91828CA2}"/>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8EB5C3CB-7F73-42BC-BD3F-5E0E3520D571}"/>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3" w:fontKey="{B7EDBCD2-DCAD-41B6-B26D-1F38A106E3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F30C7">
    <w:pPr>
      <w:pStyle w:val="1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04A0D6">
                          <w:pPr>
                            <w:pStyle w:val="1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404A0D6">
                    <w:pPr>
                      <w:pStyle w:val="14"/>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BF6BA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75BF6BA4"/>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A6F13">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CDC52">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26CDC52">
                    <w:pPr>
                      <w:pStyle w:val="1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4B102D">
                          <w:pPr>
                            <w:pStyle w:val="1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14B102D">
                    <w:pPr>
                      <w:pStyle w:val="14"/>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4D4D9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294D4D90"/>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F6732">
    <w:pPr>
      <w:pStyle w:val="14"/>
      <w:rPr>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D4E25">
                          <w:pPr>
                            <w:pStyle w:val="1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CCD4E25">
                    <w:pPr>
                      <w:pStyle w:val="1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2280E">
    <w:pPr>
      <w:pStyle w:val="14"/>
      <w:jc w:val="center"/>
      <w:rPr>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F7A9A">
                          <w:pPr>
                            <w:pStyle w:val="1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26</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84F7A9A">
                    <w:pPr>
                      <w:pStyle w:val="1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26</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3A9E1">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F043D9">
                          <w:pPr>
                            <w:pStyle w:val="14"/>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39</w:t>
                          </w:r>
                          <w:r>
                            <w:rPr>
                              <w:rFonts w:hint="eastAsia" w:ascii="宋体" w:hAnsi="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40F043D9">
                    <w:pPr>
                      <w:pStyle w:val="14"/>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39</w:t>
                    </w:r>
                    <w:r>
                      <w:rPr>
                        <w:rFonts w:hint="eastAsia" w:ascii="宋体" w:hAnsi="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620B9">
    <w:pPr>
      <w:pBdr>
        <w:top w:val="none" w:color="auto" w:sz="0" w:space="1"/>
        <w:left w:val="none" w:color="auto" w:sz="0" w:space="4"/>
        <w:right w:val="none" w:color="auto" w:sz="0" w:space="4"/>
      </w:pBdr>
      <w:snapToGrid w:val="0"/>
      <w:jc w:val="right"/>
      <w:rPr>
        <w:rFonts w:ascii="Calibri" w:hAnsi="Calibri"/>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E1CE4"/>
    <w:multiLevelType w:val="singleLevel"/>
    <w:tmpl w:val="BD1E1CE4"/>
    <w:lvl w:ilvl="0" w:tentative="0">
      <w:start w:val="4"/>
      <w:numFmt w:val="chineseCounting"/>
      <w:suff w:val="nothing"/>
      <w:lvlText w:val="%1、"/>
      <w:lvlJc w:val="left"/>
      <w:rPr>
        <w:rFonts w:hint="eastAsia"/>
      </w:rPr>
    </w:lvl>
  </w:abstractNum>
  <w:abstractNum w:abstractNumId="1">
    <w:nsid w:val="C20ACA4F"/>
    <w:multiLevelType w:val="singleLevel"/>
    <w:tmpl w:val="C20ACA4F"/>
    <w:lvl w:ilvl="0" w:tentative="0">
      <w:start w:val="5"/>
      <w:numFmt w:val="decimal"/>
      <w:suff w:val="nothing"/>
      <w:lvlText w:val="%1、"/>
      <w:lvlJc w:val="left"/>
    </w:lvl>
  </w:abstractNum>
  <w:abstractNum w:abstractNumId="2">
    <w:nsid w:val="D3FE7817"/>
    <w:multiLevelType w:val="singleLevel"/>
    <w:tmpl w:val="D3FE7817"/>
    <w:lvl w:ilvl="0" w:tentative="0">
      <w:start w:val="1"/>
      <w:numFmt w:val="decimal"/>
      <w:suff w:val="nothing"/>
      <w:lvlText w:val="%1、"/>
      <w:lvlJc w:val="left"/>
    </w:lvl>
  </w:abstractNum>
  <w:abstractNum w:abstractNumId="3">
    <w:nsid w:val="04D929BD"/>
    <w:multiLevelType w:val="singleLevel"/>
    <w:tmpl w:val="04D929BD"/>
    <w:lvl w:ilvl="0" w:tentative="0">
      <w:start w:val="1"/>
      <w:numFmt w:val="decimal"/>
      <w:suff w:val="nothing"/>
      <w:lvlText w:val="%1）"/>
      <w:lvlJc w:val="left"/>
    </w:lvl>
  </w:abstractNum>
  <w:abstractNum w:abstractNumId="4">
    <w:nsid w:val="1457A97F"/>
    <w:multiLevelType w:val="singleLevel"/>
    <w:tmpl w:val="1457A97F"/>
    <w:lvl w:ilvl="0" w:tentative="0">
      <w:start w:val="1"/>
      <w:numFmt w:val="decimal"/>
      <w:suff w:val="nothing"/>
      <w:lvlText w:val="%1、"/>
      <w:lvlJc w:val="left"/>
    </w:lvl>
  </w:abstractNum>
  <w:abstractNum w:abstractNumId="5">
    <w:nsid w:val="6B9D9F87"/>
    <w:multiLevelType w:val="multilevel"/>
    <w:tmpl w:val="6B9D9F87"/>
    <w:lvl w:ilvl="0" w:tentative="0">
      <w:start w:val="1"/>
      <w:numFmt w:val="japaneseCounting"/>
      <w:lvlText w:val="第%1条"/>
      <w:lvlJc w:val="left"/>
      <w:pPr>
        <w:ind w:left="960" w:hanging="96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E0FADC4"/>
    <w:multiLevelType w:val="singleLevel"/>
    <w:tmpl w:val="7E0FADC4"/>
    <w:lvl w:ilvl="0" w:tentative="0">
      <w:start w:val="4"/>
      <w:numFmt w:val="decimal"/>
      <w:lvlText w:val="%1."/>
      <w:lvlJc w:val="left"/>
      <w:pPr>
        <w:tabs>
          <w:tab w:val="left" w:pos="312"/>
        </w:tabs>
        <w:ind w:left="-60"/>
      </w:pPr>
    </w:lvl>
  </w:abstractNum>
  <w:num w:numId="1">
    <w:abstractNumId w:val="0"/>
  </w:num>
  <w:num w:numId="2">
    <w:abstractNumId w:val="6"/>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ODAzNGQ4YzE3MmZmMTUzN2U2ZTUzM2I1MGM3ZWMifQ=="/>
  </w:docVars>
  <w:rsids>
    <w:rsidRoot w:val="65816418"/>
    <w:rsid w:val="001044CB"/>
    <w:rsid w:val="001420C5"/>
    <w:rsid w:val="00170D67"/>
    <w:rsid w:val="002C1D0B"/>
    <w:rsid w:val="00366E09"/>
    <w:rsid w:val="003D2111"/>
    <w:rsid w:val="00444B8B"/>
    <w:rsid w:val="00580014"/>
    <w:rsid w:val="005D1D4C"/>
    <w:rsid w:val="00764723"/>
    <w:rsid w:val="00847F15"/>
    <w:rsid w:val="009D3DD7"/>
    <w:rsid w:val="009E35F7"/>
    <w:rsid w:val="00A12980"/>
    <w:rsid w:val="00A15773"/>
    <w:rsid w:val="00AD1143"/>
    <w:rsid w:val="00AD5B7F"/>
    <w:rsid w:val="00BC1DD2"/>
    <w:rsid w:val="00C52481"/>
    <w:rsid w:val="00D17FF1"/>
    <w:rsid w:val="00DB045F"/>
    <w:rsid w:val="00DD71A8"/>
    <w:rsid w:val="00F148DC"/>
    <w:rsid w:val="017714FD"/>
    <w:rsid w:val="01C74429"/>
    <w:rsid w:val="02126BD0"/>
    <w:rsid w:val="02181A12"/>
    <w:rsid w:val="02191CE4"/>
    <w:rsid w:val="022B204D"/>
    <w:rsid w:val="027A5940"/>
    <w:rsid w:val="035B2006"/>
    <w:rsid w:val="036E4BFF"/>
    <w:rsid w:val="03B31C9D"/>
    <w:rsid w:val="03FB03BA"/>
    <w:rsid w:val="047458D8"/>
    <w:rsid w:val="051C4A8C"/>
    <w:rsid w:val="052B2F21"/>
    <w:rsid w:val="053B6609"/>
    <w:rsid w:val="05D95B88"/>
    <w:rsid w:val="061C3823"/>
    <w:rsid w:val="06751F59"/>
    <w:rsid w:val="06844395"/>
    <w:rsid w:val="07643FF5"/>
    <w:rsid w:val="07875D07"/>
    <w:rsid w:val="07CA7D6F"/>
    <w:rsid w:val="089332B7"/>
    <w:rsid w:val="08C36FF5"/>
    <w:rsid w:val="08F40F0F"/>
    <w:rsid w:val="093C318A"/>
    <w:rsid w:val="0949606C"/>
    <w:rsid w:val="099C461E"/>
    <w:rsid w:val="0A06086A"/>
    <w:rsid w:val="0ACE5B84"/>
    <w:rsid w:val="0ADD0602"/>
    <w:rsid w:val="0B9B45B4"/>
    <w:rsid w:val="0BC15432"/>
    <w:rsid w:val="0CE06691"/>
    <w:rsid w:val="0CE41FFC"/>
    <w:rsid w:val="0CE83560"/>
    <w:rsid w:val="0D8E6004"/>
    <w:rsid w:val="0E344BF5"/>
    <w:rsid w:val="0F274759"/>
    <w:rsid w:val="0FBE0BC7"/>
    <w:rsid w:val="105F14A2"/>
    <w:rsid w:val="109F4426"/>
    <w:rsid w:val="10A1047A"/>
    <w:rsid w:val="10C37D7F"/>
    <w:rsid w:val="10FA0729"/>
    <w:rsid w:val="11206186"/>
    <w:rsid w:val="12132CE6"/>
    <w:rsid w:val="12892662"/>
    <w:rsid w:val="129E1190"/>
    <w:rsid w:val="12A04F4F"/>
    <w:rsid w:val="13F760FA"/>
    <w:rsid w:val="14975477"/>
    <w:rsid w:val="149A3C1F"/>
    <w:rsid w:val="14D475B4"/>
    <w:rsid w:val="15367332"/>
    <w:rsid w:val="168A5FEC"/>
    <w:rsid w:val="16A55E47"/>
    <w:rsid w:val="16F90A68"/>
    <w:rsid w:val="177E3384"/>
    <w:rsid w:val="17943E3D"/>
    <w:rsid w:val="17A96653"/>
    <w:rsid w:val="18057602"/>
    <w:rsid w:val="18954DC2"/>
    <w:rsid w:val="18DF42F7"/>
    <w:rsid w:val="19433D2E"/>
    <w:rsid w:val="1998465E"/>
    <w:rsid w:val="199C5337"/>
    <w:rsid w:val="19BB361F"/>
    <w:rsid w:val="19BE3F0C"/>
    <w:rsid w:val="1ABD41C4"/>
    <w:rsid w:val="1AFF0F1F"/>
    <w:rsid w:val="1B2454C9"/>
    <w:rsid w:val="1B3463C1"/>
    <w:rsid w:val="1B5A1A2F"/>
    <w:rsid w:val="1BAD0C2B"/>
    <w:rsid w:val="1BD777B5"/>
    <w:rsid w:val="1C6A56A5"/>
    <w:rsid w:val="1C6F7740"/>
    <w:rsid w:val="1C99656B"/>
    <w:rsid w:val="1CCA0135"/>
    <w:rsid w:val="1CD5426B"/>
    <w:rsid w:val="1DDC0715"/>
    <w:rsid w:val="1E0B5246"/>
    <w:rsid w:val="1EE067AC"/>
    <w:rsid w:val="1F8878F8"/>
    <w:rsid w:val="204F2A9F"/>
    <w:rsid w:val="21935C7E"/>
    <w:rsid w:val="21C8576E"/>
    <w:rsid w:val="21D04BAA"/>
    <w:rsid w:val="21F92A90"/>
    <w:rsid w:val="22A866E4"/>
    <w:rsid w:val="22BC05AF"/>
    <w:rsid w:val="22E879A5"/>
    <w:rsid w:val="230744DD"/>
    <w:rsid w:val="23980871"/>
    <w:rsid w:val="23A14CF8"/>
    <w:rsid w:val="23E62EB9"/>
    <w:rsid w:val="23E77411"/>
    <w:rsid w:val="23F30C56"/>
    <w:rsid w:val="240B2444"/>
    <w:rsid w:val="24DE36B4"/>
    <w:rsid w:val="256410B3"/>
    <w:rsid w:val="26995AE5"/>
    <w:rsid w:val="27534744"/>
    <w:rsid w:val="28017DE6"/>
    <w:rsid w:val="28D23B32"/>
    <w:rsid w:val="290F02E0"/>
    <w:rsid w:val="298F65E2"/>
    <w:rsid w:val="29D137E8"/>
    <w:rsid w:val="29EB641D"/>
    <w:rsid w:val="2A9F08C1"/>
    <w:rsid w:val="2AE62959"/>
    <w:rsid w:val="2B1474AE"/>
    <w:rsid w:val="2BBF52EC"/>
    <w:rsid w:val="2BDE6429"/>
    <w:rsid w:val="2D085107"/>
    <w:rsid w:val="2DEE75CF"/>
    <w:rsid w:val="2E023896"/>
    <w:rsid w:val="2FAD2601"/>
    <w:rsid w:val="307BE5A3"/>
    <w:rsid w:val="30F06C49"/>
    <w:rsid w:val="314E6D4E"/>
    <w:rsid w:val="32410B5F"/>
    <w:rsid w:val="3244724D"/>
    <w:rsid w:val="32B85724"/>
    <w:rsid w:val="32EB1476"/>
    <w:rsid w:val="32FF47A0"/>
    <w:rsid w:val="3335609A"/>
    <w:rsid w:val="34016E77"/>
    <w:rsid w:val="341145CC"/>
    <w:rsid w:val="34F91A69"/>
    <w:rsid w:val="350C206D"/>
    <w:rsid w:val="3568190D"/>
    <w:rsid w:val="36A675C6"/>
    <w:rsid w:val="36CC3761"/>
    <w:rsid w:val="37945C38"/>
    <w:rsid w:val="37E15CE6"/>
    <w:rsid w:val="37F35FED"/>
    <w:rsid w:val="3844073F"/>
    <w:rsid w:val="388760E5"/>
    <w:rsid w:val="389F77C1"/>
    <w:rsid w:val="39D36EC4"/>
    <w:rsid w:val="3ABC7B9C"/>
    <w:rsid w:val="3AE53021"/>
    <w:rsid w:val="3AEF404F"/>
    <w:rsid w:val="3B36024D"/>
    <w:rsid w:val="3C5A58BF"/>
    <w:rsid w:val="3C78001C"/>
    <w:rsid w:val="3C8C075C"/>
    <w:rsid w:val="3D1209E6"/>
    <w:rsid w:val="3ECA0367"/>
    <w:rsid w:val="3F080932"/>
    <w:rsid w:val="3F1FBD1A"/>
    <w:rsid w:val="3F7A31E2"/>
    <w:rsid w:val="3FD955BF"/>
    <w:rsid w:val="4016377A"/>
    <w:rsid w:val="402E069E"/>
    <w:rsid w:val="40440C2B"/>
    <w:rsid w:val="404D0212"/>
    <w:rsid w:val="41B5046E"/>
    <w:rsid w:val="42251EAE"/>
    <w:rsid w:val="425051AC"/>
    <w:rsid w:val="42872E69"/>
    <w:rsid w:val="42A96C58"/>
    <w:rsid w:val="42AF00E4"/>
    <w:rsid w:val="44085216"/>
    <w:rsid w:val="4587581E"/>
    <w:rsid w:val="469A3487"/>
    <w:rsid w:val="46FA32F7"/>
    <w:rsid w:val="470A6E1E"/>
    <w:rsid w:val="471B3AE9"/>
    <w:rsid w:val="47393EFA"/>
    <w:rsid w:val="474131A7"/>
    <w:rsid w:val="475A2C17"/>
    <w:rsid w:val="47A3636C"/>
    <w:rsid w:val="4888145A"/>
    <w:rsid w:val="4ADB7387"/>
    <w:rsid w:val="4B0F6C7F"/>
    <w:rsid w:val="4BF67FF4"/>
    <w:rsid w:val="4CAA515E"/>
    <w:rsid w:val="4E0C0410"/>
    <w:rsid w:val="4E6E5253"/>
    <w:rsid w:val="4F401F3C"/>
    <w:rsid w:val="4F6D14D3"/>
    <w:rsid w:val="4FB84587"/>
    <w:rsid w:val="4FF34ABF"/>
    <w:rsid w:val="503179F9"/>
    <w:rsid w:val="506F328F"/>
    <w:rsid w:val="51705511"/>
    <w:rsid w:val="51F37EF0"/>
    <w:rsid w:val="52320A18"/>
    <w:rsid w:val="52EA683C"/>
    <w:rsid w:val="534948CB"/>
    <w:rsid w:val="54016918"/>
    <w:rsid w:val="54FA5294"/>
    <w:rsid w:val="5526740B"/>
    <w:rsid w:val="55287EB0"/>
    <w:rsid w:val="555C4059"/>
    <w:rsid w:val="55621614"/>
    <w:rsid w:val="557C7FA4"/>
    <w:rsid w:val="560E70A6"/>
    <w:rsid w:val="56787ABB"/>
    <w:rsid w:val="56BF4442"/>
    <w:rsid w:val="56EC4701"/>
    <w:rsid w:val="59354E4F"/>
    <w:rsid w:val="59555E0C"/>
    <w:rsid w:val="5A27309C"/>
    <w:rsid w:val="5A4C5C77"/>
    <w:rsid w:val="5A984690"/>
    <w:rsid w:val="5AB663B0"/>
    <w:rsid w:val="5ACA0E33"/>
    <w:rsid w:val="5AFF7905"/>
    <w:rsid w:val="5B205761"/>
    <w:rsid w:val="5B6F4A8B"/>
    <w:rsid w:val="5B745BFD"/>
    <w:rsid w:val="5BE957B6"/>
    <w:rsid w:val="5C080D80"/>
    <w:rsid w:val="5C342069"/>
    <w:rsid w:val="5C414810"/>
    <w:rsid w:val="5C826B51"/>
    <w:rsid w:val="5C9C3776"/>
    <w:rsid w:val="5D3B58E8"/>
    <w:rsid w:val="5E257683"/>
    <w:rsid w:val="5F837BE3"/>
    <w:rsid w:val="5FC8584D"/>
    <w:rsid w:val="5FDA624B"/>
    <w:rsid w:val="60B65D45"/>
    <w:rsid w:val="6100654F"/>
    <w:rsid w:val="6134168B"/>
    <w:rsid w:val="618F1786"/>
    <w:rsid w:val="620D21D1"/>
    <w:rsid w:val="620D6C89"/>
    <w:rsid w:val="62A47C5A"/>
    <w:rsid w:val="62F835B8"/>
    <w:rsid w:val="631041CE"/>
    <w:rsid w:val="641D7FF6"/>
    <w:rsid w:val="643A0ACF"/>
    <w:rsid w:val="6469154B"/>
    <w:rsid w:val="64CF4B44"/>
    <w:rsid w:val="64D114CD"/>
    <w:rsid w:val="65816418"/>
    <w:rsid w:val="664B4EE7"/>
    <w:rsid w:val="6660394E"/>
    <w:rsid w:val="66976CBB"/>
    <w:rsid w:val="670E62A4"/>
    <w:rsid w:val="673D2EE4"/>
    <w:rsid w:val="67431520"/>
    <w:rsid w:val="67760F4F"/>
    <w:rsid w:val="68440135"/>
    <w:rsid w:val="68751207"/>
    <w:rsid w:val="68965644"/>
    <w:rsid w:val="698B3A72"/>
    <w:rsid w:val="69A51678"/>
    <w:rsid w:val="6B0E24CC"/>
    <w:rsid w:val="6B811C71"/>
    <w:rsid w:val="6C524A52"/>
    <w:rsid w:val="6C99056A"/>
    <w:rsid w:val="6CD04C5E"/>
    <w:rsid w:val="6CD359BD"/>
    <w:rsid w:val="6D9640F9"/>
    <w:rsid w:val="6E2C5ED9"/>
    <w:rsid w:val="6E6F17D9"/>
    <w:rsid w:val="6E8A55DC"/>
    <w:rsid w:val="6EE772E4"/>
    <w:rsid w:val="6F3C4F7B"/>
    <w:rsid w:val="6FDF3FDD"/>
    <w:rsid w:val="7039043A"/>
    <w:rsid w:val="70840555"/>
    <w:rsid w:val="709818AB"/>
    <w:rsid w:val="70F465F9"/>
    <w:rsid w:val="71D1738E"/>
    <w:rsid w:val="71DB032D"/>
    <w:rsid w:val="71E11007"/>
    <w:rsid w:val="729E6008"/>
    <w:rsid w:val="738D5656"/>
    <w:rsid w:val="73A81F67"/>
    <w:rsid w:val="73CC2623"/>
    <w:rsid w:val="73E259DB"/>
    <w:rsid w:val="740578E3"/>
    <w:rsid w:val="74744A68"/>
    <w:rsid w:val="75146D96"/>
    <w:rsid w:val="76460CD1"/>
    <w:rsid w:val="768309AC"/>
    <w:rsid w:val="76A52432"/>
    <w:rsid w:val="77960662"/>
    <w:rsid w:val="7797347E"/>
    <w:rsid w:val="77D72A15"/>
    <w:rsid w:val="7A16466C"/>
    <w:rsid w:val="7AC34054"/>
    <w:rsid w:val="7B74623B"/>
    <w:rsid w:val="7B7A0BB6"/>
    <w:rsid w:val="7BD227A0"/>
    <w:rsid w:val="7C244320"/>
    <w:rsid w:val="7CB9341E"/>
    <w:rsid w:val="7CD8250A"/>
    <w:rsid w:val="7E9D6F13"/>
    <w:rsid w:val="7EE23A66"/>
    <w:rsid w:val="7F34107C"/>
    <w:rsid w:val="7F5A136B"/>
    <w:rsid w:val="BFDFC630"/>
    <w:rsid w:val="CFDF41C0"/>
    <w:rsid w:val="D797AE24"/>
    <w:rsid w:val="EFF29C4A"/>
    <w:rsid w:val="EFF7EC17"/>
    <w:rsid w:val="FD3EED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9"/>
    <w:pPr>
      <w:keepNext/>
      <w:keepLines/>
      <w:spacing w:line="440" w:lineRule="exact"/>
      <w:outlineLvl w:val="0"/>
    </w:pPr>
    <w:rPr>
      <w:kern w:val="44"/>
      <w:sz w:val="28"/>
      <w:szCs w:val="44"/>
    </w:rPr>
  </w:style>
  <w:style w:type="paragraph" w:styleId="4">
    <w:name w:val="heading 2"/>
    <w:basedOn w:val="1"/>
    <w:next w:val="1"/>
    <w:autoRedefine/>
    <w:unhideWhenUsed/>
    <w:qFormat/>
    <w:uiPriority w:val="9"/>
    <w:pPr>
      <w:keepNext/>
      <w:keepLines/>
      <w:outlineLvl w:val="1"/>
    </w:pPr>
    <w:rPr>
      <w:rFonts w:ascii="Calibri Light" w:hAnsi="Calibri Light"/>
      <w:b/>
      <w:bCs/>
      <w:szCs w:val="32"/>
    </w:rPr>
  </w:style>
  <w:style w:type="paragraph" w:styleId="5">
    <w:name w:val="heading 3"/>
    <w:basedOn w:val="1"/>
    <w:next w:val="1"/>
    <w:qFormat/>
    <w:uiPriority w:val="0"/>
    <w:pPr>
      <w:keepNext/>
      <w:outlineLvl w:val="2"/>
    </w:pPr>
    <w:rPr>
      <w:b/>
      <w:bCs/>
    </w:rPr>
  </w:style>
  <w:style w:type="character" w:default="1" w:styleId="24">
    <w:name w:val="Default Paragraph Font"/>
    <w:autoRedefine/>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index 8"/>
    <w:basedOn w:val="1"/>
    <w:next w:val="1"/>
    <w:unhideWhenUsed/>
    <w:qFormat/>
    <w:uiPriority w:val="99"/>
    <w:pPr>
      <w:ind w:left="1400" w:leftChars="1400"/>
    </w:pPr>
  </w:style>
  <w:style w:type="paragraph" w:styleId="7">
    <w:name w:val="Normal Indent"/>
    <w:basedOn w:val="1"/>
    <w:next w:val="1"/>
    <w:autoRedefine/>
    <w:unhideWhenUsed/>
    <w:qFormat/>
    <w:uiPriority w:val="99"/>
    <w:pPr>
      <w:ind w:firstLine="420" w:firstLineChars="200"/>
    </w:pPr>
  </w:style>
  <w:style w:type="paragraph" w:styleId="8">
    <w:name w:val="annotation text"/>
    <w:basedOn w:val="1"/>
    <w:link w:val="30"/>
    <w:autoRedefine/>
    <w:qFormat/>
    <w:uiPriority w:val="0"/>
    <w:pPr>
      <w:jc w:val="left"/>
    </w:pPr>
  </w:style>
  <w:style w:type="paragraph" w:styleId="9">
    <w:name w:val="Body Text Indent"/>
    <w:basedOn w:val="1"/>
    <w:qFormat/>
    <w:uiPriority w:val="0"/>
    <w:pPr>
      <w:spacing w:line="360" w:lineRule="auto"/>
      <w:ind w:firstLine="570"/>
    </w:pPr>
    <w:rPr>
      <w:rFonts w:ascii="仿宋_GB2312" w:eastAsia="仿宋_GB2312"/>
      <w:sz w:val="30"/>
    </w:rPr>
  </w:style>
  <w:style w:type="paragraph" w:styleId="10">
    <w:name w:val="Plain Text"/>
    <w:basedOn w:val="1"/>
    <w:autoRedefine/>
    <w:qFormat/>
    <w:uiPriority w:val="0"/>
    <w:pPr>
      <w:adjustRightInd w:val="0"/>
      <w:snapToGrid w:val="0"/>
      <w:spacing w:line="360" w:lineRule="auto"/>
    </w:pPr>
    <w:rPr>
      <w:rFonts w:ascii="宋体" w:hAnsi="Courier New"/>
    </w:rPr>
  </w:style>
  <w:style w:type="paragraph" w:styleId="11">
    <w:name w:val="Date"/>
    <w:basedOn w:val="1"/>
    <w:next w:val="1"/>
    <w:autoRedefine/>
    <w:qFormat/>
    <w:uiPriority w:val="0"/>
  </w:style>
  <w:style w:type="paragraph" w:styleId="12">
    <w:name w:val="Body Text Indent 2"/>
    <w:basedOn w:val="1"/>
    <w:autoRedefine/>
    <w:qFormat/>
    <w:uiPriority w:val="99"/>
    <w:pPr>
      <w:jc w:val="center"/>
    </w:pPr>
  </w:style>
  <w:style w:type="paragraph" w:styleId="13">
    <w:name w:val="Balloon Text"/>
    <w:basedOn w:val="1"/>
    <w:link w:val="32"/>
    <w:qFormat/>
    <w:uiPriority w:val="0"/>
    <w:rPr>
      <w:sz w:val="18"/>
      <w:szCs w:val="18"/>
    </w:rPr>
  </w:style>
  <w:style w:type="paragraph" w:styleId="14">
    <w:name w:val="footer"/>
    <w:basedOn w:val="1"/>
    <w:next w:val="6"/>
    <w:unhideWhenUsed/>
    <w:qFormat/>
    <w:uiPriority w:val="99"/>
    <w:pPr>
      <w:tabs>
        <w:tab w:val="center" w:pos="4153"/>
        <w:tab w:val="right" w:pos="8306"/>
      </w:tabs>
      <w:snapToGrid w:val="0"/>
      <w:jc w:val="left"/>
    </w:pPr>
    <w:rPr>
      <w:sz w:val="18"/>
      <w:szCs w:val="18"/>
    </w:rPr>
  </w:style>
  <w:style w:type="paragraph" w:styleId="15">
    <w:name w:val="header"/>
    <w:basedOn w:val="1"/>
    <w:link w:val="29"/>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rPr>
      <w:rFonts w:ascii="方正黑体_GBK" w:eastAsia="方正黑体_GBK"/>
      <w:sz w:val="32"/>
      <w:szCs w:val="32"/>
    </w:rPr>
  </w:style>
  <w:style w:type="paragraph" w:styleId="17">
    <w:name w:val="Body Text 2"/>
    <w:basedOn w:val="1"/>
    <w:qFormat/>
    <w:uiPriority w:val="0"/>
    <w:pPr>
      <w:tabs>
        <w:tab w:val="left" w:pos="420"/>
      </w:tabs>
      <w:adjustRightInd w:val="0"/>
      <w:spacing w:line="360" w:lineRule="auto"/>
      <w:ind w:firstLine="420"/>
      <w:textAlignment w:val="baseline"/>
    </w:pPr>
    <w:rPr>
      <w:sz w:val="24"/>
    </w:r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9">
    <w:name w:val="Title"/>
    <w:basedOn w:val="1"/>
    <w:next w:val="1"/>
    <w:qFormat/>
    <w:uiPriority w:val="0"/>
    <w:pPr>
      <w:jc w:val="center"/>
      <w:outlineLvl w:val="0"/>
    </w:pPr>
    <w:rPr>
      <w:rFonts w:ascii="Arial" w:hAnsi="Arial"/>
      <w:b/>
      <w:sz w:val="32"/>
    </w:rPr>
  </w:style>
  <w:style w:type="paragraph" w:styleId="20">
    <w:name w:val="annotation subject"/>
    <w:basedOn w:val="8"/>
    <w:next w:val="8"/>
    <w:link w:val="31"/>
    <w:qFormat/>
    <w:uiPriority w:val="0"/>
    <w:rPr>
      <w:b/>
      <w:bCs/>
    </w:rPr>
  </w:style>
  <w:style w:type="paragraph" w:styleId="21">
    <w:name w:val="Body Text First Indent"/>
    <w:basedOn w:val="1"/>
    <w:qFormat/>
    <w:uiPriority w:val="0"/>
    <w:pPr>
      <w:spacing w:line="312" w:lineRule="auto"/>
      <w:ind w:firstLine="420"/>
    </w:pPr>
    <w:rPr>
      <w:rFonts w:ascii="Calibri" w:hAnsi="Calibri"/>
    </w:rPr>
  </w:style>
  <w:style w:type="paragraph" w:styleId="22">
    <w:name w:val="Body Text First Indent 2"/>
    <w:basedOn w:val="1"/>
    <w:next w:val="1"/>
    <w:autoRedefine/>
    <w:qFormat/>
    <w:uiPriority w:val="0"/>
    <w:pPr>
      <w:spacing w:after="120"/>
      <w:ind w:left="420" w:leftChars="200" w:firstLine="420"/>
    </w:pPr>
  </w:style>
  <w:style w:type="character" w:styleId="25">
    <w:name w:val="page number"/>
    <w:basedOn w:val="24"/>
    <w:autoRedefine/>
    <w:qFormat/>
    <w:uiPriority w:val="0"/>
  </w:style>
  <w:style w:type="character" w:styleId="26">
    <w:name w:val="annotation reference"/>
    <w:basedOn w:val="24"/>
    <w:autoRedefine/>
    <w:qFormat/>
    <w:uiPriority w:val="0"/>
    <w:rPr>
      <w:sz w:val="21"/>
      <w:szCs w:val="21"/>
    </w:rPr>
  </w:style>
  <w:style w:type="paragraph" w:customStyle="1" w:styleId="27">
    <w:name w:val="正文（缩进）"/>
    <w:next w:val="1"/>
    <w:qFormat/>
    <w:uiPriority w:val="0"/>
    <w:pPr>
      <w:widowControl w:val="0"/>
      <w:ind w:firstLine="960"/>
      <w:jc w:val="both"/>
    </w:pPr>
    <w:rPr>
      <w:rFonts w:ascii="Calibri" w:hAnsi="Calibri" w:eastAsia="宋体" w:cs="Times New Roman"/>
      <w:kern w:val="2"/>
      <w:sz w:val="28"/>
      <w:szCs w:val="24"/>
      <w:lang w:val="en-US" w:eastAsia="zh-CN" w:bidi="ar-SA"/>
    </w:rPr>
  </w:style>
  <w:style w:type="paragraph" w:customStyle="1" w:styleId="28">
    <w:name w:val="正文文本1"/>
    <w:basedOn w:val="1"/>
    <w:autoRedefine/>
    <w:qFormat/>
    <w:uiPriority w:val="0"/>
    <w:rPr>
      <w:sz w:val="24"/>
    </w:rPr>
  </w:style>
  <w:style w:type="character" w:customStyle="1" w:styleId="29">
    <w:name w:val="页眉 字符"/>
    <w:basedOn w:val="24"/>
    <w:link w:val="15"/>
    <w:qFormat/>
    <w:uiPriority w:val="0"/>
    <w:rPr>
      <w:kern w:val="2"/>
      <w:sz w:val="18"/>
      <w:szCs w:val="18"/>
    </w:rPr>
  </w:style>
  <w:style w:type="character" w:customStyle="1" w:styleId="30">
    <w:name w:val="批注文字 字符"/>
    <w:basedOn w:val="24"/>
    <w:link w:val="8"/>
    <w:autoRedefine/>
    <w:qFormat/>
    <w:uiPriority w:val="0"/>
    <w:rPr>
      <w:kern w:val="2"/>
      <w:sz w:val="21"/>
    </w:rPr>
  </w:style>
  <w:style w:type="character" w:customStyle="1" w:styleId="31">
    <w:name w:val="批注主题 字符"/>
    <w:basedOn w:val="30"/>
    <w:link w:val="20"/>
    <w:autoRedefine/>
    <w:qFormat/>
    <w:uiPriority w:val="0"/>
    <w:rPr>
      <w:b/>
      <w:bCs/>
      <w:kern w:val="2"/>
      <w:sz w:val="21"/>
    </w:rPr>
  </w:style>
  <w:style w:type="character" w:customStyle="1" w:styleId="32">
    <w:name w:val="批注框文本 字符"/>
    <w:basedOn w:val="24"/>
    <w:link w:val="13"/>
    <w:autoRedefine/>
    <w:qFormat/>
    <w:uiPriority w:val="0"/>
    <w:rPr>
      <w:kern w:val="2"/>
      <w:sz w:val="18"/>
      <w:szCs w:val="18"/>
    </w:rPr>
  </w:style>
  <w:style w:type="paragraph" w:customStyle="1" w:styleId="33">
    <w:name w:val="乐a正文"/>
    <w:basedOn w:val="1"/>
    <w:qFormat/>
    <w:uiPriority w:val="0"/>
    <w:pPr>
      <w:spacing w:line="380" w:lineRule="exact"/>
      <w:ind w:firstLine="480" w:firstLineChars="200"/>
    </w:pPr>
    <w:rPr>
      <w:rFonts w:eastAsia="方正仿宋_GBK"/>
      <w:color w:val="000000"/>
      <w:sz w:val="24"/>
      <w:szCs w:val="24"/>
    </w:rPr>
  </w:style>
  <w:style w:type="paragraph" w:customStyle="1" w:styleId="34">
    <w:name w:val="图例"/>
    <w:basedOn w:val="1"/>
    <w:autoRedefine/>
    <w:qFormat/>
    <w:uiPriority w:val="99"/>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区农业委</Company>
  <Pages>40</Pages>
  <Words>15351</Words>
  <Characters>16326</Characters>
  <Lines>141</Lines>
  <Paragraphs>39</Paragraphs>
  <TotalTime>13</TotalTime>
  <ScaleCrop>false</ScaleCrop>
  <LinksUpToDate>false</LinksUpToDate>
  <CharactersWithSpaces>17843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2022-05-19T10:00:00Z</dcterms:created>
  <dc:creator>hp-jjcj2021 18</dc:creator>
  <cp:lastModifiedBy>一叶扁舟</cp:lastModifiedBy>
  <cp:lastPrinted>2022-05-19T16:21:00Z</cp:lastPrinted>
  <dcterms:modified xsi:type="dcterms:W3CDTF">2025-03-25T08:13:51Z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B23876DB77E845A7BE9588A96876129A_13</vt:lpwstr>
  </property>
  <property fmtid="{D5CDD505-2E9C-101B-9397-08002B2CF9AE}" pid="4" name="KSOSaveFontToCloudKey">
    <vt:lpwstr>363942048_btnclosed</vt:lpwstr>
  </property>
  <property fmtid="{D5CDD505-2E9C-101B-9397-08002B2CF9AE}" pid="5" name="KSOTemplateDocerSaveRecord">
    <vt:lpwstr>eyJoZGlkIjoiZTViNGUwNzI2YmI0MTY2ZDdlMDk4NzI5MWVmMzI0NmMiLCJ1c2VySWQiOiIzNTQxMDY3MDYifQ==</vt:lpwstr>
  </property>
</Properties>
</file>