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right="-142" w:rightChars="-68"/>
        <w:jc w:val="distribute"/>
        <w:rPr>
          <w:rFonts w:hint="default" w:ascii="Times New Roman" w:hAnsi="Times New Roman" w:eastAsia="方正黑体_GBK" w:cs="Times New Roman"/>
          <w:spacing w:val="20"/>
          <w:sz w:val="112"/>
          <w:szCs w:val="112"/>
          <w:lang w:val="en-US" w:eastAsia="zh-CN"/>
        </w:rPr>
      </w:pPr>
    </w:p>
    <w:p>
      <w:pPr>
        <w:widowControl w:val="0"/>
        <w:spacing w:line="240" w:lineRule="auto"/>
        <w:ind w:firstLine="0" w:firstLineChars="0"/>
        <w:jc w:val="center"/>
        <w:rPr>
          <w:rFonts w:hint="eastAsia" w:ascii="方正仿宋_GBK" w:hAnsi="方正仿宋_GBK" w:eastAsia="方正仿宋_GBK" w:cs="方正仿宋_GBK"/>
          <w:b/>
          <w:bCs/>
          <w:color w:val="auto"/>
          <w:sz w:val="90"/>
          <w:szCs w:val="90"/>
        </w:rPr>
      </w:pPr>
      <w:r>
        <w:rPr>
          <w:rFonts w:hint="eastAsia" w:ascii="方正仿宋_GBK" w:hAnsi="方正仿宋_GBK" w:eastAsia="方正仿宋_GBK" w:cs="方正仿宋_GBK"/>
          <w:b/>
          <w:bCs/>
          <w:color w:val="auto"/>
          <w:sz w:val="90"/>
          <w:szCs w:val="90"/>
          <w:lang w:val="en-US" w:eastAsia="zh-CN"/>
        </w:rPr>
        <w:t>电子</w:t>
      </w:r>
      <w:r>
        <w:rPr>
          <w:rFonts w:hint="eastAsia" w:ascii="方正仿宋_GBK" w:hAnsi="方正仿宋_GBK" w:eastAsia="方正仿宋_GBK" w:cs="方正仿宋_GBK"/>
          <w:b/>
          <w:bCs/>
          <w:color w:val="auto"/>
          <w:sz w:val="90"/>
          <w:szCs w:val="90"/>
        </w:rPr>
        <w:t>竞采</w:t>
      </w:r>
    </w:p>
    <w:p>
      <w:pPr>
        <w:spacing w:line="1600" w:lineRule="exact"/>
        <w:ind w:right="-142" w:rightChars="-68"/>
        <w:jc w:val="center"/>
        <w:rPr>
          <w:rFonts w:hint="default" w:ascii="Times New Roman" w:hAnsi="Times New Roman" w:cs="Times New Roman"/>
          <w:b/>
          <w:spacing w:val="20"/>
          <w:sz w:val="30"/>
        </w:rPr>
      </w:pPr>
      <w:r>
        <w:rPr>
          <w:rFonts w:hint="eastAsia" w:ascii="方正仿宋_GBK" w:hAnsi="方正仿宋_GBK" w:eastAsia="方正仿宋_GBK" w:cs="方正仿宋_GBK"/>
          <w:b/>
          <w:bCs/>
          <w:color w:val="auto"/>
          <w:sz w:val="90"/>
          <w:szCs w:val="90"/>
        </w:rPr>
        <w:t>电子反拍文件</w:t>
      </w:r>
    </w:p>
    <w:p>
      <w:pPr>
        <w:spacing w:line="500" w:lineRule="exact"/>
        <w:rPr>
          <w:rFonts w:hint="default" w:ascii="Times New Roman" w:hAnsi="Times New Roman" w:cs="Times New Roman"/>
          <w:szCs w:val="28"/>
        </w:rPr>
      </w:pPr>
    </w:p>
    <w:p>
      <w:pPr>
        <w:pStyle w:val="14"/>
        <w:rPr>
          <w:rFonts w:hint="default" w:ascii="Times New Roman" w:hAnsi="Times New Roman" w:cs="Times New Roman"/>
          <w:sz w:val="28"/>
          <w:szCs w:val="28"/>
        </w:rPr>
      </w:pPr>
    </w:p>
    <w:p>
      <w:pPr>
        <w:rPr>
          <w:rFonts w:hint="default" w:ascii="Times New Roman" w:hAnsi="Times New Roman" w:cs="Times New Roman"/>
          <w:szCs w:val="28"/>
        </w:rPr>
      </w:pPr>
    </w:p>
    <w:p>
      <w:pPr>
        <w:rPr>
          <w:rFonts w:hint="default" w:ascii="Times New Roman" w:hAnsi="Times New Roman" w:cs="Times New Roman"/>
        </w:rPr>
      </w:pPr>
    </w:p>
    <w:p>
      <w:pPr>
        <w:pStyle w:val="14"/>
        <w:rPr>
          <w:rFonts w:hint="default" w:ascii="Times New Roman" w:hAnsi="Times New Roman" w:cs="Times New Roman"/>
          <w:sz w:val="28"/>
          <w:szCs w:val="28"/>
        </w:rPr>
      </w:pPr>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采购项目编号：</w:t>
      </w:r>
      <w:r>
        <w:rPr>
          <w:rFonts w:hint="eastAsia" w:eastAsia="方正小标宋_GBK" w:cs="Times New Roman"/>
          <w:b w:val="0"/>
          <w:bCs/>
          <w:sz w:val="36"/>
          <w:szCs w:val="30"/>
          <w:lang w:eastAsia="zh-CN"/>
        </w:rPr>
        <w:t>BNQRMYY20250</w:t>
      </w:r>
      <w:r>
        <w:rPr>
          <w:rFonts w:hint="eastAsia" w:eastAsia="方正小标宋_GBK" w:cs="Times New Roman"/>
          <w:b w:val="0"/>
          <w:bCs/>
          <w:sz w:val="36"/>
          <w:szCs w:val="30"/>
          <w:lang w:val="en-US" w:eastAsia="zh-CN"/>
        </w:rPr>
        <w:t>109</w:t>
      </w:r>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采购项目名称：</w:t>
      </w:r>
      <w:r>
        <w:rPr>
          <w:rFonts w:hint="eastAsia" w:eastAsia="方正小标宋_GBK" w:cs="Times New Roman"/>
          <w:b w:val="0"/>
          <w:bCs/>
          <w:spacing w:val="20"/>
          <w:sz w:val="36"/>
          <w:szCs w:val="30"/>
          <w:lang w:val="en-US" w:eastAsia="zh-CN"/>
        </w:rPr>
        <w:t>室内照明灯具（第三次）</w:t>
      </w:r>
    </w:p>
    <w:p>
      <w:pPr>
        <w:rPr>
          <w:rFonts w:hint="default" w:ascii="Times New Roman" w:hAnsi="Times New Roman" w:eastAsia="方正小标宋_GBK" w:cs="Times New Roman"/>
          <w:b w:val="0"/>
          <w:bCs/>
          <w:szCs w:val="28"/>
        </w:rPr>
      </w:pPr>
    </w:p>
    <w:p>
      <w:pPr>
        <w:spacing w:line="500" w:lineRule="exact"/>
        <w:rPr>
          <w:rFonts w:hint="default" w:ascii="Times New Roman" w:hAnsi="Times New Roman" w:eastAsia="方正小标宋_GBK" w:cs="Times New Roman"/>
          <w:b w:val="0"/>
          <w:bCs/>
          <w:szCs w:val="28"/>
        </w:rPr>
      </w:pPr>
    </w:p>
    <w:p>
      <w:pPr>
        <w:pStyle w:val="14"/>
        <w:rPr>
          <w:rFonts w:hint="default" w:ascii="Times New Roman" w:hAnsi="Times New Roman" w:eastAsia="方正小标宋_GBK" w:cs="Times New Roman"/>
          <w:b w:val="0"/>
          <w:bCs/>
          <w:szCs w:val="28"/>
        </w:rPr>
      </w:pPr>
    </w:p>
    <w:p>
      <w:pPr>
        <w:rPr>
          <w:rFonts w:hint="default" w:ascii="Times New Roman" w:hAnsi="Times New Roman" w:eastAsia="方正小标宋_GBK" w:cs="Times New Roman"/>
          <w:b w:val="0"/>
          <w:bCs/>
          <w:szCs w:val="28"/>
        </w:rPr>
      </w:pPr>
    </w:p>
    <w:p>
      <w:pPr>
        <w:pStyle w:val="14"/>
        <w:rPr>
          <w:rFonts w:hint="default" w:ascii="Times New Roman" w:hAnsi="Times New Roman" w:eastAsia="方正小标宋_GBK" w:cs="Times New Roman"/>
          <w:b w:val="0"/>
          <w:bCs/>
        </w:rPr>
      </w:pPr>
    </w:p>
    <w:p>
      <w:pPr>
        <w:spacing w:line="500" w:lineRule="exact"/>
        <w:ind w:left="743" w:leftChars="354"/>
        <w:rPr>
          <w:rFonts w:hint="default" w:ascii="Times New Roman" w:hAnsi="Times New Roman" w:eastAsia="方正小标宋_GBK" w:cs="Times New Roman"/>
          <w:b w:val="0"/>
          <w:bCs/>
          <w:szCs w:val="28"/>
        </w:rPr>
      </w:pPr>
    </w:p>
    <w:p>
      <w:pPr>
        <w:spacing w:line="700" w:lineRule="exact"/>
        <w:jc w:val="center"/>
        <w:rPr>
          <w:rFonts w:hint="default" w:ascii="Times New Roman" w:hAnsi="Times New Roman" w:eastAsia="方正小标宋_GBK" w:cs="Times New Roman"/>
          <w:b w:val="0"/>
          <w:bCs/>
        </w:rPr>
      </w:pPr>
      <w:r>
        <w:rPr>
          <w:rFonts w:hint="default" w:ascii="Times New Roman" w:hAnsi="Times New Roman" w:eastAsia="方正小标宋_GBK" w:cs="Times New Roman"/>
          <w:b w:val="0"/>
          <w:bCs/>
          <w:sz w:val="36"/>
          <w:szCs w:val="30"/>
        </w:rPr>
        <w:t>采购人：</w:t>
      </w:r>
      <w:r>
        <w:rPr>
          <w:rFonts w:hint="default" w:ascii="Times New Roman" w:hAnsi="Times New Roman" w:eastAsia="方正小标宋_GBK" w:cs="Times New Roman"/>
          <w:b w:val="0"/>
          <w:bCs/>
          <w:sz w:val="36"/>
          <w:szCs w:val="30"/>
          <w:lang w:val="en-US" w:eastAsia="zh-CN"/>
        </w:rPr>
        <w:t>重庆市</w:t>
      </w:r>
      <w:r>
        <w:rPr>
          <w:rFonts w:hint="default" w:ascii="Times New Roman" w:hAnsi="Times New Roman" w:eastAsia="方正小标宋_GBK" w:cs="Times New Roman"/>
          <w:b w:val="0"/>
          <w:bCs/>
          <w:sz w:val="36"/>
          <w:szCs w:val="30"/>
        </w:rPr>
        <w:t>巴南区人民医院</w:t>
      </w:r>
    </w:p>
    <w:p>
      <w:pPr>
        <w:pStyle w:val="14"/>
        <w:rPr>
          <w:rFonts w:hint="default" w:ascii="Times New Roman" w:hAnsi="Times New Roman" w:eastAsia="方正小标宋_GBK" w:cs="Times New Roman"/>
          <w:b w:val="0"/>
          <w:bCs/>
        </w:rPr>
      </w:pPr>
    </w:p>
    <w:p>
      <w:pPr>
        <w:spacing w:line="500" w:lineRule="exact"/>
        <w:jc w:val="center"/>
        <w:rPr>
          <w:rFonts w:hint="default" w:ascii="Times New Roman" w:hAnsi="Times New Roman" w:eastAsia="方正小标宋_GBK" w:cs="Times New Roman"/>
          <w:b w:val="0"/>
          <w:bCs/>
          <w:sz w:val="36"/>
          <w:szCs w:val="30"/>
        </w:rPr>
      </w:pPr>
      <w:r>
        <w:rPr>
          <w:rFonts w:hint="default" w:ascii="Times New Roman" w:hAnsi="Times New Roman" w:eastAsia="方正小标宋_GBK" w:cs="Times New Roman"/>
          <w:b w:val="0"/>
          <w:bCs/>
          <w:sz w:val="36"/>
          <w:szCs w:val="30"/>
        </w:rPr>
        <w:t>二〇二</w:t>
      </w:r>
      <w:r>
        <w:rPr>
          <w:rFonts w:hint="default" w:ascii="Times New Roman" w:hAnsi="Times New Roman" w:eastAsia="方正小标宋_GBK" w:cs="Times New Roman"/>
          <w:b w:val="0"/>
          <w:bCs/>
          <w:sz w:val="36"/>
          <w:szCs w:val="30"/>
          <w:lang w:val="en-US" w:eastAsia="zh-CN"/>
        </w:rPr>
        <w:t>五</w:t>
      </w:r>
      <w:r>
        <w:rPr>
          <w:rFonts w:hint="default" w:ascii="Times New Roman" w:hAnsi="Times New Roman" w:eastAsia="方正小标宋_GBK" w:cs="Times New Roman"/>
          <w:b w:val="0"/>
          <w:bCs/>
          <w:sz w:val="36"/>
          <w:szCs w:val="30"/>
        </w:rPr>
        <w:t>年</w:t>
      </w:r>
      <w:r>
        <w:rPr>
          <w:rFonts w:hint="eastAsia" w:eastAsia="方正小标宋_GBK" w:cs="Times New Roman"/>
          <w:b w:val="0"/>
          <w:bCs/>
          <w:sz w:val="36"/>
          <w:szCs w:val="30"/>
          <w:lang w:val="en-US" w:eastAsia="zh-CN"/>
        </w:rPr>
        <w:t>十二</w:t>
      </w:r>
      <w:r>
        <w:rPr>
          <w:rFonts w:hint="default" w:ascii="Times New Roman" w:hAnsi="Times New Roman" w:eastAsia="方正小标宋_GBK" w:cs="Times New Roman"/>
          <w:b w:val="0"/>
          <w:bCs/>
          <w:sz w:val="36"/>
          <w:szCs w:val="30"/>
        </w:rPr>
        <w:t>月</w:t>
      </w:r>
    </w:p>
    <w:p>
      <w:pPr>
        <w:snapToGrid w:val="0"/>
        <w:spacing w:line="500" w:lineRule="exact"/>
        <w:ind w:firstLine="3840" w:firstLineChars="1200"/>
        <w:rPr>
          <w:rFonts w:hint="default" w:ascii="Times New Roman" w:hAnsi="Times New Roman" w:eastAsia="方正小标宋_GBK" w:cs="Times New Roman"/>
          <w:b w:val="0"/>
          <w:bCs/>
          <w:sz w:val="32"/>
          <w:szCs w:val="32"/>
        </w:rPr>
        <w:sectPr>
          <w:headerReference r:id="rId3" w:type="default"/>
          <w:footerReference r:id="rId4" w:type="default"/>
          <w:pgSz w:w="11907" w:h="16840"/>
          <w:pgMar w:top="1134" w:right="1191" w:bottom="1134" w:left="1304" w:header="794" w:footer="992" w:gutter="0"/>
          <w:pgNumType w:fmt="numberInDash" w:start="1"/>
          <w:cols w:space="720" w:num="1"/>
          <w:docGrid w:type="linesAndChars" w:linePitch="312" w:charSpace="0"/>
        </w:sectPr>
      </w:pPr>
    </w:p>
    <w:sdt>
      <w:sdtPr>
        <w:rPr>
          <w:rFonts w:ascii="宋体" w:hAnsi="宋体" w:eastAsia="宋体" w:cs="Times New Roman"/>
          <w:kern w:val="2"/>
          <w:sz w:val="21"/>
          <w:szCs w:val="24"/>
          <w:lang w:val="en-US" w:eastAsia="zh-CN" w:bidi="ar-SA"/>
        </w:rPr>
        <w:id w:val="147453343"/>
        <w15:color w:val="DBDBDB"/>
        <w:docPartObj>
          <w:docPartGallery w:val="Table of Contents"/>
          <w:docPartUnique/>
        </w:docPartObj>
      </w:sdtPr>
      <w:sdtEndPr>
        <w:rPr>
          <w:rFonts w:hint="eastAsia" w:ascii="Times New Roman" w:hAnsi="Times New Roman" w:eastAsia="宋体" w:cs="Times New Roman"/>
          <w:bCs/>
          <w:color w:val="auto"/>
          <w:spacing w:val="10"/>
          <w:kern w:val="0"/>
          <w:sz w:val="21"/>
          <w:szCs w:val="20"/>
          <w:lang w:val="en-US" w:eastAsia="zh-CN" w:bidi="ar-SA"/>
        </w:rPr>
      </w:sdtEndPr>
      <w:sdtContent>
        <w:p>
          <w:pPr>
            <w:jc w:val="center"/>
          </w:pPr>
          <w:bookmarkStart w:id="0" w:name="_Toc15017"/>
          <w:bookmarkStart w:id="1" w:name="_Hlk45721765"/>
          <w:bookmarkStart w:id="2" w:name="_Toc409189614"/>
          <w:r>
            <w:rPr>
              <w:rFonts w:ascii="宋体" w:hAnsi="宋体" w:eastAsia="宋体"/>
              <w:sz w:val="21"/>
            </w:rPr>
            <w:t>目录</w:t>
          </w:r>
        </w:p>
        <w:p>
          <w:pPr>
            <w:pStyle w:val="14"/>
            <w:tabs>
              <w:tab w:val="right" w:leader="dot" w:pos="9412"/>
            </w:tabs>
            <w:outlineLvl w:val="0"/>
          </w:pPr>
          <w:r>
            <w:fldChar w:fldCharType="begin"/>
          </w:r>
          <w:r>
            <w:instrText xml:space="preserve">TOC \o "1-1" \h \u </w:instrText>
          </w:r>
          <w:r>
            <w:fldChar w:fldCharType="separate"/>
          </w:r>
          <w:r>
            <w:fldChar w:fldCharType="begin"/>
          </w:r>
          <w:r>
            <w:instrText xml:space="preserve"> HYPERLINK \l _Toc7350 </w:instrText>
          </w:r>
          <w:r>
            <w:fldChar w:fldCharType="separate"/>
          </w:r>
          <w:r>
            <w:rPr>
              <w:rFonts w:hint="eastAsia" w:ascii="方正仿宋_GBK" w:hAnsi="方正仿宋_GBK" w:eastAsia="方正仿宋_GBK" w:cs="方正仿宋_GBK"/>
              <w:bCs/>
              <w:kern w:val="44"/>
              <w:szCs w:val="22"/>
              <w:lang w:val="en-US" w:eastAsia="zh-CN" w:bidi="ar-SA"/>
            </w:rPr>
            <w:t>一、</w:t>
          </w:r>
          <w:r>
            <w:rPr>
              <w:rFonts w:hint="eastAsia" w:ascii="方正仿宋_GBK" w:hAnsi="方正仿宋_GBK" w:eastAsia="方正仿宋_GBK" w:cs="方正仿宋_GBK"/>
              <w:szCs w:val="22"/>
            </w:rPr>
            <w:t>项目概况</w:t>
          </w:r>
          <w:r>
            <w:tab/>
          </w:r>
          <w:r>
            <w:fldChar w:fldCharType="begin"/>
          </w:r>
          <w:r>
            <w:instrText xml:space="preserve"> PAGEREF _Toc7350 \h </w:instrText>
          </w:r>
          <w:r>
            <w:fldChar w:fldCharType="separate"/>
          </w:r>
          <w:r>
            <w:t>- 2 -</w:t>
          </w:r>
          <w:r>
            <w:fldChar w:fldCharType="end"/>
          </w:r>
          <w:r>
            <w:fldChar w:fldCharType="end"/>
          </w:r>
        </w:p>
        <w:p>
          <w:pPr>
            <w:pStyle w:val="14"/>
            <w:tabs>
              <w:tab w:val="right" w:leader="dot" w:pos="9412"/>
            </w:tabs>
          </w:pPr>
          <w:r>
            <w:fldChar w:fldCharType="begin"/>
          </w:r>
          <w:r>
            <w:instrText xml:space="preserve"> HYPERLINK \l _Toc23402 </w:instrText>
          </w:r>
          <w:r>
            <w:fldChar w:fldCharType="separate"/>
          </w:r>
          <w:r>
            <w:rPr>
              <w:rFonts w:hint="eastAsia" w:ascii="方正仿宋_GBK" w:hAnsi="方正仿宋_GBK" w:eastAsia="方正仿宋_GBK" w:cs="方正仿宋_GBK"/>
              <w:bCs/>
              <w:szCs w:val="22"/>
            </w:rPr>
            <w:t>二、资格条件</w:t>
          </w:r>
          <w:r>
            <w:tab/>
          </w:r>
          <w:r>
            <w:fldChar w:fldCharType="begin"/>
          </w:r>
          <w:r>
            <w:instrText xml:space="preserve"> PAGEREF _Toc23402 \h </w:instrText>
          </w:r>
          <w:r>
            <w:fldChar w:fldCharType="separate"/>
          </w:r>
          <w:r>
            <w:t>- 2 -</w:t>
          </w:r>
          <w:r>
            <w:fldChar w:fldCharType="end"/>
          </w:r>
          <w:r>
            <w:fldChar w:fldCharType="end"/>
          </w:r>
        </w:p>
        <w:p>
          <w:pPr>
            <w:pStyle w:val="14"/>
            <w:tabs>
              <w:tab w:val="right" w:leader="dot" w:pos="9412"/>
            </w:tabs>
          </w:pPr>
          <w:r>
            <w:fldChar w:fldCharType="begin"/>
          </w:r>
          <w:r>
            <w:instrText xml:space="preserve"> HYPERLINK \l _Toc26229 </w:instrText>
          </w:r>
          <w:r>
            <w:fldChar w:fldCharType="separate"/>
          </w:r>
          <w:r>
            <w:rPr>
              <w:rFonts w:hint="eastAsia" w:ascii="方正仿宋_GBK" w:hAnsi="方正仿宋_GBK" w:eastAsia="方正仿宋_GBK" w:cs="方正仿宋_GBK"/>
              <w:bCs/>
              <w:szCs w:val="22"/>
              <w:lang w:val="en-US" w:eastAsia="zh-CN"/>
            </w:rPr>
            <w:t>三、项目技术需求</w:t>
          </w:r>
          <w:r>
            <w:tab/>
          </w:r>
          <w:r>
            <w:fldChar w:fldCharType="begin"/>
          </w:r>
          <w:r>
            <w:instrText xml:space="preserve"> PAGEREF _Toc26229 \h </w:instrText>
          </w:r>
          <w:r>
            <w:fldChar w:fldCharType="separate"/>
          </w:r>
          <w:r>
            <w:t>- 2 -</w:t>
          </w:r>
          <w:r>
            <w:fldChar w:fldCharType="end"/>
          </w:r>
          <w:r>
            <w:fldChar w:fldCharType="end"/>
          </w:r>
        </w:p>
        <w:p>
          <w:pPr>
            <w:pStyle w:val="14"/>
            <w:tabs>
              <w:tab w:val="right" w:leader="dot" w:pos="9412"/>
            </w:tabs>
          </w:pPr>
          <w:r>
            <w:fldChar w:fldCharType="begin"/>
          </w:r>
          <w:r>
            <w:instrText xml:space="preserve"> HYPERLINK \l _Toc24783 </w:instrText>
          </w:r>
          <w:r>
            <w:fldChar w:fldCharType="separate"/>
          </w:r>
          <w:r>
            <w:rPr>
              <w:rFonts w:hint="eastAsia" w:ascii="方正仿宋_GBK" w:hAnsi="方正仿宋_GBK" w:eastAsia="方正仿宋_GBK" w:cs="方正仿宋_GBK"/>
              <w:bCs/>
              <w:szCs w:val="22"/>
            </w:rPr>
            <w:t>四、项目商务要求</w:t>
          </w:r>
          <w:r>
            <w:tab/>
          </w:r>
          <w:r>
            <w:fldChar w:fldCharType="begin"/>
          </w:r>
          <w:r>
            <w:instrText xml:space="preserve"> PAGEREF _Toc24783 \h </w:instrText>
          </w:r>
          <w:r>
            <w:fldChar w:fldCharType="separate"/>
          </w:r>
          <w:r>
            <w:t>- 3 -</w:t>
          </w:r>
          <w:r>
            <w:fldChar w:fldCharType="end"/>
          </w:r>
          <w:r>
            <w:fldChar w:fldCharType="end"/>
          </w:r>
        </w:p>
        <w:p>
          <w:pPr>
            <w:pStyle w:val="14"/>
            <w:tabs>
              <w:tab w:val="right" w:leader="dot" w:pos="9412"/>
            </w:tabs>
          </w:pPr>
          <w:r>
            <w:fldChar w:fldCharType="begin"/>
          </w:r>
          <w:r>
            <w:instrText xml:space="preserve"> HYPERLINK \l _Toc3205 </w:instrText>
          </w:r>
          <w:r>
            <w:fldChar w:fldCharType="separate"/>
          </w:r>
          <w:r>
            <w:rPr>
              <w:rFonts w:hint="eastAsia" w:ascii="方正仿宋_GBK" w:hAnsi="方正仿宋_GBK" w:eastAsia="方正仿宋_GBK" w:cs="方正仿宋_GBK"/>
              <w:bCs/>
              <w:szCs w:val="22"/>
            </w:rPr>
            <w:t>五、线上报价</w:t>
          </w:r>
          <w:r>
            <w:tab/>
          </w:r>
          <w:r>
            <w:fldChar w:fldCharType="begin"/>
          </w:r>
          <w:r>
            <w:instrText xml:space="preserve"> PAGEREF _Toc3205 \h </w:instrText>
          </w:r>
          <w:r>
            <w:fldChar w:fldCharType="separate"/>
          </w:r>
          <w:r>
            <w:t>- 4 -</w:t>
          </w:r>
          <w:r>
            <w:fldChar w:fldCharType="end"/>
          </w:r>
          <w:r>
            <w:fldChar w:fldCharType="end"/>
          </w:r>
        </w:p>
        <w:p>
          <w:pPr>
            <w:pStyle w:val="14"/>
            <w:tabs>
              <w:tab w:val="right" w:leader="dot" w:pos="9412"/>
            </w:tabs>
          </w:pPr>
          <w:r>
            <w:fldChar w:fldCharType="begin"/>
          </w:r>
          <w:r>
            <w:instrText xml:space="preserve"> HYPERLINK \l _Toc12680 </w:instrText>
          </w:r>
          <w:r>
            <w:fldChar w:fldCharType="separate"/>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投标</w:t>
          </w:r>
          <w:r>
            <w:rPr>
              <w:rFonts w:hint="eastAsia" w:ascii="方正仿宋_GBK" w:hAnsi="方正仿宋_GBK" w:eastAsia="方正仿宋_GBK" w:cs="方正仿宋_GBK"/>
              <w:bCs/>
              <w:szCs w:val="22"/>
            </w:rPr>
            <w:t>保证金</w:t>
          </w:r>
          <w:r>
            <w:tab/>
          </w:r>
          <w:r>
            <w:fldChar w:fldCharType="begin"/>
          </w:r>
          <w:r>
            <w:instrText xml:space="preserve"> PAGEREF _Toc12680 \h </w:instrText>
          </w:r>
          <w:r>
            <w:fldChar w:fldCharType="separate"/>
          </w:r>
          <w:r>
            <w:t>- 4 -</w:t>
          </w:r>
          <w:r>
            <w:fldChar w:fldCharType="end"/>
          </w:r>
          <w:r>
            <w:fldChar w:fldCharType="end"/>
          </w:r>
        </w:p>
        <w:p>
          <w:pPr>
            <w:pStyle w:val="14"/>
            <w:tabs>
              <w:tab w:val="right" w:leader="dot" w:pos="9412"/>
            </w:tabs>
          </w:pPr>
          <w:r>
            <w:fldChar w:fldCharType="begin"/>
          </w:r>
          <w:r>
            <w:instrText xml:space="preserve"> HYPERLINK \l _Toc8380 </w:instrText>
          </w:r>
          <w:r>
            <w:fldChar w:fldCharType="separate"/>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、联系方式</w:t>
          </w:r>
          <w:r>
            <w:tab/>
          </w:r>
          <w:r>
            <w:fldChar w:fldCharType="begin"/>
          </w:r>
          <w:r>
            <w:instrText xml:space="preserve"> PAGEREF _Toc8380 \h </w:instrText>
          </w:r>
          <w:r>
            <w:fldChar w:fldCharType="separate"/>
          </w:r>
          <w:r>
            <w:t>- 4 -</w:t>
          </w:r>
          <w:r>
            <w:fldChar w:fldCharType="end"/>
          </w:r>
          <w:r>
            <w:fldChar w:fldCharType="end"/>
          </w:r>
        </w:p>
        <w:p>
          <w:pPr>
            <w:pStyle w:val="14"/>
            <w:tabs>
              <w:tab w:val="right" w:leader="dot" w:pos="9412"/>
            </w:tabs>
          </w:pPr>
          <w:r>
            <w:fldChar w:fldCharType="begin"/>
          </w:r>
          <w:r>
            <w:instrText xml:space="preserve"> HYPERLINK \l _Toc29783 </w:instrText>
          </w:r>
          <w:r>
            <w:fldChar w:fldCharType="separate"/>
          </w:r>
          <w:r>
            <w:rPr>
              <w:rFonts w:hint="eastAsia" w:ascii="方正仿宋_GBK" w:hAnsi="方正仿宋_GBK" w:eastAsia="方正仿宋_GBK" w:cs="方正仿宋_GBK"/>
              <w:bCs/>
              <w:szCs w:val="22"/>
              <w:lang w:val="en-US" w:eastAsia="zh-CN"/>
            </w:rPr>
            <w:t>八、其它有关规定</w:t>
          </w:r>
          <w:r>
            <w:tab/>
          </w:r>
          <w:r>
            <w:fldChar w:fldCharType="begin"/>
          </w:r>
          <w:r>
            <w:instrText xml:space="preserve"> PAGEREF _Toc29783 \h </w:instrText>
          </w:r>
          <w:r>
            <w:fldChar w:fldCharType="separate"/>
          </w:r>
          <w:r>
            <w:t>- 6 -</w:t>
          </w:r>
          <w:r>
            <w:fldChar w:fldCharType="end"/>
          </w:r>
          <w:r>
            <w:fldChar w:fldCharType="end"/>
          </w:r>
        </w:p>
        <w:p>
          <w:pPr>
            <w:pStyle w:val="14"/>
            <w:tabs>
              <w:tab w:val="right" w:leader="dot" w:pos="9412"/>
            </w:tabs>
          </w:pPr>
          <w:r>
            <w:fldChar w:fldCharType="begin"/>
          </w:r>
          <w:r>
            <w:instrText xml:space="preserve"> HYPERLINK \l _Toc8725 </w:instrText>
          </w:r>
          <w:r>
            <w:fldChar w:fldCharType="separate"/>
          </w:r>
          <w:r>
            <w:rPr>
              <w:rFonts w:hint="eastAsia" w:ascii="方正仿宋_GBK" w:hAnsi="方正仿宋_GBK" w:eastAsia="方正仿宋_GBK" w:cs="方正仿宋_GBK"/>
              <w:bCs/>
              <w:szCs w:val="22"/>
            </w:rPr>
            <w:t>九、评选方法</w:t>
          </w:r>
          <w:r>
            <w:tab/>
          </w:r>
          <w:r>
            <w:fldChar w:fldCharType="begin"/>
          </w:r>
          <w:r>
            <w:instrText xml:space="preserve"> PAGEREF _Toc8725 \h </w:instrText>
          </w:r>
          <w:r>
            <w:fldChar w:fldCharType="separate"/>
          </w:r>
          <w:r>
            <w:t>- 6 -</w:t>
          </w:r>
          <w:r>
            <w:fldChar w:fldCharType="end"/>
          </w:r>
          <w:r>
            <w:fldChar w:fldCharType="end"/>
          </w:r>
        </w:p>
        <w:p>
          <w:pPr>
            <w:pStyle w:val="14"/>
            <w:tabs>
              <w:tab w:val="right" w:leader="dot" w:pos="9412"/>
            </w:tabs>
          </w:pPr>
          <w:r>
            <w:fldChar w:fldCharType="begin"/>
          </w:r>
          <w:r>
            <w:instrText xml:space="preserve"> HYPERLINK \l _Toc15002 </w:instrText>
          </w:r>
          <w:r>
            <w:fldChar w:fldCharType="separate"/>
          </w:r>
          <w:r>
            <w:rPr>
              <w:rFonts w:hint="eastAsia" w:ascii="方正仿宋_GBK" w:hAnsi="方正仿宋_GBK" w:eastAsia="方正仿宋_GBK" w:cs="方正仿宋_GBK"/>
              <w:bCs/>
              <w:szCs w:val="22"/>
            </w:rPr>
            <w:t>十、供应商提交响应文件</w:t>
          </w:r>
          <w:r>
            <w:tab/>
          </w:r>
          <w:r>
            <w:fldChar w:fldCharType="begin"/>
          </w:r>
          <w:r>
            <w:instrText xml:space="preserve"> PAGEREF _Toc15002 \h </w:instrText>
          </w:r>
          <w:r>
            <w:fldChar w:fldCharType="separate"/>
          </w:r>
          <w:r>
            <w:t>- 6 -</w:t>
          </w:r>
          <w:r>
            <w:fldChar w:fldCharType="end"/>
          </w:r>
          <w:r>
            <w:fldChar w:fldCharType="end"/>
          </w:r>
        </w:p>
        <w:p>
          <w:pPr>
            <w:pStyle w:val="14"/>
            <w:tabs>
              <w:tab w:val="right" w:leader="dot" w:pos="9412"/>
            </w:tabs>
          </w:pPr>
          <w:r>
            <w:fldChar w:fldCharType="begin"/>
          </w:r>
          <w:r>
            <w:instrText xml:space="preserve"> HYPERLINK \l _Toc31100 </w:instrText>
          </w:r>
          <w:r>
            <w:fldChar w:fldCharType="separate"/>
          </w:r>
          <w:r>
            <w:rPr>
              <w:rFonts w:hint="eastAsia" w:ascii="方正仿宋_GBK" w:hAnsi="方正仿宋_GBK" w:eastAsia="方正仿宋_GBK" w:cs="方正仿宋_GBK"/>
              <w:bCs/>
              <w:szCs w:val="22"/>
            </w:rPr>
            <w:t>十一、其他</w:t>
          </w:r>
          <w:r>
            <w:tab/>
          </w:r>
          <w:r>
            <w:fldChar w:fldCharType="begin"/>
          </w:r>
          <w:r>
            <w:instrText xml:space="preserve"> PAGEREF _Toc31100 \h </w:instrText>
          </w:r>
          <w:r>
            <w:fldChar w:fldCharType="separate"/>
          </w:r>
          <w:r>
            <w:t>- 7 -</w:t>
          </w:r>
          <w:r>
            <w:fldChar w:fldCharType="end"/>
          </w:r>
          <w:r>
            <w:fldChar w:fldCharType="end"/>
          </w:r>
        </w:p>
        <w:p>
          <w:pPr>
            <w:pStyle w:val="14"/>
            <w:tabs>
              <w:tab w:val="right" w:leader="dot" w:pos="9412"/>
            </w:tabs>
          </w:pPr>
          <w:r>
            <w:fldChar w:fldCharType="begin"/>
          </w:r>
          <w:r>
            <w:instrText xml:space="preserve"> HYPERLINK \l _Toc6772 </w:instrText>
          </w:r>
          <w:r>
            <w:fldChar w:fldCharType="separate"/>
          </w:r>
          <w:r>
            <w:rPr>
              <w:rFonts w:hint="eastAsia" w:ascii="方正仿宋_GBK" w:hAnsi="方正仿宋_GBK" w:eastAsia="方正仿宋_GBK" w:cs="方正仿宋_GBK"/>
              <w:bCs/>
              <w:szCs w:val="22"/>
            </w:rPr>
            <w:t>十二、无效响应</w:t>
          </w:r>
          <w:r>
            <w:tab/>
          </w:r>
          <w:r>
            <w:fldChar w:fldCharType="begin"/>
          </w:r>
          <w:r>
            <w:instrText xml:space="preserve"> PAGEREF _Toc6772 \h </w:instrText>
          </w:r>
          <w:r>
            <w:fldChar w:fldCharType="separate"/>
          </w:r>
          <w:r>
            <w:t>- 7 -</w:t>
          </w:r>
          <w:r>
            <w:fldChar w:fldCharType="end"/>
          </w:r>
          <w:r>
            <w:fldChar w:fldCharType="end"/>
          </w:r>
        </w:p>
        <w:p>
          <w:pPr>
            <w:pStyle w:val="14"/>
            <w:tabs>
              <w:tab w:val="right" w:leader="dot" w:pos="9412"/>
            </w:tabs>
          </w:pPr>
          <w:r>
            <w:fldChar w:fldCharType="begin"/>
          </w:r>
          <w:r>
            <w:instrText xml:space="preserve"> HYPERLINK \l _Toc31206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三</w:t>
          </w:r>
          <w:r>
            <w:rPr>
              <w:rFonts w:hint="eastAsia" w:ascii="方正仿宋_GBK" w:hAnsi="方正仿宋_GBK" w:eastAsia="方正仿宋_GBK" w:cs="方正仿宋_GBK"/>
              <w:bCs/>
              <w:szCs w:val="22"/>
            </w:rPr>
            <w:t>、废标条款</w:t>
          </w:r>
          <w:r>
            <w:tab/>
          </w:r>
          <w:r>
            <w:fldChar w:fldCharType="begin"/>
          </w:r>
          <w:r>
            <w:instrText xml:space="preserve"> PAGEREF _Toc31206 \h </w:instrText>
          </w:r>
          <w:r>
            <w:fldChar w:fldCharType="separate"/>
          </w:r>
          <w:r>
            <w:t>- 8 -</w:t>
          </w:r>
          <w:r>
            <w:fldChar w:fldCharType="end"/>
          </w:r>
          <w:r>
            <w:fldChar w:fldCharType="end"/>
          </w:r>
        </w:p>
        <w:p>
          <w:pPr>
            <w:pStyle w:val="14"/>
            <w:tabs>
              <w:tab w:val="right" w:leader="dot" w:pos="9412"/>
            </w:tabs>
          </w:pPr>
          <w:r>
            <w:fldChar w:fldCharType="begin"/>
          </w:r>
          <w:r>
            <w:instrText xml:space="preserve"> HYPERLINK \l _Toc17141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四</w:t>
          </w:r>
          <w:r>
            <w:rPr>
              <w:rFonts w:hint="eastAsia" w:ascii="方正仿宋_GBK" w:hAnsi="方正仿宋_GBK" w:eastAsia="方正仿宋_GBK" w:cs="方正仿宋_GBK"/>
              <w:bCs/>
              <w:szCs w:val="22"/>
            </w:rPr>
            <w:t>、供应商编制响应文件要求</w:t>
          </w:r>
          <w:r>
            <w:tab/>
          </w:r>
          <w:r>
            <w:fldChar w:fldCharType="begin"/>
          </w:r>
          <w:r>
            <w:instrText xml:space="preserve"> PAGEREF _Toc17141 \h </w:instrText>
          </w:r>
          <w:r>
            <w:fldChar w:fldCharType="separate"/>
          </w:r>
          <w:r>
            <w:t>- 9 -</w:t>
          </w:r>
          <w:r>
            <w:fldChar w:fldCharType="end"/>
          </w:r>
          <w:r>
            <w:fldChar w:fldCharType="end"/>
          </w:r>
        </w:p>
        <w:p>
          <w:pPr>
            <w:pStyle w:val="14"/>
            <w:tabs>
              <w:tab w:val="right" w:leader="dot" w:pos="9412"/>
            </w:tabs>
          </w:pPr>
          <w:r>
            <w:fldChar w:fldCharType="begin"/>
          </w:r>
          <w:r>
            <w:instrText xml:space="preserve"> HYPERLINK \l _Toc13027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五</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合同模板</w:t>
          </w:r>
          <w:r>
            <w:tab/>
          </w:r>
          <w:r>
            <w:fldChar w:fldCharType="begin"/>
          </w:r>
          <w:r>
            <w:instrText xml:space="preserve"> PAGEREF _Toc13027 \h </w:instrText>
          </w:r>
          <w:r>
            <w:fldChar w:fldCharType="separate"/>
          </w:r>
          <w:r>
            <w:t>- 19 -</w:t>
          </w:r>
          <w:r>
            <w:fldChar w:fldCharType="end"/>
          </w:r>
          <w:r>
            <w:fldChar w:fldCharType="end"/>
          </w:r>
        </w:p>
        <w:p>
          <w:pPr>
            <w:pStyle w:val="14"/>
            <w:tabs>
              <w:tab w:val="right" w:leader="dot" w:pos="9412"/>
            </w:tabs>
          </w:pPr>
          <w:r>
            <w:fldChar w:fldCharType="begin"/>
          </w:r>
          <w:r>
            <w:instrText xml:space="preserve"> HYPERLINK \l _Toc6399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、投标人廉洁承诺书</w:t>
          </w:r>
          <w:r>
            <w:tab/>
          </w:r>
          <w:r>
            <w:fldChar w:fldCharType="begin"/>
          </w:r>
          <w:r>
            <w:instrText xml:space="preserve"> PAGEREF _Toc6399 \h </w:instrText>
          </w:r>
          <w:r>
            <w:fldChar w:fldCharType="separate"/>
          </w:r>
          <w:r>
            <w:t>- 24 -</w:t>
          </w:r>
          <w:r>
            <w:fldChar w:fldCharType="end"/>
          </w:r>
          <w:r>
            <w:fldChar w:fldCharType="end"/>
          </w:r>
        </w:p>
        <w:p>
          <w:pPr>
            <w:pStyle w:val="14"/>
            <w:tabs>
              <w:tab w:val="right" w:leader="dot" w:pos="9412"/>
            </w:tabs>
          </w:pPr>
          <w:r>
            <w:fldChar w:fldCharType="begin"/>
          </w:r>
          <w:r>
            <w:instrText xml:space="preserve"> HYPERLINK \l _Toc4863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报名信息登记表</w:t>
          </w:r>
          <w:r>
            <w:tab/>
          </w:r>
          <w:r>
            <w:fldChar w:fldCharType="begin"/>
          </w:r>
          <w:r>
            <w:instrText xml:space="preserve"> PAGEREF _Toc4863 \h </w:instrText>
          </w:r>
          <w:r>
            <w:fldChar w:fldCharType="separate"/>
          </w:r>
          <w:r>
            <w:t>- 25 -</w:t>
          </w:r>
          <w:r>
            <w:fldChar w:fldCharType="end"/>
          </w:r>
          <w:r>
            <w:fldChar w:fldCharType="end"/>
          </w:r>
        </w:p>
        <w:p>
          <w:r>
            <w:fldChar w:fldCharType="end"/>
          </w:r>
        </w:p>
        <w:p>
          <w:pPr>
            <w:pStyle w:val="21"/>
            <w:rPr>
              <w:rFonts w:hint="eastAsia"/>
              <w:lang w:val="en-US" w:eastAsia="zh-CN"/>
            </w:rPr>
          </w:pPr>
        </w:p>
      </w:sdtContent>
    </w:sdt>
    <w:p>
      <w:pPr>
        <w:rPr>
          <w:rFonts w:hint="eastAsia" w:ascii="方正仿宋_GBK" w:hAnsi="方正仿宋_GBK" w:eastAsia="方正仿宋_GBK" w:cs="方正仿宋_GBK"/>
          <w:b/>
          <w:bCs/>
          <w:color w:val="auto"/>
          <w:kern w:val="44"/>
          <w:sz w:val="28"/>
          <w:szCs w:val="22"/>
          <w:lang w:val="en-US" w:eastAsia="zh-CN" w:bidi="ar-SA"/>
        </w:rPr>
      </w:pPr>
      <w:r>
        <w:rPr>
          <w:rFonts w:hint="eastAsia" w:ascii="方正仿宋_GBK" w:hAnsi="方正仿宋_GBK" w:eastAsia="方正仿宋_GBK" w:cs="方正仿宋_GBK"/>
          <w:b/>
          <w:bCs/>
          <w:color w:val="auto"/>
          <w:kern w:val="44"/>
          <w:sz w:val="28"/>
          <w:szCs w:val="22"/>
          <w:lang w:val="en-US" w:eastAsia="zh-CN" w:bidi="ar-SA"/>
        </w:rPr>
        <w:br w:type="page"/>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color w:val="auto"/>
          <w:sz w:val="28"/>
          <w:szCs w:val="22"/>
        </w:rPr>
      </w:pPr>
      <w:bookmarkStart w:id="3" w:name="_Toc7350"/>
      <w:bookmarkStart w:id="4" w:name="_Toc3909"/>
      <w:r>
        <w:rPr>
          <w:rFonts w:hint="eastAsia" w:ascii="方正仿宋_GBK" w:hAnsi="方正仿宋_GBK" w:eastAsia="方正仿宋_GBK" w:cs="方正仿宋_GBK"/>
          <w:b/>
          <w:bCs/>
          <w:color w:val="auto"/>
          <w:kern w:val="44"/>
          <w:sz w:val="28"/>
          <w:szCs w:val="22"/>
          <w:lang w:val="en-US" w:eastAsia="zh-CN" w:bidi="ar-SA"/>
        </w:rPr>
        <w:t>一、</w:t>
      </w:r>
      <w:r>
        <w:rPr>
          <w:rFonts w:hint="eastAsia" w:ascii="方正仿宋_GBK" w:hAnsi="方正仿宋_GBK" w:eastAsia="方正仿宋_GBK" w:cs="方正仿宋_GBK"/>
          <w:color w:val="auto"/>
          <w:sz w:val="28"/>
          <w:szCs w:val="22"/>
        </w:rPr>
        <w:t>项目概况</w:t>
      </w:r>
      <w:bookmarkEnd w:id="0"/>
      <w:bookmarkEnd w:id="3"/>
      <w:bookmarkEnd w:id="4"/>
    </w:p>
    <w:tbl>
      <w:tblPr>
        <w:tblStyle w:val="17"/>
        <w:tblW w:w="4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1"/>
        <w:gridCol w:w="1497"/>
        <w:gridCol w:w="163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69"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项目名称</w:t>
            </w:r>
          </w:p>
        </w:tc>
        <w:tc>
          <w:tcPr>
            <w:tcW w:w="947"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最高限价</w:t>
            </w:r>
          </w:p>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（元）</w:t>
            </w:r>
          </w:p>
        </w:tc>
        <w:tc>
          <w:tcPr>
            <w:tcW w:w="1033" w:type="pct"/>
            <w:noWrap w:val="0"/>
            <w:vAlign w:val="center"/>
          </w:tcPr>
          <w:p>
            <w:pPr>
              <w:ind w:firstLine="0" w:firstLineChars="0"/>
              <w:jc w:val="center"/>
              <w:rPr>
                <w:rFonts w:hint="eastAsia" w:ascii="方正仿宋_GBK" w:hAnsi="方正仿宋_GBK" w:eastAsia="方正仿宋_GBK" w:cs="方正仿宋_GBK"/>
                <w:b/>
                <w:bCs/>
                <w:color w:val="auto"/>
                <w:szCs w:val="28"/>
                <w:lang w:eastAsia="zh-CN"/>
              </w:rPr>
            </w:pPr>
            <w:r>
              <w:rPr>
                <w:rFonts w:hint="eastAsia" w:ascii="方正仿宋_GBK" w:hAnsi="方正仿宋_GBK" w:eastAsia="方正仿宋_GBK" w:cs="方正仿宋_GBK"/>
                <w:b/>
                <w:bCs/>
                <w:color w:val="auto"/>
                <w:szCs w:val="28"/>
                <w:lang w:val="en-US" w:eastAsia="zh-CN"/>
              </w:rPr>
              <w:t>保证金</w:t>
            </w:r>
          </w:p>
        </w:tc>
        <w:tc>
          <w:tcPr>
            <w:tcW w:w="949"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成交供应商</w:t>
            </w:r>
          </w:p>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69"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sz w:val="24"/>
                <w:szCs w:val="24"/>
                <w:lang w:val="en-US" w:eastAsia="zh-CN"/>
              </w:rPr>
              <w:t>室内照明灯具</w:t>
            </w:r>
          </w:p>
        </w:tc>
        <w:tc>
          <w:tcPr>
            <w:tcW w:w="947"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sz w:val="24"/>
                <w:szCs w:val="24"/>
                <w:lang w:val="en-US" w:eastAsia="zh-CN"/>
              </w:rPr>
              <w:t>142450</w:t>
            </w:r>
            <w:r>
              <w:rPr>
                <w:rFonts w:hint="default" w:ascii="Times New Roman" w:hAnsi="Times New Roman" w:eastAsia="方正仿宋_GBK" w:cs="Times New Roman"/>
                <w:sz w:val="24"/>
                <w:szCs w:val="24"/>
                <w:lang w:val="en-US" w:eastAsia="zh-CN"/>
              </w:rPr>
              <w:t>元</w:t>
            </w:r>
          </w:p>
        </w:tc>
        <w:tc>
          <w:tcPr>
            <w:tcW w:w="1033" w:type="pct"/>
            <w:noWrap w:val="0"/>
            <w:vAlign w:val="center"/>
          </w:tcPr>
          <w:p>
            <w:pPr>
              <w:ind w:firstLine="0" w:firstLineChars="0"/>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2800元</w:t>
            </w:r>
          </w:p>
        </w:tc>
        <w:tc>
          <w:tcPr>
            <w:tcW w:w="949" w:type="pct"/>
            <w:noWrap w:val="0"/>
            <w:vAlign w:val="center"/>
          </w:tcPr>
          <w:p>
            <w:pPr>
              <w:ind w:firstLine="0" w:firstLineChars="0"/>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r>
    </w:tbl>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 w:name="_Toc32087"/>
      <w:bookmarkStart w:id="6" w:name="_Toc23402"/>
      <w:bookmarkStart w:id="7" w:name="_Toc10020"/>
      <w:r>
        <w:rPr>
          <w:rFonts w:hint="eastAsia" w:ascii="方正仿宋_GBK" w:hAnsi="方正仿宋_GBK" w:eastAsia="方正仿宋_GBK" w:cs="方正仿宋_GBK"/>
          <w:b/>
          <w:bCs/>
          <w:color w:val="auto"/>
          <w:sz w:val="28"/>
          <w:szCs w:val="22"/>
        </w:rPr>
        <w:t>二、资格条件</w:t>
      </w:r>
      <w:bookmarkEnd w:id="5"/>
      <w:bookmarkEnd w:id="6"/>
      <w:bookmarkEnd w:id="7"/>
    </w:p>
    <w:p>
      <w:pPr>
        <w:keepNext w:val="0"/>
        <w:keepLines w:val="0"/>
        <w:pageBreakBefore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供应商是指向采购人提供服务或者货物的法人、其他组织或者自然人。合格的供应商应符合政府采购法第二</w:t>
      </w:r>
      <w:r>
        <w:rPr>
          <w:rFonts w:hint="eastAsia" w:ascii="方正仿宋_GBK" w:hAnsi="Times New Roman" w:eastAsia="方正仿宋_GBK" w:cs="方正仿宋_GBK"/>
          <w:color w:val="auto"/>
          <w:sz w:val="28"/>
          <w:szCs w:val="28"/>
        </w:rPr>
        <w:t>十二条规定的基本资格条件</w:t>
      </w:r>
      <w:r>
        <w:rPr>
          <w:rFonts w:hint="eastAsia" w:ascii="方正仿宋_GBK" w:hAnsi="Times New Roman" w:eastAsia="方正仿宋_GBK" w:cs="方正仿宋_GBK"/>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（一）基本资格条件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1</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2</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3</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4</w:t>
      </w:r>
      <w:r>
        <w:rPr>
          <w:rFonts w:hint="eastAsia" w:ascii="方正仿宋_GBK" w:eastAsia="方正仿宋_GBK" w:cs="方正仿宋_GBK"/>
          <w:color w:val="auto"/>
          <w:sz w:val="28"/>
          <w:szCs w:val="28"/>
          <w:lang w:eastAsia="zh-CN"/>
        </w:rPr>
        <w:t>.具</w:t>
      </w:r>
      <w:r>
        <w:rPr>
          <w:rFonts w:hint="eastAsia" w:ascii="方正仿宋_GBK" w:eastAsia="方正仿宋_GBK" w:cs="方正仿宋_GBK"/>
          <w:color w:val="auto"/>
          <w:sz w:val="28"/>
          <w:szCs w:val="28"/>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5</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6</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0000FF"/>
          <w:sz w:val="28"/>
          <w:szCs w:val="28"/>
        </w:rPr>
      </w:pP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二</w:t>
      </w: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特定</w:t>
      </w:r>
      <w:r>
        <w:rPr>
          <w:rFonts w:hint="eastAsia" w:ascii="方正仿宋_GBK" w:eastAsia="方正仿宋_GBK" w:cs="方正仿宋_GBK"/>
          <w:color w:val="0000FF"/>
          <w:sz w:val="28"/>
          <w:szCs w:val="28"/>
        </w:rPr>
        <w:t>资格条件</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color w:val="auto"/>
          <w:sz w:val="28"/>
          <w:szCs w:val="22"/>
          <w:lang w:val="en-US" w:eastAsia="zh-CN"/>
        </w:rPr>
      </w:pPr>
      <w:r>
        <w:rPr>
          <w:rFonts w:hint="eastAsia" w:ascii="方正仿宋_GBK" w:eastAsia="方正仿宋_GBK" w:cs="方正仿宋_GBK"/>
          <w:color w:val="auto"/>
          <w:sz w:val="28"/>
          <w:szCs w:val="28"/>
          <w:lang w:val="en-US" w:eastAsia="zh-CN"/>
        </w:rPr>
        <w:t>无</w:t>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lang w:val="en-US" w:eastAsia="zh-CN"/>
        </w:rPr>
      </w:pPr>
      <w:bookmarkStart w:id="8" w:name="_Toc10496"/>
      <w:bookmarkStart w:id="9" w:name="_Toc26229"/>
      <w:bookmarkStart w:id="10" w:name="_Toc20365"/>
      <w:r>
        <w:rPr>
          <w:rFonts w:hint="eastAsia" w:ascii="方正仿宋_GBK" w:hAnsi="方正仿宋_GBK" w:eastAsia="方正仿宋_GBK" w:cs="方正仿宋_GBK"/>
          <w:b/>
          <w:bCs/>
          <w:color w:val="auto"/>
          <w:sz w:val="28"/>
          <w:szCs w:val="22"/>
          <w:lang w:val="en-US" w:eastAsia="zh-CN"/>
        </w:rPr>
        <w:t>三、项目技术需求</w:t>
      </w:r>
      <w:bookmarkEnd w:id="8"/>
      <w:bookmarkEnd w:id="9"/>
      <w:bookmarkEnd w:id="1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697"/>
        <w:gridCol w:w="944"/>
        <w:gridCol w:w="2317"/>
        <w:gridCol w:w="750"/>
        <w:gridCol w:w="967"/>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sz w:val="21"/>
                <w:szCs w:val="21"/>
                <w:vertAlign w:val="baseline"/>
                <w:lang w:val="en-US" w:eastAsia="zh-CN"/>
              </w:rPr>
            </w:pPr>
            <w:bookmarkStart w:id="11" w:name="_Toc9398"/>
            <w:bookmarkStart w:id="12" w:name="_Toc27150"/>
            <w:bookmarkStart w:id="13" w:name="_Toc32342"/>
            <w:r>
              <w:rPr>
                <w:rFonts w:hint="eastAsia" w:eastAsia="方正仿宋_GBK" w:cs="Times New Roman"/>
                <w:sz w:val="21"/>
                <w:szCs w:val="21"/>
                <w:vertAlign w:val="baseline"/>
                <w:lang w:val="en-US" w:eastAsia="zh-CN"/>
              </w:rPr>
              <w:t>序号</w:t>
            </w:r>
          </w:p>
        </w:tc>
        <w:tc>
          <w:tcPr>
            <w:tcW w:w="169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产品名称</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品牌厂家</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规格型号</w:t>
            </w:r>
          </w:p>
        </w:tc>
        <w:tc>
          <w:tcPr>
            <w:tcW w:w="75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单位</w:t>
            </w:r>
          </w:p>
        </w:tc>
        <w:tc>
          <w:tcPr>
            <w:tcW w:w="9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预估</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数量</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最高单价限价（元）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1</w:t>
            </w:r>
          </w:p>
        </w:tc>
        <w:tc>
          <w:tcPr>
            <w:tcW w:w="169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LED T5</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default" w:eastAsia="方正仿宋_GBK" w:cs="Times New Roman"/>
                <w:i w:val="0"/>
                <w:iCs w:val="0"/>
                <w:color w:val="000000"/>
                <w:kern w:val="0"/>
                <w:sz w:val="21"/>
                <w:szCs w:val="21"/>
                <w:u w:val="none"/>
                <w:lang w:val="en-US" w:eastAsia="zh-CN" w:bidi="ar"/>
              </w:rPr>
              <w:t>7W支架</w:t>
            </w:r>
            <w:r>
              <w:rPr>
                <w:rFonts w:hint="eastAsia" w:eastAsia="方正仿宋_GBK" w:cs="Times New Roman"/>
                <w:i w:val="0"/>
                <w:iCs w:val="0"/>
                <w:color w:val="000000"/>
                <w:kern w:val="0"/>
                <w:sz w:val="21"/>
                <w:szCs w:val="21"/>
                <w:u w:val="none"/>
                <w:lang w:val="en-US" w:eastAsia="zh-CN" w:bidi="ar"/>
              </w:rPr>
              <w:t>灯管 （带接线头）</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2</w:t>
            </w:r>
          </w:p>
        </w:tc>
        <w:tc>
          <w:tcPr>
            <w:tcW w:w="169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LED T5</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default" w:eastAsia="方正仿宋_GBK" w:cs="Times New Roman"/>
                <w:i w:val="0"/>
                <w:iCs w:val="0"/>
                <w:color w:val="000000"/>
                <w:kern w:val="0"/>
                <w:sz w:val="21"/>
                <w:szCs w:val="21"/>
                <w:u w:val="none"/>
                <w:lang w:val="en-US" w:eastAsia="zh-CN" w:bidi="ar"/>
              </w:rPr>
              <w:t>14W 支架</w:t>
            </w:r>
            <w:r>
              <w:rPr>
                <w:rFonts w:hint="eastAsia" w:eastAsia="方正仿宋_GBK" w:cs="Times New Roman"/>
                <w:i w:val="0"/>
                <w:iCs w:val="0"/>
                <w:color w:val="000000"/>
                <w:kern w:val="0"/>
                <w:sz w:val="21"/>
                <w:szCs w:val="21"/>
                <w:u w:val="none"/>
                <w:lang w:val="en-US" w:eastAsia="zh-CN" w:bidi="ar"/>
              </w:rPr>
              <w:t>灯管 （</w:t>
            </w:r>
            <w:r>
              <w:rPr>
                <w:rFonts w:hint="default" w:eastAsia="方正仿宋_GBK" w:cs="Times New Roman"/>
                <w:i w:val="0"/>
                <w:iCs w:val="0"/>
                <w:color w:val="000000"/>
                <w:kern w:val="0"/>
                <w:sz w:val="21"/>
                <w:szCs w:val="21"/>
                <w:u w:val="none"/>
                <w:lang w:val="en-US" w:eastAsia="zh-CN" w:bidi="ar"/>
              </w:rPr>
              <w:t>带接线头</w:t>
            </w:r>
            <w:r>
              <w:rPr>
                <w:rFonts w:hint="eastAsia" w:eastAsia="方正仿宋_GBK" w:cs="Times New Roman"/>
                <w:i w:val="0"/>
                <w:iCs w:val="0"/>
                <w:color w:val="000000"/>
                <w:kern w:val="0"/>
                <w:sz w:val="21"/>
                <w:szCs w:val="21"/>
                <w:u w:val="none"/>
                <w:lang w:val="en-US" w:eastAsia="zh-CN" w:bidi="ar"/>
              </w:rPr>
              <w:t>）</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3</w:t>
            </w:r>
          </w:p>
        </w:tc>
        <w:tc>
          <w:tcPr>
            <w:tcW w:w="169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600*600嵌入式灯盘（带卡扣）</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3</w:t>
            </w:r>
            <w:r>
              <w:rPr>
                <w:rFonts w:hint="eastAsia" w:eastAsia="方正仿宋_GBK" w:cs="Times New Roman"/>
                <w:i w:val="0"/>
                <w:iCs w:val="0"/>
                <w:color w:val="000000"/>
                <w:kern w:val="0"/>
                <w:sz w:val="21"/>
                <w:szCs w:val="21"/>
                <w:highlight w:val="none"/>
                <w:u w:val="none"/>
                <w:lang w:val="en-US" w:eastAsia="zh-CN" w:bidi="ar"/>
              </w:rPr>
              <w:t>6</w:t>
            </w:r>
            <w:r>
              <w:rPr>
                <w:rFonts w:hint="eastAsia" w:eastAsia="方正仿宋_GBK" w:cs="Times New Roman"/>
                <w:i w:val="0"/>
                <w:iCs w:val="0"/>
                <w:color w:val="000000"/>
                <w:kern w:val="0"/>
                <w:sz w:val="21"/>
                <w:szCs w:val="21"/>
                <w:u w:val="none"/>
                <w:lang w:val="en-US" w:eastAsia="zh-CN" w:bidi="ar"/>
              </w:rPr>
              <w:t>W</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1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4</w:t>
            </w:r>
          </w:p>
        </w:tc>
        <w:tc>
          <w:tcPr>
            <w:tcW w:w="169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LED T8灯管</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highlight w:val="none"/>
                <w:u w:val="none"/>
                <w:lang w:val="en-US" w:eastAsia="zh-CN" w:bidi="ar"/>
              </w:rPr>
              <w:t>18</w:t>
            </w:r>
            <w:r>
              <w:rPr>
                <w:rFonts w:hint="eastAsia" w:eastAsia="方正仿宋_GBK" w:cs="Times New Roman"/>
                <w:i w:val="0"/>
                <w:iCs w:val="0"/>
                <w:color w:val="000000"/>
                <w:kern w:val="0"/>
                <w:sz w:val="21"/>
                <w:szCs w:val="21"/>
                <w:u w:val="none"/>
                <w:lang w:val="en-US" w:eastAsia="zh-CN" w:bidi="ar"/>
              </w:rPr>
              <w:t>W-T60/双端</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LED</w:t>
            </w:r>
            <w:r>
              <w:rPr>
                <w:rFonts w:hint="eastAsia" w:ascii="方正仿宋_GBK" w:hAnsi="方正仿宋_GBK" w:eastAsia="方正仿宋_GBK" w:cs="方正仿宋_GBK"/>
                <w:i w:val="0"/>
                <w:iCs w:val="0"/>
                <w:color w:val="000000"/>
                <w:kern w:val="0"/>
                <w:sz w:val="21"/>
                <w:szCs w:val="21"/>
                <w:u w:val="none"/>
                <w:lang w:val="en-US" w:eastAsia="zh-CN" w:bidi="ar"/>
              </w:rPr>
              <w:t>筒灯</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6W/</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开孔尺寸 7cm</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LED</w:t>
            </w:r>
            <w:r>
              <w:rPr>
                <w:rFonts w:hint="eastAsia" w:ascii="方正仿宋_GBK" w:hAnsi="方正仿宋_GBK" w:eastAsia="方正仿宋_GBK" w:cs="方正仿宋_GBK"/>
                <w:i w:val="0"/>
                <w:iCs w:val="0"/>
                <w:color w:val="000000"/>
                <w:kern w:val="0"/>
                <w:sz w:val="21"/>
                <w:szCs w:val="21"/>
                <w:u w:val="none"/>
                <w:lang w:val="en-US" w:eastAsia="zh-CN" w:bidi="ar"/>
              </w:rPr>
              <w:t>筒灯</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8W/</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开孔尺寸 8.5cm</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LED</w:t>
            </w:r>
            <w:r>
              <w:rPr>
                <w:rFonts w:hint="eastAsia" w:ascii="方正仿宋_GBK" w:hAnsi="方正仿宋_GBK" w:eastAsia="方正仿宋_GBK" w:cs="方正仿宋_GBK"/>
                <w:i w:val="0"/>
                <w:iCs w:val="0"/>
                <w:color w:val="000000"/>
                <w:kern w:val="0"/>
                <w:sz w:val="21"/>
                <w:szCs w:val="21"/>
                <w:u w:val="none"/>
                <w:lang w:val="en-US" w:eastAsia="zh-CN" w:bidi="ar"/>
              </w:rPr>
              <w:t>平板净化灯</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bookmarkStart w:id="203" w:name="_GoBack"/>
            <w:bookmarkEnd w:id="203"/>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1200*600mm</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LED灯串（满天星）</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暖色星星电池款串灯、闪灯（1串4米）</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串</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210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9</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装饰灯</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装饰地插灯（20个1套）</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灯带（带插头）</w:t>
            </w:r>
          </w:p>
        </w:tc>
        <w:tc>
          <w:tcPr>
            <w:tcW w:w="9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佛山</w:t>
            </w:r>
          </w:p>
        </w:tc>
        <w:tc>
          <w:tcPr>
            <w:tcW w:w="231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6W 2835双排</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米</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750</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93"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合计</w:t>
            </w:r>
          </w:p>
        </w:tc>
        <w:tc>
          <w:tcPr>
            <w:tcW w:w="18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142450</w:t>
            </w:r>
          </w:p>
        </w:tc>
      </w:tr>
    </w:tbl>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14" w:name="_Toc24783"/>
      <w:bookmarkStart w:id="15" w:name="_Toc17883"/>
      <w:r>
        <w:rPr>
          <w:rFonts w:hint="eastAsia" w:ascii="方正仿宋_GBK" w:hAnsi="方正仿宋_GBK" w:eastAsia="方正仿宋_GBK" w:cs="方正仿宋_GBK"/>
          <w:b/>
          <w:bCs/>
          <w:color w:val="auto"/>
          <w:sz w:val="28"/>
          <w:szCs w:val="22"/>
        </w:rPr>
        <w:t>四、项目商务要求</w:t>
      </w:r>
      <w:bookmarkEnd w:id="11"/>
      <w:bookmarkEnd w:id="12"/>
      <w:bookmarkEnd w:id="14"/>
      <w:bookmarkEnd w:id="15"/>
    </w:p>
    <w:p>
      <w:pPr>
        <w:pageBreakBefore w:val="0"/>
        <w:kinsoku/>
        <w:wordWrap/>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2"/>
        </w:rPr>
        <w:t>交货时间</w:t>
      </w:r>
      <w:r>
        <w:rPr>
          <w:rFonts w:hint="eastAsia" w:ascii="方正仿宋_GBK" w:hAnsi="方正仿宋_GBK" w:eastAsia="方正仿宋_GBK" w:cs="方正仿宋_GBK"/>
          <w:color w:val="auto"/>
          <w:sz w:val="28"/>
          <w:szCs w:val="28"/>
        </w:rPr>
        <w:t>、地点及验收方式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eastAsia="方正仿宋_GBK" w:cs="方正仿宋_GBK"/>
          <w:color w:val="auto"/>
          <w:sz w:val="28"/>
          <w:szCs w:val="28"/>
          <w:highlight w:val="cyan"/>
          <w:lang w:eastAsia="zh-CN"/>
        </w:rPr>
      </w:pPr>
      <w:bookmarkStart w:id="16" w:name="_Toc319586231"/>
      <w:bookmarkStart w:id="17" w:name="_Toc320259282"/>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2"/>
          <w:lang w:val="en-US" w:eastAsia="zh-CN"/>
        </w:rPr>
        <w:t>交货</w:t>
      </w:r>
      <w:r>
        <w:rPr>
          <w:rFonts w:hint="eastAsia" w:ascii="方正仿宋_GBK" w:hAnsi="方正仿宋_GBK" w:eastAsia="方正仿宋_GBK" w:cs="方正仿宋_GBK"/>
          <w:color w:val="auto"/>
          <w:sz w:val="28"/>
          <w:szCs w:val="22"/>
        </w:rPr>
        <w:t>时间</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bCs/>
          <w:color w:val="auto"/>
          <w:sz w:val="28"/>
          <w:szCs w:val="28"/>
          <w:lang w:val="en-US" w:eastAsia="zh-CN"/>
        </w:rPr>
        <w:t>供应商须按采购人需求送货，每月送货1-2次</w:t>
      </w:r>
      <w:r>
        <w:rPr>
          <w:rFonts w:hint="eastAsia" w:ascii="方正仿宋_GBK" w:hAnsi="方正仿宋_GBK" w:eastAsia="方正仿宋_GBK" w:cs="方正仿宋_GBK"/>
          <w:color w:val="auto"/>
          <w:sz w:val="28"/>
          <w:szCs w:val="28"/>
          <w:lang w:val="en-US" w:eastAsia="zh-CN"/>
        </w:rPr>
        <w:t>，具体时间以采购人通知为准，供货期自签订合同起1年。</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eastAsia="方正仿宋_GBK" w:cs="方正仿宋_GBK"/>
          <w:color w:val="auto"/>
          <w:sz w:val="28"/>
          <w:szCs w:val="22"/>
        </w:rPr>
        <w:t>交货</w:t>
      </w:r>
      <w:r>
        <w:rPr>
          <w:rFonts w:hint="eastAsia" w:ascii="方正仿宋_GBK" w:hAnsi="方正仿宋_GBK" w:eastAsia="方正仿宋_GBK" w:cs="方正仿宋_GBK"/>
          <w:color w:val="auto"/>
          <w:sz w:val="28"/>
          <w:szCs w:val="28"/>
        </w:rPr>
        <w:t>地点：</w:t>
      </w:r>
      <w:r>
        <w:rPr>
          <w:rFonts w:hint="eastAsia" w:ascii="方正仿宋_GBK" w:hAnsi="方正仿宋_GBK" w:eastAsia="方正仿宋_GBK" w:cs="方正仿宋_GBK"/>
          <w:color w:val="auto"/>
          <w:sz w:val="28"/>
          <w:szCs w:val="28"/>
          <w:lang w:val="en-US" w:eastAsia="zh-CN"/>
        </w:rPr>
        <w:t>采购人指定地点</w:t>
      </w:r>
      <w:r>
        <w:rPr>
          <w:rFonts w:hint="eastAsia" w:ascii="方正仿宋_GBK" w:hAnsi="方正仿宋_GBK" w:eastAsia="方正仿宋_GBK" w:cs="方正仿宋_GBK"/>
          <w:color w:val="auto"/>
          <w:sz w:val="28"/>
          <w:szCs w:val="28"/>
        </w:rPr>
        <w:t>。</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验收方式：</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（1）货物到达现场后，成交供应商应在使用单位人员在场情况下当面开箱，共同清点、检查外观，作出开箱记录，双方签字确认。</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（2）成交供应商应保证货物到达用户所在地完好无损，如有缺漏、损坏，由成交供应商负责调换、补齐或赔偿。</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（3）成交供应商应提供完备的技术资料、装箱单和合格证等。</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（4）验收合格条件如下：货物质量及要求与采购合同一致，达到规定的标准；货物技术资料、装箱单和合格证等资料齐全；在规定时间内完成交货和安装调试，并经采购人确认。</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（5）成交供应商提供的货物未达到采购文件规定要求，且对采购人造成损失的，由成交供应商承担一切责任，并赔偿所造成的损失。</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（6）采购人需要制造商对成交供应商交付的产品（包括质量、技术参数等）进行确认的，制造商应予以配合，并出具书面意见。</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eastAsia="方正仿宋_GBK" w:cs="方正仿宋_GBK"/>
          <w:color w:val="auto"/>
          <w:spacing w:val="0"/>
          <w:w w:val="100"/>
          <w:sz w:val="28"/>
          <w:szCs w:val="22"/>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（7）产品包装材料归采购人所有</w:t>
      </w:r>
      <w:r>
        <w:rPr>
          <w:rFonts w:hint="eastAsia" w:ascii="方正仿宋_GBK" w:eastAsia="方正仿宋_GBK" w:cs="方正仿宋_GBK"/>
          <w:color w:val="auto"/>
          <w:spacing w:val="0"/>
          <w:w w:val="100"/>
          <w:sz w:val="28"/>
          <w:szCs w:val="22"/>
          <w:highlight w:val="none"/>
          <w:lang w:val="en-US" w:eastAsia="zh-CN" w:bidi="ar-SA"/>
        </w:rPr>
        <w:t>。</w:t>
      </w:r>
    </w:p>
    <w:p>
      <w:pPr>
        <w:pageBreakBefore w:val="0"/>
        <w:kinsoku/>
        <w:overflowPunct/>
        <w:topLinePunct w:val="0"/>
        <w:autoSpaceDE/>
        <w:autoSpaceDN/>
        <w:bidi w:val="0"/>
        <w:snapToGrid w:val="0"/>
        <w:spacing w:line="400" w:lineRule="exact"/>
        <w:ind w:firstLine="560"/>
        <w:jc w:val="both"/>
        <w:textAlignment w:val="baseline"/>
        <w:rPr>
          <w:rFonts w:hint="eastAsia"/>
          <w:color w:val="auto"/>
        </w:rPr>
      </w:pPr>
      <w:r>
        <w:rPr>
          <w:rFonts w:hint="eastAsia" w:ascii="方正仿宋_GBK" w:hAnsi="方正仿宋_GBK" w:eastAsia="方正仿宋_GBK" w:cs="方正仿宋_GBK"/>
          <w:color w:val="auto"/>
          <w:sz w:val="28"/>
          <w:szCs w:val="28"/>
        </w:rPr>
        <w:t>（二）报价要求</w:t>
      </w:r>
    </w:p>
    <w:bookmarkEnd w:id="13"/>
    <w:bookmarkEnd w:id="16"/>
    <w:bookmarkEnd w:id="17"/>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eastAsia="zh-CN"/>
        </w:rPr>
      </w:pPr>
      <w:bookmarkStart w:id="18" w:name="_Toc243"/>
      <w:r>
        <w:rPr>
          <w:rFonts w:hint="eastAsia" w:ascii="方正仿宋_GBK" w:hAnsi="方正仿宋_GBK" w:eastAsia="方正仿宋_GBK" w:cs="方正仿宋_GBK"/>
          <w:color w:val="auto"/>
          <w:sz w:val="28"/>
          <w:szCs w:val="28"/>
          <w:lang w:val="en-US" w:eastAsia="zh-CN"/>
        </w:rPr>
        <w:t>本次报价须为人民币报价，包含：产品价、运输费（含装卸费）、搬运费、安装调试费、保险费、培训费、税费、采购代理服务费等完成本项目的一切费用。因成交供应商自身原因造成漏报、少报皆由其自行承担责任，采购人不再补偿。供应商应按照明细报价表格式填写</w:t>
      </w:r>
      <w:r>
        <w:rPr>
          <w:rFonts w:hint="eastAsia" w:ascii="方正仿宋_GBK" w:hAnsi="方正仿宋_GBK" w:eastAsia="方正仿宋_GBK" w:cs="方正仿宋_GBK"/>
          <w:color w:val="auto"/>
          <w:sz w:val="28"/>
          <w:szCs w:val="28"/>
          <w:highlight w:val="none"/>
        </w:rPr>
        <w:t>。</w:t>
      </w:r>
    </w:p>
    <w:p>
      <w:pPr>
        <w:pageBreakBefore w:val="0"/>
        <w:kinsoku/>
        <w:overflowPunct/>
        <w:topLinePunct w:val="0"/>
        <w:autoSpaceDE/>
        <w:autoSpaceDN/>
        <w:bidi w:val="0"/>
        <w:spacing w:line="400" w:lineRule="exact"/>
        <w:ind w:left="420" w:leftChars="20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（三）质量保证及售后服务承诺</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1、产品质量保证</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（1）供应商所供应产品质量必须符合国家相关法律法规和国家、行业的相关要求，不得提供虚假伪劣产品，提供产品合格证。</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（2）报价产品属于国家规定“三包”范围的，其产品质量保证期不得低于“三包”规定。</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（3）响应供应商的质量保证期承诺优于国家“三包”规定的，按响应供应商实际承诺执行。</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2、售后服务</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自每批次货物验收合格之日起1年（包含电话咨询、现场响应、退换货及维修）。</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）付款方式</w:t>
      </w:r>
    </w:p>
    <w:bookmarkEnd w:id="18"/>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default" w:ascii="方正仿宋_GBK" w:hAnsi="方正仿宋_GBK" w:eastAsia="方正仿宋_GBK" w:cs="方正仿宋_GBK"/>
          <w:color w:val="auto"/>
          <w:sz w:val="28"/>
          <w:szCs w:val="28"/>
          <w:highlight w:val="none"/>
          <w:lang w:val="en-US" w:eastAsia="zh-CN"/>
        </w:rPr>
      </w:pPr>
      <w:bookmarkStart w:id="19" w:name="_Toc514962183"/>
      <w:bookmarkStart w:id="20" w:name="_Toc23014"/>
      <w:bookmarkStart w:id="21" w:name="_Toc12789054"/>
      <w:bookmarkStart w:id="22" w:name="_Toc11641053"/>
      <w:r>
        <w:rPr>
          <w:rFonts w:hint="eastAsia" w:ascii="方正仿宋_GBK" w:hAnsi="方正仿宋_GBK" w:eastAsia="方正仿宋_GBK" w:cs="方正仿宋_GBK"/>
          <w:color w:val="auto"/>
          <w:sz w:val="28"/>
          <w:szCs w:val="28"/>
          <w:highlight w:val="none"/>
          <w:lang w:val="en-US" w:eastAsia="zh-CN"/>
        </w:rPr>
        <w:t>按自然季度据实结算。每批次货款=实际成交单价*实际采购数量。付款前供应商须提供有效的相应发票，采购人在收到发票起30个日历天内支付该批次货款。</w:t>
      </w:r>
      <w:r>
        <w:rPr>
          <w:rFonts w:hint="eastAsia" w:ascii="方正仿宋_GBK" w:hAnsi="方正仿宋_GBK" w:eastAsia="方正仿宋_GBK" w:cs="方正仿宋_GBK"/>
          <w:b/>
          <w:bCs/>
          <w:color w:val="auto"/>
          <w:sz w:val="28"/>
          <w:szCs w:val="28"/>
          <w:highlight w:val="none"/>
          <w:lang w:val="en-US" w:eastAsia="zh-CN"/>
        </w:rPr>
        <w:t>成交单价=成交总价/项目最高限价×单项限价。合同累计结算金额不超过最终成交价。</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（五）知识产权</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采购人在中华人民共和国境内使用供应商提供的货物及服务时免受第三方提出的侵犯其专利权或其</w:t>
      </w:r>
      <w:r>
        <w:rPr>
          <w:rFonts w:hint="eastAsia" w:ascii="方正仿宋_GBK" w:hAnsi="方正仿宋_GBK" w:eastAsia="方正仿宋_GBK" w:cs="方正仿宋_GBK"/>
          <w:color w:val="auto"/>
          <w:sz w:val="28"/>
          <w:szCs w:val="28"/>
          <w:lang w:val="en-US" w:eastAsia="zh-CN"/>
        </w:rPr>
        <w:t>他</w:t>
      </w:r>
      <w:r>
        <w:rPr>
          <w:rFonts w:hint="eastAsia" w:ascii="方正仿宋_GBK" w:hAnsi="方正仿宋_GBK" w:eastAsia="方正仿宋_GBK" w:cs="方正仿宋_GBK"/>
          <w:color w:val="auto"/>
          <w:sz w:val="28"/>
          <w:szCs w:val="28"/>
        </w:rPr>
        <w:t>知识产权的起诉。如果第三方提出侵权指控，成交供应商应承担由此而引起的一切法律责任和费用。</w:t>
      </w:r>
      <w:bookmarkStart w:id="23" w:name="_Toc24832"/>
      <w:bookmarkStart w:id="24" w:name="_Toc496627228"/>
      <w:bookmarkStart w:id="25" w:name="_Toc10464398"/>
      <w:bookmarkStart w:id="26" w:name="_Toc492040849"/>
      <w:bookmarkStart w:id="27" w:name="_Toc97812110"/>
    </w:p>
    <w:bookmarkEnd w:id="23"/>
    <w:bookmarkEnd w:id="24"/>
    <w:bookmarkEnd w:id="25"/>
    <w:bookmarkEnd w:id="26"/>
    <w:bookmarkEnd w:id="27"/>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28" w:name="_Toc3205"/>
      <w:bookmarkStart w:id="29" w:name="_Toc5522"/>
      <w:bookmarkStart w:id="30" w:name="_Toc26658"/>
      <w:r>
        <w:rPr>
          <w:rFonts w:hint="eastAsia" w:ascii="方正仿宋_GBK" w:hAnsi="方正仿宋_GBK" w:eastAsia="方正仿宋_GBK" w:cs="方正仿宋_GBK"/>
          <w:b/>
          <w:bCs/>
          <w:color w:val="auto"/>
          <w:sz w:val="28"/>
          <w:szCs w:val="22"/>
        </w:rPr>
        <w:t>五、</w:t>
      </w:r>
      <w:bookmarkEnd w:id="19"/>
      <w:bookmarkEnd w:id="20"/>
      <w:bookmarkEnd w:id="28"/>
      <w:bookmarkEnd w:id="29"/>
      <w:bookmarkEnd w:id="30"/>
      <w:r>
        <w:rPr>
          <w:rFonts w:hint="eastAsia" w:ascii="方正仿宋_GBK" w:hAnsi="方正仿宋_GBK" w:eastAsia="方正仿宋_GBK" w:cs="方正仿宋_GBK"/>
          <w:b/>
          <w:bCs/>
          <w:color w:val="auto"/>
          <w:sz w:val="28"/>
          <w:szCs w:val="22"/>
        </w:rPr>
        <w:t>线上</w:t>
      </w:r>
      <w:r>
        <w:rPr>
          <w:rFonts w:hint="eastAsia" w:ascii="方正仿宋_GBK" w:hAnsi="方正仿宋_GBK" w:eastAsia="方正仿宋_GBK" w:cs="方正仿宋_GBK"/>
          <w:b/>
          <w:bCs/>
          <w:color w:val="auto"/>
          <w:sz w:val="28"/>
          <w:szCs w:val="22"/>
          <w:lang w:val="en-US" w:eastAsia="zh-CN"/>
        </w:rPr>
        <w:t>报名和竞价流程</w:t>
      </w:r>
    </w:p>
    <w:tbl>
      <w:tblPr>
        <w:tblStyle w:val="17"/>
        <w:tblpPr w:leftFromText="180" w:rightFromText="180" w:vertAnchor="text" w:horzAnchor="page" w:tblpXSpec="center" w:tblpY="32"/>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41"/>
        <w:gridCol w:w="4433"/>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采购流程</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工作内容</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供应商上传响应文件时间</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供应商在该时间段内报名并上传响应文件。报名供应商不足3家时，项目废标。</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公告发布后-审查开始前，具体以采购公告为准。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采购人资质、符合性审查时间</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采购人组织审查供应商响应文件，通过审查的供应商才能进入后续竞拍环节，通过审查的不足3家时，项目废标。审查时间2小时。</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报名截止后2小时，具体以采购公告为准。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供应商进行在线竞拍</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供应商在行采家进行在线报价，参与竞拍。参与竞价的供应商不足3家时，项目废标。竞价时间1小时。</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审查结束后1小时，具体以采购公告为准。</w:t>
            </w:r>
          </w:p>
        </w:tc>
      </w:tr>
    </w:tbl>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1" w:name="_Toc11956"/>
      <w:bookmarkStart w:id="32" w:name="_Toc25145"/>
      <w:bookmarkStart w:id="33" w:name="_Toc521053053"/>
      <w:bookmarkStart w:id="34" w:name="_Toc4638"/>
      <w:bookmarkStart w:id="35" w:name="_Toc65660334"/>
      <w:bookmarkStart w:id="36" w:name="_Toc6178"/>
      <w:bookmarkStart w:id="37" w:name="_Toc106034774"/>
      <w:bookmarkStart w:id="38" w:name="_Toc12680"/>
      <w:bookmarkStart w:id="39" w:name="_Toc373860294"/>
      <w:bookmarkStart w:id="40" w:name="_Toc525047161"/>
      <w:bookmarkStart w:id="41" w:name="_Toc2793"/>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、保证金</w:t>
      </w:r>
      <w:bookmarkEnd w:id="31"/>
      <w:bookmarkEnd w:id="32"/>
      <w:bookmarkEnd w:id="33"/>
      <w:bookmarkEnd w:id="34"/>
      <w:bookmarkEnd w:id="35"/>
      <w:bookmarkEnd w:id="36"/>
      <w:bookmarkEnd w:id="37"/>
      <w:bookmarkEnd w:id="38"/>
      <w:bookmarkEnd w:id="39"/>
      <w:bookmarkEnd w:id="40"/>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bookmarkStart w:id="42" w:name="_Toc3535"/>
      <w:bookmarkStart w:id="43" w:name="_Toc8380"/>
      <w:r>
        <w:rPr>
          <w:rFonts w:hint="eastAsia" w:ascii="方正仿宋_GBK" w:hAnsi="方正仿宋_GBK" w:eastAsia="方正仿宋_GBK" w:cs="方正仿宋_GBK"/>
          <w:color w:val="auto"/>
          <w:sz w:val="28"/>
          <w:szCs w:val="28"/>
          <w:lang w:val="en-US" w:eastAsia="zh-CN"/>
        </w:rPr>
        <w:t>（一）投标保证金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1.供应商应足额交纳投标保证金（保证金金额一、项目概况），因本项目为网上竞采，投标保证金须以有效格式电子保函方式递交。</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2.电子投标保函缴纳形式及要求：</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具体要求：电子投标保函应当编入与电子投标文件中。电子投标保函应至少体现如下内容：①担保项目必须为本项目；②受益人必须为本项目采购人；③保函担保金额必须满足本项目要求；④保函生效时间必须在投标截止时间前，有效期限必须至少包含整个投标有效期。</w:t>
      </w:r>
    </w:p>
    <w:p>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采购人负责对保函内容进行审查，不满足上述要求的电子投标保函无效。</w:t>
      </w:r>
    </w:p>
    <w:p>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提供的投标保函不得有弄虚作假行为，否则一经采购人核实，将上报行政主管部门按照相关法律法规处理。同时，取消其中标资格。投标人须确保其递交的电子投标保函能在重庆市巴南区相关机构核验真伪，并提供电子投标保函的核验地点、方式和联系人，否则该电子投标保函视为无效。</w:t>
      </w:r>
    </w:p>
    <w:p>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投标人递交的电子投标保函（打印件）应与申请的电子投标保函一致，否则该电子投标保函视为无效。</w:t>
      </w:r>
    </w:p>
    <w:p>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auto"/>
          <w:sz w:val="28"/>
          <w:szCs w:val="28"/>
          <w:lang w:val="en-US" w:eastAsia="zh-CN"/>
        </w:rPr>
        <w:t>在发出中标通知书前，采购人有权对投标人（至少中标候选人或中标人）的电子投标保函开展核验。</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3.承接巴南区保函业务的保函出具担保方必须是中华人民共和国境内注册的可开展非融资担保类业务且通过巴南区财政局备案同意的银行、保险公司、担保公司等。</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4.发生以下情况之一者，投标保证金不予退还：</w:t>
      </w:r>
    </w:p>
    <w:p>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供应商在提交响应文件截止时间后撤回响应文件的；</w:t>
      </w:r>
    </w:p>
    <w:p>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供应商在响应文件中提供虚假材料的；</w:t>
      </w:r>
    </w:p>
    <w:p>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除因不可抗力或本采购文书认可的情形以外，成交供应商不与采购人签订合同的；</w:t>
      </w:r>
    </w:p>
    <w:p>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供应商与采购人、其他供应商恶意串通的；</w:t>
      </w:r>
    </w:p>
    <w:p>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成交供应商不按规定的时间或拒绝按成交状态签订合同（即不按照采购文件确定的合同文本以及采购标的、规格型号、采购金额、采购数量、技术（质量）和服务要求等事项签订采购合同的）。</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5.保证金的有效期限在报价有效期过后三十天继续有效。</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w:t>
      </w:r>
      <w:r>
        <w:rPr>
          <w:rFonts w:hint="default" w:ascii="方正仿宋_GBK" w:hAnsi="方正仿宋_GBK" w:eastAsia="方正仿宋_GBK" w:cs="方正仿宋_GBK"/>
          <w:color w:val="auto"/>
          <w:sz w:val="28"/>
          <w:szCs w:val="28"/>
          <w:lang w:val="en-US" w:eastAsia="zh-CN"/>
        </w:rPr>
        <w:t>履约保证</w:t>
      </w:r>
      <w:r>
        <w:rPr>
          <w:rFonts w:hint="eastAsia" w:ascii="方正仿宋_GBK" w:hAnsi="方正仿宋_GBK" w:eastAsia="方正仿宋_GBK" w:cs="方正仿宋_GBK"/>
          <w:color w:val="auto"/>
          <w:sz w:val="28"/>
          <w:szCs w:val="28"/>
          <w:lang w:val="en-US" w:eastAsia="zh-CN"/>
        </w:rPr>
        <w:t>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递交金额：</w:t>
      </w:r>
      <w:r>
        <w:rPr>
          <w:rFonts w:hint="eastAsia" w:ascii="方正仿宋_GBK" w:hAnsi="方正仿宋_GBK" w:eastAsia="方正仿宋_GBK" w:cs="方正仿宋_GBK"/>
          <w:color w:val="auto"/>
          <w:sz w:val="28"/>
          <w:szCs w:val="28"/>
          <w:lang w:val="en-US" w:eastAsia="zh-CN"/>
        </w:rPr>
        <w:t>合同成交金额的5%。</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递交方式：供应商应在收到成交通知书后10天内。供应商应当以支票、汇票、本票或者金融机构、担保机构（</w:t>
      </w:r>
      <w:r>
        <w:rPr>
          <w:rFonts w:hint="eastAsia" w:ascii="方正仿宋_GBK" w:hAnsi="方正仿宋_GBK" w:eastAsia="方正仿宋_GBK" w:cs="方正仿宋_GBK"/>
          <w:color w:val="auto"/>
          <w:sz w:val="28"/>
          <w:szCs w:val="28"/>
          <w:lang w:val="en-US" w:eastAsia="zh-CN"/>
        </w:rPr>
        <w:t>履约保证金保函须为有效格式电子保函</w:t>
      </w:r>
      <w:r>
        <w:rPr>
          <w:rFonts w:hint="default" w:ascii="方正仿宋_GBK" w:hAnsi="方正仿宋_GBK" w:eastAsia="方正仿宋_GBK" w:cs="方正仿宋_GBK"/>
          <w:color w:val="auto"/>
          <w:sz w:val="28"/>
          <w:szCs w:val="28"/>
          <w:lang w:val="en-US" w:eastAsia="zh-CN"/>
        </w:rPr>
        <w:t>）出具的保函等非现金形式提交。采用保函形式的，保函必须为不可撤销且见索即付，所需的费用由供应商承担，供应商应保证保函有效。</w:t>
      </w:r>
      <w:r>
        <w:rPr>
          <w:rFonts w:hint="eastAsia" w:ascii="方正仿宋_GBK" w:hAnsi="方正仿宋_GBK" w:eastAsia="方正仿宋_GBK" w:cs="方正仿宋_GBK"/>
          <w:color w:val="auto"/>
          <w:sz w:val="28"/>
          <w:szCs w:val="28"/>
          <w:lang w:val="en-US" w:eastAsia="zh-CN"/>
        </w:rPr>
        <w:t>合同履行完毕后无息退还（包含质保期）。(承接巴南区保函业务的担保方必须是中华人民共和国境内注册的可开展非融资担保类业务且通过巴南区财政局备案同意的银行、保险公司、担保公司等)。</w:t>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、联系方式</w:t>
      </w:r>
      <w:bookmarkEnd w:id="41"/>
      <w:bookmarkEnd w:id="42"/>
      <w:bookmarkEnd w:id="43"/>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8"/>
          <w:highlight w:val="none"/>
          <w:lang w:val="en-US" w:eastAsia="zh-CN" w:bidi="ar-SA"/>
        </w:rPr>
        <w:t>重庆市巴南区人民医院采购管理科</w:t>
      </w:r>
    </w:p>
    <w:p>
      <w:pPr>
        <w:pageBreakBefore w:val="0"/>
        <w:kinsoku/>
        <w:overflowPunct/>
        <w:topLinePunct w:val="0"/>
        <w:autoSpaceDE/>
        <w:autoSpaceDN/>
        <w:bidi w:val="0"/>
        <w:snapToGrid w:val="0"/>
        <w:spacing w:before="65" w:after="65" w:line="400" w:lineRule="exact"/>
        <w:ind w:firstLine="56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联系人：</w:t>
      </w:r>
      <w:r>
        <w:rPr>
          <w:rFonts w:hint="eastAsia" w:ascii="方正仿宋_GBK" w:hAnsi="方正仿宋_GBK" w:eastAsia="方正仿宋_GBK" w:cs="方正仿宋_GBK"/>
          <w:color w:val="auto"/>
          <w:sz w:val="28"/>
          <w:szCs w:val="28"/>
          <w:lang w:val="en-US" w:eastAsia="zh-CN"/>
        </w:rPr>
        <w:t>蒋老师</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Times New Roman"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电  话</w:t>
      </w:r>
      <w:r>
        <w:rPr>
          <w:rFonts w:hint="eastAsia" w:ascii="方正仿宋_GBK" w:hAnsi="方正仿宋_GBK" w:eastAsia="方正仿宋_GBK" w:cs="方正仿宋_GBK"/>
          <w:color w:val="auto"/>
          <w:sz w:val="28"/>
          <w:szCs w:val="28"/>
          <w:lang w:val="en-US" w:eastAsia="zh-CN"/>
        </w:rPr>
        <w:t>：023-66233881</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eastAsia="方正仿宋_GBK" w:cs="方正仿宋_GBK"/>
          <w:color w:val="auto"/>
          <w:sz w:val="28"/>
          <w:szCs w:val="28"/>
          <w:highlight w:val="none"/>
          <w:lang w:val="en-US" w:eastAsia="zh-CN" w:bidi="ar-SA"/>
        </w:rPr>
      </w:pPr>
      <w:r>
        <w:rPr>
          <w:rFonts w:hint="eastAsia" w:ascii="方正仿宋_GBK" w:eastAsia="方正仿宋_GBK" w:cs="方正仿宋_GBK"/>
          <w:color w:val="auto"/>
          <w:sz w:val="28"/>
          <w:szCs w:val="28"/>
          <w:highlight w:val="none"/>
          <w:lang w:bidi="ar-SA"/>
        </w:rPr>
        <w:t>地  址：</w:t>
      </w:r>
      <w:r>
        <w:rPr>
          <w:rFonts w:hint="eastAsia" w:ascii="方正仿宋_GBK" w:eastAsia="方正仿宋_GBK" w:cs="方正仿宋_GBK"/>
          <w:color w:val="auto"/>
          <w:sz w:val="28"/>
          <w:szCs w:val="28"/>
          <w:highlight w:val="none"/>
          <w:lang w:val="en-US" w:eastAsia="zh-CN" w:bidi="ar-SA"/>
        </w:rPr>
        <w:t>重庆市巴南区龙洲湾街道渝南大道659号。</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（二）保函开具咨询：15123626148。</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eastAsia="zh-CN"/>
        </w:rPr>
      </w:pP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4" w:name="_Toc18334"/>
      <w:bookmarkStart w:id="45" w:name="_Toc26980"/>
      <w:bookmarkStart w:id="46" w:name="_Toc29783"/>
      <w:r>
        <w:rPr>
          <w:rFonts w:hint="eastAsia" w:ascii="方正仿宋_GBK" w:hAnsi="方正仿宋_GBK" w:eastAsia="方正仿宋_GBK" w:cs="方正仿宋_GBK"/>
          <w:b/>
          <w:bCs/>
          <w:color w:val="auto"/>
          <w:sz w:val="28"/>
          <w:szCs w:val="22"/>
          <w:lang w:val="en-US" w:eastAsia="zh-CN"/>
        </w:rPr>
        <w:t>八、其它有关规定</w:t>
      </w:r>
      <w:bookmarkEnd w:id="44"/>
      <w:bookmarkEnd w:id="45"/>
      <w:bookmarkEnd w:id="46"/>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（一）凡有意参加投标的供应商，请于公告发布之日起至报</w:t>
      </w:r>
      <w:r>
        <w:rPr>
          <w:rFonts w:hint="eastAsia" w:ascii="方正仿宋_GBK" w:hAnsi="方正仿宋_GBK" w:eastAsia="方正仿宋_GBK" w:cs="方正仿宋_GBK"/>
          <w:color w:val="auto"/>
          <w:sz w:val="28"/>
          <w:szCs w:val="28"/>
          <w:lang w:val="en-US" w:eastAsia="zh-CN"/>
        </w:rPr>
        <w:t>价</w:t>
      </w:r>
      <w:r>
        <w:rPr>
          <w:rFonts w:hint="eastAsia" w:ascii="方正仿宋_GBK" w:hAnsi="方正仿宋_GBK" w:eastAsia="方正仿宋_GBK" w:cs="方正仿宋_GBK"/>
          <w:color w:val="auto"/>
          <w:sz w:val="28"/>
          <w:szCs w:val="28"/>
        </w:rPr>
        <w:t>截止时间之前，在</w:t>
      </w:r>
      <w:r>
        <w:rPr>
          <w:rFonts w:hint="eastAsia" w:ascii="方正仿宋_GBK" w:hAnsi="方正仿宋_GBK" w:eastAsia="方正仿宋_GBK" w:cs="方正仿宋_GBK"/>
          <w:color w:val="auto"/>
          <w:sz w:val="28"/>
          <w:szCs w:val="28"/>
          <w:lang w:eastAsia="zh-CN"/>
        </w:rPr>
        <w:t>行采家·电子竞采·电子反拍（https://www.gec123.com/xe/）</w:t>
      </w:r>
      <w:r>
        <w:rPr>
          <w:rFonts w:hint="eastAsia" w:ascii="方正仿宋_GBK" w:hAnsi="方正仿宋_GBK" w:eastAsia="方正仿宋_GBK" w:cs="方正仿宋_GBK"/>
          <w:color w:val="auto"/>
          <w:sz w:val="28"/>
          <w:szCs w:val="28"/>
        </w:rPr>
        <w:t>上下载查看本项目需求文件以及变更公告等电子反拍前公布的所有项目资料，无论供应商下载查看与否，均视为已知晓所有电子反拍实质性要求内容。</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（二）单位负责人为同一人或者存在直接控股、管理关系的不同供应商，不得参加同一合同项下的政府采购活动，否则均为无效响应。</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（三）无论电子反拍结果如何，供应商参与本项目的所有费用均自行承担。</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eastAsia="方正仿宋_GBK" w:cs="方正仿宋_GBK"/>
          <w:color w:val="auto"/>
          <w:sz w:val="28"/>
          <w:szCs w:val="28"/>
        </w:rPr>
        <w:t>（四）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7" w:name="_Toc8725"/>
      <w:bookmarkStart w:id="48" w:name="_Toc4020"/>
      <w:bookmarkStart w:id="49" w:name="_Toc20720"/>
      <w:r>
        <w:rPr>
          <w:rFonts w:hint="eastAsia" w:ascii="方正仿宋_GBK" w:hAnsi="方正仿宋_GBK" w:eastAsia="方正仿宋_GBK" w:cs="方正仿宋_GBK"/>
          <w:b/>
          <w:bCs/>
          <w:color w:val="auto"/>
          <w:sz w:val="28"/>
          <w:szCs w:val="22"/>
        </w:rPr>
        <w:t>九、评选方法</w:t>
      </w:r>
      <w:bookmarkEnd w:id="47"/>
      <w:bookmarkEnd w:id="48"/>
      <w:bookmarkEnd w:id="49"/>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最低评标价法</w:t>
      </w:r>
      <w:r>
        <w:rPr>
          <w:rFonts w:hint="eastAsia" w:ascii="方正仿宋_GBK" w:hAnsi="方正仿宋_GBK" w:eastAsia="方正仿宋_GBK" w:cs="方正仿宋_GBK"/>
          <w:color w:val="auto"/>
          <w:sz w:val="28"/>
          <w:szCs w:val="28"/>
        </w:rPr>
        <w:t>。供应商须按照电子反拍文件的格式要求制作响应文件，并完全满足电子反拍文件中资格、技术、商务的要求，在满足条件的供应商中选择报价最低的成为成交供应商。</w:t>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0" w:name="_Toc2925"/>
      <w:bookmarkStart w:id="51" w:name="_Toc21746"/>
      <w:bookmarkStart w:id="52" w:name="_Toc15002"/>
      <w:r>
        <w:rPr>
          <w:rFonts w:hint="eastAsia" w:ascii="方正仿宋_GBK" w:hAnsi="方正仿宋_GBK" w:eastAsia="方正仿宋_GBK" w:cs="方正仿宋_GBK"/>
          <w:b/>
          <w:bCs/>
          <w:color w:val="auto"/>
          <w:sz w:val="28"/>
          <w:szCs w:val="22"/>
        </w:rPr>
        <w:t>十、供应商提交响应文件</w:t>
      </w:r>
      <w:bookmarkEnd w:id="50"/>
      <w:bookmarkEnd w:id="51"/>
      <w:bookmarkEnd w:id="52"/>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（一）供应商线上报名、报价时需上传盖章后的电子文档一份。</w:t>
      </w:r>
      <w:r>
        <w:rPr>
          <w:rFonts w:hint="default" w:ascii="Times New Roman" w:hAnsi="Times New Roman" w:eastAsia="方正仿宋_GBK" w:cs="Times New Roman"/>
          <w:kern w:val="0"/>
          <w:sz w:val="28"/>
          <w:szCs w:val="40"/>
          <w:highlight w:val="none"/>
        </w:rPr>
        <w:t>（</w:t>
      </w:r>
      <w:r>
        <w:rPr>
          <w:rFonts w:hint="default" w:ascii="Times New Roman" w:hAnsi="Times New Roman" w:eastAsia="方正仿宋_GBK" w:cs="Times New Roman"/>
          <w:kern w:val="0"/>
          <w:sz w:val="28"/>
          <w:szCs w:val="28"/>
          <w:highlight w:val="yellow"/>
          <w:lang w:val="en-US" w:eastAsia="zh-CN"/>
        </w:rPr>
        <w:t>1、</w:t>
      </w:r>
      <w:r>
        <w:rPr>
          <w:rFonts w:hint="default" w:ascii="Times New Roman" w:hAnsi="Times New Roman" w:eastAsia="方正仿宋_GBK" w:cs="Times New Roman"/>
          <w:kern w:val="0"/>
          <w:sz w:val="28"/>
          <w:szCs w:val="28"/>
          <w:highlight w:val="yellow"/>
        </w:rPr>
        <w:t>响应文件</w:t>
      </w:r>
      <w:r>
        <w:rPr>
          <w:rFonts w:hint="default" w:ascii="Times New Roman" w:hAnsi="Times New Roman" w:eastAsia="方正仿宋_GBK" w:cs="Times New Roman"/>
          <w:kern w:val="0"/>
          <w:sz w:val="28"/>
          <w:szCs w:val="28"/>
          <w:highlight w:val="yellow"/>
          <w:lang w:val="en-US" w:eastAsia="zh-CN"/>
        </w:rPr>
        <w:t>需清晰扫描，必须以PDF格式上传，文件命名方式：公司名称+项目名称+响应文件；</w:t>
      </w:r>
      <w:r>
        <w:rPr>
          <w:rFonts w:hint="default" w:ascii="Times New Roman" w:hAnsi="Times New Roman" w:eastAsia="方正仿宋_GBK" w:cs="Times New Roman"/>
          <w:kern w:val="0"/>
          <w:sz w:val="28"/>
          <w:szCs w:val="28"/>
          <w:highlight w:val="green"/>
          <w:lang w:val="en-US" w:eastAsia="zh-CN"/>
        </w:rPr>
        <w:t>2、</w:t>
      </w:r>
      <w:r>
        <w:rPr>
          <w:rFonts w:hint="eastAsia" w:ascii="Times New Roman" w:hAnsi="Times New Roman" w:eastAsia="方正仿宋_GBK" w:cs="Times New Roman"/>
          <w:sz w:val="28"/>
          <w:szCs w:val="28"/>
          <w:highlight w:val="green"/>
          <w:lang w:val="en-US" w:eastAsia="zh-CN"/>
        </w:rPr>
        <w:t>目录十七-</w:t>
      </w:r>
      <w:r>
        <w:rPr>
          <w:rFonts w:hint="default" w:ascii="Times New Roman" w:hAnsi="Times New Roman" w:eastAsia="方正仿宋_GBK" w:cs="Times New Roman"/>
          <w:sz w:val="28"/>
          <w:szCs w:val="28"/>
          <w:highlight w:val="green"/>
          <w:lang w:val="en-US" w:eastAsia="zh-CN"/>
        </w:rPr>
        <w:t>报名信息登记表以excel电子版格式单独上传，</w:t>
      </w:r>
      <w:r>
        <w:rPr>
          <w:rFonts w:hint="default" w:ascii="Times New Roman" w:hAnsi="Times New Roman" w:eastAsia="方正仿宋_GBK" w:cs="Times New Roman"/>
          <w:kern w:val="0"/>
          <w:sz w:val="28"/>
          <w:szCs w:val="28"/>
          <w:highlight w:val="green"/>
          <w:lang w:val="en-US" w:eastAsia="zh-CN"/>
        </w:rPr>
        <w:t>文件命名方式：公司名称+项目名称+报名信息登记表</w:t>
      </w:r>
      <w:r>
        <w:rPr>
          <w:rFonts w:hint="eastAsia" w:ascii="Times New Roman" w:hAnsi="Times New Roman" w:eastAsia="方正仿宋_GBK" w:cs="Times New Roman"/>
          <w:kern w:val="0"/>
          <w:sz w:val="28"/>
          <w:szCs w:val="28"/>
          <w:highlight w:val="green"/>
          <w:lang w:val="en-US" w:eastAsia="zh-CN"/>
        </w:rPr>
        <w:t>）</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（二）采购人将以平台的线上资料作为评判依据。</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（三）供应商制作的响应文件电子文档，须按照要求制作，规定签字、盖章的地方必须按其规定签字、盖章。</w:t>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3" w:name="_Toc10381"/>
      <w:bookmarkStart w:id="54" w:name="_Toc31100"/>
      <w:bookmarkStart w:id="55" w:name="_Toc9309"/>
      <w:r>
        <w:rPr>
          <w:rFonts w:hint="eastAsia" w:ascii="方正仿宋_GBK" w:hAnsi="方正仿宋_GBK" w:eastAsia="方正仿宋_GBK" w:cs="方正仿宋_GBK"/>
          <w:b/>
          <w:bCs/>
          <w:color w:val="auto"/>
          <w:sz w:val="28"/>
          <w:szCs w:val="22"/>
        </w:rPr>
        <w:t>十一、其他</w:t>
      </w:r>
      <w:bookmarkEnd w:id="53"/>
      <w:bookmarkEnd w:id="54"/>
      <w:bookmarkEnd w:id="55"/>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（一）其他未尽事宜由供需双方在采购合同中详细约定。</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（二）本项目不接受联合体参与投标。</w:t>
      </w:r>
    </w:p>
    <w:bookmarkEnd w:id="21"/>
    <w:bookmarkEnd w:id="22"/>
    <w:p>
      <w:pPr>
        <w:keepNext w:val="0"/>
        <w:keepLines w:val="0"/>
        <w:pageBreakBefore w:val="0"/>
        <w:kinsoku/>
        <w:wordWrap w:val="0"/>
        <w:overflowPunct/>
        <w:topLinePunct w:val="0"/>
        <w:autoSpaceDE/>
        <w:autoSpaceDN/>
        <w:bidi w:val="0"/>
        <w:adjustRightInd/>
        <w:spacing w:line="400" w:lineRule="exact"/>
        <w:ind w:firstLine="560"/>
        <w:outlineLvl w:val="9"/>
        <w:rPr>
          <w:rFonts w:hint="eastAsia" w:ascii="方正仿宋_GBK" w:hAnsi="方正仿宋_GBK" w:eastAsia="方正仿宋_GBK" w:cs="方正仿宋_GBK"/>
          <w:color w:val="auto"/>
          <w:sz w:val="28"/>
          <w:szCs w:val="28"/>
          <w:lang w:eastAsia="zh-CN"/>
        </w:rPr>
      </w:pP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lang w:val="en-US" w:eastAsia="zh-CN"/>
        </w:rPr>
        <w:t>三</w:t>
      </w:r>
      <w:r>
        <w:rPr>
          <w:rFonts w:hint="eastAsia" w:asci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lang w:eastAsia="zh-CN"/>
        </w:rPr>
        <w:t>）本项目结果公告发出后成交供应商须在</w:t>
      </w:r>
      <w:r>
        <w:rPr>
          <w:rFonts w:hint="eastAsia" w:ascii="方正仿宋_GBK" w:hAnsi="方正仿宋_GBK" w:eastAsia="方正仿宋_GBK" w:cs="方正仿宋_GBK"/>
          <w:color w:val="0000FF"/>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日内到</w:t>
      </w:r>
      <w:r>
        <w:rPr>
          <w:rFonts w:hint="eastAsia" w:ascii="方正仿宋_GBK" w:hAnsi="方正仿宋_GBK" w:eastAsia="方正仿宋_GBK" w:cs="方正仿宋_GBK"/>
          <w:color w:val="auto"/>
          <w:sz w:val="28"/>
          <w:szCs w:val="28"/>
          <w:highlight w:val="none"/>
          <w:lang w:val="en-US" w:eastAsia="zh-CN"/>
        </w:rPr>
        <w:t>巴南区人民医院采购管理科领取成交通知书并签订采购合同</w:t>
      </w:r>
      <w:r>
        <w:rPr>
          <w:rFonts w:hint="eastAsia" w:ascii="方正仿宋_GBK" w:hAnsi="方正仿宋_GBK" w:eastAsia="方正仿宋_GBK" w:cs="方正仿宋_GBK"/>
          <w:color w:val="auto"/>
          <w:sz w:val="28"/>
          <w:szCs w:val="28"/>
          <w:highlight w:val="none"/>
          <w:lang w:eastAsia="zh-CN"/>
        </w:rPr>
        <w:t>，否则视为放弃中标，采购人有权取消成交资格，且可向相关部门上报恶意低价行为，由此产生的一切后果，由供应商自行承担。</w:t>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6" w:name="_Toc31679"/>
      <w:bookmarkStart w:id="57" w:name="_Toc15257"/>
      <w:bookmarkStart w:id="58" w:name="_Toc6772"/>
      <w:bookmarkStart w:id="59" w:name="_Toc16796"/>
      <w:r>
        <w:rPr>
          <w:rFonts w:hint="eastAsia" w:ascii="方正仿宋_GBK" w:hAnsi="方正仿宋_GBK" w:eastAsia="方正仿宋_GBK" w:cs="方正仿宋_GBK"/>
          <w:b/>
          <w:bCs/>
          <w:color w:val="auto"/>
          <w:sz w:val="28"/>
          <w:szCs w:val="22"/>
        </w:rPr>
        <w:t>十二、无效响应</w:t>
      </w:r>
      <w:bookmarkEnd w:id="56"/>
      <w:bookmarkEnd w:id="57"/>
      <w:bookmarkEnd w:id="58"/>
      <w:bookmarkEnd w:id="59"/>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供应商发生以下条款情况之一者，视为无效响应：</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（一）供应商不符合规定的基本资格条件或特定资格条件的；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（二）供应商所提交的响应文件不按</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文件要求规定签字、盖章；</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（三）供应商的报价超过采购限价的；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（四）法定代表人为同一个人的两个及两个以上法人，母公司、全资子公司及其控股公司，在同一分包采购中同时参与投标；</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（五）单位负责人为同一人或者存在直接控股、管理关系的不同供应商，参加同一合同项下的政府采购活动的；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（六）供应商</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交货</w:t>
      </w:r>
      <w:r>
        <w:rPr>
          <w:rFonts w:hint="eastAsia" w:ascii="方正仿宋_GBK" w:hAnsi="方正仿宋_GBK" w:eastAsia="方正仿宋_GBK" w:cs="方正仿宋_GBK"/>
          <w:color w:val="auto"/>
          <w:sz w:val="28"/>
          <w:szCs w:val="28"/>
          <w:highlight w:val="none"/>
        </w:rPr>
        <w:t>时间、质量保证期及投标有效期不满足采购文件要求的；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（七）供应商响应文件内容有与国家现行法律法规相违背的内容，或附有采购人无法接受的条件。</w:t>
      </w:r>
    </w:p>
    <w:p>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60" w:name="_Toc20990"/>
      <w:bookmarkStart w:id="61" w:name="_Toc4764"/>
      <w:bookmarkStart w:id="62" w:name="_Toc19600"/>
      <w:bookmarkStart w:id="63" w:name="_Toc31206"/>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三</w:t>
      </w:r>
      <w:r>
        <w:rPr>
          <w:rFonts w:hint="eastAsia" w:ascii="方正仿宋_GBK" w:hAnsi="方正仿宋_GBK" w:eastAsia="方正仿宋_GBK" w:cs="方正仿宋_GBK"/>
          <w:b/>
          <w:bCs/>
          <w:color w:val="auto"/>
          <w:sz w:val="28"/>
          <w:szCs w:val="22"/>
        </w:rPr>
        <w:t>、废标条款</w:t>
      </w:r>
      <w:bookmarkEnd w:id="60"/>
      <w:bookmarkEnd w:id="61"/>
      <w:bookmarkEnd w:id="62"/>
      <w:bookmarkEnd w:id="63"/>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出现下列情形之一的，采购人或者采购代理机构应当终止竞采采购活动，发布项目终止公告并说明原因，重新开展采购活动：</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因情况变化，不再符合规定的竞采采购方式适用情形的；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出现影响采购公正的违法、违规行为的；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default"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在采购过程中符合竞争要求的供应商或者报价未超过采购预算的供应商不足</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家的。</w:t>
      </w:r>
    </w:p>
    <w:bookmarkEnd w:id="1"/>
    <w:bookmarkEnd w:id="2"/>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1920" w:leftChars="0"/>
        <w:textAlignment w:val="auto"/>
        <w:outlineLvl w:val="9"/>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snapToGrid/>
        <w:spacing w:line="520" w:lineRule="exact"/>
        <w:ind w:right="-119"/>
        <w:jc w:val="left"/>
        <w:textAlignment w:val="auto"/>
        <w:outlineLvl w:val="9"/>
        <w:rPr>
          <w:rFonts w:hint="default" w:ascii="Times New Roman" w:hAnsi="Times New Roman" w:eastAsia="方正仿宋_GBK" w:cs="Times New Roman"/>
          <w:kern w:val="0"/>
          <w:sz w:val="28"/>
          <w:szCs w:val="40"/>
        </w:rPr>
        <w:sectPr>
          <w:footerReference r:id="rId5" w:type="default"/>
          <w:pgSz w:w="11907" w:h="16840"/>
          <w:pgMar w:top="1134" w:right="1191" w:bottom="1134" w:left="1304" w:header="794" w:footer="992" w:gutter="0"/>
          <w:pgNumType w:fmt="numberInDash" w:start="1"/>
          <w:cols w:space="720" w:num="1"/>
          <w:docGrid w:type="lines" w:linePitch="312" w:charSpace="0"/>
        </w:sectPr>
      </w:pPr>
      <w:bookmarkStart w:id="64" w:name="_Toc102227313"/>
    </w:p>
    <w:bookmarkEnd w:id="64"/>
    <w:p>
      <w:pPr>
        <w:pStyle w:val="5"/>
        <w:numPr>
          <w:ilvl w:val="0"/>
          <w:numId w:val="0"/>
        </w:numPr>
        <w:adjustRightInd w:val="0"/>
        <w:snapToGrid w:val="0"/>
        <w:spacing w:before="120" w:after="120"/>
        <w:ind w:firstLine="576" w:firstLineChars="200"/>
        <w:jc w:val="left"/>
        <w:rPr>
          <w:rFonts w:hint="eastAsia" w:ascii="方正仿宋_GBK" w:hAnsi="方正仿宋_GBK" w:eastAsia="方正仿宋_GBK" w:cs="方正仿宋_GBK"/>
          <w:b/>
          <w:bCs/>
          <w:color w:val="auto"/>
          <w:sz w:val="28"/>
          <w:szCs w:val="22"/>
        </w:rPr>
      </w:pPr>
      <w:bookmarkStart w:id="65" w:name="_Toc13326"/>
      <w:bookmarkStart w:id="66" w:name="_Toc17141"/>
      <w:bookmarkStart w:id="67" w:name="_Toc11978"/>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四</w:t>
      </w:r>
      <w:r>
        <w:rPr>
          <w:rFonts w:hint="eastAsia" w:ascii="方正仿宋_GBK" w:hAnsi="方正仿宋_GBK" w:eastAsia="方正仿宋_GBK" w:cs="方正仿宋_GBK"/>
          <w:b/>
          <w:bCs/>
          <w:color w:val="auto"/>
          <w:sz w:val="28"/>
          <w:szCs w:val="22"/>
        </w:rPr>
        <w:t>、供应商编制响应文件要求</w:t>
      </w:r>
      <w:bookmarkEnd w:id="65"/>
      <w:bookmarkEnd w:id="66"/>
      <w:bookmarkEnd w:id="67"/>
    </w:p>
    <w:p>
      <w:pPr>
        <w:ind w:firstLine="482"/>
        <w:outlineLvl w:val="0"/>
        <w:rPr>
          <w:rFonts w:hint="eastAsia" w:ascii="方正仿宋_GBK" w:hAnsi="方正仿宋_GBK" w:eastAsia="方正仿宋_GBK" w:cs="方正仿宋_GBK"/>
          <w:b/>
          <w:color w:val="auto"/>
          <w:szCs w:val="28"/>
        </w:rPr>
      </w:pPr>
      <w:bookmarkStart w:id="68" w:name="_Toc26182"/>
      <w:bookmarkStart w:id="69" w:name="_Toc16781"/>
      <w:bookmarkStart w:id="70" w:name="_Toc22410"/>
      <w:r>
        <w:rPr>
          <w:rFonts w:hint="eastAsia" w:ascii="方正仿宋_GBK" w:hAnsi="方正仿宋_GBK" w:eastAsia="方正仿宋_GBK" w:cs="方正仿宋_GBK"/>
          <w:b/>
          <w:color w:val="auto"/>
          <w:szCs w:val="28"/>
        </w:rPr>
        <w:t>封面：</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44"/>
          <w:szCs w:val="30"/>
          <w:highlight w:val="none"/>
        </w:rPr>
      </w:pPr>
      <w:bookmarkStart w:id="71" w:name="_Toc4901"/>
      <w:bookmarkStart w:id="72" w:name="_Toc1583"/>
      <w:bookmarkStart w:id="73" w:name="_Toc8901"/>
      <w:r>
        <w:rPr>
          <w:rFonts w:hint="default" w:ascii="Times New Roman" w:hAnsi="Times New Roman" w:cs="Times New Roman"/>
          <w:b/>
          <w:sz w:val="44"/>
          <w:szCs w:val="30"/>
          <w:highlight w:val="none"/>
        </w:rPr>
        <w:t>项目名称：</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52"/>
          <w:szCs w:val="30"/>
          <w:highlight w:val="none"/>
        </w:rPr>
      </w:pPr>
      <w:bookmarkStart w:id="74" w:name="_Toc21540"/>
      <w:bookmarkStart w:id="75" w:name="_Toc22924"/>
      <w:bookmarkStart w:id="76" w:name="_Toc28697"/>
      <w:r>
        <w:rPr>
          <w:rFonts w:hint="default" w:ascii="Times New Roman" w:hAnsi="Times New Roman" w:cs="Times New Roman"/>
          <w:b/>
          <w:sz w:val="44"/>
          <w:szCs w:val="30"/>
          <w:highlight w:val="none"/>
          <w:lang w:val="en-US" w:eastAsia="zh-CN"/>
        </w:rPr>
        <w:t>项目编号：</w:t>
      </w:r>
      <w:bookmarkEnd w:id="74"/>
      <w:bookmarkEnd w:id="75"/>
      <w:bookmarkEnd w:id="76"/>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rPr>
      </w:pPr>
      <w:r>
        <w:rPr>
          <w:rFonts w:hint="eastAsia" w:ascii="方正小标宋_GBK" w:hAnsi="方正小标宋_GBK" w:eastAsia="方正小标宋_GBK" w:cs="方正小标宋_GBK"/>
          <w:b w:val="0"/>
          <w:bCs/>
          <w:sz w:val="96"/>
          <w:szCs w:val="30"/>
          <w:highlight w:val="none"/>
          <w:lang w:val="en-US" w:eastAsia="zh-CN"/>
        </w:rPr>
        <w:t xml:space="preserve">响 应 </w:t>
      </w:r>
      <w:r>
        <w:rPr>
          <w:rFonts w:hint="eastAsia" w:ascii="方正小标宋_GBK" w:hAnsi="方正小标宋_GBK" w:eastAsia="方正小标宋_GBK" w:cs="方正小标宋_GBK"/>
          <w:b w:val="0"/>
          <w:bCs/>
          <w:sz w:val="96"/>
          <w:szCs w:val="30"/>
          <w:highlight w:val="none"/>
        </w:rPr>
        <w:t>文</w:t>
      </w:r>
      <w:r>
        <w:rPr>
          <w:rFonts w:hint="eastAsia" w:ascii="方正小标宋_GBK" w:hAnsi="方正小标宋_GBK" w:eastAsia="方正小标宋_GBK" w:cs="方正小标宋_GBK"/>
          <w:b w:val="0"/>
          <w:bCs/>
          <w:sz w:val="96"/>
          <w:szCs w:val="30"/>
          <w:highlight w:val="none"/>
          <w:lang w:val="en-US" w:eastAsia="zh-CN"/>
        </w:rPr>
        <w:t xml:space="preserve"> </w:t>
      </w:r>
      <w:r>
        <w:rPr>
          <w:rFonts w:hint="eastAsia" w:ascii="方正小标宋_GBK" w:hAnsi="方正小标宋_GBK" w:eastAsia="方正小标宋_GBK" w:cs="方正小标宋_GBK"/>
          <w:b w:val="0"/>
          <w:bCs/>
          <w:sz w:val="96"/>
          <w:szCs w:val="30"/>
          <w:highlight w:val="none"/>
        </w:rPr>
        <w:t>件</w:t>
      </w:r>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77" w:name="_Toc14795"/>
      <w:bookmarkStart w:id="78" w:name="_Toc32737"/>
      <w:bookmarkStart w:id="79" w:name="_Toc15582"/>
      <w:r>
        <w:rPr>
          <w:rFonts w:hint="eastAsia" w:asciiTheme="minorEastAsia" w:hAnsiTheme="minorEastAsia" w:eastAsiaTheme="minorEastAsia" w:cstheme="minorEastAsia"/>
          <w:b/>
          <w:sz w:val="44"/>
          <w:szCs w:val="44"/>
          <w:highlight w:val="none"/>
          <w:lang w:val="en-US" w:eastAsia="zh-CN"/>
        </w:rPr>
        <w:t>投标</w:t>
      </w:r>
      <w:r>
        <w:rPr>
          <w:rFonts w:hint="eastAsia" w:asciiTheme="minorEastAsia" w:hAnsiTheme="minorEastAsia" w:eastAsiaTheme="minorEastAsia" w:cstheme="minorEastAsia"/>
          <w:b/>
          <w:sz w:val="44"/>
          <w:szCs w:val="44"/>
          <w:highlight w:val="none"/>
        </w:rPr>
        <w:t>单位（盖章）：</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0" w:name="_Toc14299"/>
      <w:bookmarkStart w:id="81" w:name="_Toc25745"/>
      <w:bookmarkStart w:id="82" w:name="_Toc12469"/>
      <w:r>
        <w:rPr>
          <w:rFonts w:hint="eastAsia" w:asciiTheme="minorEastAsia" w:hAnsiTheme="minorEastAsia" w:eastAsiaTheme="minorEastAsia" w:cstheme="minorEastAsia"/>
          <w:b/>
          <w:sz w:val="44"/>
          <w:szCs w:val="44"/>
          <w:highlight w:val="none"/>
        </w:rPr>
        <w:t>联系人：</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3" w:name="_Toc12832"/>
      <w:bookmarkStart w:id="84" w:name="_Toc16749"/>
      <w:bookmarkStart w:id="85" w:name="_Toc25685"/>
      <w:r>
        <w:rPr>
          <w:rFonts w:hint="eastAsia" w:asciiTheme="minorEastAsia" w:hAnsiTheme="minorEastAsia" w:eastAsiaTheme="minorEastAsia" w:cstheme="minorEastAsia"/>
          <w:b/>
          <w:sz w:val="44"/>
          <w:szCs w:val="44"/>
          <w:highlight w:val="none"/>
        </w:rPr>
        <w:t>联系电话：</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800" w:lineRule="exact"/>
        <w:ind w:firstLine="896" w:firstLineChars="200"/>
        <w:jc w:val="center"/>
        <w:textAlignment w:val="auto"/>
        <w:rPr>
          <w:rFonts w:hint="eastAsia" w:asciiTheme="minorEastAsia" w:hAnsiTheme="minorEastAsia" w:eastAsiaTheme="minorEastAsia" w:cstheme="minorEastAsia"/>
          <w:b/>
          <w:sz w:val="44"/>
          <w:szCs w:val="44"/>
          <w:lang w:val="en-US"/>
        </w:rPr>
      </w:pPr>
      <w:r>
        <w:rPr>
          <w:rFonts w:hint="eastAsia" w:asciiTheme="minorEastAsia" w:hAnsiTheme="minorEastAsia" w:eastAsiaTheme="minorEastAsia" w:cstheme="minorEastAsia"/>
          <w:b/>
          <w:sz w:val="44"/>
          <w:szCs w:val="44"/>
          <w:highlight w:val="none"/>
          <w:lang w:val="en-US" w:eastAsia="zh-CN"/>
        </w:rPr>
        <w:t>年    月     日</w:t>
      </w:r>
    </w:p>
    <w:p>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44"/>
          <w:szCs w:val="44"/>
          <w:lang w:val="en-US" w:eastAsia="zh-CN"/>
        </w:rPr>
        <w:sectPr>
          <w:pgSz w:w="11906" w:h="16838"/>
          <w:pgMar w:top="1134" w:right="1191" w:bottom="1134" w:left="1304" w:header="851" w:footer="992" w:gutter="0"/>
          <w:pgNumType w:fmt="numberInDash"/>
          <w:cols w:space="720" w:num="1"/>
          <w:docGrid w:type="linesAndChars" w:linePitch="317" w:charSpace="1745"/>
        </w:sectPr>
      </w:pPr>
    </w:p>
    <w:p>
      <w:pPr>
        <w:spacing w:line="240" w:lineRule="auto"/>
        <w:ind w:firstLine="0" w:firstLineChars="0"/>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spacing w:line="240" w:lineRule="auto"/>
        <w:ind w:firstLine="0" w:firstLineChars="0"/>
        <w:jc w:val="center"/>
        <w:rPr>
          <w:rFonts w:hint="eastAsia" w:ascii="方正仿宋_GBK" w:hAnsi="方正仿宋_GBK" w:eastAsia="方正仿宋_GBK" w:cs="方正仿宋_GBK"/>
          <w:b/>
          <w:bCs/>
          <w:color w:val="auto"/>
          <w:sz w:val="36"/>
          <w:szCs w:val="44"/>
        </w:rPr>
      </w:pPr>
    </w:p>
    <w:p>
      <w:pPr>
        <w:jc w:val="center"/>
        <w:rPr>
          <w:rFonts w:hint="default" w:ascii="Times New Roman" w:hAnsi="Times New Roman" w:eastAsia="方正小标宋简体" w:cs="Times New Roman"/>
          <w:b/>
          <w:kern w:val="0"/>
          <w:sz w:val="36"/>
          <w:szCs w:val="32"/>
          <w:lang w:val="en-US" w:eastAsia="zh-CN"/>
        </w:rPr>
      </w:pPr>
      <w:bookmarkStart w:id="86" w:name="_Toc29144"/>
      <w:r>
        <w:rPr>
          <w:rFonts w:hint="eastAsia" w:ascii="方正仿宋_GBK" w:hAnsi="方正仿宋_GBK" w:eastAsia="方正仿宋_GBK" w:cs="方正仿宋_GBK"/>
          <w:b/>
          <w:bCs/>
          <w:color w:val="auto"/>
          <w:sz w:val="32"/>
          <w:szCs w:val="40"/>
        </w:rPr>
        <w:t>（编制对应页码，格式自定）</w:t>
      </w:r>
      <w:bookmarkEnd w:id="86"/>
    </w:p>
    <w:p>
      <w:pPr>
        <w:rPr>
          <w:rFonts w:hint="eastAsia" w:ascii="方正仿宋_GBK" w:hAnsi="方正仿宋_GBK" w:eastAsia="方正仿宋_GBK" w:cs="方正仿宋_GBK"/>
          <w:b/>
          <w:color w:val="auto"/>
          <w:sz w:val="28"/>
          <w:szCs w:val="32"/>
        </w:rPr>
      </w:pPr>
      <w:bookmarkStart w:id="87" w:name="_Toc7787"/>
      <w:bookmarkStart w:id="88" w:name="_Toc18940"/>
      <w:bookmarkStart w:id="89" w:name="_Toc20209"/>
      <w:bookmarkStart w:id="90" w:name="_Toc17074"/>
      <w:r>
        <w:rPr>
          <w:rFonts w:hint="eastAsia" w:ascii="方正仿宋_GBK" w:hAnsi="方正仿宋_GBK" w:eastAsia="方正仿宋_GBK" w:cs="方正仿宋_GBK"/>
          <w:b/>
          <w:color w:val="auto"/>
          <w:sz w:val="28"/>
          <w:szCs w:val="32"/>
        </w:rPr>
        <w:br w:type="page"/>
      </w:r>
    </w:p>
    <w:bookmarkEnd w:id="87"/>
    <w:bookmarkEnd w:id="88"/>
    <w:bookmarkEnd w:id="89"/>
    <w:p>
      <w:pPr>
        <w:spacing w:line="312" w:lineRule="auto"/>
        <w:ind w:left="451" w:firstLine="562"/>
        <w:outlineLvl w:val="9"/>
        <w:rPr>
          <w:rFonts w:hint="default" w:ascii="方正仿宋_GBK" w:hAnsi="方正仿宋_GBK" w:eastAsia="方正仿宋_GBK" w:cs="方正仿宋_GBK"/>
          <w:b/>
          <w:color w:val="auto"/>
          <w:sz w:val="28"/>
          <w:szCs w:val="32"/>
          <w:lang w:val="en-US" w:eastAsia="zh-CN"/>
        </w:rPr>
      </w:pPr>
      <w:r>
        <w:rPr>
          <w:rFonts w:hint="eastAsia" w:ascii="方正仿宋_GBK" w:hAnsi="方正仿宋_GBK" w:eastAsia="方正仿宋_GBK" w:cs="方正仿宋_GBK"/>
          <w:b/>
          <w:color w:val="auto"/>
          <w:sz w:val="28"/>
          <w:szCs w:val="32"/>
        </w:rPr>
        <w:t>一、</w:t>
      </w:r>
      <w:r>
        <w:rPr>
          <w:rFonts w:hint="eastAsia" w:ascii="方正仿宋_GBK" w:hAnsi="方正仿宋_GBK" w:eastAsia="方正仿宋_GBK" w:cs="方正仿宋_GBK"/>
          <w:b/>
          <w:color w:val="auto"/>
          <w:sz w:val="28"/>
          <w:szCs w:val="32"/>
          <w:lang w:val="en-US" w:eastAsia="zh-CN"/>
        </w:rPr>
        <w:t>投标产品明细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25"/>
        <w:gridCol w:w="2315"/>
        <w:gridCol w:w="11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93"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62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lang w:val="en-US" w:eastAsia="zh-CN"/>
              </w:rPr>
              <w:t>产品</w:t>
            </w:r>
            <w:r>
              <w:rPr>
                <w:rFonts w:hint="default" w:ascii="Times New Roman" w:hAnsi="Times New Roman" w:eastAsia="仿宋" w:cs="Times New Roman"/>
                <w:b/>
                <w:color w:val="auto"/>
                <w:sz w:val="24"/>
                <w:szCs w:val="24"/>
              </w:rPr>
              <w:t>名称</w:t>
            </w:r>
          </w:p>
        </w:tc>
        <w:tc>
          <w:tcPr>
            <w:tcW w:w="231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品牌、规格型号</w:t>
            </w:r>
          </w:p>
        </w:tc>
        <w:tc>
          <w:tcPr>
            <w:tcW w:w="118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制造商</w:t>
            </w:r>
          </w:p>
        </w:tc>
        <w:tc>
          <w:tcPr>
            <w:tcW w:w="1140"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left"/>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left"/>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625" w:type="dxa"/>
            <w:noWrap w:val="0"/>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bl>
    <w:p>
      <w:pPr>
        <w:snapToGrid w:val="0"/>
        <w:spacing w:line="360" w:lineRule="auto"/>
        <w:ind w:firstLine="560"/>
        <w:jc w:val="both"/>
        <w:outlineLvl w:val="9"/>
        <w:rPr>
          <w:rFonts w:hint="eastAsia" w:ascii="方正仿宋_GBK" w:hAnsi="方正仿宋_GBK" w:eastAsia="方正仿宋_GBK" w:cs="方正仿宋_GBK"/>
          <w:b/>
          <w:bCs/>
          <w:color w:val="auto"/>
          <w:sz w:val="28"/>
          <w:szCs w:val="28"/>
          <w:lang w:val="en-US" w:eastAsia="zh-CN"/>
        </w:rPr>
      </w:pPr>
    </w:p>
    <w:p>
      <w:pPr>
        <w:snapToGrid w:val="0"/>
        <w:spacing w:line="360" w:lineRule="auto"/>
        <w:ind w:firstLine="560"/>
        <w:jc w:val="both"/>
        <w:outlineLvl w:val="9"/>
        <w:rPr>
          <w:rFonts w:hint="default" w:ascii="方正仿宋_GBK" w:hAnsi="方正仿宋_GBK" w:eastAsia="方正仿宋_GBK" w:cs="方正仿宋_GBK"/>
          <w:b/>
          <w:bCs/>
          <w:color w:val="auto"/>
          <w:sz w:val="28"/>
          <w:szCs w:val="28"/>
          <w:lang w:val="en-US" w:eastAsia="zh-CN"/>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
          <w:bCs/>
          <w:color w:val="auto"/>
          <w:sz w:val="28"/>
          <w:szCs w:val="28"/>
          <w:lang w:val="en-US" w:eastAsia="zh-CN"/>
        </w:rPr>
        <w:t>注：项目最终成交价以系统成交价为准，各单项成交价=最终成交价/项目最高限价×单项报价</w:t>
      </w:r>
    </w:p>
    <w:bookmarkEnd w:id="90"/>
    <w:p>
      <w:pPr>
        <w:spacing w:line="312" w:lineRule="auto"/>
        <w:ind w:left="451" w:firstLine="562"/>
        <w:outlineLvl w:val="9"/>
        <w:rPr>
          <w:rFonts w:hint="eastAsia" w:ascii="方正仿宋_GBK" w:hAnsi="方正仿宋_GBK" w:eastAsia="方正仿宋_GBK" w:cs="方正仿宋_GBK"/>
          <w:b/>
          <w:color w:val="auto"/>
          <w:sz w:val="28"/>
          <w:szCs w:val="32"/>
        </w:rPr>
      </w:pPr>
      <w:bookmarkStart w:id="91" w:name="_Toc8243_WPSOffice_Level1"/>
      <w:bookmarkStart w:id="92" w:name="_Toc7184"/>
      <w:bookmarkStart w:id="93" w:name="_Toc20265"/>
      <w:bookmarkStart w:id="94" w:name="_Toc970"/>
      <w:bookmarkStart w:id="95" w:name="_Toc19700"/>
      <w:bookmarkStart w:id="96" w:name="_Toc4079"/>
      <w:bookmarkStart w:id="97" w:name="_Toc380"/>
      <w:bookmarkStart w:id="98" w:name="_Toc1686"/>
      <w:bookmarkStart w:id="99" w:name="_Toc17960"/>
      <w:bookmarkStart w:id="100" w:name="_Toc18082"/>
      <w:bookmarkStart w:id="101" w:name="_Toc9767"/>
      <w:bookmarkStart w:id="102" w:name="_Toc18158"/>
      <w:bookmarkStart w:id="103" w:name="_Toc3496"/>
      <w:bookmarkStart w:id="104" w:name="_Toc24735"/>
      <w:r>
        <w:rPr>
          <w:rFonts w:hint="eastAsia" w:ascii="方正仿宋_GBK" w:hAnsi="方正仿宋_GBK" w:eastAsia="方正仿宋_GBK" w:cs="方正仿宋_GBK"/>
          <w:b/>
          <w:color w:val="auto"/>
          <w:sz w:val="28"/>
          <w:szCs w:val="32"/>
        </w:rPr>
        <w:t>二、</w:t>
      </w:r>
      <w:bookmarkEnd w:id="91"/>
      <w:r>
        <w:rPr>
          <w:rFonts w:hint="eastAsia" w:ascii="方正仿宋_GBK" w:hAnsi="方正仿宋_GBK" w:eastAsia="方正仿宋_GBK" w:cs="方正仿宋_GBK"/>
          <w:b/>
          <w:color w:val="auto"/>
          <w:sz w:val="28"/>
          <w:szCs w:val="32"/>
        </w:rPr>
        <w:t>技术部分</w:t>
      </w:r>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line="420" w:lineRule="exact"/>
        <w:ind w:firstLine="562"/>
        <w:jc w:val="center"/>
        <w:outlineLvl w:val="0"/>
        <w:rPr>
          <w:rFonts w:hint="eastAsia" w:ascii="方正仿宋_GBK" w:hAnsi="方正仿宋_GBK" w:eastAsia="方正仿宋_GBK" w:cs="方正仿宋_GBK"/>
          <w:b/>
          <w:bCs/>
          <w:color w:val="auto"/>
          <w:sz w:val="28"/>
          <w:szCs w:val="32"/>
        </w:rPr>
      </w:pPr>
      <w:bookmarkStart w:id="105" w:name="_Toc9234"/>
      <w:bookmarkStart w:id="106" w:name="_Toc3556"/>
      <w:bookmarkStart w:id="107" w:name="_Toc21307"/>
      <w:r>
        <w:rPr>
          <w:rFonts w:hint="eastAsia" w:ascii="方正仿宋_GBK" w:hAnsi="方正仿宋_GBK" w:eastAsia="方正仿宋_GBK" w:cs="方正仿宋_GBK"/>
          <w:b/>
          <w:bCs/>
          <w:color w:val="auto"/>
          <w:sz w:val="28"/>
          <w:szCs w:val="32"/>
        </w:rPr>
        <w:t>技术方案（格式自定）</w:t>
      </w:r>
      <w:bookmarkEnd w:id="105"/>
      <w:bookmarkEnd w:id="106"/>
      <w:bookmarkEnd w:id="107"/>
    </w:p>
    <w:p>
      <w:pPr>
        <w:snapToGrid w:val="0"/>
        <w:spacing w:line="420" w:lineRule="exact"/>
        <w:ind w:firstLine="560"/>
        <w:jc w:val="center"/>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根据“三、项目技术需求”自行编写，格式自拟</w:t>
      </w:r>
      <w:r>
        <w:rPr>
          <w:rFonts w:hint="eastAsia" w:ascii="方正仿宋_GBK" w:hAnsi="方正仿宋_GBK" w:eastAsia="方正仿宋_GBK" w:cs="方正仿宋_GBK"/>
          <w:color w:val="auto"/>
          <w:sz w:val="28"/>
          <w:szCs w:val="32"/>
          <w:lang w:eastAsia="zh-CN"/>
        </w:rPr>
        <w:t>，</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color w:val="auto"/>
          <w:sz w:val="28"/>
          <w:szCs w:val="32"/>
        </w:rPr>
        <w:t>。</w:t>
      </w:r>
    </w:p>
    <w:p>
      <w:pPr>
        <w:spacing w:line="312" w:lineRule="auto"/>
        <w:ind w:left="451" w:firstLine="0" w:firstLineChars="0"/>
        <w:outlineLvl w:val="9"/>
        <w:rPr>
          <w:rFonts w:hint="eastAsia" w:ascii="方正仿宋_GBK" w:hAnsi="方正仿宋_GBK" w:eastAsia="方正仿宋_GBK" w:cs="方正仿宋_GBK"/>
          <w:b/>
          <w:color w:val="auto"/>
          <w:sz w:val="28"/>
          <w:szCs w:val="32"/>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108" w:name="_Toc17913"/>
      <w:bookmarkStart w:id="109" w:name="_Toc19929"/>
      <w:bookmarkStart w:id="110" w:name="_Toc23111"/>
      <w:bookmarkStart w:id="111" w:name="_Toc5126"/>
    </w:p>
    <w:p>
      <w:pPr>
        <w:spacing w:line="312" w:lineRule="auto"/>
        <w:ind w:left="451" w:firstLine="562"/>
        <w:outlineLvl w:val="9"/>
        <w:rPr>
          <w:rFonts w:hint="eastAsia" w:ascii="方正仿宋_GBK" w:hAnsi="方正仿宋_GBK" w:eastAsia="方正仿宋_GBK" w:cs="方正仿宋_GBK"/>
          <w:b/>
          <w:color w:val="auto"/>
          <w:sz w:val="28"/>
          <w:szCs w:val="32"/>
        </w:rPr>
      </w:pPr>
      <w:bookmarkStart w:id="112" w:name="_Toc9296"/>
      <w:bookmarkStart w:id="113" w:name="_Toc31888"/>
      <w:bookmarkStart w:id="114" w:name="_Toc6948"/>
      <w:r>
        <w:rPr>
          <w:rFonts w:hint="eastAsia" w:ascii="方正仿宋_GBK" w:hAnsi="方正仿宋_GBK" w:eastAsia="方正仿宋_GBK" w:cs="方正仿宋_GBK"/>
          <w:b/>
          <w:color w:val="auto"/>
          <w:sz w:val="28"/>
          <w:szCs w:val="32"/>
        </w:rPr>
        <w:t>三、商务</w:t>
      </w:r>
      <w:bookmarkEnd w:id="108"/>
      <w:bookmarkEnd w:id="109"/>
      <w:bookmarkEnd w:id="110"/>
      <w:r>
        <w:rPr>
          <w:rFonts w:hint="eastAsia" w:ascii="方正仿宋_GBK" w:hAnsi="方正仿宋_GBK" w:eastAsia="方正仿宋_GBK" w:cs="方正仿宋_GBK"/>
          <w:b/>
          <w:color w:val="auto"/>
          <w:sz w:val="28"/>
          <w:szCs w:val="32"/>
        </w:rPr>
        <w:t>部分</w:t>
      </w:r>
      <w:bookmarkEnd w:id="111"/>
      <w:bookmarkEnd w:id="112"/>
      <w:bookmarkEnd w:id="113"/>
      <w:bookmarkEnd w:id="114"/>
    </w:p>
    <w:p>
      <w:pPr>
        <w:pStyle w:val="16"/>
        <w:ind w:left="0" w:leftChars="0" w:firstLine="562"/>
        <w:jc w:val="center"/>
        <w:outlineLvl w:val="0"/>
        <w:rPr>
          <w:rFonts w:hint="eastAsia" w:ascii="方正仿宋_GBK" w:hAnsi="方正仿宋_GBK" w:eastAsia="方正仿宋_GBK" w:cs="方正仿宋_GBK"/>
          <w:color w:val="auto"/>
          <w:kern w:val="2"/>
          <w:sz w:val="28"/>
          <w:szCs w:val="28"/>
          <w:lang w:eastAsia="zh-CN"/>
        </w:rPr>
      </w:pPr>
      <w:bookmarkStart w:id="115" w:name="_Toc24970"/>
      <w:bookmarkStart w:id="116" w:name="_Toc29942"/>
      <w:bookmarkStart w:id="117" w:name="_Toc12923"/>
      <w:r>
        <w:rPr>
          <w:rFonts w:hint="eastAsia" w:ascii="方正仿宋_GBK" w:hAnsi="方正仿宋_GBK" w:eastAsia="方正仿宋_GBK" w:cs="方正仿宋_GBK"/>
          <w:color w:val="auto"/>
          <w:kern w:val="2"/>
          <w:sz w:val="28"/>
          <w:szCs w:val="28"/>
          <w:lang w:eastAsia="zh-CN"/>
        </w:rPr>
        <w:t>商务应答（格式自拟）</w:t>
      </w:r>
      <w:bookmarkEnd w:id="115"/>
      <w:bookmarkEnd w:id="116"/>
      <w:bookmarkEnd w:id="117"/>
    </w:p>
    <w:p>
      <w:pPr>
        <w:pStyle w:val="16"/>
        <w:ind w:left="0" w:leftChars="0" w:firstLine="560"/>
        <w:outlineLvl w:val="9"/>
        <w:rPr>
          <w:rFonts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b w:val="0"/>
          <w:bCs/>
          <w:color w:val="auto"/>
          <w:sz w:val="28"/>
          <w:szCs w:val="28"/>
          <w:lang w:eastAsia="zh-CN"/>
        </w:rPr>
        <w:t>根据本项目“四、项目商务要求”中所列条款进行应答，</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b w:val="0"/>
          <w:bCs/>
          <w:color w:val="auto"/>
          <w:sz w:val="28"/>
          <w:szCs w:val="28"/>
          <w:lang w:eastAsia="zh-CN"/>
        </w:rPr>
        <w:t>（格式自拟）。</w:t>
      </w:r>
    </w:p>
    <w:p>
      <w:pPr>
        <w:spacing w:line="312" w:lineRule="auto"/>
        <w:ind w:firstLine="0" w:firstLineChars="0"/>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18" w:name="_Toc2498"/>
      <w:bookmarkStart w:id="119" w:name="_Toc14904"/>
      <w:bookmarkStart w:id="120" w:name="_Toc29642"/>
      <w:bookmarkStart w:id="121" w:name="_Toc11114"/>
    </w:p>
    <w:p>
      <w:pPr>
        <w:spacing w:line="312" w:lineRule="auto"/>
        <w:ind w:firstLine="562"/>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22" w:name="_Toc11237"/>
      <w:bookmarkStart w:id="123" w:name="_Toc27395"/>
      <w:bookmarkStart w:id="124" w:name="_Toc27660"/>
      <w:r>
        <w:rPr>
          <w:rFonts w:hint="eastAsia" w:ascii="方正仿宋_GBK" w:hAnsi="方正仿宋_GBK" w:eastAsia="方正仿宋_GBK" w:cs="方正仿宋_GBK"/>
          <w:b/>
          <w:color w:val="auto"/>
          <w:sz w:val="28"/>
          <w:szCs w:val="32"/>
        </w:rPr>
        <w:t>四、</w:t>
      </w:r>
      <w:bookmarkEnd w:id="118"/>
      <w:r>
        <w:rPr>
          <w:rFonts w:hint="eastAsia" w:ascii="方正仿宋_GBK" w:hAnsi="方正仿宋_GBK" w:eastAsia="方正仿宋_GBK" w:cs="方正仿宋_GBK"/>
          <w:b/>
          <w:color w:val="auto"/>
          <w:sz w:val="28"/>
          <w:szCs w:val="32"/>
        </w:rPr>
        <w:t>供应商法人营业执照（副本）或事业单位法人证书（副本）或个体工商户营业执照或有效的自然人身份证明或社会团体法人登记证书复印件</w:t>
      </w:r>
      <w:bookmarkEnd w:id="119"/>
      <w:bookmarkEnd w:id="120"/>
      <w:bookmarkEnd w:id="121"/>
      <w:bookmarkEnd w:id="122"/>
      <w:bookmarkEnd w:id="123"/>
      <w:bookmarkEnd w:id="124"/>
    </w:p>
    <w:p>
      <w:pPr>
        <w:tabs>
          <w:tab w:val="left" w:pos="6300"/>
        </w:tabs>
        <w:snapToGrid w:val="0"/>
        <w:spacing w:line="312" w:lineRule="auto"/>
        <w:ind w:firstLine="562"/>
        <w:outlineLvl w:val="9"/>
        <w:rPr>
          <w:rFonts w:hint="eastAsia" w:ascii="方正仿宋_GBK" w:hAnsi="方正仿宋_GBK" w:eastAsia="方正仿宋_GBK" w:cs="方正仿宋_GBK"/>
          <w:b/>
          <w:bCs/>
          <w:color w:val="auto"/>
          <w:sz w:val="28"/>
          <w:szCs w:val="32"/>
        </w:rPr>
      </w:pPr>
      <w:bookmarkStart w:id="125" w:name="_Toc26086"/>
      <w:bookmarkStart w:id="126" w:name="_Toc24632"/>
      <w:bookmarkStart w:id="127" w:name="_Toc26833"/>
      <w:bookmarkStart w:id="128" w:name="_Toc17992"/>
      <w:bookmarkStart w:id="129" w:name="_Toc31296"/>
      <w:bookmarkStart w:id="130" w:name="_Toc5484"/>
      <w:bookmarkStart w:id="131" w:name="_Toc19007"/>
      <w:bookmarkStart w:id="132" w:name="_Toc849"/>
      <w:bookmarkStart w:id="133" w:name="_Toc12693"/>
      <w:bookmarkStart w:id="134" w:name="_Toc19873"/>
      <w:bookmarkStart w:id="135" w:name="_Toc2552"/>
      <w:bookmarkStart w:id="136" w:name="_Toc3935"/>
      <w:bookmarkStart w:id="137" w:name="_Toc2984"/>
      <w:r>
        <w:rPr>
          <w:rFonts w:hint="eastAsia" w:ascii="方正仿宋_GBK" w:hAnsi="方正仿宋_GBK" w:eastAsia="方正仿宋_GBK" w:cs="方正仿宋_GBK"/>
          <w:b/>
          <w:bCs/>
          <w:color w:val="auto"/>
          <w:sz w:val="28"/>
          <w:szCs w:val="32"/>
        </w:rPr>
        <w:t>五、法定代表人身份证明书（格式）</w:t>
      </w:r>
      <w:bookmarkEnd w:id="125"/>
      <w:bookmarkEnd w:id="126"/>
      <w:bookmarkEnd w:id="127"/>
      <w:bookmarkEnd w:id="128"/>
      <w:bookmarkEnd w:id="129"/>
      <w:bookmarkEnd w:id="130"/>
      <w:bookmarkEnd w:id="131"/>
      <w:bookmarkEnd w:id="132"/>
      <w:bookmarkEnd w:id="133"/>
      <w:bookmarkEnd w:id="134"/>
      <w:bookmarkEnd w:id="135"/>
      <w:bookmarkEnd w:id="136"/>
      <w:bookmarkEnd w:id="137"/>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项目名称：</w:t>
      </w:r>
      <w:r>
        <w:rPr>
          <w:rFonts w:hint="eastAsia" w:ascii="方正仿宋_GBK" w:hAnsi="方正仿宋_GBK" w:eastAsia="方正仿宋_GBK" w:cs="方正仿宋_GBK"/>
          <w:color w:val="auto"/>
          <w:sz w:val="28"/>
          <w:szCs w:val="32"/>
          <w:u w:val="single"/>
        </w:rPr>
        <w:t xml:space="preserve">                                                </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（法定代表人姓名）在</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（供应商名称）任</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（职务名称）职务，是（供应商名称）</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的法定代表人。</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特此证明。</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法定代表人电话：XXXXXXX      电子邮箱：XXXXXX@XXXXX（若授权他人办理并签署响应文件的可不填写法定代表人电话和电子邮箱）</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（附：法定代表人身份证正反面复印件）</w:t>
      </w:r>
    </w:p>
    <w:p>
      <w:pPr>
        <w:widowControl w:val="0"/>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rPr>
        <w:sectPr>
          <w:pgSz w:w="11907" w:h="16840"/>
          <w:pgMar w:top="1134" w:right="1191" w:bottom="1134" w:left="1304" w:header="851" w:footer="992" w:gutter="0"/>
          <w:pgNumType w:fmt="numberInDash"/>
          <w:cols w:space="720" w:num="1"/>
          <w:docGrid w:linePitch="380" w:charSpace="-5735"/>
        </w:sectPr>
      </w:pPr>
    </w:p>
    <w:p>
      <w:pPr>
        <w:tabs>
          <w:tab w:val="left" w:pos="6300"/>
        </w:tabs>
        <w:snapToGrid w:val="0"/>
        <w:spacing w:line="312" w:lineRule="auto"/>
        <w:ind w:left="251" w:firstLine="562"/>
        <w:outlineLvl w:val="9"/>
        <w:rPr>
          <w:rFonts w:hint="eastAsia" w:ascii="方正仿宋_GBK" w:hAnsi="方正仿宋_GBK" w:eastAsia="方正仿宋_GBK" w:cs="方正仿宋_GBK"/>
          <w:b/>
          <w:bCs/>
          <w:color w:val="auto"/>
          <w:sz w:val="28"/>
          <w:szCs w:val="32"/>
        </w:rPr>
      </w:pPr>
      <w:bookmarkStart w:id="138" w:name="_Toc16426"/>
      <w:bookmarkStart w:id="139" w:name="_Toc10707_WPSOffice_Level1"/>
      <w:bookmarkStart w:id="140" w:name="_Toc18375"/>
      <w:bookmarkStart w:id="141" w:name="_Toc8804"/>
      <w:bookmarkStart w:id="142" w:name="_Toc12315"/>
      <w:bookmarkStart w:id="143" w:name="_Toc19061"/>
      <w:bookmarkStart w:id="144" w:name="_Toc31981"/>
      <w:bookmarkStart w:id="145" w:name="_Toc23294"/>
      <w:bookmarkStart w:id="146" w:name="_Toc23935"/>
      <w:bookmarkStart w:id="147" w:name="_Toc11377"/>
      <w:bookmarkStart w:id="148" w:name="_Toc16001"/>
      <w:bookmarkStart w:id="149" w:name="_Toc24886"/>
      <w:bookmarkStart w:id="150" w:name="_Toc28674"/>
      <w:bookmarkStart w:id="151" w:name="_Toc13398"/>
      <w:r>
        <w:rPr>
          <w:rFonts w:hint="eastAsia" w:ascii="方正仿宋_GBK" w:hAnsi="方正仿宋_GBK" w:eastAsia="方正仿宋_GBK" w:cs="方正仿宋_GBK"/>
          <w:b/>
          <w:bCs/>
          <w:color w:val="auto"/>
          <w:sz w:val="28"/>
          <w:szCs w:val="32"/>
        </w:rPr>
        <w:t>六、法定代表人授权委托书（格式）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tabs>
          <w:tab w:val="left" w:pos="6300"/>
        </w:tabs>
        <w:snapToGrid w:val="0"/>
        <w:spacing w:line="312" w:lineRule="auto"/>
        <w:ind w:firstLine="720"/>
        <w:jc w:val="center"/>
        <w:outlineLvl w:val="0"/>
        <w:rPr>
          <w:rFonts w:hint="eastAsia" w:ascii="方正仿宋_GBK" w:hAnsi="方正仿宋_GBK" w:eastAsia="方正仿宋_GBK" w:cs="方正仿宋_GBK"/>
          <w:color w:val="auto"/>
          <w:sz w:val="36"/>
          <w:szCs w:val="36"/>
        </w:rPr>
      </w:pPr>
      <w:bookmarkStart w:id="152" w:name="_Toc3321"/>
      <w:bookmarkStart w:id="153" w:name="_Toc7237"/>
      <w:bookmarkStart w:id="154" w:name="_Toc23504"/>
      <w:bookmarkStart w:id="155" w:name="_Toc16809"/>
      <w:r>
        <w:rPr>
          <w:rFonts w:hint="eastAsia" w:ascii="方正仿宋_GBK" w:hAnsi="方正仿宋_GBK" w:eastAsia="方正仿宋_GBK" w:cs="方正仿宋_GBK"/>
          <w:color w:val="auto"/>
          <w:sz w:val="36"/>
          <w:szCs w:val="36"/>
        </w:rPr>
        <w:t>法定代表人授权委托书（格式）</w:t>
      </w:r>
      <w:bookmarkEnd w:id="152"/>
      <w:bookmarkEnd w:id="153"/>
      <w:bookmarkEnd w:id="154"/>
      <w:bookmarkEnd w:id="155"/>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32"/>
        </w:rPr>
        <w:t>（法定代表人名称）是</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（供应商名称）的法定代表人，特授权</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（被授权人姓名及身份证代码）</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电话</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代表我单位全权办理上述项目的竞采、签约等具体工作，并签署全部有关文件、协议及合同。</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我单位对被授权人的签字负全部责任。</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在</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授权的书面通知以前，本授权书一直有效。被授权人在授权书有效期内签署的所有文件不因授权的</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而失效。</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被授权人：                                 法定代表人：</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（签字或盖章）                             （签字或盖章）</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被授权人电话：XXXXXXX     电子邮箱：XXXXXX@XXXXX（若法定代表人办理并签署响应文件的可不填写）</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（附：被授权人身份证正反面复印件）</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bookmarkStart w:id="156" w:name="_Toc21434"/>
      <w:bookmarkStart w:id="157" w:name="_Toc30360"/>
      <w:bookmarkStart w:id="158" w:name="_Toc29161"/>
      <w:bookmarkStart w:id="159" w:name="_Toc2549"/>
      <w:bookmarkStart w:id="160" w:name="_Toc12939"/>
      <w:bookmarkStart w:id="161" w:name="_Toc16088"/>
      <w:bookmarkStart w:id="162" w:name="_Toc31049"/>
      <w:bookmarkStart w:id="163" w:name="_Toc19220"/>
      <w:bookmarkStart w:id="164" w:name="_Toc3134"/>
      <w:bookmarkStart w:id="165" w:name="_Toc7912"/>
      <w:bookmarkStart w:id="166" w:name="_Toc16626"/>
      <w:bookmarkStart w:id="167" w:name="_Toc1125"/>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51" w:firstLine="482"/>
        <w:outlineLvl w:val="9"/>
        <w:rPr>
          <w:rFonts w:hint="eastAsia" w:ascii="方正仿宋_GBK" w:hAnsi="方正仿宋_GBK" w:eastAsia="方正仿宋_GBK" w:cs="方正仿宋_GBK"/>
          <w:b/>
          <w:bCs/>
          <w:color w:val="auto"/>
          <w:sz w:val="28"/>
          <w:szCs w:val="32"/>
        </w:rPr>
      </w:pPr>
      <w:bookmarkStart w:id="168" w:name="_Toc5552"/>
      <w:r>
        <w:rPr>
          <w:rFonts w:hint="eastAsia" w:ascii="方正仿宋_GBK" w:hAnsi="方正仿宋_GBK" w:eastAsia="方正仿宋_GBK" w:cs="方正仿宋_GBK"/>
          <w:b/>
          <w:bCs/>
          <w:color w:val="auto"/>
          <w:szCs w:val="28"/>
        </w:rPr>
        <w:t>七</w:t>
      </w:r>
      <w:r>
        <w:rPr>
          <w:rFonts w:hint="eastAsia" w:ascii="方正仿宋_GBK" w:hAnsi="方正仿宋_GBK" w:eastAsia="方正仿宋_GBK" w:cs="方正仿宋_GBK"/>
          <w:b/>
          <w:bCs/>
          <w:color w:val="auto"/>
          <w:sz w:val="28"/>
          <w:szCs w:val="32"/>
        </w:rPr>
        <w:t>、</w:t>
      </w:r>
      <w:bookmarkEnd w:id="156"/>
      <w:bookmarkEnd w:id="157"/>
      <w:bookmarkEnd w:id="158"/>
      <w:bookmarkEnd w:id="159"/>
      <w:bookmarkEnd w:id="160"/>
      <w:bookmarkEnd w:id="161"/>
      <w:bookmarkEnd w:id="162"/>
      <w:bookmarkEnd w:id="163"/>
      <w:bookmarkEnd w:id="164"/>
      <w:bookmarkEnd w:id="165"/>
      <w:bookmarkEnd w:id="166"/>
      <w:bookmarkEnd w:id="167"/>
      <w:r>
        <w:rPr>
          <w:rFonts w:hint="eastAsia" w:ascii="方正仿宋_GBK" w:hAnsi="方正仿宋_GBK" w:eastAsia="方正仿宋_GBK" w:cs="方正仿宋_GBK"/>
          <w:b/>
          <w:bCs/>
          <w:color w:val="auto"/>
          <w:sz w:val="28"/>
          <w:szCs w:val="32"/>
        </w:rPr>
        <w:t>基本资格条件承诺函（格式）</w:t>
      </w:r>
      <w:bookmarkEnd w:id="168"/>
    </w:p>
    <w:p>
      <w:pPr>
        <w:widowControl w:val="0"/>
        <w:spacing w:line="530" w:lineRule="exact"/>
        <w:ind w:firstLine="723"/>
        <w:jc w:val="center"/>
        <w:outlineLvl w:val="0"/>
        <w:rPr>
          <w:rFonts w:hint="eastAsia" w:ascii="方正仿宋_GBK" w:hAnsi="方正仿宋_GBK" w:eastAsia="方正仿宋_GBK" w:cs="方正仿宋_GBK"/>
          <w:b/>
          <w:bCs/>
          <w:color w:val="auto"/>
          <w:sz w:val="36"/>
          <w:szCs w:val="36"/>
        </w:rPr>
      </w:pPr>
      <w:bookmarkStart w:id="169" w:name="_Toc15118"/>
      <w:bookmarkStart w:id="170" w:name="_Toc5905"/>
      <w:bookmarkStart w:id="171" w:name="_Toc8689"/>
      <w:bookmarkStart w:id="172" w:name="_Toc32572_WPSOffice_Level1"/>
      <w:r>
        <w:rPr>
          <w:rFonts w:hint="eastAsia" w:ascii="方正仿宋_GBK" w:hAnsi="方正仿宋_GBK" w:eastAsia="方正仿宋_GBK" w:cs="方正仿宋_GBK"/>
          <w:b/>
          <w:bCs/>
          <w:color w:val="auto"/>
          <w:sz w:val="36"/>
          <w:szCs w:val="36"/>
        </w:rPr>
        <w:t>基本资格条件承诺函</w:t>
      </w:r>
      <w:bookmarkEnd w:id="169"/>
      <w:bookmarkEnd w:id="170"/>
      <w:bookmarkEnd w:id="171"/>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项目名称：</w:t>
      </w:r>
      <w:r>
        <w:rPr>
          <w:rFonts w:hint="eastAsia" w:ascii="方正仿宋_GBK" w:hAnsi="方正仿宋_GBK" w:eastAsia="方正仿宋_GBK" w:cs="方正仿宋_GBK"/>
          <w:color w:val="auto"/>
          <w:sz w:val="28"/>
          <w:szCs w:val="28"/>
          <w:u w:val="single"/>
        </w:rPr>
        <w:t xml:space="preserve">                          </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（供应商名称）郑重承诺：</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lang w:val="zh-CN"/>
        </w:rPr>
        <w:t>有依法缴纳税收和社会保障金的良好记录</w:t>
      </w:r>
      <w:r>
        <w:rPr>
          <w:rFonts w:hint="eastAsia" w:ascii="方正仿宋_GBK" w:hAnsi="方正仿宋_GBK" w:eastAsia="方正仿宋_GBK" w:cs="方正仿宋_GBK"/>
          <w:color w:val="auto"/>
          <w:sz w:val="28"/>
          <w:szCs w:val="28"/>
        </w:rPr>
        <w:t>，参加本项目采购活动前三年内无重大违法活动记录。</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我方对以上承诺负全部法律责任。</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pPr>
        <w:pStyle w:val="3"/>
        <w:ind w:firstLine="560"/>
        <w:outlineLvl w:val="9"/>
        <w:rPr>
          <w:rFonts w:hint="eastAsia"/>
          <w:color w:val="auto"/>
          <w:lang w:eastAsia="zh-CN"/>
        </w:rPr>
      </w:pPr>
    </w:p>
    <w:p>
      <w:pPr>
        <w:tabs>
          <w:tab w:val="left" w:pos="6300"/>
        </w:tabs>
        <w:snapToGrid w:val="0"/>
        <w:spacing w:line="530" w:lineRule="exact"/>
        <w:ind w:right="424" w:firstLine="560"/>
        <w:jc w:val="right"/>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（供应商公章）</w:t>
      </w:r>
    </w:p>
    <w:p>
      <w:pPr>
        <w:spacing w:line="400" w:lineRule="exact"/>
        <w:ind w:firstLine="7749" w:firstLineChars="27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p>
      <w:pPr>
        <w:ind w:firstLine="480"/>
        <w:outlineLvl w:val="9"/>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pPr>
        <w:widowControl w:val="0"/>
        <w:tabs>
          <w:tab w:val="left" w:pos="6300"/>
        </w:tabs>
        <w:snapToGrid w:val="0"/>
        <w:ind w:firstLine="562"/>
        <w:outlineLvl w:val="9"/>
        <w:rPr>
          <w:rFonts w:hint="eastAsia" w:ascii="方正仿宋_GBK" w:hAnsi="方正仿宋_GBK" w:eastAsia="方正仿宋_GBK" w:cs="方正仿宋_GBK"/>
          <w:b/>
          <w:bCs/>
          <w:color w:val="auto"/>
          <w:sz w:val="28"/>
          <w:szCs w:val="32"/>
        </w:rPr>
      </w:pPr>
      <w:bookmarkStart w:id="173" w:name="_Toc29520"/>
      <w:bookmarkStart w:id="174" w:name="_Toc26987"/>
      <w:bookmarkStart w:id="175" w:name="_Toc30297"/>
      <w:bookmarkStart w:id="176" w:name="_Toc11734"/>
      <w:bookmarkStart w:id="177" w:name="_Toc12934"/>
      <w:bookmarkStart w:id="178" w:name="_Toc15971"/>
      <w:bookmarkStart w:id="179" w:name="_Toc30639"/>
      <w:bookmarkStart w:id="180" w:name="_Toc31276"/>
      <w:bookmarkStart w:id="181" w:name="_Toc5720"/>
      <w:bookmarkStart w:id="182" w:name="_Toc32692"/>
      <w:bookmarkStart w:id="183" w:name="_Toc17290"/>
      <w:bookmarkStart w:id="184" w:name="_Toc31663"/>
      <w:bookmarkStart w:id="185" w:name="_Toc7250"/>
      <w:bookmarkStart w:id="186" w:name="_Toc15263"/>
      <w:bookmarkStart w:id="187" w:name="_Toc12810"/>
      <w:bookmarkStart w:id="188" w:name="_Toc11338"/>
      <w:bookmarkStart w:id="189" w:name="_Toc24102"/>
      <w:bookmarkStart w:id="190" w:name="_Toc12352"/>
      <w:bookmarkStart w:id="191" w:name="_Toc9217"/>
      <w:r>
        <w:rPr>
          <w:rFonts w:hint="eastAsia" w:ascii="方正仿宋_GBK" w:hAnsi="方正仿宋_GBK" w:eastAsia="方正仿宋_GBK" w:cs="方正仿宋_GBK"/>
          <w:b/>
          <w:bCs/>
          <w:color w:val="auto"/>
          <w:sz w:val="28"/>
          <w:szCs w:val="32"/>
          <w:lang w:eastAsia="zh-CN"/>
        </w:rPr>
        <w:t>八、</w:t>
      </w:r>
      <w:bookmarkEnd w:id="173"/>
      <w:bookmarkEnd w:id="174"/>
      <w:bookmarkEnd w:id="175"/>
      <w:bookmarkEnd w:id="176"/>
      <w:bookmarkEnd w:id="177"/>
      <w:bookmarkEnd w:id="178"/>
      <w:r>
        <w:rPr>
          <w:rFonts w:hint="eastAsia" w:ascii="方正仿宋_GBK" w:hAnsi="方正仿宋_GBK" w:eastAsia="方正仿宋_GBK" w:cs="方正仿宋_GBK"/>
          <w:b/>
          <w:bCs/>
          <w:color w:val="auto"/>
          <w:sz w:val="28"/>
          <w:szCs w:val="32"/>
        </w:rPr>
        <w:t>其他应提供的资料</w:t>
      </w:r>
      <w:bookmarkEnd w:id="172"/>
      <w:bookmarkEnd w:id="179"/>
      <w:bookmarkEnd w:id="180"/>
      <w:bookmarkEnd w:id="181"/>
      <w:bookmarkEnd w:id="182"/>
      <w:bookmarkEnd w:id="183"/>
      <w:bookmarkEnd w:id="184"/>
      <w:bookmarkEnd w:id="185"/>
      <w:bookmarkEnd w:id="186"/>
      <w:bookmarkEnd w:id="187"/>
      <w:bookmarkEnd w:id="188"/>
      <w:bookmarkEnd w:id="189"/>
      <w:bookmarkEnd w:id="190"/>
      <w:bookmarkEnd w:id="191"/>
    </w:p>
    <w:p>
      <w:pPr>
        <w:pStyle w:val="36"/>
        <w:ind w:firstLine="574"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其他与项目有关的资料（自附）：供应商总体情况介绍及其他与本项目有关的资料等。</w:t>
      </w: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rPr>
          <w:rFonts w:hint="default" w:ascii="Times New Roman" w:hAnsi="Times New Roman" w:eastAsia="方正小标宋简体" w:cs="Times New Roman"/>
          <w:b/>
          <w:kern w:val="0"/>
          <w:sz w:val="36"/>
          <w:szCs w:val="32"/>
          <w:lang w:val="en-US" w:eastAsia="zh-CN"/>
        </w:rPr>
      </w:pPr>
      <w:r>
        <w:rPr>
          <w:rFonts w:hint="default" w:ascii="Times New Roman" w:hAnsi="Times New Roman" w:eastAsia="方正小标宋简体" w:cs="Times New Roman"/>
          <w:b/>
          <w:kern w:val="0"/>
          <w:sz w:val="36"/>
          <w:szCs w:val="32"/>
          <w:lang w:val="en-US" w:eastAsia="zh-CN"/>
        </w:rPr>
        <w:br w:type="page"/>
      </w:r>
    </w:p>
    <w:p>
      <w:pPr>
        <w:pStyle w:val="21"/>
        <w:rPr>
          <w:rFonts w:hint="default" w:ascii="Times New Roman" w:hAnsi="Times New Roman" w:eastAsia="宋体" w:cs="Times New Roman"/>
          <w:sz w:val="28"/>
          <w:szCs w:val="28"/>
          <w:highlight w:val="yellow"/>
          <w:lang w:eastAsia="zh-CN"/>
        </w:rPr>
        <w:sectPr>
          <w:pgSz w:w="11906" w:h="16838"/>
          <w:pgMar w:top="1134" w:right="1191" w:bottom="1134" w:left="1304" w:header="851" w:footer="992" w:gutter="0"/>
          <w:pgNumType w:fmt="numberInDash"/>
          <w:cols w:space="0" w:num="1"/>
          <w:rtlGutter w:val="0"/>
          <w:docGrid w:type="linesAndChars" w:linePitch="324" w:charSpace="1638"/>
        </w:sectPr>
      </w:pPr>
    </w:p>
    <w:p>
      <w:pPr>
        <w:pStyle w:val="5"/>
        <w:numPr>
          <w:ilvl w:val="0"/>
          <w:numId w:val="0"/>
        </w:numPr>
        <w:adjustRightInd w:val="0"/>
        <w:snapToGrid w:val="0"/>
        <w:spacing w:before="120" w:after="120"/>
        <w:ind w:firstLine="574" w:firstLineChars="200"/>
        <w:jc w:val="left"/>
        <w:rPr>
          <w:rFonts w:hint="default" w:ascii="方正仿宋_GBK" w:hAnsi="方正仿宋_GBK" w:eastAsia="方正仿宋_GBK" w:cs="方正仿宋_GBK"/>
          <w:b/>
          <w:bCs/>
          <w:color w:val="auto"/>
          <w:sz w:val="28"/>
          <w:szCs w:val="22"/>
          <w:lang w:val="en-US" w:eastAsia="zh-CN"/>
        </w:rPr>
      </w:pPr>
      <w:bookmarkStart w:id="192" w:name="_Toc20965"/>
      <w:bookmarkStart w:id="193" w:name="_Toc13027"/>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五</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合同模板</w:t>
      </w:r>
      <w:bookmarkEnd w:id="192"/>
      <w:bookmarkEnd w:id="193"/>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货物</w:t>
      </w:r>
      <w:r>
        <w:rPr>
          <w:rFonts w:hint="default" w:ascii="Times New Roman" w:hAnsi="Times New Roman" w:eastAsia="方正小标宋_GBK" w:cs="Times New Roman"/>
          <w:sz w:val="44"/>
          <w:szCs w:val="44"/>
        </w:rPr>
        <w:t>采购合同</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样本</w:t>
      </w:r>
      <w:r>
        <w:rPr>
          <w:rFonts w:hint="default" w:ascii="Times New Roman" w:hAnsi="Times New Roman" w:eastAsia="方正小标宋_GBK" w:cs="Times New Roman"/>
          <w:sz w:val="44"/>
          <w:szCs w:val="44"/>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合同编号：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甲方：</w:t>
      </w:r>
      <w:r>
        <w:rPr>
          <w:rFonts w:hint="default" w:ascii="Times New Roman" w:hAnsi="Times New Roman" w:eastAsia="方正仿宋_GBK" w:cs="Times New Roman"/>
          <w:color w:val="000000"/>
          <w:sz w:val="21"/>
          <w:szCs w:val="21"/>
          <w:u w:val="single"/>
        </w:rPr>
        <w:t>重庆市巴南区人民医院</w:t>
      </w:r>
      <w:r>
        <w:rPr>
          <w:rFonts w:hint="default" w:ascii="Times New Roman" w:hAnsi="Times New Roman" w:eastAsia="方正仿宋_GBK" w:cs="Times New Roman"/>
          <w:color w:val="000000"/>
          <w:sz w:val="21"/>
          <w:szCs w:val="21"/>
        </w:rPr>
        <w:t>（采购人）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乙方：（供应商）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为了保护甲乙双方的合法权益，根据《中华人民共和国政府采购法》及其实施条例、《中华人民共和国民法典》等相关法律法规规定，经双方自愿协商一致签订本合同，供双方共同遵守执行。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一、合同标的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FF0000"/>
          <w:kern w:val="0"/>
          <w:sz w:val="21"/>
          <w:szCs w:val="21"/>
        </w:rPr>
      </w:pPr>
      <w:r>
        <w:rPr>
          <w:rFonts w:hint="default" w:ascii="Times New Roman" w:hAnsi="Times New Roman" w:eastAsia="方正仿宋_GBK" w:cs="Times New Roman"/>
          <w:color w:val="000000"/>
          <w:kern w:val="0"/>
          <w:sz w:val="21"/>
          <w:szCs w:val="21"/>
        </w:rPr>
        <w:t>1.1乙方应当根据采购文书（招标文件）、采购响应文件（投标文件）及成交（中标）通知书等（本合同将上述文件统称为“采购文件”）并按照甲方需求提供下列货物：</w:t>
      </w:r>
    </w:p>
    <w:tbl>
      <w:tblPr>
        <w:tblStyle w:val="1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98"/>
        <w:gridCol w:w="1487"/>
        <w:gridCol w:w="763"/>
        <w:gridCol w:w="878"/>
        <w:gridCol w:w="1275"/>
        <w:gridCol w:w="1303"/>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序号</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名称</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规格型号</w:t>
            </w: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单位</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数量</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单价(元)</w:t>
            </w: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小计（元）</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7"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合同总价款</w:t>
            </w:r>
          </w:p>
        </w:tc>
        <w:tc>
          <w:tcPr>
            <w:tcW w:w="6593"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¥同总价款方需求提供下列列提供下列列购响应大写</w:t>
            </w:r>
          </w:p>
        </w:tc>
      </w:tr>
    </w:tbl>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注：本合同以人民币进行结算。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1.2本合同总价款包括货物设计、材料、制造、包装、运输、安装、调试、检测（含检测用样品）、验收、培训、保修等所有其他有关各项的含税费用。本合同执行期间合同总价款不变，甲方应当按合同约定进行付款，甲方无须另行向乙方支付本合同规定之外的其他任何费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1.3上表货物必须满足本项目采购文件的技术要</w:t>
      </w:r>
      <w:r>
        <w:rPr>
          <w:rFonts w:hint="default" w:ascii="Times New Roman" w:hAnsi="Times New Roman" w:eastAsia="方正仿宋_GBK" w:cs="Times New Roman"/>
          <w:color w:val="000000"/>
          <w:kern w:val="0"/>
          <w:sz w:val="21"/>
          <w:szCs w:val="21"/>
        </w:rPr>
        <w:t>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二、交货及验收</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2.1【交货时间】乙方应当在双方签订合同之日起个工作日内按</w:t>
      </w:r>
      <w:r>
        <w:rPr>
          <w:rFonts w:hint="default" w:ascii="Times New Roman" w:hAnsi="Times New Roman" w:eastAsia="方正仿宋_GBK" w:cs="Times New Roman"/>
          <w:kern w:val="0"/>
          <w:sz w:val="21"/>
          <w:szCs w:val="21"/>
        </w:rPr>
        <w:t>时</w:t>
      </w:r>
      <w:r>
        <w:rPr>
          <w:rFonts w:hint="default" w:ascii="Times New Roman" w:hAnsi="Times New Roman" w:eastAsia="方正仿宋_GBK" w:cs="Times New Roman"/>
          <w:color w:val="000000"/>
          <w:kern w:val="0"/>
          <w:sz w:val="21"/>
          <w:szCs w:val="21"/>
        </w:rPr>
        <w:t>将全部货物送到</w:t>
      </w:r>
      <w:r>
        <w:rPr>
          <w:rFonts w:hint="default" w:ascii="Times New Roman" w:hAnsi="Times New Roman" w:eastAsia="方正仿宋_GBK" w:cs="Times New Roman"/>
          <w:kern w:val="0"/>
          <w:sz w:val="21"/>
          <w:szCs w:val="21"/>
        </w:rPr>
        <w:t>甲方指定地点。</w:t>
      </w:r>
      <w:r>
        <w:rPr>
          <w:rFonts w:hint="default" w:ascii="Times New Roman" w:hAnsi="Times New Roman" w:eastAsia="方正仿宋_GBK" w:cs="Times New Roman"/>
          <w:color w:val="000000"/>
          <w:kern w:val="0"/>
          <w:sz w:val="21"/>
          <w:szCs w:val="21"/>
        </w:rPr>
        <w:t>对于甲乙双方协商进行分批交货的，可以补充详细的《分批交货进度要求》（双方签字盖章），作为本合同的补充。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2.2【交货地点及方式】乙方负责将全部货物送到甲方指定地点：，并按甲方要求卸货、完成安装调试。在送货前，乙方应当与甲方沟通确定具体交货时间、地点等交接货相关事宜，以便甲方做好接货准备。甲方应当对乙方的送货及安装提供必要的配合。</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2.3【现场验收】甲方应当在货物到达指定现场后个工作日内（最长不超过10个工作日），对货物、数量及使用说明书、保修文件等附随资料进行现场验</w:t>
      </w:r>
      <w:r>
        <w:rPr>
          <w:rFonts w:hint="default" w:ascii="Times New Roman" w:hAnsi="Times New Roman" w:eastAsia="方正仿宋_GBK" w:cs="Times New Roman"/>
          <w:kern w:val="0"/>
          <w:sz w:val="21"/>
          <w:szCs w:val="21"/>
        </w:rPr>
        <w:t>收。甲方现场验收认为存在问题的，可以拒收，并书面告知乙方拒收的原因，乙方应当在甲方指定的期限内完成整改并交货。</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2.4【安装调试质量验收时间】乙方在甲方完成现场验收之日起个工作日内将货物全部安装、调试完毕，甲方应当在全部货物安装调试完毕后的个工作日内，对货物进行质量验收。验收合格的，甲方应当签收验收单或向乙方出具验收合格书。</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u w:val="single"/>
        </w:rPr>
      </w:pPr>
      <w:r>
        <w:rPr>
          <w:rFonts w:hint="default" w:ascii="Times New Roman" w:hAnsi="Times New Roman" w:eastAsia="方正仿宋_GBK" w:cs="Times New Roman"/>
          <w:color w:val="000000"/>
          <w:kern w:val="0"/>
          <w:sz w:val="21"/>
          <w:szCs w:val="21"/>
        </w:rPr>
        <w:t>2.5【验收结论有异议】如乙方对甲方或甲方委托第三方机构做出的质量验收结论有异议的，应当在收到验收结论之日起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个工作日内（最长不超过10个工作日）</w:t>
      </w:r>
      <w:r>
        <w:rPr>
          <w:rFonts w:hint="default" w:ascii="Times New Roman" w:hAnsi="Times New Roman" w:eastAsia="方正仿宋_GBK" w:cs="Times New Roman"/>
          <w:kern w:val="0"/>
          <w:sz w:val="21"/>
          <w:szCs w:val="21"/>
        </w:rPr>
        <w:t>以书面形式向甲方提出，并与甲方协商确定是否重新验收，重新验收的费用由乙方承担。乙方逾期未提出异议的，视为无异议</w:t>
      </w:r>
      <w:r>
        <w:rPr>
          <w:rFonts w:hint="default" w:ascii="Times New Roman" w:hAnsi="Times New Roman" w:eastAsia="方正仿宋_GBK"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2.6【交货相关费用】与交货有关的费用（含运输费、包装费、保险费等）以及安装、调试等服务费用由乙方承担。乙方负责货物运输、安装、调试，并承担本合同项下货物经甲方工作人员签字确认验收合格前的一切风险。</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2.7【甲方委托第三方验收】甲方依照采购文件规定（□是委否）委托第三方机构对货物进行的抽样检测、样品评审、质量验收等活动，验收费用由乙方承担。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2.8【乙方配合抽检验收】乙方应当接受并配合甲方组织的原材料、成品抽检及质量验收等活动。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2.9【检测不合格乙方整改】因抽检不合格收到甲方书面整改要求的，乙方应当进行相应的整改并将整改情况告知甲方。乙方对甲方整改要求有异议的，应当在收到整改要求之日起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个工作日内（最长不超过10个工作日）向甲方提</w:t>
      </w:r>
      <w:r>
        <w:rPr>
          <w:rFonts w:hint="default" w:ascii="Times New Roman" w:hAnsi="Times New Roman" w:eastAsia="方正仿宋_GBK" w:cs="Times New Roman"/>
          <w:kern w:val="0"/>
          <w:sz w:val="21"/>
          <w:szCs w:val="21"/>
        </w:rPr>
        <w:t>出。甲方就整改情况重新组织抽检的，重新抽检产生的费用由乙方承担。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三、质量要求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3.1【标准及质量要求】乙方应当保证提供给甲方的合同货物符合采购响应文件的要求，要求不明确的应执行现行的适用于该货物的国家和行业最高标准。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3.2【出厂检验合格】乙方应当保证提供的合同货物通过</w:t>
      </w:r>
      <w:r>
        <w:rPr>
          <w:rFonts w:hint="default" w:ascii="Times New Roman" w:hAnsi="Times New Roman" w:eastAsia="方正仿宋_GBK" w:cs="Times New Roman"/>
          <w:kern w:val="0"/>
          <w:sz w:val="21"/>
          <w:szCs w:val="21"/>
        </w:rPr>
        <w:t>货物制造厂商的出厂检验，并根据项目要求向甲方提供质量合格证明材料。</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3.3【乙方对质量负责】乙方承诺对其所供货物及原材料、零配件</w:t>
      </w:r>
      <w:r>
        <w:rPr>
          <w:rFonts w:hint="default" w:ascii="Times New Roman" w:hAnsi="Times New Roman" w:eastAsia="方正仿宋_GBK" w:cs="Times New Roman"/>
          <w:color w:val="000000"/>
          <w:kern w:val="0"/>
          <w:sz w:val="21"/>
          <w:szCs w:val="21"/>
        </w:rPr>
        <w:t>的质量负责。</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3.4【乙方不免责情况】货物的原材料、成品抽检合格及</w:t>
      </w:r>
      <w:r>
        <w:rPr>
          <w:rFonts w:hint="default" w:ascii="Times New Roman" w:hAnsi="Times New Roman" w:eastAsia="方正仿宋_GBK" w:cs="Times New Roman"/>
          <w:kern w:val="0"/>
          <w:sz w:val="21"/>
          <w:szCs w:val="21"/>
        </w:rPr>
        <w:t>质量验收合格并不免除乙方提供不合格货物而应当承担的责</w:t>
      </w:r>
      <w:r>
        <w:rPr>
          <w:rFonts w:hint="default" w:ascii="Times New Roman" w:hAnsi="Times New Roman" w:eastAsia="方正仿宋_GBK" w:cs="Times New Roman"/>
          <w:color w:val="000000"/>
          <w:kern w:val="0"/>
          <w:sz w:val="21"/>
          <w:szCs w:val="21"/>
        </w:rPr>
        <w:t>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四、售后服务要求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4.1【保修期限】合同货物保修期为年，从所有货物最终验收合格并交付使用之日起计算。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4.2【保修期内费用承担】保修</w:t>
      </w:r>
      <w:r>
        <w:rPr>
          <w:rFonts w:hint="default" w:ascii="Times New Roman" w:hAnsi="Times New Roman" w:eastAsia="方正仿宋_GBK" w:cs="Times New Roman"/>
          <w:kern w:val="0"/>
          <w:sz w:val="21"/>
          <w:szCs w:val="21"/>
        </w:rPr>
        <w:t>期内货物出现质量问</w:t>
      </w:r>
      <w:r>
        <w:rPr>
          <w:rFonts w:hint="default" w:ascii="Times New Roman" w:hAnsi="Times New Roman" w:eastAsia="方正仿宋_GBK" w:cs="Times New Roman"/>
          <w:color w:val="000000"/>
          <w:kern w:val="0"/>
          <w:sz w:val="21"/>
          <w:szCs w:val="21"/>
        </w:rPr>
        <w:t>题的，由乙方负责免费维修、更换，并按照国家“三包”相关规定执行。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4.3【保修期后维修更换费用】保修期过后，若出现质量问题，乙方只收取损坏的部件维修或更换的成本费用，终身提供免费上门维修、安装服务。</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五、履约保证金</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5.1乙方按照采购文件要求向甲方指定的账户提交履约保证金，履约保证金为小写人民币：元（大写人民币：）。（履约保证金不得超过合同总价款的</w:t>
      </w:r>
      <w:r>
        <w:rPr>
          <w:rFonts w:hint="default" w:ascii="Times New Roman" w:hAnsi="Times New Roman" w:eastAsia="方正仿宋_GBK" w:cs="Times New Roman"/>
          <w:kern w:val="0"/>
          <w:sz w:val="21"/>
          <w:szCs w:val="21"/>
          <w:lang w:val="en-US" w:eastAsia="zh-CN"/>
        </w:rPr>
        <w:t>5</w:t>
      </w:r>
      <w:r>
        <w:rPr>
          <w:rFonts w:hint="default" w:ascii="Times New Roman" w:hAnsi="Times New Roman" w:eastAsia="方正仿宋_GBK" w:cs="Times New Roman"/>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5.2如乙方未能履行本合同约定的相关义务，甲方在书面通知乙方后，有权直接从合同约定的货款或履约保证金中扣除相应金额的违约金、滞纳金或者其他赔偿款项。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5.3甲方应当按照采购文件要求将履约保证金无息退还给乙方。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六、货款支付</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6.1【预付款】甲方（□是□否）支付乙方预付款。合同正式签订后，甲方收到乙方开具的正规发票之日起日内（最长不超过30日），向乙方指定的银行账户支付合同总价款%的预付款，即小写人民币：，大写人民币：</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6.2【进度款】除预付款外，本项目分次支付进度款，</w:t>
      </w:r>
      <w:r>
        <w:rPr>
          <w:rFonts w:hint="default" w:ascii="Times New Roman" w:hAnsi="Times New Roman" w:eastAsia="方正仿宋_GBK" w:cs="Times New Roman"/>
          <w:kern w:val="0"/>
          <w:sz w:val="21"/>
          <w:szCs w:val="21"/>
        </w:rPr>
        <w:t>具体支付进度安排如下：（注明付款批次、付款时限、付款金额）。在乙方交付相应比例的货物且该等货物经甲方质量验收合格后，甲方在每次收到乙方开</w:t>
      </w:r>
      <w:r>
        <w:rPr>
          <w:rFonts w:hint="default" w:ascii="Times New Roman" w:hAnsi="Times New Roman" w:eastAsia="方正仿宋_GBK" w:cs="Times New Roman"/>
          <w:color w:val="000000"/>
          <w:kern w:val="0"/>
          <w:sz w:val="21"/>
          <w:szCs w:val="21"/>
        </w:rPr>
        <w:t>具的正规发票之日起日内（最长不超过30日）将相应约定货款支付到乙方指定的银行账户。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 3【尾款】乙方提交给甲方合同约定的全部货物且经甲方质量验收合格后，甲方在收到乙方开具的正规发票之日起日内（最长不超过30日），向乙方指定的银行账户支付合同总价款的 %，即小写人民币，大写人民币作为尾款。</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6.4甲方按照乙方提供的银行账户支付货款后，</w:t>
      </w:r>
      <w:r>
        <w:rPr>
          <w:rFonts w:hint="default" w:ascii="Times New Roman" w:hAnsi="Times New Roman" w:eastAsia="方正仿宋_GBK" w:cs="Times New Roman"/>
          <w:kern w:val="0"/>
          <w:sz w:val="21"/>
          <w:szCs w:val="21"/>
        </w:rPr>
        <w:t>因乙方提供</w:t>
      </w:r>
      <w:r>
        <w:rPr>
          <w:rFonts w:hint="default" w:ascii="Times New Roman" w:hAnsi="Times New Roman" w:eastAsia="方正仿宋_GBK" w:cs="Times New Roman"/>
          <w:color w:val="000000"/>
          <w:kern w:val="0"/>
          <w:sz w:val="21"/>
          <w:szCs w:val="21"/>
        </w:rPr>
        <w:t>账户或者账号相关信息遗漏、错误等原因所产生的后果由乙方自行承担。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七、合同解除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7.1 除具有《中华人民共和国政府采购法》第五十条第二款规定情形，或者《中华人民共和国民法典》第五百六十二条、第五百六十三条规定的</w:t>
      </w:r>
      <w:r>
        <w:rPr>
          <w:rFonts w:hint="default" w:ascii="Times New Roman" w:hAnsi="Times New Roman" w:eastAsia="方正仿宋_GBK" w:cs="Times New Roman"/>
          <w:sz w:val="21"/>
          <w:szCs w:val="21"/>
        </w:rPr>
        <w:t>情形及本合同约定的情形外，本</w:t>
      </w:r>
      <w:r>
        <w:rPr>
          <w:rFonts w:hint="default" w:ascii="Times New Roman" w:hAnsi="Times New Roman" w:eastAsia="方正仿宋_GBK" w:cs="Times New Roman"/>
          <w:color w:val="000000"/>
          <w:sz w:val="21"/>
          <w:szCs w:val="21"/>
        </w:rPr>
        <w:t>合同一经签订，甲乙双方不得擅自解除合同。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7.2乙方存在以下情形的，甲方有权单方面通知解除合同</w:t>
      </w:r>
      <w:r>
        <w:rPr>
          <w:rFonts w:hint="default" w:ascii="Times New Roman" w:hAnsi="Times New Roman" w:eastAsia="方正仿宋_GBK" w:cs="Times New Roman"/>
          <w:sz w:val="21"/>
          <w:szCs w:val="21"/>
        </w:rPr>
        <w:t>，合同自甲方向乙方发出解除/终止通知之日起自动解除并终止</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7.2.1对采购文件规定的不可调整项的验收结果达不到采购文件不可调整项要求的；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7.2.2对采购文件规定的可调整项的验收结果超过了可调整范围的；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7.2.3逾期交付货物超过 60日的。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甲方根据上述情形主张解除合同的，应当书面通知乙方。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7.2.4甲方根据上述规定，解除/终止合同后，其合同内的服务内容甲方有权自行另行选择其他供应商。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八、违约责任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8.1【甲方逾期付款或乙方逾期交货】甲方逾期支付货款，或乙方逾期交货的，每延误一日则必须向对方偿付合同总价款1甲的违约金，但该违约金原则上不超过合同总价款的10%。如因政府有关部</w:t>
      </w:r>
      <w:r>
        <w:rPr>
          <w:rFonts w:hint="default" w:ascii="Times New Roman" w:hAnsi="Times New Roman" w:eastAsia="方正仿宋_GBK" w:cs="Times New Roman"/>
          <w:color w:val="000000"/>
          <w:sz w:val="21"/>
          <w:szCs w:val="21"/>
        </w:rPr>
        <w:t>门超期审批</w:t>
      </w:r>
      <w:r>
        <w:rPr>
          <w:rFonts w:hint="default" w:ascii="Times New Roman" w:hAnsi="Times New Roman" w:eastAsia="方正仿宋_GBK" w:cs="Times New Roman"/>
          <w:color w:val="000000"/>
          <w:kern w:val="0"/>
          <w:sz w:val="21"/>
          <w:szCs w:val="21"/>
        </w:rPr>
        <w:t>等原因造成甲方付款迟延的，不视为甲方违约，甲方不承担前述违约责任。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8.2【乙方货物验收不合格】乙方提供的货物经甲方抽检或验收不合格的，乙方应当无条件进行重新返修、返工制作、</w:t>
      </w:r>
      <w:r>
        <w:rPr>
          <w:rFonts w:hint="default" w:ascii="Times New Roman" w:hAnsi="Times New Roman" w:eastAsia="方正仿宋_GBK" w:cs="Times New Roman"/>
          <w:kern w:val="0"/>
          <w:sz w:val="21"/>
          <w:szCs w:val="21"/>
        </w:rPr>
        <w:t>更换，直至甲方验收合格为止，所需费用由乙方自行承担，同时，乙方应当承担相应的违约责任。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8.3</w:t>
      </w:r>
      <w:r>
        <w:rPr>
          <w:rFonts w:hint="default" w:ascii="Times New Roman" w:hAnsi="Times New Roman" w:eastAsia="方正仿宋_GBK" w:cs="Times New Roman"/>
          <w:color w:val="000000"/>
          <w:kern w:val="0"/>
          <w:sz w:val="21"/>
          <w:szCs w:val="21"/>
        </w:rPr>
        <w:t>【不可抗力因素及本合同另有约定外违约责任】除不可抗力因素及本合同另有约定外，合同任何一方违反本合同约定的应当承担相应的违约责任，向另一方支付不超过合同总价款10%的违约金，并赔偿因此而给对方造成的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8.4出现政府采购法律法规规定的违法违规情形的，守约方应当及时将相关违法违规行为报告给财政部门。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8.5</w:t>
      </w:r>
      <w:r>
        <w:rPr>
          <w:rFonts w:hint="default" w:ascii="Times New Roman" w:hAnsi="Times New Roman" w:eastAsia="方正仿宋_GBK" w:cs="Times New Roman"/>
          <w:sz w:val="21"/>
          <w:szCs w:val="21"/>
        </w:rPr>
        <w:t>乙方对本合同的一切违反均构成违约，应向甲方承担包括但不限于向甲方支付违约金、赔偿损失、消除影响等违约责任。若乙方构成合同法规定的根本违约的，则应当按照本合同总价款的10%向甲方支付违约金。若甲方若因此而遭受损失或承担其他任何责任的，甲方有权向乙方追偿且有权要求乙方承担赔偿责任（包括但不限于甲方为主张权利而产生的诉讼费、律师费、保全费、保全担保费、差旅费、执行费、鉴定费、评估拍卖费等一切直接或间接经济损失）。且甲方有权单方面通知解除本合同，合同自甲方解除合同通知发出之日起自行解除，且甲方有权追究乙方的违约责任，乙方应赔偿甲方的全部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九、争议的解决</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9.1【质量问题争议】</w:t>
      </w:r>
      <w:r>
        <w:rPr>
          <w:rFonts w:hint="default" w:ascii="Times New Roman" w:hAnsi="Times New Roman" w:eastAsia="方正仿宋_GBK" w:cs="Times New Roman"/>
          <w:color w:val="000000"/>
          <w:sz w:val="21"/>
          <w:szCs w:val="21"/>
        </w:rPr>
        <w:t>因货物质量问题发生争议的，应当邀请国家认可的质量检测机构对货物质量进行鉴定，</w:t>
      </w:r>
      <w:r>
        <w:rPr>
          <w:rFonts w:hint="default" w:ascii="Times New Roman" w:hAnsi="Times New Roman" w:eastAsia="方正仿宋_GBK" w:cs="Times New Roman"/>
          <w:color w:val="000000"/>
          <w:kern w:val="0"/>
          <w:sz w:val="21"/>
          <w:szCs w:val="21"/>
        </w:rPr>
        <w:t>甲乙双方应当接受该鉴定结论。货物符合质量标准的，鉴定费由甲方承担；货物不符合质量标准的，鉴定费由乙方承担。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9.2【合同争议解决】因履行本合同引起的或者与本合同有关的争议，甲乙双方应当通过友好协商方式解决；如协商不能解决的，任何一方可以向重庆市巴南区人民法院提起诉讼。</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十、合同修改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10.1【合同修改要求】对于本合同的未尽事宜，需要进行修改、补充或完善的，甲乙双方应当就所修改的内容签订书面的合同修改书，作为本合同的补充协议。</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10.2【合同修改效力】补充协议与本合同具有同等法律效力。</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十一、合同生效</w:t>
      </w:r>
    </w:p>
    <w:p>
      <w:pPr>
        <w:pStyle w:val="26"/>
        <w:keepNext w:val="0"/>
        <w:keepLines w:val="0"/>
        <w:pageBreakBefore w:val="0"/>
        <w:widowControl/>
        <w:kinsoku/>
        <w:wordWrap/>
        <w:overflowPunct/>
        <w:topLinePunct w:val="0"/>
        <w:autoSpaceDE/>
        <w:autoSpaceDN/>
        <w:bidi w:val="0"/>
        <w:adjustRightInd/>
        <w:snapToGrid/>
        <w:spacing w:line="360" w:lineRule="exact"/>
        <w:ind w:firstLine="438" w:firstLineChars="20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rPr>
        <w:t>11.1【合同生效条件】</w:t>
      </w:r>
      <w:r>
        <w:rPr>
          <w:rFonts w:hint="default" w:ascii="Times New Roman" w:hAnsi="Times New Roman" w:eastAsia="方正仿宋_GBK" w:cs="Times New Roman"/>
          <w:sz w:val="21"/>
          <w:szCs w:val="21"/>
        </w:rPr>
        <w:t>本协议一式份，由甲方执份，乙方执份，各份具有同等法律效力。本协议经甲乙双方法定代表人/负责人或者授权代表签字并加盖公章之日起生效。甲乙双方履行完合同规定的义务后，合同即行终止。</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11.2【合同附件效力】采购公告、采购文书、补遗、答疑、补充通知、投标或响应文件、中标（成交）通知书、乙方在招投标过程中所作的其他承诺/申明/书面澄清以及在合同执行中甲乙双方共同签署的补充或者修正文件等均属本合同不可分割的组成部分，与本合同正文具有同等法律效力。以上合同组成部分文件与本合同正文存在不一致的，以本合同为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十二、其他</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12.1</w:t>
      </w:r>
      <w:r>
        <w:rPr>
          <w:rFonts w:hint="default" w:ascii="Times New Roman" w:hAnsi="Times New Roman" w:eastAsia="方正仿宋_GBK" w:cs="Times New Roman"/>
          <w:sz w:val="21"/>
          <w:szCs w:val="21"/>
        </w:rPr>
        <w:t>甲方或乙方行使本合同约定的单方面解除合同的权利时，应书面（传真、电子邮件等均有效）通知另一方，合同自通知发出之日解除。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合同生效后，除本合同已有约定之外，甲乙任何一方均不得擅自变更或解除本合同；如需变更和解除本合同，应经甲乙双方协商一致，并达成书面协议。非因不可抗力原因，单方面提出解除本合同或变更合同约定时，须经对方同意并签署书面补充协议，否则不得解除或变更本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12.3法律文书的送达地址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双方确认各自在本合同首页及签署页所留地址为各方注册地址或主要办事机构所在地址，双方一致同意将前述地址作为本合同履行过程中双方的一切往来联系或发生的任何纠纷的有效送达地址，双方确认前述地址视为双方、法院等单位邮寄法律文书及双方邮寄联系函、催收函、律师函等文件的法定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12.4其他特别说明或补充：</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（以下无正文，为合同签署页）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rPr>
        <w:t>甲方（盖章）：</w:t>
      </w:r>
      <w:r>
        <w:rPr>
          <w:rFonts w:hint="default" w:ascii="Times New Roman" w:hAnsi="Times New Roman" w:eastAsia="方正仿宋_GBK" w:cs="Times New Roman"/>
          <w:color w:val="000000"/>
          <w:sz w:val="21"/>
          <w:szCs w:val="21"/>
          <w:lang w:val="en-US" w:eastAsia="zh-CN"/>
        </w:rPr>
        <w:t xml:space="preserve">                                       </w:t>
      </w:r>
      <w:r>
        <w:rPr>
          <w:rFonts w:hint="default" w:ascii="Times New Roman" w:hAnsi="Times New Roman" w:eastAsia="方正仿宋_GBK" w:cs="Times New Roman"/>
          <w:color w:val="000000"/>
          <w:sz w:val="21"/>
          <w:szCs w:val="21"/>
        </w:rPr>
        <w:t>乙方（盖章）：</w:t>
      </w:r>
      <w:r>
        <w:rPr>
          <w:rFonts w:hint="default" w:ascii="Times New Roman" w:hAnsi="Times New Roman" w:eastAsia="方正仿宋_GBK" w:cs="Times New Roman"/>
          <w:color w:val="000000"/>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 xml:space="preserve">重庆市巴南区人民医院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法定代表人：</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firstLine="5642" w:firstLineChars="2600"/>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身份证号</w:t>
      </w:r>
      <w:r>
        <w:rPr>
          <w:rFonts w:hint="default" w:ascii="Times New Roman" w:hAnsi="Times New Roman" w:eastAsia="方正仿宋_GBK" w:cs="Times New Roman"/>
          <w:sz w:val="21"/>
          <w:szCs w:val="21"/>
        </w:rPr>
        <w:t>：</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联系电话：</w:t>
      </w:r>
      <w:r>
        <w:rPr>
          <w:rFonts w:hint="default" w:ascii="Times New Roman" w:hAnsi="Times New Roman" w:eastAsia="方正仿宋_GBK" w:cs="Times New Roman"/>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账号：</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                                                    开户行：                              </w:t>
      </w:r>
    </w:p>
    <w:p>
      <w:pPr>
        <w:pStyle w:val="32"/>
        <w:keepNext w:val="0"/>
        <w:keepLines w:val="0"/>
        <w:pageBreakBefore w:val="0"/>
        <w:kinsoku/>
        <w:wordWrap/>
        <w:overflowPunct/>
        <w:topLinePunct w:val="0"/>
        <w:autoSpaceDE/>
        <w:autoSpaceDN/>
        <w:bidi w:val="0"/>
        <w:spacing w:line="400" w:lineRule="exact"/>
        <w:textAlignment w:val="auto"/>
        <w:rPr>
          <w:rFonts w:hint="default" w:ascii="Times New Roman" w:hAnsi="Times New Roman" w:cs="Times New Roman"/>
        </w:rPr>
      </w:pPr>
    </w:p>
    <w:p>
      <w:pPr>
        <w:pStyle w:val="21"/>
        <w:rPr>
          <w:rFonts w:hint="default" w:ascii="Times New Roman" w:hAnsi="Times New Roman" w:cs="Times New Roman"/>
        </w:rPr>
      </w:pPr>
    </w:p>
    <w:p>
      <w:pPr>
        <w:keepNext/>
        <w:keepLines/>
        <w:pageBreakBefore w:val="0"/>
        <w:widowControl/>
        <w:kinsoku/>
        <w:wordWrap/>
        <w:overflowPunct/>
        <w:topLinePunct w:val="0"/>
        <w:autoSpaceDE/>
        <w:autoSpaceDN/>
        <w:bidi w:val="0"/>
        <w:adjustRightInd w:val="0"/>
        <w:snapToGrid/>
        <w:jc w:val="left"/>
        <w:textAlignment w:val="baseline"/>
        <w:outlineLvl w:val="9"/>
        <w:rPr>
          <w:rFonts w:hint="default" w:ascii="Times New Roman" w:hAnsi="Times New Roman" w:eastAsia="仿宋_GB2312" w:cs="Times New Roman"/>
          <w:bCs w:val="0"/>
          <w:color w:val="auto"/>
          <w:kern w:val="0"/>
          <w:sz w:val="32"/>
          <w:szCs w:val="32"/>
          <w:lang w:val="en-US" w:eastAsia="zh-CN" w:bidi="ar-SA"/>
        </w:rPr>
        <w:sectPr>
          <w:headerReference r:id="rId10" w:type="default"/>
          <w:footerReference r:id="rId11" w:type="default"/>
          <w:pgSz w:w="11906" w:h="16838"/>
          <w:pgMar w:top="1134" w:right="1191" w:bottom="1134" w:left="1304" w:header="851" w:footer="992" w:gutter="0"/>
          <w:pgNumType w:fmt="numberInDash"/>
          <w:cols w:space="0" w:num="1"/>
          <w:rtlGutter w:val="0"/>
          <w:docGrid w:type="linesAndChars" w:linePitch="324" w:charSpace="1638"/>
        </w:sectPr>
      </w:pPr>
    </w:p>
    <w:p>
      <w:pPr>
        <w:pStyle w:val="5"/>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rPr>
      </w:pPr>
      <w:bookmarkStart w:id="194" w:name="_Toc23343"/>
      <w:bookmarkStart w:id="195" w:name="_Toc6399"/>
      <w:bookmarkStart w:id="196" w:name="_Toc26526"/>
      <w:bookmarkStart w:id="197" w:name="_Toc743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、投标人廉洁承诺书</w:t>
      </w:r>
      <w:bookmarkEnd w:id="194"/>
      <w:bookmarkEnd w:id="195"/>
    </w:p>
    <w:p>
      <w:pPr>
        <w:keepNext/>
        <w:keepLines/>
        <w:pageBreakBefore w:val="0"/>
        <w:widowControl/>
        <w:kinsoku/>
        <w:wordWrap/>
        <w:overflowPunct/>
        <w:topLinePunct w:val="0"/>
        <w:autoSpaceDE/>
        <w:autoSpaceDN/>
        <w:bidi w:val="0"/>
        <w:adjustRightInd w:val="0"/>
        <w:snapToGrid/>
        <w:jc w:val="left"/>
        <w:textAlignment w:val="baseline"/>
        <w:outlineLvl w:val="0"/>
        <w:rPr>
          <w:rFonts w:hint="default" w:ascii="Times New Roman" w:hAnsi="Times New Roman" w:eastAsia="仿宋_GB2312" w:cs="Times New Roman"/>
          <w:bCs w:val="0"/>
          <w:color w:val="auto"/>
          <w:kern w:val="0"/>
          <w:sz w:val="32"/>
          <w:szCs w:val="32"/>
          <w:lang w:val="en-US" w:eastAsia="zh-CN" w:bidi="ar-SA"/>
        </w:rPr>
      </w:pPr>
      <w:r>
        <w:rPr>
          <w:rFonts w:hint="default" w:ascii="Times New Roman" w:hAnsi="Times New Roman" w:eastAsia="仿宋_GB2312" w:cs="Times New Roman"/>
          <w:bCs w:val="0"/>
          <w:color w:val="auto"/>
          <w:kern w:val="0"/>
          <w:sz w:val="32"/>
          <w:szCs w:val="32"/>
          <w:lang w:val="en-US" w:eastAsia="zh-CN" w:bidi="ar-SA"/>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right="0" w:firstLine="654" w:firstLineChars="200"/>
        <w:jc w:val="center"/>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投标人廉洁承诺书</w:t>
      </w:r>
    </w:p>
    <w:p>
      <w:pPr>
        <w:pageBreakBefore w:val="0"/>
        <w:tabs>
          <w:tab w:val="left" w:pos="6300"/>
        </w:tabs>
        <w:kinsoku/>
        <w:wordWrap/>
        <w:overflowPunct/>
        <w:topLinePunct w:val="0"/>
        <w:autoSpaceDE/>
        <w:autoSpaceDN/>
        <w:bidi w:val="0"/>
        <w:snapToGrid w:val="0"/>
        <w:spacing w:line="500" w:lineRule="exact"/>
        <w:ind w:left="0" w:right="0" w:firstLine="494" w:firstLineChars="200"/>
        <w:textAlignment w:val="auto"/>
        <w:outlineLvl w:val="9"/>
        <w:rPr>
          <w:rFonts w:hint="default" w:ascii="Times New Roman" w:hAnsi="Times New Roman" w:eastAsia="方正仿宋_GBK" w:cs="Times New Roman"/>
          <w:sz w:val="24"/>
        </w:rPr>
      </w:pPr>
    </w:p>
    <w:bookmarkEnd w:id="196"/>
    <w:bookmarkEnd w:id="197"/>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为加强招标投标活动中的廉政建设。进一步规范招标投标市场、防止发生违法违规行为，体现公开、公平、公正的原则，根据国家有关法律、法规和廉政建设相关规定，本投标人特作出如下承诺：</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1、不与招标人及其他投标人私下串通协商，进行围标、串标、抬标、控制投标价格。</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2、不向招标人、评标专家行贿，以不正当手段谋取中标。</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3、不向招标投标监管人员请客、送礼及组织其它有可能影响公正监管的活动。</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rPr>
        <w:t>4、自觉遵守开标、评标现场工作纪律，不私下接触评标专家</w:t>
      </w:r>
      <w:r>
        <w:rPr>
          <w:rFonts w:hint="default" w:ascii="Times New Roman" w:hAnsi="Times New Roman" w:eastAsia="方正仿宋_GBK" w:cs="Times New Roman"/>
          <w:color w:val="FF0000"/>
          <w:sz w:val="28"/>
          <w:szCs w:val="28"/>
          <w:lang w:eastAsia="zh-CN"/>
        </w:rPr>
        <w:t>，</w:t>
      </w:r>
      <w:r>
        <w:rPr>
          <w:rFonts w:hint="default" w:ascii="Times New Roman" w:hAnsi="Times New Roman" w:eastAsia="方正仿宋_GBK" w:cs="Times New Roman"/>
          <w:color w:val="auto"/>
          <w:sz w:val="28"/>
          <w:szCs w:val="28"/>
          <w:highlight w:val="none"/>
          <w:lang w:val="en-US" w:eastAsia="zh-CN"/>
        </w:rPr>
        <w:t>遵守</w:t>
      </w:r>
      <w:r>
        <w:rPr>
          <w:rFonts w:hint="default" w:ascii="Times New Roman" w:hAnsi="Times New Roman" w:eastAsia="方正仿宋_GBK" w:cs="Times New Roman"/>
          <w:color w:val="auto"/>
          <w:sz w:val="28"/>
          <w:szCs w:val="28"/>
          <w:highlight w:val="none"/>
        </w:rPr>
        <w:t>评标秩序。</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5、中标后不订背离合同实质性内容的协议，不进行非法转包、违法分包等。</w:t>
      </w:r>
    </w:p>
    <w:p>
      <w:pPr>
        <w:pStyle w:val="11"/>
        <w:ind w:firstLine="574"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6、合同履行过程中不进行任何形式的统方等不正当行为。</w:t>
      </w:r>
    </w:p>
    <w:p>
      <w:pPr>
        <w:pStyle w:val="11"/>
        <w:ind w:firstLine="574"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7、不贿赂医院工作人员。</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如出现上述行为，本投标人自愿承担相关责任，接受招投标监督管理部门、纪检监察部门及司法机关调查处理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采购人可单方面终止采购合同</w:t>
      </w:r>
      <w:r>
        <w:rPr>
          <w:rFonts w:hint="default" w:ascii="Times New Roman" w:hAnsi="Times New Roman" w:eastAsia="方正仿宋_GBK" w:cs="Times New Roman"/>
          <w:color w:val="auto"/>
          <w:sz w:val="28"/>
          <w:szCs w:val="28"/>
          <w:highlight w:val="none"/>
        </w:rPr>
        <w:t>。</w:t>
      </w:r>
    </w:p>
    <w:p>
      <w:pPr>
        <w:spacing w:line="440" w:lineRule="exact"/>
        <w:ind w:firstLine="64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ind w:firstLine="400"/>
        <w:jc w:val="left"/>
        <w:rPr>
          <w:rFonts w:hint="default" w:ascii="Times New Roman" w:hAnsi="Times New Roman" w:cs="Times New Roman"/>
          <w:kern w:val="0"/>
          <w:sz w:val="28"/>
          <w:szCs w:val="28"/>
        </w:rPr>
      </w:pPr>
    </w:p>
    <w:p>
      <w:pPr>
        <w:ind w:firstLine="640"/>
        <w:jc w:val="left"/>
        <w:rPr>
          <w:rFonts w:hint="default" w:ascii="Times New Roman" w:hAnsi="Times New Roman" w:cs="Times New Roman"/>
          <w:szCs w:val="28"/>
        </w:rPr>
      </w:pPr>
    </w:p>
    <w:p>
      <w:pPr>
        <w:spacing w:line="440" w:lineRule="exact"/>
        <w:ind w:firstLine="2160" w:firstLineChars="753"/>
        <w:jc w:val="righ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sz w:val="28"/>
          <w:szCs w:val="28"/>
          <w:u w:val="single"/>
        </w:rPr>
        <w:t xml:space="preserve">              （单位盖章）</w:t>
      </w:r>
    </w:p>
    <w:p>
      <w:pPr>
        <w:spacing w:before="0" w:after="0" w:afterLines="0" w:line="440" w:lineRule="exact"/>
        <w:jc w:val="righ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法定代表人或授权委托人：</w:t>
      </w:r>
      <w:r>
        <w:rPr>
          <w:rFonts w:hint="default" w:ascii="Times New Roman" w:hAnsi="Times New Roman" w:eastAsia="方正仿宋_GBK" w:cs="Times New Roman"/>
          <w:sz w:val="28"/>
          <w:szCs w:val="28"/>
          <w:u w:val="single"/>
        </w:rPr>
        <w:t xml:space="preserve">            （签    字</w:t>
      </w:r>
      <w:r>
        <w:rPr>
          <w:rFonts w:hint="default" w:ascii="Times New Roman" w:hAnsi="Times New Roman" w:eastAsia="方正仿宋_GBK" w:cs="Times New Roman"/>
          <w:sz w:val="28"/>
          <w:szCs w:val="28"/>
          <w:u w:val="single"/>
          <w:lang w:eastAsia="zh-CN"/>
        </w:rPr>
        <w:t>）</w:t>
      </w: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sectPr>
          <w:pgSz w:w="11906" w:h="16838"/>
          <w:pgMar w:top="1134" w:right="1191" w:bottom="1134" w:left="1304" w:header="851" w:footer="992" w:gutter="0"/>
          <w:pgNumType w:fmt="numberInDash"/>
          <w:cols w:space="0" w:num="1"/>
          <w:rtlGutter w:val="0"/>
          <w:docGrid w:type="linesAndChars" w:linePitch="324" w:charSpace="1638"/>
        </w:sectPr>
      </w:pPr>
    </w:p>
    <w:p>
      <w:pPr>
        <w:pStyle w:val="5"/>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lang w:eastAsia="zh-CN"/>
        </w:rPr>
      </w:pPr>
      <w:bookmarkStart w:id="198" w:name="_Toc8107"/>
      <w:bookmarkStart w:id="199" w:name="_Toc4863"/>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报名信息登记表</w:t>
      </w:r>
      <w:bookmarkEnd w:id="198"/>
      <w:bookmarkEnd w:id="199"/>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仿宋_GBK" w:cs="Times New Roman"/>
          <w:b/>
          <w:bCs/>
          <w:color w:val="000000"/>
          <w:sz w:val="44"/>
          <w:szCs w:val="44"/>
          <w:lang w:val="en-US" w:eastAsia="zh-CN"/>
        </w:rPr>
      </w:pPr>
      <w:r>
        <w:rPr>
          <w:rFonts w:hint="default" w:ascii="Times New Roman" w:hAnsi="Times New Roman" w:eastAsia="方正仿宋_GBK" w:cs="Times New Roman"/>
          <w:b/>
          <w:bCs/>
          <w:color w:val="000000"/>
          <w:sz w:val="44"/>
          <w:szCs w:val="44"/>
          <w:lang w:val="en-US" w:eastAsia="zh-CN"/>
        </w:rPr>
        <w:t>报名信息登记表</w:t>
      </w:r>
    </w:p>
    <w:p>
      <w:pPr>
        <w:pStyle w:val="21"/>
        <w:rPr>
          <w:rFonts w:hint="default" w:ascii="Times New Roman" w:hAnsi="Times New Roman" w:cs="Times New Roman"/>
        </w:rPr>
      </w:pPr>
    </w:p>
    <w:p>
      <w:pPr>
        <w:pStyle w:val="21"/>
        <w:rPr>
          <w:rFonts w:hint="default" w:ascii="Times New Roman" w:hAnsi="Times New Roman" w:cs="Times New Roman"/>
        </w:rPr>
      </w:pPr>
    </w:p>
    <w:tbl>
      <w:tblPr>
        <w:tblStyle w:val="17"/>
        <w:tblW w:w="15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8"/>
        <w:gridCol w:w="1485"/>
        <w:gridCol w:w="1482"/>
        <w:gridCol w:w="780"/>
        <w:gridCol w:w="1335"/>
        <w:gridCol w:w="953"/>
        <w:gridCol w:w="1465"/>
        <w:gridCol w:w="2115"/>
        <w:gridCol w:w="1500"/>
        <w:gridCol w:w="2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项目编号</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报名单位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企业地址</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联系人地址</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法人身份证号码</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联系人电话</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r>
    </w:tbl>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11"/>
        <w:outlineLvl w:val="0"/>
        <w:rPr>
          <w:rFonts w:hint="default" w:ascii="Times New Roman" w:hAnsi="Times New Roman" w:eastAsia="方正仿宋_GBK" w:cs="Times New Roman"/>
          <w:b w:val="0"/>
          <w:bCs w:val="0"/>
          <w:sz w:val="44"/>
          <w:szCs w:val="44"/>
          <w:highlight w:val="yellow"/>
          <w:lang w:val="en-US" w:eastAsia="zh-CN"/>
        </w:rPr>
      </w:pPr>
      <w:bookmarkStart w:id="200" w:name="_Toc31347"/>
      <w:bookmarkStart w:id="201" w:name="_Toc18462"/>
      <w:bookmarkStart w:id="202" w:name="_Toc23850"/>
      <w:r>
        <w:rPr>
          <w:rFonts w:hint="default" w:ascii="Times New Roman" w:hAnsi="Times New Roman" w:eastAsia="方正仿宋_GBK" w:cs="Times New Roman"/>
          <w:b w:val="0"/>
          <w:bCs w:val="0"/>
          <w:sz w:val="44"/>
          <w:szCs w:val="44"/>
          <w:highlight w:val="yellow"/>
          <w:lang w:val="en-US" w:eastAsia="zh-CN"/>
        </w:rPr>
        <w:t>注：以excel格式电子版单独上传（不要盖章）</w:t>
      </w:r>
      <w:bookmarkEnd w:id="200"/>
      <w:bookmarkEnd w:id="201"/>
      <w:bookmarkEnd w:id="202"/>
    </w:p>
    <w:p>
      <w:pPr>
        <w:pStyle w:val="21"/>
        <w:rPr>
          <w:rFonts w:hint="default" w:ascii="Times New Roman" w:hAnsi="Times New Roman" w:cs="Times New Roman"/>
        </w:rPr>
      </w:pPr>
    </w:p>
    <w:sectPr>
      <w:pgSz w:w="16838" w:h="11906" w:orient="landscape"/>
      <w:pgMar w:top="1304" w:right="1134" w:bottom="1191" w:left="1134" w:header="851" w:footer="992" w:gutter="0"/>
      <w:pgNumType w:fmt="numberInDash"/>
      <w:cols w:space="0" w:num="1"/>
      <w:rtlGutter w:val="0"/>
      <w:docGrid w:type="linesAndChars" w:linePitch="32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jc w:val="center"/>
      <w:rPr>
        <w:rStyle w:val="20"/>
      </w:rPr>
    </w:pPr>
  </w:p>
  <w:p>
    <w:pPr>
      <w:pStyle w:val="1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2"/>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42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2"/>
                      <w:ind w:firstLine="42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640"/>
    </w:pPr>
  </w:p>
  <w:p>
    <w:pPr>
      <w:pStyle w:val="13"/>
      <w:pBdr>
        <w:bottom w:val="none" w:color="auto" w:sz="0" w:space="1"/>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420"/>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3BCC"/>
    <w:multiLevelType w:val="singleLevel"/>
    <w:tmpl w:val="BB883BCC"/>
    <w:lvl w:ilvl="0" w:tentative="0">
      <w:start w:val="1"/>
      <w:numFmt w:val="decimalEnclosedCircleChinese"/>
      <w:suff w:val="nothing"/>
      <w:lvlText w:val="%1　"/>
      <w:lvlJc w:val="left"/>
      <w:pPr>
        <w:ind w:left="0" w:firstLine="400"/>
      </w:pPr>
      <w:rPr>
        <w:rFonts w:hint="eastAsia"/>
      </w:rPr>
    </w:lvl>
  </w:abstractNum>
  <w:abstractNum w:abstractNumId="1">
    <w:nsid w:val="D0BC148B"/>
    <w:multiLevelType w:val="singleLevel"/>
    <w:tmpl w:val="D0BC148B"/>
    <w:lvl w:ilvl="0" w:tentative="0">
      <w:start w:val="1"/>
      <w:numFmt w:val="decimalEnclosedCircleChinese"/>
      <w:suff w:val="nothing"/>
      <w:lvlText w:val="%1　"/>
      <w:lvlJc w:val="left"/>
      <w:pPr>
        <w:ind w:left="0" w:firstLine="40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9"/>
  <w:drawingGridVerticalSpacing w:val="162"/>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jcyOTczNzZlNjM2NDlmNDEzNWIxZGMyNTU1YTAifQ=="/>
  </w:docVars>
  <w:rsids>
    <w:rsidRoot w:val="31570436"/>
    <w:rsid w:val="00372117"/>
    <w:rsid w:val="007A6C2F"/>
    <w:rsid w:val="00B11130"/>
    <w:rsid w:val="010B6346"/>
    <w:rsid w:val="01213882"/>
    <w:rsid w:val="01F35B4D"/>
    <w:rsid w:val="0235163A"/>
    <w:rsid w:val="025C116B"/>
    <w:rsid w:val="02AD7C71"/>
    <w:rsid w:val="0317782F"/>
    <w:rsid w:val="0352701F"/>
    <w:rsid w:val="03786440"/>
    <w:rsid w:val="037E4FBC"/>
    <w:rsid w:val="038E05E4"/>
    <w:rsid w:val="03913766"/>
    <w:rsid w:val="03F6348B"/>
    <w:rsid w:val="045B44B4"/>
    <w:rsid w:val="047765CC"/>
    <w:rsid w:val="047D1607"/>
    <w:rsid w:val="04C87991"/>
    <w:rsid w:val="04D53301"/>
    <w:rsid w:val="04DC4EB0"/>
    <w:rsid w:val="04F311AF"/>
    <w:rsid w:val="050B287F"/>
    <w:rsid w:val="053F1516"/>
    <w:rsid w:val="055C0951"/>
    <w:rsid w:val="059E7538"/>
    <w:rsid w:val="05BB3177"/>
    <w:rsid w:val="05F05C7D"/>
    <w:rsid w:val="063302CB"/>
    <w:rsid w:val="06362AC0"/>
    <w:rsid w:val="064A73D7"/>
    <w:rsid w:val="06E97B89"/>
    <w:rsid w:val="06EC2EBC"/>
    <w:rsid w:val="073E325D"/>
    <w:rsid w:val="07701543"/>
    <w:rsid w:val="078D77EF"/>
    <w:rsid w:val="07DD1A4E"/>
    <w:rsid w:val="07DE1B77"/>
    <w:rsid w:val="07E03FE2"/>
    <w:rsid w:val="07E96B01"/>
    <w:rsid w:val="07F36C9E"/>
    <w:rsid w:val="07F71F2F"/>
    <w:rsid w:val="08257D6D"/>
    <w:rsid w:val="08297BEC"/>
    <w:rsid w:val="08380F8C"/>
    <w:rsid w:val="089556E9"/>
    <w:rsid w:val="08A22BBA"/>
    <w:rsid w:val="08B17951"/>
    <w:rsid w:val="08B37200"/>
    <w:rsid w:val="08FF26FB"/>
    <w:rsid w:val="090A397A"/>
    <w:rsid w:val="095216D9"/>
    <w:rsid w:val="095A5B83"/>
    <w:rsid w:val="09622C8A"/>
    <w:rsid w:val="09745ABD"/>
    <w:rsid w:val="09B20472"/>
    <w:rsid w:val="09BF208D"/>
    <w:rsid w:val="0A0A4F5B"/>
    <w:rsid w:val="0A467193"/>
    <w:rsid w:val="0A5C4871"/>
    <w:rsid w:val="0A6C4A7C"/>
    <w:rsid w:val="0A772EA1"/>
    <w:rsid w:val="0A8018BD"/>
    <w:rsid w:val="0AA04BFE"/>
    <w:rsid w:val="0AC57974"/>
    <w:rsid w:val="0AF65D7F"/>
    <w:rsid w:val="0B7008A8"/>
    <w:rsid w:val="0B801CEE"/>
    <w:rsid w:val="0B845863"/>
    <w:rsid w:val="0B882E7B"/>
    <w:rsid w:val="0B883877"/>
    <w:rsid w:val="0BA14568"/>
    <w:rsid w:val="0BD6669A"/>
    <w:rsid w:val="0BF3763D"/>
    <w:rsid w:val="0C63753B"/>
    <w:rsid w:val="0C6E6D49"/>
    <w:rsid w:val="0C986E59"/>
    <w:rsid w:val="0C9B516B"/>
    <w:rsid w:val="0D223618"/>
    <w:rsid w:val="0D3842E0"/>
    <w:rsid w:val="0D5905D6"/>
    <w:rsid w:val="0D782A7C"/>
    <w:rsid w:val="0DCA0C20"/>
    <w:rsid w:val="0E1B6630"/>
    <w:rsid w:val="0E2567C4"/>
    <w:rsid w:val="0EA24D8E"/>
    <w:rsid w:val="0EA36093"/>
    <w:rsid w:val="0EB36461"/>
    <w:rsid w:val="0EB9334C"/>
    <w:rsid w:val="0EBB6DCF"/>
    <w:rsid w:val="0F0C223F"/>
    <w:rsid w:val="0F294E62"/>
    <w:rsid w:val="0F3922BA"/>
    <w:rsid w:val="0F441078"/>
    <w:rsid w:val="0F5A7DC0"/>
    <w:rsid w:val="0F64775C"/>
    <w:rsid w:val="0F7F477C"/>
    <w:rsid w:val="0F9811B3"/>
    <w:rsid w:val="0FA80423"/>
    <w:rsid w:val="0FA80936"/>
    <w:rsid w:val="0FB224CD"/>
    <w:rsid w:val="10DA1F7F"/>
    <w:rsid w:val="10EE3201"/>
    <w:rsid w:val="10FE5E4C"/>
    <w:rsid w:val="11643698"/>
    <w:rsid w:val="11643F98"/>
    <w:rsid w:val="118151C6"/>
    <w:rsid w:val="11D4394C"/>
    <w:rsid w:val="120A0293"/>
    <w:rsid w:val="1254771D"/>
    <w:rsid w:val="12BD38C9"/>
    <w:rsid w:val="12DE07BB"/>
    <w:rsid w:val="130F3E82"/>
    <w:rsid w:val="13423CF2"/>
    <w:rsid w:val="1375553C"/>
    <w:rsid w:val="13A15DD7"/>
    <w:rsid w:val="13DD3457"/>
    <w:rsid w:val="14186762"/>
    <w:rsid w:val="14237BE5"/>
    <w:rsid w:val="144B713C"/>
    <w:rsid w:val="147D712D"/>
    <w:rsid w:val="14861FBB"/>
    <w:rsid w:val="14997957"/>
    <w:rsid w:val="14B7032D"/>
    <w:rsid w:val="14CD2B47"/>
    <w:rsid w:val="1560191E"/>
    <w:rsid w:val="158562DB"/>
    <w:rsid w:val="15CA354C"/>
    <w:rsid w:val="15D05455"/>
    <w:rsid w:val="15EC171F"/>
    <w:rsid w:val="161426C7"/>
    <w:rsid w:val="16AF2506"/>
    <w:rsid w:val="16D3266C"/>
    <w:rsid w:val="171E2B79"/>
    <w:rsid w:val="17707100"/>
    <w:rsid w:val="17C13EE2"/>
    <w:rsid w:val="17FA618C"/>
    <w:rsid w:val="182072A4"/>
    <w:rsid w:val="197A09AB"/>
    <w:rsid w:val="199D176C"/>
    <w:rsid w:val="19BC2548"/>
    <w:rsid w:val="19C83DDC"/>
    <w:rsid w:val="1A1A5D37"/>
    <w:rsid w:val="1A2D2445"/>
    <w:rsid w:val="1A7279C0"/>
    <w:rsid w:val="1A757A51"/>
    <w:rsid w:val="1A775A50"/>
    <w:rsid w:val="1AA67F47"/>
    <w:rsid w:val="1ACA652B"/>
    <w:rsid w:val="1AD86527"/>
    <w:rsid w:val="1AF14B43"/>
    <w:rsid w:val="1AF568D9"/>
    <w:rsid w:val="1B124510"/>
    <w:rsid w:val="1B30212F"/>
    <w:rsid w:val="1B4310CA"/>
    <w:rsid w:val="1B9E5DA3"/>
    <w:rsid w:val="1BB179FB"/>
    <w:rsid w:val="1BCF489B"/>
    <w:rsid w:val="1C446F8F"/>
    <w:rsid w:val="1C4F709D"/>
    <w:rsid w:val="1C9F0025"/>
    <w:rsid w:val="1CB51EA5"/>
    <w:rsid w:val="1CD030A0"/>
    <w:rsid w:val="1D6A2C4E"/>
    <w:rsid w:val="1DC842EC"/>
    <w:rsid w:val="1DD71939"/>
    <w:rsid w:val="1F170346"/>
    <w:rsid w:val="1F3C2D23"/>
    <w:rsid w:val="1F5472F6"/>
    <w:rsid w:val="1FC66330"/>
    <w:rsid w:val="20052895"/>
    <w:rsid w:val="200D799B"/>
    <w:rsid w:val="203D0D6A"/>
    <w:rsid w:val="2087096D"/>
    <w:rsid w:val="20975384"/>
    <w:rsid w:val="20D3029D"/>
    <w:rsid w:val="20DE295D"/>
    <w:rsid w:val="214717D6"/>
    <w:rsid w:val="216A04BB"/>
    <w:rsid w:val="21982885"/>
    <w:rsid w:val="2199414A"/>
    <w:rsid w:val="21A12426"/>
    <w:rsid w:val="21A73454"/>
    <w:rsid w:val="21C63877"/>
    <w:rsid w:val="21FE7A7F"/>
    <w:rsid w:val="223E208E"/>
    <w:rsid w:val="224C3750"/>
    <w:rsid w:val="227C7B23"/>
    <w:rsid w:val="22A92835"/>
    <w:rsid w:val="22B01277"/>
    <w:rsid w:val="22B03475"/>
    <w:rsid w:val="22D4289C"/>
    <w:rsid w:val="22F870EC"/>
    <w:rsid w:val="2317411E"/>
    <w:rsid w:val="235A163E"/>
    <w:rsid w:val="23926242"/>
    <w:rsid w:val="23A63D8D"/>
    <w:rsid w:val="24377DF9"/>
    <w:rsid w:val="243A0D7D"/>
    <w:rsid w:val="244C0899"/>
    <w:rsid w:val="2491720E"/>
    <w:rsid w:val="24941AEF"/>
    <w:rsid w:val="24C73E65"/>
    <w:rsid w:val="24D668ED"/>
    <w:rsid w:val="256F255E"/>
    <w:rsid w:val="25A97820"/>
    <w:rsid w:val="25C428AA"/>
    <w:rsid w:val="25C63D87"/>
    <w:rsid w:val="25E06B30"/>
    <w:rsid w:val="25E44CFA"/>
    <w:rsid w:val="26082272"/>
    <w:rsid w:val="26485F1B"/>
    <w:rsid w:val="26924756"/>
    <w:rsid w:val="26B04B3E"/>
    <w:rsid w:val="26C37691"/>
    <w:rsid w:val="26CE53FA"/>
    <w:rsid w:val="272950BB"/>
    <w:rsid w:val="27404EB4"/>
    <w:rsid w:val="276C1B3A"/>
    <w:rsid w:val="277264CF"/>
    <w:rsid w:val="27A06B10"/>
    <w:rsid w:val="27CB6172"/>
    <w:rsid w:val="28471677"/>
    <w:rsid w:val="287E1436"/>
    <w:rsid w:val="29510A55"/>
    <w:rsid w:val="29D70F4D"/>
    <w:rsid w:val="2A120B13"/>
    <w:rsid w:val="2A421663"/>
    <w:rsid w:val="2A467D32"/>
    <w:rsid w:val="2A600021"/>
    <w:rsid w:val="2A6E1037"/>
    <w:rsid w:val="2A727C33"/>
    <w:rsid w:val="2AEA65F8"/>
    <w:rsid w:val="2AF008A3"/>
    <w:rsid w:val="2B00219F"/>
    <w:rsid w:val="2B357971"/>
    <w:rsid w:val="2B9C2815"/>
    <w:rsid w:val="2BA87B22"/>
    <w:rsid w:val="2BDC1404"/>
    <w:rsid w:val="2BDE3984"/>
    <w:rsid w:val="2BEA0B91"/>
    <w:rsid w:val="2C16110C"/>
    <w:rsid w:val="2C163970"/>
    <w:rsid w:val="2C482D0A"/>
    <w:rsid w:val="2CCF5514"/>
    <w:rsid w:val="2D0F0BCB"/>
    <w:rsid w:val="2DA53476"/>
    <w:rsid w:val="2DCF55B7"/>
    <w:rsid w:val="2E136162"/>
    <w:rsid w:val="2E1C51B6"/>
    <w:rsid w:val="2E516F47"/>
    <w:rsid w:val="2E867797"/>
    <w:rsid w:val="2EA445B4"/>
    <w:rsid w:val="2F10190F"/>
    <w:rsid w:val="2F31727D"/>
    <w:rsid w:val="2F326EFC"/>
    <w:rsid w:val="2F736F4A"/>
    <w:rsid w:val="2F950E14"/>
    <w:rsid w:val="2FC1562C"/>
    <w:rsid w:val="2FCE6D7B"/>
    <w:rsid w:val="2FFC7C4A"/>
    <w:rsid w:val="306308F3"/>
    <w:rsid w:val="30A836C7"/>
    <w:rsid w:val="30AB6F61"/>
    <w:rsid w:val="30C41D93"/>
    <w:rsid w:val="30DA3FFA"/>
    <w:rsid w:val="31044BF9"/>
    <w:rsid w:val="31256AA1"/>
    <w:rsid w:val="31557E7B"/>
    <w:rsid w:val="31570436"/>
    <w:rsid w:val="315C52CD"/>
    <w:rsid w:val="31612CF5"/>
    <w:rsid w:val="31665B97"/>
    <w:rsid w:val="3172742B"/>
    <w:rsid w:val="31B725B2"/>
    <w:rsid w:val="31FF0314"/>
    <w:rsid w:val="32024B1C"/>
    <w:rsid w:val="32254CD1"/>
    <w:rsid w:val="32394B07"/>
    <w:rsid w:val="323B6E74"/>
    <w:rsid w:val="328E69F6"/>
    <w:rsid w:val="32E5510F"/>
    <w:rsid w:val="33127A3B"/>
    <w:rsid w:val="33196863"/>
    <w:rsid w:val="3330051F"/>
    <w:rsid w:val="33584EBC"/>
    <w:rsid w:val="336765E2"/>
    <w:rsid w:val="33997124"/>
    <w:rsid w:val="33FC48D7"/>
    <w:rsid w:val="34127E81"/>
    <w:rsid w:val="34145801"/>
    <w:rsid w:val="34373437"/>
    <w:rsid w:val="348A6AA3"/>
    <w:rsid w:val="349809DE"/>
    <w:rsid w:val="34A4020D"/>
    <w:rsid w:val="34C2295A"/>
    <w:rsid w:val="34D736AF"/>
    <w:rsid w:val="34EC41DF"/>
    <w:rsid w:val="3537465F"/>
    <w:rsid w:val="3540705D"/>
    <w:rsid w:val="35B31A2A"/>
    <w:rsid w:val="35BC1D96"/>
    <w:rsid w:val="35CC12CF"/>
    <w:rsid w:val="360A6BB5"/>
    <w:rsid w:val="360B1E2F"/>
    <w:rsid w:val="36890788"/>
    <w:rsid w:val="36FB00F6"/>
    <w:rsid w:val="374530BA"/>
    <w:rsid w:val="37574AF9"/>
    <w:rsid w:val="37691FF5"/>
    <w:rsid w:val="3776777C"/>
    <w:rsid w:val="37CC6816"/>
    <w:rsid w:val="38016A9B"/>
    <w:rsid w:val="38192198"/>
    <w:rsid w:val="38797524"/>
    <w:rsid w:val="387E40BB"/>
    <w:rsid w:val="38E31861"/>
    <w:rsid w:val="38E505E8"/>
    <w:rsid w:val="38F60882"/>
    <w:rsid w:val="39475874"/>
    <w:rsid w:val="39496DF2"/>
    <w:rsid w:val="39527917"/>
    <w:rsid w:val="39681ABA"/>
    <w:rsid w:val="399F7A16"/>
    <w:rsid w:val="39CD3136"/>
    <w:rsid w:val="39D34E13"/>
    <w:rsid w:val="39E85FAE"/>
    <w:rsid w:val="3A275EB8"/>
    <w:rsid w:val="3A35735C"/>
    <w:rsid w:val="3B5228DF"/>
    <w:rsid w:val="3B9349CE"/>
    <w:rsid w:val="3BA96B71"/>
    <w:rsid w:val="3BB219FF"/>
    <w:rsid w:val="3BB70085"/>
    <w:rsid w:val="3BE23632"/>
    <w:rsid w:val="3BF8526F"/>
    <w:rsid w:val="3C390A30"/>
    <w:rsid w:val="3D071EE8"/>
    <w:rsid w:val="3D2047F5"/>
    <w:rsid w:val="3D304A96"/>
    <w:rsid w:val="3D41551C"/>
    <w:rsid w:val="3D9E24A4"/>
    <w:rsid w:val="3DBF34B6"/>
    <w:rsid w:val="3E8B2A99"/>
    <w:rsid w:val="3EDB1EAC"/>
    <w:rsid w:val="3F295AD8"/>
    <w:rsid w:val="3F310B83"/>
    <w:rsid w:val="3F3C44CF"/>
    <w:rsid w:val="3F5B441D"/>
    <w:rsid w:val="3FB641FB"/>
    <w:rsid w:val="3FBB6B51"/>
    <w:rsid w:val="40007F3F"/>
    <w:rsid w:val="40052AEB"/>
    <w:rsid w:val="407A652F"/>
    <w:rsid w:val="40C4170F"/>
    <w:rsid w:val="40F634A0"/>
    <w:rsid w:val="40F70F22"/>
    <w:rsid w:val="410757D7"/>
    <w:rsid w:val="415470BD"/>
    <w:rsid w:val="41563AE2"/>
    <w:rsid w:val="415A76AF"/>
    <w:rsid w:val="41A710C5"/>
    <w:rsid w:val="41CB5BA3"/>
    <w:rsid w:val="42161379"/>
    <w:rsid w:val="42243F12"/>
    <w:rsid w:val="426E2BB3"/>
    <w:rsid w:val="426E73A9"/>
    <w:rsid w:val="42975177"/>
    <w:rsid w:val="42BC4BDD"/>
    <w:rsid w:val="42EC395B"/>
    <w:rsid w:val="43064505"/>
    <w:rsid w:val="43185CAD"/>
    <w:rsid w:val="43254DBA"/>
    <w:rsid w:val="433C6F5D"/>
    <w:rsid w:val="43544E16"/>
    <w:rsid w:val="435A109D"/>
    <w:rsid w:val="43BC646A"/>
    <w:rsid w:val="43DB3530"/>
    <w:rsid w:val="43DB5537"/>
    <w:rsid w:val="44220155"/>
    <w:rsid w:val="443557C6"/>
    <w:rsid w:val="44692B43"/>
    <w:rsid w:val="448A5BCA"/>
    <w:rsid w:val="448E71CA"/>
    <w:rsid w:val="449F1324"/>
    <w:rsid w:val="44B37700"/>
    <w:rsid w:val="44F55B11"/>
    <w:rsid w:val="450B0DF5"/>
    <w:rsid w:val="45252301"/>
    <w:rsid w:val="452A2283"/>
    <w:rsid w:val="452F789F"/>
    <w:rsid w:val="45313B95"/>
    <w:rsid w:val="4536748B"/>
    <w:rsid w:val="4574626F"/>
    <w:rsid w:val="45A84663"/>
    <w:rsid w:val="45D74323"/>
    <w:rsid w:val="45E701C3"/>
    <w:rsid w:val="46483E25"/>
    <w:rsid w:val="46905CD0"/>
    <w:rsid w:val="46DC2BC3"/>
    <w:rsid w:val="46F01E8C"/>
    <w:rsid w:val="46F53476"/>
    <w:rsid w:val="473A6F41"/>
    <w:rsid w:val="473D70ED"/>
    <w:rsid w:val="474657FE"/>
    <w:rsid w:val="47562215"/>
    <w:rsid w:val="475D5768"/>
    <w:rsid w:val="477672CE"/>
    <w:rsid w:val="47A02FEE"/>
    <w:rsid w:val="47B4475B"/>
    <w:rsid w:val="47E760E3"/>
    <w:rsid w:val="47FD735B"/>
    <w:rsid w:val="480802EF"/>
    <w:rsid w:val="485943C2"/>
    <w:rsid w:val="487476DC"/>
    <w:rsid w:val="488C76AF"/>
    <w:rsid w:val="48A615A3"/>
    <w:rsid w:val="48D52FDF"/>
    <w:rsid w:val="48FD51A2"/>
    <w:rsid w:val="490B5675"/>
    <w:rsid w:val="49A04964"/>
    <w:rsid w:val="4A1A4645"/>
    <w:rsid w:val="4A506A7B"/>
    <w:rsid w:val="4A7346B1"/>
    <w:rsid w:val="4AC05487"/>
    <w:rsid w:val="4B14336D"/>
    <w:rsid w:val="4B3D13E7"/>
    <w:rsid w:val="4B577927"/>
    <w:rsid w:val="4B760A5C"/>
    <w:rsid w:val="4BF835B4"/>
    <w:rsid w:val="4C1A175E"/>
    <w:rsid w:val="4C4A4FC9"/>
    <w:rsid w:val="4C7450FB"/>
    <w:rsid w:val="4C835CCE"/>
    <w:rsid w:val="4C855396"/>
    <w:rsid w:val="4CC95E8A"/>
    <w:rsid w:val="4CD17A13"/>
    <w:rsid w:val="4CF124C7"/>
    <w:rsid w:val="4D2034FC"/>
    <w:rsid w:val="4D5A6673"/>
    <w:rsid w:val="4DC81BD1"/>
    <w:rsid w:val="4E453FA9"/>
    <w:rsid w:val="4E8375E5"/>
    <w:rsid w:val="4EBB663A"/>
    <w:rsid w:val="4F8130F2"/>
    <w:rsid w:val="4FFB4A48"/>
    <w:rsid w:val="50797895"/>
    <w:rsid w:val="50911D55"/>
    <w:rsid w:val="50A84B61"/>
    <w:rsid w:val="50D4472B"/>
    <w:rsid w:val="50E0418D"/>
    <w:rsid w:val="512B513A"/>
    <w:rsid w:val="51322546"/>
    <w:rsid w:val="51A64A84"/>
    <w:rsid w:val="51A67184"/>
    <w:rsid w:val="51AD3868"/>
    <w:rsid w:val="51ED068C"/>
    <w:rsid w:val="51FA450E"/>
    <w:rsid w:val="5219153F"/>
    <w:rsid w:val="521D6D1B"/>
    <w:rsid w:val="522E46A6"/>
    <w:rsid w:val="528817F3"/>
    <w:rsid w:val="52BB2832"/>
    <w:rsid w:val="52C85E60"/>
    <w:rsid w:val="5328717E"/>
    <w:rsid w:val="532E7953"/>
    <w:rsid w:val="535624E4"/>
    <w:rsid w:val="53F266B1"/>
    <w:rsid w:val="54044563"/>
    <w:rsid w:val="5472334E"/>
    <w:rsid w:val="54BC6CBF"/>
    <w:rsid w:val="54BD5016"/>
    <w:rsid w:val="54C76E9D"/>
    <w:rsid w:val="54D21738"/>
    <w:rsid w:val="552E65CF"/>
    <w:rsid w:val="55D02010"/>
    <w:rsid w:val="55D5623E"/>
    <w:rsid w:val="562F4ED3"/>
    <w:rsid w:val="56881D03"/>
    <w:rsid w:val="568C38FC"/>
    <w:rsid w:val="56C93DF1"/>
    <w:rsid w:val="57043296"/>
    <w:rsid w:val="5740223A"/>
    <w:rsid w:val="577F2AA1"/>
    <w:rsid w:val="579569BD"/>
    <w:rsid w:val="57DE5EB8"/>
    <w:rsid w:val="57E26ABC"/>
    <w:rsid w:val="57F52721"/>
    <w:rsid w:val="580B5C74"/>
    <w:rsid w:val="58113D88"/>
    <w:rsid w:val="583C2413"/>
    <w:rsid w:val="585B234B"/>
    <w:rsid w:val="58717625"/>
    <w:rsid w:val="588A4480"/>
    <w:rsid w:val="58BD4DB3"/>
    <w:rsid w:val="59014E83"/>
    <w:rsid w:val="592635D8"/>
    <w:rsid w:val="59284BD5"/>
    <w:rsid w:val="59731CFA"/>
    <w:rsid w:val="59934285"/>
    <w:rsid w:val="59B212B6"/>
    <w:rsid w:val="59B44897"/>
    <w:rsid w:val="59F92CC7"/>
    <w:rsid w:val="59FA16AA"/>
    <w:rsid w:val="5A271408"/>
    <w:rsid w:val="5A6D3BE8"/>
    <w:rsid w:val="5A8E07B6"/>
    <w:rsid w:val="5ACD39D4"/>
    <w:rsid w:val="5AF37439"/>
    <w:rsid w:val="5B137BF9"/>
    <w:rsid w:val="5B1822AA"/>
    <w:rsid w:val="5B991157"/>
    <w:rsid w:val="5B9A6BD8"/>
    <w:rsid w:val="5BAA6E73"/>
    <w:rsid w:val="5BC11016"/>
    <w:rsid w:val="5C0D1BAE"/>
    <w:rsid w:val="5C6C0BFB"/>
    <w:rsid w:val="5C7C05B0"/>
    <w:rsid w:val="5C8949A7"/>
    <w:rsid w:val="5C9127DF"/>
    <w:rsid w:val="5CCD54FA"/>
    <w:rsid w:val="5D0D1C3E"/>
    <w:rsid w:val="5D3B44E3"/>
    <w:rsid w:val="5D7E7207"/>
    <w:rsid w:val="5DAC403A"/>
    <w:rsid w:val="5DE27D97"/>
    <w:rsid w:val="5E261785"/>
    <w:rsid w:val="5E6160E7"/>
    <w:rsid w:val="5E6C5D9D"/>
    <w:rsid w:val="5E712E27"/>
    <w:rsid w:val="5E7A7E0A"/>
    <w:rsid w:val="5EA93B0E"/>
    <w:rsid w:val="5F2F43F1"/>
    <w:rsid w:val="5F53662C"/>
    <w:rsid w:val="5F59320E"/>
    <w:rsid w:val="5F7F297F"/>
    <w:rsid w:val="5FBA204D"/>
    <w:rsid w:val="603E0D7E"/>
    <w:rsid w:val="604E460D"/>
    <w:rsid w:val="607544CD"/>
    <w:rsid w:val="60983788"/>
    <w:rsid w:val="609D79A4"/>
    <w:rsid w:val="60A93A22"/>
    <w:rsid w:val="60BF1449"/>
    <w:rsid w:val="60C06ECB"/>
    <w:rsid w:val="61240EAD"/>
    <w:rsid w:val="61456583"/>
    <w:rsid w:val="61677A95"/>
    <w:rsid w:val="62325AA7"/>
    <w:rsid w:val="623600EF"/>
    <w:rsid w:val="624C1ED5"/>
    <w:rsid w:val="62595081"/>
    <w:rsid w:val="62875DBF"/>
    <w:rsid w:val="62A212A2"/>
    <w:rsid w:val="62D12113"/>
    <w:rsid w:val="62E62FCC"/>
    <w:rsid w:val="63390858"/>
    <w:rsid w:val="63C13D1B"/>
    <w:rsid w:val="63FC3E19"/>
    <w:rsid w:val="64756125"/>
    <w:rsid w:val="6492430D"/>
    <w:rsid w:val="64960795"/>
    <w:rsid w:val="64B50D21"/>
    <w:rsid w:val="64C76D65"/>
    <w:rsid w:val="64CF1769"/>
    <w:rsid w:val="64D53AFD"/>
    <w:rsid w:val="64E67DCE"/>
    <w:rsid w:val="65173F3F"/>
    <w:rsid w:val="659538DD"/>
    <w:rsid w:val="65B33818"/>
    <w:rsid w:val="6615622F"/>
    <w:rsid w:val="662D1D8C"/>
    <w:rsid w:val="66644AC0"/>
    <w:rsid w:val="66DD064E"/>
    <w:rsid w:val="66EF77A0"/>
    <w:rsid w:val="672D16D2"/>
    <w:rsid w:val="67AE1354"/>
    <w:rsid w:val="6855023B"/>
    <w:rsid w:val="685A46C3"/>
    <w:rsid w:val="686C3CD6"/>
    <w:rsid w:val="68842FA2"/>
    <w:rsid w:val="68AC7BC4"/>
    <w:rsid w:val="69172E0A"/>
    <w:rsid w:val="695F39A7"/>
    <w:rsid w:val="696B6C2A"/>
    <w:rsid w:val="69C71740"/>
    <w:rsid w:val="69D23E98"/>
    <w:rsid w:val="69DD483F"/>
    <w:rsid w:val="69EB1A2A"/>
    <w:rsid w:val="69F267A5"/>
    <w:rsid w:val="6A0B715B"/>
    <w:rsid w:val="6A6B5348"/>
    <w:rsid w:val="6B1A4247"/>
    <w:rsid w:val="6B1D1948"/>
    <w:rsid w:val="6B260059"/>
    <w:rsid w:val="6B2C4161"/>
    <w:rsid w:val="6B7A6AB3"/>
    <w:rsid w:val="6B990097"/>
    <w:rsid w:val="6B9B5A9A"/>
    <w:rsid w:val="6BA46B57"/>
    <w:rsid w:val="6BC27ED8"/>
    <w:rsid w:val="6BEA318F"/>
    <w:rsid w:val="6C4F6842"/>
    <w:rsid w:val="6CCE558F"/>
    <w:rsid w:val="6CE41BBF"/>
    <w:rsid w:val="6D1C60F5"/>
    <w:rsid w:val="6D1E4031"/>
    <w:rsid w:val="6D303931"/>
    <w:rsid w:val="6D582E02"/>
    <w:rsid w:val="6D5D1F59"/>
    <w:rsid w:val="6D8C29C6"/>
    <w:rsid w:val="6DAF0D17"/>
    <w:rsid w:val="6E105C5A"/>
    <w:rsid w:val="6E115DA2"/>
    <w:rsid w:val="6E306D57"/>
    <w:rsid w:val="6E7E1EAA"/>
    <w:rsid w:val="6EA9571C"/>
    <w:rsid w:val="6EAC4123"/>
    <w:rsid w:val="6EAF39B5"/>
    <w:rsid w:val="6EBC193D"/>
    <w:rsid w:val="6ECB5863"/>
    <w:rsid w:val="6EFF612B"/>
    <w:rsid w:val="6F196CD5"/>
    <w:rsid w:val="6F201154"/>
    <w:rsid w:val="6F201F68"/>
    <w:rsid w:val="6F7A7FF3"/>
    <w:rsid w:val="6F8F7052"/>
    <w:rsid w:val="6FD221F0"/>
    <w:rsid w:val="702B5214"/>
    <w:rsid w:val="70591A28"/>
    <w:rsid w:val="706D13C2"/>
    <w:rsid w:val="70726901"/>
    <w:rsid w:val="70971551"/>
    <w:rsid w:val="70A552C9"/>
    <w:rsid w:val="70D127A3"/>
    <w:rsid w:val="713C7B0A"/>
    <w:rsid w:val="71525B9A"/>
    <w:rsid w:val="718844D0"/>
    <w:rsid w:val="718F3E5B"/>
    <w:rsid w:val="71A277CA"/>
    <w:rsid w:val="71AD32A1"/>
    <w:rsid w:val="71CF1D25"/>
    <w:rsid w:val="71D74ADE"/>
    <w:rsid w:val="724C3E3D"/>
    <w:rsid w:val="725D5E82"/>
    <w:rsid w:val="7279694F"/>
    <w:rsid w:val="72A50764"/>
    <w:rsid w:val="72EF1CB0"/>
    <w:rsid w:val="72FF663B"/>
    <w:rsid w:val="73142D5D"/>
    <w:rsid w:val="7387186E"/>
    <w:rsid w:val="73C1083E"/>
    <w:rsid w:val="74AC1B7A"/>
    <w:rsid w:val="750E27C7"/>
    <w:rsid w:val="751524A3"/>
    <w:rsid w:val="752D33CD"/>
    <w:rsid w:val="75527D89"/>
    <w:rsid w:val="7583635A"/>
    <w:rsid w:val="75AA027A"/>
    <w:rsid w:val="75F2660E"/>
    <w:rsid w:val="76236DE7"/>
    <w:rsid w:val="76263B40"/>
    <w:rsid w:val="7629236B"/>
    <w:rsid w:val="762C0D71"/>
    <w:rsid w:val="764C3824"/>
    <w:rsid w:val="764F47A9"/>
    <w:rsid w:val="766029AE"/>
    <w:rsid w:val="767C6F7A"/>
    <w:rsid w:val="76AA1D6E"/>
    <w:rsid w:val="77757C10"/>
    <w:rsid w:val="77DB77B3"/>
    <w:rsid w:val="78295334"/>
    <w:rsid w:val="784E1E10"/>
    <w:rsid w:val="789A68EC"/>
    <w:rsid w:val="789F1613"/>
    <w:rsid w:val="78C15CA3"/>
    <w:rsid w:val="78E40EFC"/>
    <w:rsid w:val="78F8252B"/>
    <w:rsid w:val="791C7DBF"/>
    <w:rsid w:val="79306A60"/>
    <w:rsid w:val="7954379C"/>
    <w:rsid w:val="79753CD1"/>
    <w:rsid w:val="799E7093"/>
    <w:rsid w:val="79DE3700"/>
    <w:rsid w:val="79DF1649"/>
    <w:rsid w:val="79F60DA7"/>
    <w:rsid w:val="7A410F49"/>
    <w:rsid w:val="7A4E7237"/>
    <w:rsid w:val="7A8B6668"/>
    <w:rsid w:val="7A966901"/>
    <w:rsid w:val="7ADE2C3C"/>
    <w:rsid w:val="7AFA14BC"/>
    <w:rsid w:val="7B5257E0"/>
    <w:rsid w:val="7B7D678D"/>
    <w:rsid w:val="7B8B6C3F"/>
    <w:rsid w:val="7BCC4DA1"/>
    <w:rsid w:val="7BD712BD"/>
    <w:rsid w:val="7C1728A9"/>
    <w:rsid w:val="7C541407"/>
    <w:rsid w:val="7C5C3F88"/>
    <w:rsid w:val="7C793044"/>
    <w:rsid w:val="7C7F29CF"/>
    <w:rsid w:val="7CB91E86"/>
    <w:rsid w:val="7CD662C0"/>
    <w:rsid w:val="7CF61714"/>
    <w:rsid w:val="7D4E2165"/>
    <w:rsid w:val="7D830F78"/>
    <w:rsid w:val="7D9C4F7F"/>
    <w:rsid w:val="7DA22237"/>
    <w:rsid w:val="7DC73FEB"/>
    <w:rsid w:val="7E0F33E1"/>
    <w:rsid w:val="7E3855A4"/>
    <w:rsid w:val="7E732C13"/>
    <w:rsid w:val="7ED93E46"/>
    <w:rsid w:val="7F1A0661"/>
    <w:rsid w:val="7F1A5FD0"/>
    <w:rsid w:val="7F2112F3"/>
    <w:rsid w:val="7FAC1B44"/>
    <w:rsid w:val="7FDC6517"/>
    <w:rsid w:val="7FEE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6">
    <w:name w:val="heading 2"/>
    <w:basedOn w:val="1"/>
    <w:next w:val="1"/>
    <w:qFormat/>
    <w:uiPriority w:val="99"/>
    <w:pPr>
      <w:keepNext/>
      <w:keepLines/>
      <w:spacing w:before="260" w:after="260" w:line="413" w:lineRule="auto"/>
      <w:outlineLvl w:val="1"/>
    </w:pPr>
    <w:rPr>
      <w:rFonts w:ascii="Arial" w:hAnsi="Arial" w:eastAsia="黑体"/>
      <w:b/>
      <w:sz w:val="32"/>
      <w:szCs w:val="2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sz w:val="21"/>
      <w:szCs w:val="22"/>
    </w:rPr>
  </w:style>
  <w:style w:type="paragraph" w:styleId="3">
    <w:name w:val="Body Text"/>
    <w:basedOn w:val="1"/>
    <w:next w:val="1"/>
    <w:semiHidden/>
    <w:unhideWhenUsed/>
    <w:qFormat/>
    <w:uiPriority w:val="99"/>
    <w:pPr>
      <w:spacing w:after="120"/>
    </w:pPr>
  </w:style>
  <w:style w:type="paragraph" w:styleId="4">
    <w:name w:val="List 3"/>
    <w:basedOn w:val="1"/>
    <w:next w:val="1"/>
    <w:qFormat/>
    <w:uiPriority w:val="0"/>
    <w:pPr>
      <w:adjustRightInd w:val="0"/>
      <w:snapToGrid w:val="0"/>
      <w:spacing w:line="360" w:lineRule="auto"/>
      <w:ind w:left="100" w:leftChars="400" w:hanging="200" w:hanging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Indent"/>
    <w:basedOn w:val="1"/>
    <w:next w:val="9"/>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9">
    <w:name w:val="envelope return"/>
    <w:basedOn w:val="1"/>
    <w:semiHidden/>
    <w:qFormat/>
    <w:uiPriority w:val="0"/>
    <w:pPr>
      <w:snapToGrid w:val="0"/>
    </w:pPr>
    <w:rPr>
      <w:rFonts w:ascii="Arial" w:hAnsi="Arial" w:cs="Arial"/>
    </w:rPr>
  </w:style>
  <w:style w:type="paragraph" w:styleId="10">
    <w:name w:val="Plain Text"/>
    <w:basedOn w:val="1"/>
    <w:qFormat/>
    <w:uiPriority w:val="0"/>
    <w:pPr>
      <w:adjustRightInd w:val="0"/>
      <w:snapToGrid w:val="0"/>
      <w:spacing w:line="360" w:lineRule="auto"/>
    </w:pPr>
    <w:rPr>
      <w:rFonts w:ascii="宋体" w:hAnsi="Courier New"/>
      <w:szCs w:val="20"/>
    </w:rPr>
  </w:style>
  <w:style w:type="paragraph" w:styleId="11">
    <w:name w:val="Balloon Text"/>
    <w:basedOn w:val="1"/>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jc w:val="left"/>
    </w:pPr>
    <w:rPr>
      <w:b/>
      <w:bCs/>
      <w:caps/>
      <w:sz w:val="20"/>
    </w:rPr>
  </w:style>
  <w:style w:type="paragraph" w:styleId="1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First Indent 2"/>
    <w:basedOn w:val="8"/>
    <w:semiHidden/>
    <w:qFormat/>
    <w:uiPriority w:val="0"/>
    <w:pPr>
      <w:ind w:firstLine="420"/>
    </w:pPr>
    <w:rPr>
      <w:sz w:val="18"/>
      <w:szCs w:val="18"/>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表格文字"/>
    <w:basedOn w:val="1"/>
    <w:qFormat/>
    <w:uiPriority w:val="0"/>
    <w:pPr>
      <w:spacing w:before="25" w:after="25"/>
      <w:jc w:val="left"/>
    </w:pPr>
    <w:rPr>
      <w:rFonts w:ascii="Times New Roman" w:hAnsi="Times New Roman" w:eastAsia="宋体" w:cs="Times New Roman"/>
      <w:bCs/>
      <w:color w:val="auto"/>
      <w:spacing w:val="10"/>
      <w:kern w:val="0"/>
      <w:szCs w:val="20"/>
    </w:rPr>
  </w:style>
  <w:style w:type="paragraph" w:customStyle="1" w:styleId="22">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character" w:customStyle="1" w:styleId="23">
    <w:name w:val="font71"/>
    <w:basedOn w:val="19"/>
    <w:qFormat/>
    <w:uiPriority w:val="0"/>
    <w:rPr>
      <w:rFonts w:hint="default" w:ascii="Times New Roman" w:hAnsi="Times New Roman" w:cs="Times New Roman"/>
      <w:color w:val="000000"/>
      <w:sz w:val="22"/>
      <w:szCs w:val="22"/>
      <w:u w:val="none"/>
    </w:rPr>
  </w:style>
  <w:style w:type="character" w:customStyle="1" w:styleId="24">
    <w:name w:val="font21"/>
    <w:basedOn w:val="19"/>
    <w:qFormat/>
    <w:uiPriority w:val="0"/>
    <w:rPr>
      <w:rFonts w:ascii="方正仿宋_GBK" w:hAnsi="方正仿宋_GBK" w:eastAsia="方正仿宋_GBK" w:cs="方正仿宋_GBK"/>
      <w:color w:val="000000"/>
      <w:sz w:val="22"/>
      <w:szCs w:val="22"/>
      <w:u w:val="none"/>
    </w:rPr>
  </w:style>
  <w:style w:type="paragraph" w:customStyle="1" w:styleId="25">
    <w:name w:val="列表段落2"/>
    <w:basedOn w:val="1"/>
    <w:qFormat/>
    <w:uiPriority w:val="99"/>
    <w:pPr>
      <w:ind w:firstLine="420" w:firstLineChars="200"/>
    </w:pPr>
  </w:style>
  <w:style w:type="paragraph" w:styleId="26">
    <w:name w:val="List Paragraph"/>
    <w:basedOn w:val="1"/>
    <w:qFormat/>
    <w:uiPriority w:val="34"/>
    <w:pPr>
      <w:ind w:firstLine="420" w:firstLineChars="200"/>
    </w:pPr>
  </w:style>
  <w:style w:type="character" w:customStyle="1" w:styleId="27">
    <w:name w:val="font11"/>
    <w:basedOn w:val="19"/>
    <w:qFormat/>
    <w:uiPriority w:val="0"/>
    <w:rPr>
      <w:rFonts w:ascii="等线" w:hAnsi="等线" w:eastAsia="等线" w:cs="等线"/>
      <w:color w:val="000000"/>
      <w:sz w:val="22"/>
      <w:szCs w:val="22"/>
      <w:u w:val="none"/>
    </w:rPr>
  </w:style>
  <w:style w:type="character" w:customStyle="1" w:styleId="28">
    <w:name w:val="font01"/>
    <w:basedOn w:val="19"/>
    <w:qFormat/>
    <w:uiPriority w:val="0"/>
    <w:rPr>
      <w:rFonts w:ascii="Calibri" w:hAnsi="Calibri" w:cs="Calibri"/>
      <w:color w:val="000000"/>
      <w:sz w:val="22"/>
      <w:szCs w:val="22"/>
      <w:u w:val="none"/>
    </w:rPr>
  </w:style>
  <w:style w:type="character" w:customStyle="1" w:styleId="29">
    <w:name w:val="font51"/>
    <w:basedOn w:val="19"/>
    <w:qFormat/>
    <w:uiPriority w:val="0"/>
    <w:rPr>
      <w:rFonts w:hint="eastAsia" w:ascii="方正仿宋_GBK" w:hAnsi="方正仿宋_GBK" w:eastAsia="方正仿宋_GBK" w:cs="方正仿宋_GBK"/>
      <w:color w:val="000000"/>
      <w:sz w:val="24"/>
      <w:szCs w:val="24"/>
      <w:u w:val="none"/>
    </w:rPr>
  </w:style>
  <w:style w:type="character" w:customStyle="1" w:styleId="30">
    <w:name w:val="font81"/>
    <w:basedOn w:val="19"/>
    <w:qFormat/>
    <w:uiPriority w:val="0"/>
    <w:rPr>
      <w:rFonts w:hint="eastAsia" w:ascii="方正仿宋_GBK" w:hAnsi="方正仿宋_GBK" w:eastAsia="方正仿宋_GBK" w:cs="方正仿宋_GBK"/>
      <w:color w:val="000000"/>
      <w:sz w:val="22"/>
      <w:szCs w:val="22"/>
      <w:u w:val="none"/>
    </w:rPr>
  </w:style>
  <w:style w:type="character" w:customStyle="1" w:styleId="31">
    <w:name w:val="font61"/>
    <w:basedOn w:val="19"/>
    <w:qFormat/>
    <w:uiPriority w:val="0"/>
    <w:rPr>
      <w:rFonts w:hint="eastAsia" w:ascii="方正仿宋_GBK" w:hAnsi="方正仿宋_GBK" w:eastAsia="方正仿宋_GBK" w:cs="方正仿宋_GBK"/>
      <w:color w:val="000000"/>
      <w:sz w:val="22"/>
      <w:szCs w:val="22"/>
      <w:u w:val="none"/>
    </w:rPr>
  </w:style>
  <w:style w:type="paragraph" w:customStyle="1" w:styleId="32">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33">
    <w:name w:val="font112"/>
    <w:basedOn w:val="19"/>
    <w:qFormat/>
    <w:uiPriority w:val="0"/>
    <w:rPr>
      <w:rFonts w:hint="eastAsia" w:ascii="宋体" w:hAnsi="宋体" w:eastAsia="宋体" w:cs="宋体"/>
      <w:color w:val="000000"/>
      <w:sz w:val="22"/>
      <w:szCs w:val="22"/>
      <w:u w:val="none"/>
    </w:rPr>
  </w:style>
  <w:style w:type="character" w:customStyle="1" w:styleId="34">
    <w:name w:val="font121"/>
    <w:basedOn w:val="19"/>
    <w:qFormat/>
    <w:uiPriority w:val="0"/>
    <w:rPr>
      <w:rFonts w:hint="default" w:ascii="Times New Roman" w:hAnsi="Times New Roman" w:cs="Times New Roman"/>
      <w:color w:val="000000"/>
      <w:sz w:val="22"/>
      <w:szCs w:val="22"/>
      <w:u w:val="none"/>
    </w:rPr>
  </w:style>
  <w:style w:type="character" w:customStyle="1" w:styleId="35">
    <w:name w:val="font131"/>
    <w:basedOn w:val="19"/>
    <w:qFormat/>
    <w:uiPriority w:val="0"/>
    <w:rPr>
      <w:rFonts w:hint="eastAsia" w:ascii="宋体" w:hAnsi="宋体" w:eastAsia="宋体" w:cs="宋体"/>
      <w:color w:val="000000"/>
      <w:sz w:val="21"/>
      <w:szCs w:val="21"/>
      <w:u w:val="none"/>
    </w:rPr>
  </w:style>
  <w:style w:type="paragraph" w:customStyle="1" w:styleId="36">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BodyText"/>
    <w:basedOn w:val="1"/>
    <w:next w:val="38"/>
    <w:qFormat/>
    <w:uiPriority w:val="0"/>
    <w:pPr>
      <w:jc w:val="both"/>
      <w:textAlignment w:val="baseline"/>
    </w:pPr>
    <w:rPr>
      <w:rFonts w:ascii="仿宋_GB2312" w:eastAsia="仿宋_GB2312"/>
      <w:kern w:val="2"/>
      <w:sz w:val="32"/>
      <w:lang w:val="en-US" w:eastAsia="zh-CN" w:bidi="ar-SA"/>
    </w:rPr>
  </w:style>
  <w:style w:type="paragraph" w:customStyle="1" w:styleId="38">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550</Words>
  <Characters>588</Characters>
  <Lines>0</Lines>
  <Paragraphs>0</Paragraphs>
  <TotalTime>5</TotalTime>
  <ScaleCrop>false</ScaleCrop>
  <LinksUpToDate>false</LinksUpToDate>
  <CharactersWithSpaces>675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2021-04-15T03:20:00Z</dcterms:created>
  <dc:creator>2</dc:creator>
  <cp:lastModifiedBy>蒋宇航</cp:lastModifiedBy>
  <cp:lastPrinted>2025-05-28T00:58:00Z</cp:lastPrinted>
  <dcterms:modified xsi:type="dcterms:W3CDTF">2025-12-26T07:37:23Z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998663D7076E442CA63761A45DF7891C</vt:lpwstr>
  </property>
  <property fmtid="{D5CDD505-2E9C-101B-9397-08002B2CF9AE}" pid="4" name="KSOTemplateDocerSaveRecord">
    <vt:lpwstr>eyJoZGlkIjoiYzMxNjdiZjIxNGEwOTkwMzdjMGZjZGQxMGVhODBlYTkifQ==</vt:lpwstr>
  </property>
</Properties>
</file>