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874AE">
      <w:pPr>
        <w:jc w:val="center"/>
        <w:rPr>
          <w:rFonts w:hint="eastAsia" w:ascii="宋体" w:hAnsi="宋体"/>
          <w:b/>
          <w:bCs/>
          <w:color w:val="auto"/>
          <w:kern w:val="0"/>
          <w:sz w:val="44"/>
          <w:szCs w:val="44"/>
          <w:highlight w:val="none"/>
          <w:lang w:eastAsia="zh-CN"/>
        </w:rPr>
      </w:pPr>
      <w:r>
        <w:rPr>
          <w:rFonts w:hint="eastAsia" w:ascii="宋体" w:hAnsi="宋体"/>
          <w:b/>
          <w:bCs/>
          <w:color w:val="auto"/>
          <w:kern w:val="0"/>
          <w:sz w:val="44"/>
          <w:szCs w:val="44"/>
          <w:highlight w:val="none"/>
          <w:lang w:eastAsia="zh-CN"/>
        </w:rPr>
        <w:t>利得尔小区电梯更新工程</w:t>
      </w:r>
    </w:p>
    <w:p w14:paraId="75EE9D2F">
      <w:pPr>
        <w:numPr>
          <w:numId w:val="0"/>
        </w:numPr>
        <w:spacing w:line="360" w:lineRule="auto"/>
        <w:ind w:firstLine="562" w:firstLineChars="200"/>
        <w:jc w:val="center"/>
        <w:rPr>
          <w:rFonts w:hint="default" w:ascii="宋体" w:hAnsi="宋体"/>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竞争性比选文件补充通知（一）</w:t>
      </w:r>
    </w:p>
    <w:p w14:paraId="4EEC378C">
      <w:pPr>
        <w:numPr>
          <w:numId w:val="0"/>
        </w:numPr>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1、利得尔小区电梯更新工程竞争性比选文件第三章 评标办法前附表第2.2.2（1）条和2.2.2（2）条现明确如下：</w:t>
      </w:r>
    </w:p>
    <w:tbl>
      <w:tblPr>
        <w:tblStyle w:val="3"/>
        <w:tblW w:w="8989" w:type="dxa"/>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4"/>
        <w:gridCol w:w="633"/>
        <w:gridCol w:w="1047"/>
        <w:gridCol w:w="1719"/>
        <w:gridCol w:w="4586"/>
      </w:tblGrid>
      <w:tr w14:paraId="27D6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restart"/>
            <w:tcBorders>
              <w:right w:val="single" w:color="auto" w:sz="4" w:space="0"/>
            </w:tcBorders>
            <w:vAlign w:val="center"/>
          </w:tcPr>
          <w:p w14:paraId="22BAE593">
            <w:pPr>
              <w:pageBreakBefore w:val="0"/>
              <w:kinsoku/>
              <w:bidi w:val="0"/>
              <w:spacing w:line="400" w:lineRule="exact"/>
              <w:jc w:val="center"/>
              <w:rPr>
                <w:rFonts w:ascii="宋体" w:hAnsi="宋体"/>
                <w:color w:val="auto"/>
                <w:kern w:val="0"/>
                <w:highlight w:val="none"/>
              </w:rPr>
            </w:pPr>
            <w:r>
              <w:rPr>
                <w:rFonts w:hint="eastAsia" w:ascii="宋体" w:hAnsi="宋体"/>
                <w:color w:val="auto"/>
                <w:kern w:val="0"/>
                <w:highlight w:val="none"/>
              </w:rPr>
              <w:t>2.2.2（1）</w:t>
            </w:r>
          </w:p>
        </w:tc>
        <w:tc>
          <w:tcPr>
            <w:tcW w:w="633" w:type="dxa"/>
            <w:vMerge w:val="restart"/>
            <w:tcBorders>
              <w:right w:val="single" w:color="auto" w:sz="4" w:space="0"/>
            </w:tcBorders>
            <w:vAlign w:val="center"/>
          </w:tcPr>
          <w:p w14:paraId="70B84507">
            <w:pPr>
              <w:pageBreakBefore w:val="0"/>
              <w:tabs>
                <w:tab w:val="left" w:pos="1875"/>
              </w:tabs>
              <w:kinsoku/>
              <w:bidi w:val="0"/>
              <w:spacing w:line="400" w:lineRule="exact"/>
              <w:jc w:val="center"/>
              <w:rPr>
                <w:rFonts w:ascii="宋体" w:hAnsi="宋体"/>
                <w:color w:val="auto"/>
                <w:kern w:val="0"/>
                <w:highlight w:val="none"/>
              </w:rPr>
            </w:pPr>
          </w:p>
          <w:p w14:paraId="2FDD6566">
            <w:pPr>
              <w:pageBreakBefore w:val="0"/>
              <w:tabs>
                <w:tab w:val="left" w:pos="1875"/>
              </w:tabs>
              <w:kinsoku/>
              <w:bidi w:val="0"/>
              <w:spacing w:line="400" w:lineRule="exact"/>
              <w:jc w:val="center"/>
              <w:rPr>
                <w:rFonts w:ascii="宋体" w:hAnsi="宋体"/>
                <w:color w:val="auto"/>
                <w:kern w:val="0"/>
                <w:highlight w:val="none"/>
              </w:rPr>
            </w:pPr>
          </w:p>
          <w:p w14:paraId="6E9B652E">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技</w:t>
            </w:r>
          </w:p>
          <w:p w14:paraId="66D0168A">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术</w:t>
            </w:r>
          </w:p>
          <w:p w14:paraId="569E7D60">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方</w:t>
            </w:r>
          </w:p>
          <w:p w14:paraId="3F192411">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案</w:t>
            </w:r>
          </w:p>
          <w:p w14:paraId="394FD53D">
            <w:pPr>
              <w:pageBreakBefore w:val="0"/>
              <w:tabs>
                <w:tab w:val="left" w:pos="1875"/>
              </w:tabs>
              <w:kinsoku/>
              <w:bidi w:val="0"/>
              <w:spacing w:line="400" w:lineRule="exact"/>
              <w:jc w:val="center"/>
              <w:rPr>
                <w:rFonts w:ascii="宋体" w:hAnsi="宋体"/>
                <w:color w:val="auto"/>
                <w:kern w:val="0"/>
                <w:highlight w:val="none"/>
              </w:rPr>
            </w:pPr>
            <w:r>
              <w:rPr>
                <w:rFonts w:ascii="宋体" w:hAnsi="宋体"/>
                <w:color w:val="auto"/>
                <w:kern w:val="0"/>
                <w:highlight w:val="none"/>
              </w:rPr>
              <w:t>评</w:t>
            </w:r>
          </w:p>
          <w:p w14:paraId="43E6D56F">
            <w:pPr>
              <w:pageBreakBefore w:val="0"/>
              <w:kinsoku/>
              <w:bidi w:val="0"/>
              <w:spacing w:line="400" w:lineRule="exact"/>
              <w:jc w:val="center"/>
              <w:rPr>
                <w:color w:val="auto"/>
                <w:highlight w:val="none"/>
              </w:rPr>
            </w:pPr>
            <w:r>
              <w:rPr>
                <w:rFonts w:ascii="宋体" w:hAnsi="宋体"/>
                <w:color w:val="auto"/>
                <w:kern w:val="0"/>
                <w:highlight w:val="none"/>
              </w:rPr>
              <w:t>审</w:t>
            </w:r>
          </w:p>
        </w:tc>
        <w:tc>
          <w:tcPr>
            <w:tcW w:w="1047" w:type="dxa"/>
            <w:tcBorders>
              <w:left w:val="single" w:color="auto" w:sz="4" w:space="0"/>
            </w:tcBorders>
            <w:shd w:val="clear" w:color="auto" w:fill="auto"/>
            <w:vAlign w:val="center"/>
          </w:tcPr>
          <w:p w14:paraId="143E5036">
            <w:pPr>
              <w:pageBreakBefore w:val="0"/>
              <w:kinsoku/>
              <w:bidi w:val="0"/>
              <w:jc w:val="center"/>
              <w:rPr>
                <w:rFonts w:ascii="宋体" w:hAnsi="宋体" w:eastAsia="宋体" w:cs="Times New Roman"/>
                <w:color w:val="auto"/>
                <w:kern w:val="2"/>
                <w:sz w:val="21"/>
                <w:szCs w:val="21"/>
                <w:highlight w:val="none"/>
                <w:lang w:val="en-US" w:eastAsia="zh-CN" w:bidi="ar-SA"/>
              </w:rPr>
            </w:pPr>
            <w:r>
              <w:rPr>
                <w:rFonts w:ascii="宋体" w:hAnsi="宋体"/>
                <w:color w:val="auto"/>
                <w:kern w:val="0"/>
                <w:highlight w:val="none"/>
              </w:rPr>
              <w:t>内容完整性和编制水平</w:t>
            </w:r>
          </w:p>
        </w:tc>
        <w:tc>
          <w:tcPr>
            <w:tcW w:w="6305" w:type="dxa"/>
            <w:gridSpan w:val="2"/>
            <w:shd w:val="clear" w:color="auto" w:fill="auto"/>
            <w:vAlign w:val="center"/>
          </w:tcPr>
          <w:p w14:paraId="324412C4">
            <w:pPr>
              <w:pageBreakBefore w:val="0"/>
              <w:kinsoku/>
              <w:bidi w:val="0"/>
              <w:spacing w:line="400" w:lineRule="exact"/>
              <w:ind w:firstLine="420" w:firstLineChars="200"/>
              <w:rPr>
                <w:rFonts w:ascii="Times New Roman" w:hAnsi="Times New Roman" w:eastAsia="宋体" w:cs="Times New Roman"/>
                <w:color w:val="auto"/>
                <w:kern w:val="2"/>
                <w:sz w:val="21"/>
                <w:szCs w:val="24"/>
                <w:highlight w:val="none"/>
                <w:lang w:val="en-US" w:eastAsia="zh-CN" w:bidi="ar-SA"/>
              </w:rPr>
            </w:pPr>
            <w:r>
              <w:rPr>
                <w:rFonts w:hint="eastAsia" w:ascii="宋体" w:hAnsi="宋体"/>
                <w:color w:val="auto"/>
                <w:highlight w:val="none"/>
                <w:u w:val="single"/>
              </w:rPr>
              <w:t>0-</w:t>
            </w: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：竞标人根据本项目实际情况编制技术方案，方案</w:t>
            </w:r>
            <w:r>
              <w:rPr>
                <w:color w:val="auto"/>
                <w:highlight w:val="none"/>
              </w:rPr>
              <w:t>内容编制完整、全面。</w:t>
            </w:r>
          </w:p>
        </w:tc>
      </w:tr>
      <w:tr w14:paraId="028C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1004" w:type="dxa"/>
            <w:vMerge w:val="continue"/>
            <w:tcBorders>
              <w:right w:val="single" w:color="auto" w:sz="4" w:space="0"/>
            </w:tcBorders>
            <w:vAlign w:val="center"/>
          </w:tcPr>
          <w:p w14:paraId="0E9BB61A">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7F4720F9">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70A681AC">
            <w:pPr>
              <w:pageBreakBefore w:val="0"/>
              <w:kinsoku/>
              <w:bidi w:val="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kern w:val="0"/>
                <w:highlight w:val="none"/>
              </w:rPr>
              <w:t>电梯拆除及安装方案</w:t>
            </w:r>
          </w:p>
        </w:tc>
        <w:tc>
          <w:tcPr>
            <w:tcW w:w="6305" w:type="dxa"/>
            <w:gridSpan w:val="2"/>
            <w:shd w:val="clear" w:color="auto" w:fill="auto"/>
            <w:vAlign w:val="center"/>
          </w:tcPr>
          <w:p w14:paraId="61041B18">
            <w:pPr>
              <w:pageBreakBefore w:val="0"/>
              <w:kinsoku/>
              <w:bidi w:val="0"/>
              <w:spacing w:after="62" w:afterLines="20" w:line="400" w:lineRule="exact"/>
              <w:ind w:firstLine="420" w:firstLineChars="200"/>
              <w:rPr>
                <w:rFonts w:ascii="宋体" w:hAnsi="宋体" w:eastAsia="黑体" w:cs="Times New Roman"/>
                <w:color w:val="auto"/>
                <w:kern w:val="0"/>
                <w:sz w:val="21"/>
                <w:szCs w:val="24"/>
                <w:highlight w:val="none"/>
                <w:lang w:val="en-US" w:eastAsia="zh-CN" w:bidi="ar-SA"/>
              </w:rPr>
            </w:pPr>
            <w:r>
              <w:rPr>
                <w:rFonts w:hint="eastAsia" w:ascii="宋体" w:hAnsi="宋体"/>
                <w:color w:val="auto"/>
                <w:highlight w:val="none"/>
                <w:u w:val="single"/>
              </w:rPr>
              <w:t>0-15</w:t>
            </w:r>
            <w:r>
              <w:rPr>
                <w:rFonts w:ascii="宋体" w:hAnsi="宋体"/>
                <w:color w:val="auto"/>
                <w:highlight w:val="none"/>
              </w:rPr>
              <w:t xml:space="preserve">分  </w:t>
            </w:r>
            <w:r>
              <w:rPr>
                <w:color w:val="auto"/>
                <w:highlight w:val="none"/>
              </w:rPr>
              <w:t>编制要点</w:t>
            </w:r>
            <w:r>
              <w:rPr>
                <w:rFonts w:hint="eastAsia"/>
                <w:color w:val="auto"/>
                <w:highlight w:val="none"/>
              </w:rPr>
              <w:t>：</w:t>
            </w:r>
            <w:r>
              <w:rPr>
                <w:rFonts w:hint="eastAsia" w:ascii="宋体" w:hAnsi="宋体"/>
                <w:color w:val="auto"/>
                <w:highlight w:val="none"/>
              </w:rPr>
              <w:t>竞标人自行提供最优方案，由评标委员会对其方案的优劣程度进行横向比较评分。</w:t>
            </w:r>
          </w:p>
        </w:tc>
      </w:tr>
      <w:tr w14:paraId="13EDB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1004" w:type="dxa"/>
            <w:vMerge w:val="continue"/>
            <w:tcBorders>
              <w:right w:val="single" w:color="auto" w:sz="4" w:space="0"/>
            </w:tcBorders>
            <w:vAlign w:val="center"/>
          </w:tcPr>
          <w:p w14:paraId="77B8EB64">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6642E94C">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485E2FFB">
            <w:pPr>
              <w:pageBreakBefore w:val="0"/>
              <w:kinsoku/>
              <w:bidi w:val="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kern w:val="0"/>
                <w:highlight w:val="none"/>
              </w:rPr>
              <w:t>电梯维护保养方案</w:t>
            </w:r>
          </w:p>
        </w:tc>
        <w:tc>
          <w:tcPr>
            <w:tcW w:w="6305" w:type="dxa"/>
            <w:gridSpan w:val="2"/>
            <w:shd w:val="clear" w:color="auto" w:fill="auto"/>
            <w:vAlign w:val="center"/>
          </w:tcPr>
          <w:p w14:paraId="6F66B926">
            <w:pPr>
              <w:pageBreakBefore w:val="0"/>
              <w:kinsoku/>
              <w:bidi w:val="0"/>
              <w:spacing w:after="62" w:afterLines="20" w:line="400" w:lineRule="exact"/>
              <w:ind w:firstLine="420" w:firstLineChars="200"/>
              <w:rPr>
                <w:rFonts w:ascii="宋体" w:hAnsi="宋体" w:eastAsia="黑体" w:cs="Times New Roman"/>
                <w:color w:val="auto"/>
                <w:kern w:val="0"/>
                <w:sz w:val="21"/>
                <w:szCs w:val="24"/>
                <w:highlight w:val="none"/>
                <w:lang w:val="en-US" w:eastAsia="zh-CN" w:bidi="ar-SA"/>
              </w:rPr>
            </w:pPr>
            <w:r>
              <w:rPr>
                <w:rFonts w:hint="eastAsia" w:ascii="宋体" w:hAnsi="宋体"/>
                <w:color w:val="auto"/>
                <w:highlight w:val="none"/>
                <w:u w:val="single"/>
              </w:rPr>
              <w:t>0-10</w:t>
            </w:r>
            <w:r>
              <w:rPr>
                <w:rFonts w:ascii="宋体" w:hAnsi="宋体"/>
                <w:color w:val="auto"/>
                <w:highlight w:val="none"/>
              </w:rPr>
              <w:t xml:space="preserve">分  </w:t>
            </w:r>
            <w:r>
              <w:rPr>
                <w:color w:val="auto"/>
                <w:highlight w:val="none"/>
              </w:rPr>
              <w:t>编制要点</w:t>
            </w:r>
            <w:r>
              <w:rPr>
                <w:rFonts w:hint="eastAsia"/>
                <w:color w:val="auto"/>
                <w:highlight w:val="none"/>
              </w:rPr>
              <w:t>：</w:t>
            </w:r>
            <w:r>
              <w:rPr>
                <w:rFonts w:hint="eastAsia" w:ascii="宋体" w:hAnsi="宋体"/>
                <w:color w:val="auto"/>
                <w:highlight w:val="none"/>
              </w:rPr>
              <w:t>竞标人自行提供最优方案，由评标委员会对其方案的优劣程度进行横向比较评分。</w:t>
            </w:r>
          </w:p>
        </w:tc>
      </w:tr>
      <w:tr w14:paraId="79BB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41D9F0F1">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1B57AD68">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2D0E918D">
            <w:pPr>
              <w:pageBreakBefore w:val="0"/>
              <w:kinsoku/>
              <w:bidi w:val="0"/>
              <w:jc w:val="center"/>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安全管理</w:t>
            </w:r>
            <w:r>
              <w:rPr>
                <w:rFonts w:hint="eastAsia" w:ascii="宋体" w:hAnsi="宋体"/>
                <w:color w:val="auto"/>
                <w:kern w:val="0"/>
                <w:highlight w:val="none"/>
              </w:rPr>
              <w:t>及</w:t>
            </w:r>
            <w:r>
              <w:rPr>
                <w:rFonts w:ascii="宋体" w:hAnsi="宋体"/>
                <w:color w:val="auto"/>
                <w:kern w:val="0"/>
                <w:highlight w:val="none"/>
              </w:rPr>
              <w:t>质量管理体系与措施</w:t>
            </w:r>
          </w:p>
        </w:tc>
        <w:tc>
          <w:tcPr>
            <w:tcW w:w="6305" w:type="dxa"/>
            <w:gridSpan w:val="2"/>
            <w:shd w:val="clear" w:color="auto" w:fill="auto"/>
            <w:vAlign w:val="center"/>
          </w:tcPr>
          <w:p w14:paraId="0487CB6E">
            <w:pPr>
              <w:pageBreakBefore w:val="0"/>
              <w:kinsoku/>
              <w:bidi w:val="0"/>
              <w:spacing w:after="62" w:afterLines="20" w:line="400" w:lineRule="exact"/>
              <w:ind w:firstLine="420" w:firstLineChars="200"/>
              <w:rPr>
                <w:rFonts w:ascii="宋体" w:hAnsi="宋体" w:eastAsia="黑体" w:cs="Times New Roman"/>
                <w:color w:val="auto"/>
                <w:kern w:val="2"/>
                <w:sz w:val="21"/>
                <w:szCs w:val="24"/>
                <w:highlight w:val="none"/>
                <w:lang w:val="en-US" w:eastAsia="zh-CN" w:bidi="ar-SA"/>
              </w:rPr>
            </w:pPr>
            <w:r>
              <w:rPr>
                <w:rFonts w:hint="eastAsia" w:ascii="宋体" w:hAnsi="宋体"/>
                <w:color w:val="auto"/>
                <w:highlight w:val="none"/>
                <w:u w:val="single"/>
              </w:rPr>
              <w:t>0-</w:t>
            </w:r>
            <w:r>
              <w:rPr>
                <w:rFonts w:hint="eastAsia" w:ascii="宋体" w:hAnsi="宋体"/>
                <w:color w:val="auto"/>
                <w:highlight w:val="none"/>
                <w:u w:val="single"/>
                <w:lang w:val="en-US" w:eastAsia="zh-CN"/>
              </w:rPr>
              <w:t>5</w:t>
            </w:r>
            <w:r>
              <w:rPr>
                <w:rFonts w:ascii="宋体" w:hAnsi="宋体"/>
                <w:color w:val="auto"/>
                <w:highlight w:val="none"/>
              </w:rPr>
              <w:t xml:space="preserve">分  </w:t>
            </w:r>
            <w:r>
              <w:rPr>
                <w:color w:val="auto"/>
                <w:highlight w:val="none"/>
              </w:rPr>
              <w:t>编制要点</w:t>
            </w:r>
            <w:r>
              <w:rPr>
                <w:rFonts w:hint="eastAsia"/>
                <w:color w:val="auto"/>
                <w:highlight w:val="none"/>
              </w:rPr>
              <w:t>：</w:t>
            </w:r>
            <w:r>
              <w:rPr>
                <w:color w:val="auto"/>
                <w:highlight w:val="none"/>
              </w:rPr>
              <w:t>保证施工安全和现场文明施工</w:t>
            </w:r>
            <w:r>
              <w:rPr>
                <w:rFonts w:hint="eastAsia"/>
                <w:color w:val="auto"/>
                <w:highlight w:val="none"/>
              </w:rPr>
              <w:t>，</w:t>
            </w:r>
            <w:r>
              <w:rPr>
                <w:color w:val="auto"/>
                <w:highlight w:val="none"/>
              </w:rPr>
              <w:t>质量保证体系的方案、措施等是否先进、合理和可靠。</w:t>
            </w:r>
          </w:p>
        </w:tc>
      </w:tr>
      <w:tr w14:paraId="0CC6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bottom w:val="single" w:color="auto" w:sz="4" w:space="0"/>
              <w:right w:val="single" w:color="auto" w:sz="4" w:space="0"/>
            </w:tcBorders>
            <w:vAlign w:val="center"/>
          </w:tcPr>
          <w:p w14:paraId="6CEB64B5">
            <w:pPr>
              <w:pageBreakBefore w:val="0"/>
              <w:kinsoku/>
              <w:bidi w:val="0"/>
              <w:spacing w:line="400" w:lineRule="exact"/>
              <w:jc w:val="center"/>
              <w:rPr>
                <w:rFonts w:ascii="宋体" w:hAnsi="宋体"/>
                <w:color w:val="auto"/>
                <w:kern w:val="0"/>
                <w:highlight w:val="none"/>
              </w:rPr>
            </w:pPr>
          </w:p>
        </w:tc>
        <w:tc>
          <w:tcPr>
            <w:tcW w:w="633" w:type="dxa"/>
            <w:vMerge w:val="continue"/>
            <w:tcBorders>
              <w:bottom w:val="single" w:color="auto" w:sz="4" w:space="0"/>
              <w:right w:val="single" w:color="auto" w:sz="4" w:space="0"/>
            </w:tcBorders>
            <w:vAlign w:val="center"/>
          </w:tcPr>
          <w:p w14:paraId="149FA52D">
            <w:pPr>
              <w:pageBreakBefore w:val="0"/>
              <w:kinsoku/>
              <w:bidi w:val="0"/>
              <w:spacing w:line="400" w:lineRule="exact"/>
              <w:jc w:val="center"/>
              <w:rPr>
                <w:rFonts w:ascii="宋体" w:hAnsi="宋体"/>
                <w:color w:val="auto"/>
                <w:kern w:val="0"/>
                <w:highlight w:val="none"/>
              </w:rPr>
            </w:pPr>
          </w:p>
        </w:tc>
        <w:tc>
          <w:tcPr>
            <w:tcW w:w="1047" w:type="dxa"/>
            <w:tcBorders>
              <w:left w:val="single" w:color="auto" w:sz="4" w:space="0"/>
            </w:tcBorders>
            <w:shd w:val="clear" w:color="auto" w:fill="auto"/>
            <w:vAlign w:val="center"/>
          </w:tcPr>
          <w:p w14:paraId="49D38AFA">
            <w:pPr>
              <w:pageBreakBefore w:val="0"/>
              <w:kinsoku/>
              <w:bidi w:val="0"/>
              <w:jc w:val="center"/>
              <w:rPr>
                <w:rFonts w:ascii="宋体" w:hAnsi="宋体"/>
                <w:color w:val="auto"/>
                <w:kern w:val="0"/>
                <w:highlight w:val="none"/>
              </w:rPr>
            </w:pPr>
            <w:r>
              <w:rPr>
                <w:rFonts w:hint="eastAsia" w:ascii="宋体" w:hAnsi="宋体" w:eastAsia="宋体" w:cs="宋体"/>
                <w:color w:val="auto"/>
                <w:sz w:val="21"/>
                <w:szCs w:val="21"/>
                <w:highlight w:val="none"/>
              </w:rPr>
              <w:t>售后服务保障</w:t>
            </w:r>
          </w:p>
        </w:tc>
        <w:tc>
          <w:tcPr>
            <w:tcW w:w="6305" w:type="dxa"/>
            <w:gridSpan w:val="2"/>
            <w:shd w:val="clear" w:color="auto" w:fill="auto"/>
            <w:vAlign w:val="center"/>
          </w:tcPr>
          <w:p w14:paraId="78BF00CC">
            <w:pPr>
              <w:pageBreakBefore w:val="0"/>
              <w:kinsoku/>
              <w:bidi w:val="0"/>
              <w:spacing w:after="62" w:afterLines="20" w:line="40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u w:val="single"/>
              </w:rPr>
              <w:t>0-</w:t>
            </w:r>
            <w:r>
              <w:rPr>
                <w:rFonts w:hint="eastAsia" w:ascii="宋体" w:hAnsi="宋体"/>
                <w:color w:val="auto"/>
                <w:highlight w:val="none"/>
                <w:u w:val="single"/>
                <w:lang w:val="en-US" w:eastAsia="zh-CN"/>
              </w:rPr>
              <w:t>5</w:t>
            </w:r>
            <w:r>
              <w:rPr>
                <w:rFonts w:ascii="宋体" w:hAnsi="宋体"/>
                <w:color w:val="auto"/>
                <w:highlight w:val="none"/>
              </w:rPr>
              <w:t>分</w:t>
            </w:r>
            <w:r>
              <w:rPr>
                <w:rFonts w:hint="eastAsia" w:ascii="宋体" w:hAnsi="宋体"/>
                <w:color w:val="auto"/>
                <w:highlight w:val="none"/>
                <w:lang w:val="en-US" w:eastAsia="zh-CN"/>
              </w:rPr>
              <w:t xml:space="preserve">  编制要点：</w:t>
            </w:r>
            <w:r>
              <w:rPr>
                <w:rFonts w:hint="eastAsia" w:ascii="宋体" w:hAnsi="宋体"/>
                <w:color w:val="auto"/>
                <w:highlight w:val="none"/>
              </w:rPr>
              <w:t>竞标人自行提供最优方案，由评标委员会对其方案的优劣程度进行横向比较评分。</w:t>
            </w:r>
          </w:p>
        </w:tc>
      </w:tr>
      <w:tr w14:paraId="6DDC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restart"/>
            <w:tcBorders>
              <w:top w:val="single" w:color="auto" w:sz="4" w:space="0"/>
              <w:right w:val="single" w:color="auto" w:sz="4" w:space="0"/>
            </w:tcBorders>
            <w:vAlign w:val="center"/>
          </w:tcPr>
          <w:p w14:paraId="4060DB8E">
            <w:pPr>
              <w:pageBreakBefore w:val="0"/>
              <w:kinsoku/>
              <w:bidi w:val="0"/>
              <w:spacing w:line="400" w:lineRule="exact"/>
              <w:jc w:val="center"/>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2.2.2（2）</w:t>
            </w:r>
          </w:p>
        </w:tc>
        <w:tc>
          <w:tcPr>
            <w:tcW w:w="633" w:type="dxa"/>
            <w:vMerge w:val="restart"/>
            <w:tcBorders>
              <w:top w:val="single" w:color="auto" w:sz="4" w:space="0"/>
              <w:right w:val="single" w:color="auto" w:sz="4" w:space="0"/>
            </w:tcBorders>
            <w:vAlign w:val="center"/>
          </w:tcPr>
          <w:p w14:paraId="2EF0B0BE">
            <w:pPr>
              <w:pageBreakBefore w:val="0"/>
              <w:kinsoku/>
              <w:bidi w:val="0"/>
              <w:spacing w:line="400" w:lineRule="exact"/>
              <w:jc w:val="center"/>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商务部分评审</w:t>
            </w:r>
          </w:p>
        </w:tc>
        <w:tc>
          <w:tcPr>
            <w:tcW w:w="1047" w:type="dxa"/>
            <w:vMerge w:val="restart"/>
            <w:tcBorders>
              <w:left w:val="single" w:color="auto" w:sz="4" w:space="0"/>
            </w:tcBorders>
            <w:vAlign w:val="center"/>
          </w:tcPr>
          <w:p w14:paraId="702E5936">
            <w:pPr>
              <w:pageBreakBefore w:val="0"/>
              <w:tabs>
                <w:tab w:val="left" w:pos="1875"/>
              </w:tabs>
              <w:kinsoku/>
              <w:bidi w:val="0"/>
              <w:spacing w:line="400" w:lineRule="exact"/>
              <w:jc w:val="center"/>
              <w:rPr>
                <w:rFonts w:hint="eastAsia" w:ascii="宋体" w:hAnsi="宋体"/>
                <w:color w:val="auto"/>
                <w:kern w:val="0"/>
                <w:highlight w:val="none"/>
              </w:rPr>
            </w:pPr>
            <w:r>
              <w:rPr>
                <w:rFonts w:hint="eastAsia" w:ascii="宋体" w:hAnsi="宋体"/>
                <w:color w:val="auto"/>
                <w:kern w:val="0"/>
                <w:highlight w:val="none"/>
              </w:rPr>
              <w:t>企业综合实力</w:t>
            </w:r>
            <w:bookmarkStart w:id="0" w:name="_GoBack"/>
            <w:bookmarkEnd w:id="0"/>
          </w:p>
        </w:tc>
        <w:tc>
          <w:tcPr>
            <w:tcW w:w="1719" w:type="dxa"/>
            <w:tcBorders>
              <w:left w:val="single" w:color="auto" w:sz="4" w:space="0"/>
            </w:tcBorders>
            <w:shd w:val="clear" w:color="auto" w:fill="auto"/>
            <w:vAlign w:val="center"/>
          </w:tcPr>
          <w:p w14:paraId="19CE7F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电梯质保</w:t>
            </w:r>
          </w:p>
          <w:p w14:paraId="43BC9F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分）</w:t>
            </w:r>
          </w:p>
        </w:tc>
        <w:tc>
          <w:tcPr>
            <w:tcW w:w="4586" w:type="dxa"/>
            <w:shd w:val="clear" w:color="auto" w:fill="auto"/>
            <w:vAlign w:val="center"/>
          </w:tcPr>
          <w:p w14:paraId="2A755AE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电梯整机质保5年，每延长1年加1分，最多加3分。</w:t>
            </w:r>
          </w:p>
          <w:p w14:paraId="1D3F012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bCs/>
                <w:color w:val="auto"/>
                <w:szCs w:val="21"/>
                <w:highlight w:val="none"/>
                <w:lang w:val="en-US" w:eastAsia="zh-CN"/>
              </w:rPr>
              <w:t>注：由竞标人提供承诺函并加盖竞标人公章，格式自理。</w:t>
            </w:r>
          </w:p>
        </w:tc>
      </w:tr>
      <w:tr w14:paraId="48FB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1E3D4E55">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0E181D4A">
            <w:pPr>
              <w:pageBreakBefore w:val="0"/>
              <w:kinsoku/>
              <w:bidi w:val="0"/>
              <w:spacing w:line="400" w:lineRule="exact"/>
              <w:jc w:val="center"/>
              <w:rPr>
                <w:rFonts w:ascii="宋体" w:hAnsi="宋体"/>
                <w:color w:val="auto"/>
                <w:kern w:val="0"/>
                <w:highlight w:val="none"/>
              </w:rPr>
            </w:pPr>
          </w:p>
        </w:tc>
        <w:tc>
          <w:tcPr>
            <w:tcW w:w="1047" w:type="dxa"/>
            <w:vMerge w:val="continue"/>
            <w:tcBorders>
              <w:left w:val="single" w:color="auto" w:sz="4" w:space="0"/>
            </w:tcBorders>
            <w:vAlign w:val="center"/>
          </w:tcPr>
          <w:p w14:paraId="00F30F0F">
            <w:pPr>
              <w:pageBreakBefore w:val="0"/>
              <w:kinsoku/>
              <w:bidi w:val="0"/>
              <w:jc w:val="center"/>
              <w:rPr>
                <w:rFonts w:ascii="宋体" w:hAnsi="宋体"/>
                <w:color w:val="auto"/>
                <w:kern w:val="0"/>
                <w:highlight w:val="none"/>
              </w:rPr>
            </w:pPr>
          </w:p>
        </w:tc>
        <w:tc>
          <w:tcPr>
            <w:tcW w:w="1719" w:type="dxa"/>
            <w:tcBorders>
              <w:left w:val="single" w:color="auto" w:sz="4" w:space="0"/>
            </w:tcBorders>
            <w:vAlign w:val="center"/>
          </w:tcPr>
          <w:p w14:paraId="760A6610">
            <w:pPr>
              <w:keepNext w:val="0"/>
              <w:keepLines w:val="0"/>
              <w:pageBreakBefore w:val="0"/>
              <w:widowControl w:val="0"/>
              <w:kinsoku/>
              <w:wordWrap/>
              <w:overflowPunct/>
              <w:topLinePunct w:val="0"/>
              <w:autoSpaceDE/>
              <w:autoSpaceDN/>
              <w:bidi w:val="0"/>
              <w:adjustRightInd/>
              <w:spacing w:line="400" w:lineRule="exact"/>
              <w:jc w:val="center"/>
              <w:textAlignment w:val="auto"/>
              <w:rPr>
                <w:rStyle w:val="5"/>
                <w:rFonts w:ascii="宋体" w:hAnsi="宋体"/>
                <w:color w:val="auto"/>
                <w:szCs w:val="21"/>
                <w:highlight w:val="none"/>
              </w:rPr>
            </w:pPr>
            <w:r>
              <w:rPr>
                <w:rFonts w:hint="eastAsia" w:ascii="宋体" w:hAnsi="宋体"/>
                <w:color w:val="auto"/>
                <w:kern w:val="0"/>
                <w:highlight w:val="none"/>
              </w:rPr>
              <w:t>产品综合实力（2</w:t>
            </w:r>
            <w:r>
              <w:rPr>
                <w:rFonts w:hint="eastAsia" w:ascii="宋体" w:hAnsi="宋体"/>
                <w:color w:val="auto"/>
                <w:kern w:val="0"/>
                <w:highlight w:val="none"/>
                <w:lang w:val="en-US" w:eastAsia="zh-CN"/>
              </w:rPr>
              <w:t>0</w:t>
            </w:r>
            <w:r>
              <w:rPr>
                <w:rFonts w:hint="eastAsia" w:ascii="宋体" w:hAnsi="宋体"/>
                <w:color w:val="auto"/>
                <w:kern w:val="0"/>
                <w:highlight w:val="none"/>
              </w:rPr>
              <w:t>分）</w:t>
            </w:r>
          </w:p>
        </w:tc>
        <w:tc>
          <w:tcPr>
            <w:tcW w:w="4586" w:type="dxa"/>
            <w:vAlign w:val="center"/>
          </w:tcPr>
          <w:p w14:paraId="2D4A783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1.</w:t>
            </w:r>
            <w:r>
              <w:rPr>
                <w:rFonts w:hint="eastAsia" w:ascii="宋体" w:hAnsi="宋体"/>
                <w:color w:val="auto"/>
                <w:highlight w:val="none"/>
                <w:lang w:val="en-US" w:eastAsia="zh-CN"/>
              </w:rPr>
              <w:t>通过对</w:t>
            </w:r>
            <w:r>
              <w:rPr>
                <w:rFonts w:hint="eastAsia" w:ascii="宋体" w:hAnsi="宋体"/>
                <w:color w:val="auto"/>
                <w:highlight w:val="none"/>
              </w:rPr>
              <w:t>所投</w:t>
            </w:r>
            <w:r>
              <w:rPr>
                <w:rFonts w:hint="eastAsia" w:ascii="宋体" w:hAnsi="宋体"/>
                <w:color w:val="auto"/>
                <w:highlight w:val="none"/>
                <w:lang w:val="en-US" w:eastAsia="zh-CN"/>
              </w:rPr>
              <w:t>品牌电梯原厂原品牌曳引机外壳防护IP等级进行比较，主机外壳IP防护等级</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52得4分，</w:t>
            </w:r>
            <w:r>
              <w:rPr>
                <w:rFonts w:hint="eastAsia" w:ascii="宋体" w:hAnsi="宋体"/>
                <w:color w:val="auto"/>
                <w:highlight w:val="none"/>
                <w:lang w:val="en-US" w:eastAsia="zh-CN"/>
              </w:rPr>
              <w:t>IP防护等级</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42且﹤52得2分，</w:t>
            </w:r>
            <w:r>
              <w:rPr>
                <w:rFonts w:hint="eastAsia" w:ascii="宋体" w:hAnsi="宋体"/>
                <w:color w:val="auto"/>
                <w:highlight w:val="none"/>
                <w:lang w:val="en-US" w:eastAsia="zh-CN"/>
              </w:rPr>
              <w:t>IP防护等级</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32且﹤42得1分，</w:t>
            </w:r>
            <w:r>
              <w:rPr>
                <w:rFonts w:hint="eastAsia" w:ascii="宋体" w:hAnsi="宋体"/>
                <w:color w:val="auto"/>
                <w:highlight w:val="none"/>
                <w:lang w:val="en-US" w:eastAsia="zh-CN"/>
              </w:rPr>
              <w:t>其余不得分。</w:t>
            </w:r>
          </w:p>
          <w:p w14:paraId="3ED7104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第三方检验（试验）报告复印件并加盖竞标人公章。</w:t>
            </w:r>
          </w:p>
          <w:p w14:paraId="616183B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2.所投</w:t>
            </w:r>
            <w:r>
              <w:rPr>
                <w:rFonts w:hint="eastAsia" w:ascii="宋体" w:hAnsi="宋体"/>
                <w:color w:val="auto"/>
                <w:highlight w:val="none"/>
                <w:lang w:val="en-US" w:eastAsia="zh-CN"/>
              </w:rPr>
              <w:t>品牌</w:t>
            </w:r>
            <w:r>
              <w:rPr>
                <w:rFonts w:hint="eastAsia" w:ascii="宋体" w:hAnsi="宋体"/>
                <w:color w:val="auto"/>
                <w:highlight w:val="none"/>
              </w:rPr>
              <w:t>电梯信息系统安全等级保护三级的得</w:t>
            </w:r>
            <w:r>
              <w:rPr>
                <w:rFonts w:hint="eastAsia" w:ascii="宋体" w:hAnsi="宋体"/>
                <w:color w:val="auto"/>
                <w:highlight w:val="none"/>
                <w:lang w:val="en-US" w:eastAsia="zh-CN"/>
              </w:rPr>
              <w:t>4</w:t>
            </w:r>
            <w:r>
              <w:rPr>
                <w:rFonts w:hint="eastAsia" w:ascii="宋体" w:hAnsi="宋体"/>
                <w:color w:val="auto"/>
                <w:highlight w:val="none"/>
              </w:rPr>
              <w:t>分，信息安全等级保护二级的得</w:t>
            </w:r>
            <w:r>
              <w:rPr>
                <w:rFonts w:hint="eastAsia" w:ascii="宋体" w:hAnsi="宋体"/>
                <w:color w:val="auto"/>
                <w:highlight w:val="none"/>
                <w:lang w:val="en-US" w:eastAsia="zh-CN"/>
              </w:rPr>
              <w:t>2</w:t>
            </w:r>
            <w:r>
              <w:rPr>
                <w:rFonts w:hint="eastAsia" w:ascii="宋体" w:hAnsi="宋体"/>
                <w:color w:val="auto"/>
                <w:highlight w:val="none"/>
              </w:rPr>
              <w:t>分，不提供不得分。</w:t>
            </w:r>
          </w:p>
          <w:p w14:paraId="03E47AB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提供省级及以上公安部门监制的信息系统安全等级保护相关证明材料并加盖竞标人公章。</w:t>
            </w:r>
          </w:p>
          <w:p w14:paraId="1AFAC49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3.所投</w:t>
            </w:r>
            <w:r>
              <w:rPr>
                <w:rFonts w:hint="eastAsia" w:ascii="宋体" w:hAnsi="宋体"/>
                <w:color w:val="auto"/>
                <w:highlight w:val="none"/>
                <w:lang w:val="en-US" w:eastAsia="zh-CN"/>
              </w:rPr>
              <w:t>品牌</w:t>
            </w:r>
            <w:r>
              <w:rPr>
                <w:rFonts w:hint="eastAsia" w:ascii="宋体" w:hAnsi="宋体"/>
                <w:color w:val="auto"/>
                <w:highlight w:val="none"/>
              </w:rPr>
              <w:t>电梯控制柜抗雷击电压±15KV得</w:t>
            </w:r>
            <w:r>
              <w:rPr>
                <w:rFonts w:hint="eastAsia" w:ascii="宋体" w:hAnsi="宋体"/>
                <w:color w:val="auto"/>
                <w:highlight w:val="none"/>
                <w:lang w:val="en-US" w:eastAsia="zh-CN"/>
              </w:rPr>
              <w:t>4</w:t>
            </w:r>
            <w:r>
              <w:rPr>
                <w:rFonts w:hint="eastAsia" w:ascii="宋体" w:hAnsi="宋体"/>
                <w:color w:val="auto"/>
                <w:highlight w:val="none"/>
              </w:rPr>
              <w:t>分，抗雷击电压±10KV得2分，抗雷击电压±5KV得1分。</w:t>
            </w:r>
          </w:p>
          <w:p w14:paraId="5B74244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提供第三方证明文件并加盖竞标人公章。</w:t>
            </w:r>
          </w:p>
          <w:p w14:paraId="79D7630E">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4.通过对所投品牌乘客电梯的</w:t>
            </w:r>
            <w:r>
              <w:rPr>
                <w:rFonts w:hint="eastAsia" w:ascii="宋体" w:hAnsi="宋体"/>
                <w:color w:val="auto"/>
                <w:highlight w:val="none"/>
              </w:rPr>
              <w:t>电梯门锁装置(层门锁闭装置)的</w:t>
            </w:r>
            <w:r>
              <w:rPr>
                <w:rFonts w:hint="eastAsia" w:ascii="宋体" w:hAnsi="宋体"/>
                <w:color w:val="auto"/>
                <w:highlight w:val="none"/>
                <w:lang w:val="en-US" w:eastAsia="zh-CN"/>
              </w:rPr>
              <w:t>机械耐久实验</w:t>
            </w:r>
            <w:r>
              <w:rPr>
                <w:rFonts w:hint="eastAsia" w:ascii="宋体" w:hAnsi="宋体"/>
                <w:color w:val="auto"/>
                <w:highlight w:val="none"/>
              </w:rPr>
              <w:t>进行比较，电梯门锁装置(层门锁闭装置)</w:t>
            </w:r>
            <w:r>
              <w:rPr>
                <w:rFonts w:hint="eastAsia" w:ascii="宋体" w:hAnsi="宋体"/>
                <w:color w:val="auto"/>
                <w:highlight w:val="none"/>
                <w:lang w:val="en-US" w:eastAsia="zh-CN"/>
              </w:rPr>
              <w:t>机械耐久实验</w:t>
            </w:r>
            <w:r>
              <w:rPr>
                <w:rFonts w:hint="eastAsia" w:ascii="宋体" w:hAnsi="宋体"/>
                <w:color w:val="auto"/>
                <w:highlight w:val="none"/>
              </w:rPr>
              <w:t>达到1000万次及以上得4分，</w:t>
            </w:r>
            <w:r>
              <w:rPr>
                <w:rFonts w:hint="eastAsia" w:ascii="宋体" w:hAnsi="宋体"/>
                <w:color w:val="auto"/>
                <w:highlight w:val="none"/>
                <w:lang w:val="en-US" w:eastAsia="zh-CN"/>
              </w:rPr>
              <w:t>机械耐久实验</w:t>
            </w:r>
            <w:r>
              <w:rPr>
                <w:rFonts w:hint="eastAsia" w:ascii="宋体" w:hAnsi="宋体"/>
                <w:color w:val="auto"/>
                <w:highlight w:val="none"/>
              </w:rPr>
              <w:t>800万次（含）到1000万次（不含）的得2分，</w:t>
            </w:r>
            <w:r>
              <w:rPr>
                <w:rFonts w:hint="eastAsia" w:ascii="宋体" w:hAnsi="宋体"/>
                <w:color w:val="auto"/>
                <w:highlight w:val="none"/>
                <w:lang w:val="en-US" w:eastAsia="zh-CN"/>
              </w:rPr>
              <w:t>机械耐久实验</w:t>
            </w:r>
            <w:r>
              <w:rPr>
                <w:rFonts w:hint="eastAsia" w:ascii="宋体" w:hAnsi="宋体"/>
                <w:color w:val="auto"/>
                <w:highlight w:val="none"/>
              </w:rPr>
              <w:t>600万次（含）到800万次（不含）的得1分，其他不得分。</w:t>
            </w:r>
          </w:p>
          <w:p w14:paraId="7F7BF44E">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提供第三方检测单位出具的电梯门锁装置(层门锁闭装置)的试验报告复印件</w:t>
            </w:r>
            <w:r>
              <w:rPr>
                <w:rFonts w:hint="eastAsia" w:ascii="宋体" w:hAnsi="宋体"/>
                <w:color w:val="auto"/>
                <w:highlight w:val="none"/>
                <w:lang w:val="en-US" w:eastAsia="zh-CN"/>
              </w:rPr>
              <w:t>并</w:t>
            </w:r>
            <w:r>
              <w:rPr>
                <w:rFonts w:hint="eastAsia" w:ascii="宋体" w:hAnsi="宋体"/>
                <w:color w:val="auto"/>
                <w:highlight w:val="none"/>
              </w:rPr>
              <w:t>加盖竞标人公章。</w:t>
            </w:r>
          </w:p>
          <w:p w14:paraId="38CA6B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olor w:val="auto"/>
                <w:highlight w:val="none"/>
                <w:lang w:val="en-US" w:eastAsia="zh-CN"/>
              </w:rPr>
              <w:t>5.</w:t>
            </w:r>
            <w:r>
              <w:rPr>
                <w:rFonts w:hint="eastAsia" w:ascii="宋体" w:hAnsi="宋体" w:eastAsia="宋体" w:cs="宋体"/>
                <w:color w:val="auto"/>
                <w:sz w:val="21"/>
                <w:szCs w:val="21"/>
                <w:highlight w:val="none"/>
              </w:rPr>
              <w:t>通过对</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品牌乘客电梯的门机电动机IP防护等级进行</w:t>
            </w:r>
            <w:r>
              <w:rPr>
                <w:rFonts w:hint="eastAsia" w:ascii="宋体" w:hAnsi="宋体" w:eastAsia="宋体" w:cs="宋体"/>
                <w:color w:val="auto"/>
                <w:sz w:val="21"/>
                <w:szCs w:val="21"/>
                <w:highlight w:val="none"/>
                <w:lang w:val="en-US" w:eastAsia="zh-CN"/>
              </w:rPr>
              <w:t>比较</w:t>
            </w:r>
            <w:r>
              <w:rPr>
                <w:rFonts w:hint="eastAsia" w:ascii="宋体" w:hAnsi="宋体" w:eastAsia="宋体" w:cs="宋体"/>
                <w:color w:val="auto"/>
                <w:sz w:val="21"/>
                <w:szCs w:val="21"/>
                <w:highlight w:val="none"/>
              </w:rPr>
              <w:t>，IP防护等级≧</w:t>
            </w:r>
            <w:r>
              <w:rPr>
                <w:rFonts w:hint="eastAsia" w:ascii="宋体" w:hAnsi="宋体" w:cs="宋体"/>
                <w:color w:val="auto"/>
                <w:sz w:val="21"/>
                <w:szCs w:val="21"/>
                <w:highlight w:val="none"/>
                <w:lang w:val="en-US" w:eastAsia="zh-CN"/>
              </w:rPr>
              <w:t>65得4分</w:t>
            </w:r>
            <w:r>
              <w:rPr>
                <w:rFonts w:hint="eastAsia" w:ascii="宋体" w:hAnsi="宋体" w:eastAsia="宋体" w:cs="宋体"/>
                <w:color w:val="auto"/>
                <w:sz w:val="21"/>
                <w:szCs w:val="21"/>
                <w:highlight w:val="none"/>
              </w:rPr>
              <w:t>；IP防护等级≧</w:t>
            </w:r>
            <w:r>
              <w:rPr>
                <w:rFonts w:hint="eastAsia" w:ascii="宋体" w:hAnsi="宋体" w:cs="宋体"/>
                <w:color w:val="auto"/>
                <w:sz w:val="21"/>
                <w:szCs w:val="21"/>
                <w:highlight w:val="none"/>
                <w:lang w:val="en-US" w:eastAsia="zh-CN"/>
              </w:rPr>
              <w:t>54且﹤65得2分；</w:t>
            </w:r>
            <w:r>
              <w:rPr>
                <w:rFonts w:hint="eastAsia" w:ascii="宋体" w:hAnsi="宋体" w:eastAsia="宋体" w:cs="宋体"/>
                <w:color w:val="auto"/>
                <w:sz w:val="21"/>
                <w:szCs w:val="21"/>
                <w:highlight w:val="none"/>
              </w:rPr>
              <w:t>IP防护等级≧</w:t>
            </w:r>
            <w:r>
              <w:rPr>
                <w:rFonts w:hint="eastAsia" w:ascii="宋体" w:hAnsi="宋体" w:cs="宋体"/>
                <w:color w:val="auto"/>
                <w:sz w:val="21"/>
                <w:szCs w:val="21"/>
                <w:highlight w:val="none"/>
                <w:lang w:val="en-US" w:eastAsia="zh-CN"/>
              </w:rPr>
              <w:t>52且﹤54得1分，其余不得分。</w:t>
            </w:r>
          </w:p>
          <w:p w14:paraId="05B32719">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lang w:val="zh-TW"/>
              </w:rPr>
            </w:pPr>
            <w:r>
              <w:rPr>
                <w:rFonts w:hint="eastAsia" w:ascii="宋体" w:hAnsi="宋体" w:eastAsia="宋体" w:cs="宋体"/>
                <w:color w:val="auto"/>
                <w:sz w:val="21"/>
                <w:szCs w:val="21"/>
                <w:highlight w:val="none"/>
              </w:rPr>
              <w:t>提供所投产品型号电梯门机委托试验报告复印件并加盖</w:t>
            </w:r>
            <w:r>
              <w:rPr>
                <w:rFonts w:hint="eastAsia" w:ascii="宋体" w:hAnsi="宋体" w:eastAsia="宋体" w:cs="宋体"/>
                <w:color w:val="auto"/>
                <w:sz w:val="21"/>
                <w:szCs w:val="21"/>
                <w:highlight w:val="none"/>
                <w:lang w:val="en-US" w:eastAsia="zh-CN"/>
              </w:rPr>
              <w:t>竞标人</w:t>
            </w:r>
            <w:r>
              <w:rPr>
                <w:rFonts w:hint="eastAsia" w:ascii="宋体" w:hAnsi="宋体" w:eastAsia="宋体" w:cs="宋体"/>
                <w:color w:val="auto"/>
                <w:sz w:val="21"/>
                <w:szCs w:val="21"/>
                <w:highlight w:val="none"/>
              </w:rPr>
              <w:t>公章。</w:t>
            </w:r>
          </w:p>
        </w:tc>
      </w:tr>
      <w:tr w14:paraId="4CB6A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169F2D95">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49F0E18D">
            <w:pPr>
              <w:pageBreakBefore w:val="0"/>
              <w:kinsoku/>
              <w:bidi w:val="0"/>
              <w:spacing w:line="400" w:lineRule="exact"/>
              <w:jc w:val="center"/>
              <w:rPr>
                <w:rFonts w:ascii="宋体" w:hAnsi="宋体"/>
                <w:color w:val="auto"/>
                <w:kern w:val="0"/>
                <w:highlight w:val="none"/>
              </w:rPr>
            </w:pPr>
          </w:p>
        </w:tc>
        <w:tc>
          <w:tcPr>
            <w:tcW w:w="1047" w:type="dxa"/>
            <w:vMerge w:val="continue"/>
            <w:tcBorders>
              <w:left w:val="single" w:color="auto" w:sz="4" w:space="0"/>
            </w:tcBorders>
            <w:vAlign w:val="center"/>
          </w:tcPr>
          <w:p w14:paraId="2E47BE43">
            <w:pPr>
              <w:pageBreakBefore w:val="0"/>
              <w:kinsoku/>
              <w:bidi w:val="0"/>
              <w:jc w:val="center"/>
              <w:rPr>
                <w:rFonts w:ascii="宋体" w:hAnsi="宋体"/>
                <w:color w:val="auto"/>
                <w:kern w:val="0"/>
                <w:highlight w:val="none"/>
              </w:rPr>
            </w:pPr>
          </w:p>
        </w:tc>
        <w:tc>
          <w:tcPr>
            <w:tcW w:w="1719" w:type="dxa"/>
            <w:tcBorders>
              <w:left w:val="single" w:color="auto" w:sz="4" w:space="0"/>
            </w:tcBorders>
            <w:vAlign w:val="center"/>
          </w:tcPr>
          <w:p w14:paraId="45123A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5"/>
                <w:rFonts w:hint="eastAsia" w:ascii="宋体" w:hAnsi="宋体"/>
                <w:color w:val="auto"/>
                <w:szCs w:val="21"/>
                <w:highlight w:val="none"/>
              </w:rPr>
            </w:pPr>
            <w:r>
              <w:rPr>
                <w:rStyle w:val="5"/>
                <w:rFonts w:hint="eastAsia" w:ascii="宋体" w:hAnsi="宋体"/>
                <w:color w:val="auto"/>
                <w:szCs w:val="21"/>
                <w:highlight w:val="none"/>
                <w:lang w:val="en-US" w:eastAsia="zh-CN"/>
              </w:rPr>
              <w:t>竞标人</w:t>
            </w:r>
            <w:r>
              <w:rPr>
                <w:rStyle w:val="5"/>
                <w:rFonts w:hint="eastAsia" w:ascii="宋体" w:hAnsi="宋体"/>
                <w:color w:val="auto"/>
                <w:szCs w:val="21"/>
                <w:highlight w:val="none"/>
              </w:rPr>
              <w:t>实力</w:t>
            </w:r>
          </w:p>
          <w:p w14:paraId="25B023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5"/>
                <w:rFonts w:ascii="宋体" w:hAnsi="宋体"/>
                <w:color w:val="auto"/>
                <w:szCs w:val="21"/>
                <w:highlight w:val="none"/>
              </w:rPr>
            </w:pPr>
            <w:r>
              <w:rPr>
                <w:rStyle w:val="5"/>
                <w:rFonts w:hint="eastAsia" w:ascii="宋体" w:hAnsi="宋体"/>
                <w:color w:val="auto"/>
                <w:szCs w:val="21"/>
                <w:highlight w:val="none"/>
              </w:rPr>
              <w:t>（</w:t>
            </w:r>
            <w:r>
              <w:rPr>
                <w:rStyle w:val="5"/>
                <w:rFonts w:hint="eastAsia" w:ascii="宋体" w:hAnsi="宋体"/>
                <w:color w:val="auto"/>
                <w:szCs w:val="21"/>
                <w:highlight w:val="none"/>
                <w:lang w:val="en-US" w:eastAsia="zh-CN"/>
              </w:rPr>
              <w:t>6</w:t>
            </w:r>
            <w:r>
              <w:rPr>
                <w:rStyle w:val="5"/>
                <w:rFonts w:hint="eastAsia" w:ascii="宋体" w:hAnsi="宋体"/>
                <w:color w:val="auto"/>
                <w:szCs w:val="21"/>
                <w:highlight w:val="none"/>
              </w:rPr>
              <w:t>分）</w:t>
            </w:r>
          </w:p>
        </w:tc>
        <w:tc>
          <w:tcPr>
            <w:tcW w:w="4586" w:type="dxa"/>
            <w:vAlign w:val="center"/>
          </w:tcPr>
          <w:p w14:paraId="54C14FBE">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ascii="宋体" w:hAnsi="宋体"/>
                <w:color w:val="auto"/>
                <w:szCs w:val="21"/>
                <w:highlight w:val="none"/>
              </w:rPr>
            </w:pPr>
            <w:r>
              <w:rPr>
                <w:rFonts w:hint="eastAsia" w:ascii="宋体" w:hAnsi="宋体"/>
                <w:bCs/>
                <w:color w:val="auto"/>
                <w:kern w:val="0"/>
                <w:szCs w:val="21"/>
                <w:highlight w:val="none"/>
              </w:rPr>
              <w:t>竞标</w:t>
            </w:r>
            <w:r>
              <w:rPr>
                <w:rFonts w:hint="eastAsia" w:ascii="宋体" w:hAnsi="宋体"/>
                <w:bCs/>
                <w:color w:val="auto"/>
                <w:kern w:val="0"/>
                <w:szCs w:val="21"/>
                <w:highlight w:val="none"/>
                <w:lang w:val="en-US" w:eastAsia="zh-CN"/>
              </w:rPr>
              <w:t>人</w:t>
            </w:r>
            <w:r>
              <w:rPr>
                <w:rFonts w:hint="eastAsia" w:ascii="宋体" w:hAnsi="宋体"/>
                <w:bCs/>
                <w:color w:val="auto"/>
                <w:kern w:val="0"/>
                <w:szCs w:val="21"/>
                <w:highlight w:val="none"/>
              </w:rPr>
              <w:t>具有有效期内的ISO9001质量管理体系证书、ISO45001职业健康安全管理体系认证证书、ISO14001环境管理体系认证书，每提供一个得</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w:t>
            </w:r>
            <w:r>
              <w:rPr>
                <w:rFonts w:hint="eastAsia" w:ascii="宋体" w:hAnsi="宋体"/>
                <w:bCs/>
                <w:color w:val="auto"/>
                <w:kern w:val="0"/>
                <w:szCs w:val="21"/>
                <w:highlight w:val="none"/>
                <w:lang w:val="en-US" w:eastAsia="zh-CN"/>
              </w:rPr>
              <w:t>最高得6分，未</w:t>
            </w:r>
            <w:r>
              <w:rPr>
                <w:rFonts w:hint="eastAsia" w:ascii="宋体" w:hAnsi="宋体"/>
                <w:bCs/>
                <w:color w:val="auto"/>
                <w:kern w:val="0"/>
                <w:szCs w:val="21"/>
                <w:highlight w:val="none"/>
              </w:rPr>
              <w:t>提供</w:t>
            </w:r>
            <w:r>
              <w:rPr>
                <w:rFonts w:hint="eastAsia" w:ascii="宋体" w:hAnsi="宋体"/>
                <w:bCs/>
                <w:color w:val="auto"/>
                <w:kern w:val="0"/>
                <w:szCs w:val="21"/>
                <w:highlight w:val="none"/>
                <w:lang w:val="en-US" w:eastAsia="zh-CN"/>
              </w:rPr>
              <w:t>或未按要求提供</w:t>
            </w:r>
            <w:r>
              <w:rPr>
                <w:rFonts w:hint="eastAsia" w:ascii="宋体" w:hAnsi="宋体"/>
                <w:bCs/>
                <w:color w:val="auto"/>
                <w:kern w:val="0"/>
                <w:szCs w:val="21"/>
                <w:highlight w:val="none"/>
              </w:rPr>
              <w:t>不得分。</w:t>
            </w:r>
          </w:p>
          <w:p w14:paraId="052E0679">
            <w:pPr>
              <w:pStyle w:val="2"/>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zh-TW"/>
              </w:rPr>
              <w:t>提供</w:t>
            </w:r>
            <w:r>
              <w:rPr>
                <w:rFonts w:hint="eastAsia" w:ascii="宋体" w:hAnsi="宋体"/>
                <w:color w:val="auto"/>
                <w:szCs w:val="21"/>
                <w:highlight w:val="none"/>
              </w:rPr>
              <w:t>相关证书</w:t>
            </w:r>
            <w:r>
              <w:rPr>
                <w:rFonts w:hint="eastAsia" w:ascii="宋体" w:hAnsi="宋体"/>
                <w:color w:val="auto"/>
                <w:szCs w:val="21"/>
                <w:highlight w:val="none"/>
                <w:lang w:val="zh-TW"/>
              </w:rPr>
              <w:t>复印件</w:t>
            </w:r>
            <w:r>
              <w:rPr>
                <w:rFonts w:hint="eastAsia" w:ascii="宋体" w:hAnsi="宋体"/>
                <w:color w:val="auto"/>
                <w:szCs w:val="21"/>
                <w:highlight w:val="none"/>
                <w:lang w:val="en-US" w:eastAsia="zh-CN"/>
              </w:rPr>
              <w:t>并加盖竞标人公章。</w:t>
            </w:r>
          </w:p>
        </w:tc>
      </w:tr>
      <w:tr w14:paraId="443DF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dxa"/>
            <w:vMerge w:val="continue"/>
            <w:tcBorders>
              <w:right w:val="single" w:color="auto" w:sz="4" w:space="0"/>
            </w:tcBorders>
            <w:vAlign w:val="center"/>
          </w:tcPr>
          <w:p w14:paraId="7C7A05A6">
            <w:pPr>
              <w:pageBreakBefore w:val="0"/>
              <w:kinsoku/>
              <w:bidi w:val="0"/>
              <w:spacing w:line="400" w:lineRule="exact"/>
              <w:jc w:val="center"/>
              <w:rPr>
                <w:rFonts w:ascii="宋体" w:hAnsi="宋体"/>
                <w:color w:val="auto"/>
                <w:kern w:val="0"/>
                <w:highlight w:val="none"/>
              </w:rPr>
            </w:pPr>
          </w:p>
        </w:tc>
        <w:tc>
          <w:tcPr>
            <w:tcW w:w="633" w:type="dxa"/>
            <w:vMerge w:val="continue"/>
            <w:tcBorders>
              <w:right w:val="single" w:color="auto" w:sz="4" w:space="0"/>
            </w:tcBorders>
            <w:vAlign w:val="center"/>
          </w:tcPr>
          <w:p w14:paraId="7A50151D">
            <w:pPr>
              <w:pageBreakBefore w:val="0"/>
              <w:kinsoku/>
              <w:bidi w:val="0"/>
              <w:spacing w:line="400" w:lineRule="exact"/>
              <w:jc w:val="center"/>
              <w:rPr>
                <w:rFonts w:ascii="宋体" w:hAnsi="宋体"/>
                <w:color w:val="auto"/>
                <w:kern w:val="0"/>
                <w:highlight w:val="none"/>
              </w:rPr>
            </w:pPr>
          </w:p>
        </w:tc>
        <w:tc>
          <w:tcPr>
            <w:tcW w:w="1047" w:type="dxa"/>
            <w:vMerge w:val="continue"/>
            <w:tcBorders>
              <w:left w:val="single" w:color="auto" w:sz="4" w:space="0"/>
            </w:tcBorders>
            <w:vAlign w:val="center"/>
          </w:tcPr>
          <w:p w14:paraId="4EE362BF">
            <w:pPr>
              <w:pageBreakBefore w:val="0"/>
              <w:kinsoku/>
              <w:bidi w:val="0"/>
              <w:jc w:val="center"/>
              <w:rPr>
                <w:rFonts w:ascii="宋体" w:hAnsi="宋体"/>
                <w:color w:val="auto"/>
                <w:kern w:val="0"/>
                <w:highlight w:val="none"/>
              </w:rPr>
            </w:pPr>
          </w:p>
        </w:tc>
        <w:tc>
          <w:tcPr>
            <w:tcW w:w="1719" w:type="dxa"/>
            <w:tcBorders>
              <w:left w:val="single" w:color="auto" w:sz="4" w:space="0"/>
            </w:tcBorders>
            <w:vAlign w:val="center"/>
          </w:tcPr>
          <w:p w14:paraId="54BD39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5"/>
                <w:rFonts w:hint="eastAsia" w:ascii="宋体" w:hAnsi="宋体"/>
                <w:color w:val="auto"/>
                <w:szCs w:val="21"/>
                <w:highlight w:val="none"/>
              </w:rPr>
            </w:pPr>
            <w:r>
              <w:rPr>
                <w:rStyle w:val="5"/>
                <w:rFonts w:hint="eastAsia" w:ascii="宋体" w:hAnsi="宋体"/>
                <w:color w:val="auto"/>
                <w:szCs w:val="21"/>
                <w:highlight w:val="none"/>
              </w:rPr>
              <w:t>旧电梯残值</w:t>
            </w:r>
          </w:p>
          <w:p w14:paraId="635C5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5"/>
                <w:rFonts w:ascii="宋体" w:hAnsi="宋体"/>
                <w:color w:val="auto"/>
                <w:szCs w:val="21"/>
                <w:highlight w:val="none"/>
              </w:rPr>
            </w:pPr>
            <w:r>
              <w:rPr>
                <w:rStyle w:val="5"/>
                <w:rFonts w:hint="eastAsia" w:ascii="宋体" w:hAnsi="宋体"/>
                <w:color w:val="auto"/>
                <w:szCs w:val="21"/>
                <w:highlight w:val="none"/>
              </w:rPr>
              <w:t>（1分）</w:t>
            </w:r>
          </w:p>
        </w:tc>
        <w:tc>
          <w:tcPr>
            <w:tcW w:w="4586" w:type="dxa"/>
            <w:vAlign w:val="center"/>
          </w:tcPr>
          <w:p w14:paraId="3A2F12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szCs w:val="21"/>
                <w:highlight w:val="none"/>
              </w:rPr>
            </w:pPr>
            <w:r>
              <w:rPr>
                <w:rFonts w:hint="eastAsia"/>
                <w:color w:val="auto"/>
                <w:szCs w:val="21"/>
                <w:highlight w:val="none"/>
                <w:lang w:val="zh-TW"/>
              </w:rPr>
              <w:t>综合报价</w:t>
            </w:r>
            <w:r>
              <w:rPr>
                <w:rFonts w:hint="eastAsia"/>
                <w:color w:val="auto"/>
                <w:szCs w:val="21"/>
                <w:highlight w:val="none"/>
              </w:rPr>
              <w:t>扣减</w:t>
            </w:r>
            <w:r>
              <w:rPr>
                <w:rFonts w:hint="eastAsia"/>
                <w:color w:val="auto"/>
                <w:szCs w:val="21"/>
                <w:highlight w:val="none"/>
                <w:lang w:val="zh-TW"/>
              </w:rPr>
              <w:t>旧电梯残值价格最高的得</w:t>
            </w:r>
            <w:r>
              <w:rPr>
                <w:rFonts w:hint="eastAsia"/>
                <w:color w:val="auto"/>
                <w:szCs w:val="21"/>
                <w:highlight w:val="none"/>
              </w:rPr>
              <w:t>1分。</w:t>
            </w:r>
          </w:p>
        </w:tc>
      </w:tr>
    </w:tbl>
    <w:p w14:paraId="4EFFEBE0">
      <w:pPr>
        <w:numPr>
          <w:numId w:val="0"/>
        </w:numPr>
        <w:spacing w:line="360" w:lineRule="auto"/>
        <w:jc w:val="both"/>
        <w:rPr>
          <w:rFonts w:hint="default" w:ascii="宋体" w:hAnsi="宋体"/>
          <w:b w:val="0"/>
          <w:bCs w:val="0"/>
          <w:color w:val="auto"/>
          <w:kern w:val="0"/>
          <w:sz w:val="24"/>
          <w:szCs w:val="24"/>
          <w:highlight w:val="none"/>
          <w:lang w:val="en-US" w:eastAsia="zh-CN"/>
        </w:rPr>
      </w:pPr>
    </w:p>
    <w:p w14:paraId="3C2A4454">
      <w:pPr>
        <w:spacing w:line="360" w:lineRule="auto"/>
        <w:ind w:firstLine="480"/>
        <w:jc w:val="right"/>
        <w:rPr>
          <w:rFonts w:hint="eastAsia" w:ascii="宋体" w:hAnsi="宋体" w:eastAsia="宋体" w:cs="宋体"/>
          <w:snapToGrid w:val="0"/>
          <w:color w:val="auto"/>
          <w:kern w:val="0"/>
          <w:sz w:val="24"/>
          <w:szCs w:val="24"/>
          <w:highlight w:val="none"/>
          <w:u w:val="none"/>
          <w:lang w:eastAsia="zh-CN"/>
        </w:rPr>
      </w:pPr>
      <w:r>
        <w:rPr>
          <w:rFonts w:hint="eastAsia" w:ascii="宋体" w:hAnsi="宋体" w:eastAsia="宋体" w:cs="宋体"/>
          <w:snapToGrid w:val="0"/>
          <w:color w:val="auto"/>
          <w:kern w:val="0"/>
          <w:sz w:val="24"/>
          <w:szCs w:val="24"/>
          <w:highlight w:val="none"/>
          <w:u w:val="none"/>
        </w:rPr>
        <w:t>比选人：</w:t>
      </w:r>
      <w:r>
        <w:rPr>
          <w:rFonts w:hint="eastAsia" w:ascii="宋体" w:hAnsi="宋体" w:eastAsia="宋体" w:cs="宋体"/>
          <w:snapToGrid w:val="0"/>
          <w:color w:val="auto"/>
          <w:kern w:val="0"/>
          <w:sz w:val="24"/>
          <w:szCs w:val="24"/>
          <w:highlight w:val="none"/>
          <w:u w:val="none"/>
          <w:lang w:eastAsia="zh-CN"/>
        </w:rPr>
        <w:t>重庆西典物业管理有限公司</w:t>
      </w:r>
    </w:p>
    <w:p w14:paraId="63D7727E">
      <w:pPr>
        <w:spacing w:line="360" w:lineRule="auto"/>
        <w:ind w:firstLine="480"/>
        <w:jc w:val="righ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比选代理机构：永明项目管理有限公司</w:t>
      </w:r>
    </w:p>
    <w:p w14:paraId="103E4CDA">
      <w:pPr>
        <w:spacing w:line="360" w:lineRule="auto"/>
        <w:ind w:firstLine="480"/>
        <w:jc w:val="right"/>
        <w:rPr>
          <w:rFonts w:hint="default" w:ascii="宋体" w:hAnsi="宋体" w:eastAsia="宋体" w:cs="宋体"/>
          <w:snapToGrid w:val="0"/>
          <w:color w:val="auto"/>
          <w:kern w:val="0"/>
          <w:sz w:val="24"/>
          <w:szCs w:val="24"/>
          <w:highlight w:val="none"/>
          <w:u w:val="none"/>
          <w:lang w:val="en-US" w:eastAsia="zh-CN"/>
        </w:rPr>
      </w:pPr>
      <w:r>
        <w:rPr>
          <w:rFonts w:hint="eastAsia" w:ascii="宋体" w:hAnsi="宋体" w:eastAsia="宋体" w:cs="宋体"/>
          <w:snapToGrid w:val="0"/>
          <w:color w:val="auto"/>
          <w:kern w:val="0"/>
          <w:sz w:val="24"/>
          <w:szCs w:val="24"/>
          <w:highlight w:val="none"/>
          <w:u w:val="none"/>
          <w:lang w:val="en-US" w:eastAsia="zh-CN"/>
        </w:rPr>
        <w:t>2025年10月17日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7E8"/>
    <w:rsid w:val="005367E8"/>
    <w:rsid w:val="02AF383B"/>
    <w:rsid w:val="072608B3"/>
    <w:rsid w:val="08FA3336"/>
    <w:rsid w:val="110273FB"/>
    <w:rsid w:val="172226B4"/>
    <w:rsid w:val="2E5F4766"/>
    <w:rsid w:val="36AE76C3"/>
    <w:rsid w:val="39355B41"/>
    <w:rsid w:val="4AF01A75"/>
    <w:rsid w:val="550E3200"/>
    <w:rsid w:val="61565DA5"/>
    <w:rsid w:val="6DF03EA5"/>
    <w:rsid w:val="7E44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2025-10-17T10:40:00Z</dcterms:created>
  <dc:creator>卡啊</dc:creator>
  <cp:lastModifiedBy>卡啊</cp:lastModifiedBy>
  <dcterms:modified xsi:type="dcterms:W3CDTF">2025-10-17T11:03:39Z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F9240888311A4836B9E824751E916A7F_11</vt:lpwstr>
  </property>
  <property fmtid="{D5CDD505-2E9C-101B-9397-08002B2CF9AE}" pid="4" name="KSOTemplateDocerSaveRecord">
    <vt:lpwstr>eyJoZGlkIjoiNjVlZTc0ZmNjYWZjODZhNDIxYWViZWY5M2RkZDY1OGIiLCJ1c2VySWQiOiI5MjM5NjUyNzAifQ==</vt:lpwstr>
  </property>
</Properties>
</file>