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090A9A">
      <w:pPr>
        <w:jc w:val="center"/>
        <w:rPr>
          <w:rFonts w:hint="eastAsia" w:ascii="宋体" w:hAnsi="宋体" w:eastAsia="宋体" w:cs="宋体"/>
          <w:sz w:val="22"/>
          <w:szCs w:val="16"/>
        </w:rPr>
      </w:pPr>
      <w:r>
        <w:rPr>
          <w:rFonts w:hint="eastAsia" w:ascii="宋体" w:hAnsi="宋体" w:eastAsia="宋体" w:cs="宋体"/>
          <w:sz w:val="22"/>
          <w:szCs w:val="16"/>
        </w:rPr>
        <w:t xml:space="preserve"> </w:t>
      </w:r>
    </w:p>
    <w:p w14:paraId="5C3B728D">
      <w:pPr>
        <w:jc w:val="center"/>
        <w:rPr>
          <w:rFonts w:hint="eastAsia" w:ascii="宋体" w:hAnsi="宋体" w:eastAsia="宋体" w:cs="宋体"/>
          <w:sz w:val="22"/>
          <w:szCs w:val="16"/>
        </w:rPr>
      </w:pPr>
    </w:p>
    <w:p w14:paraId="74FD7B21">
      <w:pPr>
        <w:jc w:val="center"/>
        <w:rPr>
          <w:rFonts w:hint="eastAsia" w:ascii="宋体" w:hAnsi="宋体" w:eastAsia="宋体" w:cs="宋体"/>
          <w:sz w:val="22"/>
          <w:szCs w:val="16"/>
        </w:rPr>
      </w:pPr>
    </w:p>
    <w:p w14:paraId="36331A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竞争性磋商</w:t>
      </w:r>
    </w:p>
    <w:p w14:paraId="56557B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文件</w:t>
      </w:r>
    </w:p>
    <w:p w14:paraId="4B23DBBE">
      <w:pPr>
        <w:spacing w:line="700" w:lineRule="exact"/>
        <w:jc w:val="center"/>
        <w:rPr>
          <w:rFonts w:hint="eastAsia" w:ascii="宋体" w:hAnsi="宋体" w:eastAsia="宋体" w:cs="宋体"/>
          <w:sz w:val="24"/>
          <w:szCs w:val="16"/>
        </w:rPr>
      </w:pPr>
    </w:p>
    <w:p w14:paraId="7369367A">
      <w:pPr>
        <w:spacing w:line="700" w:lineRule="exact"/>
        <w:rPr>
          <w:rFonts w:hint="eastAsia" w:ascii="宋体" w:hAnsi="宋体" w:eastAsia="宋体" w:cs="宋体"/>
          <w:sz w:val="24"/>
          <w:szCs w:val="16"/>
        </w:rPr>
      </w:pPr>
    </w:p>
    <w:p w14:paraId="4DC8BC25">
      <w:pPr>
        <w:spacing w:line="700" w:lineRule="exact"/>
        <w:jc w:val="center"/>
        <w:rPr>
          <w:rFonts w:hint="eastAsia" w:ascii="宋体" w:hAnsi="宋体" w:eastAsia="宋体" w:cs="宋体"/>
          <w:sz w:val="24"/>
          <w:szCs w:val="16"/>
        </w:rPr>
      </w:pPr>
    </w:p>
    <w:p w14:paraId="515FA952">
      <w:pPr>
        <w:spacing w:line="700" w:lineRule="exact"/>
        <w:jc w:val="center"/>
        <w:rPr>
          <w:rFonts w:hint="eastAsia" w:ascii="宋体" w:hAnsi="宋体" w:eastAsia="宋体" w:cs="宋体"/>
          <w:sz w:val="24"/>
          <w:szCs w:val="16"/>
        </w:rPr>
      </w:pPr>
    </w:p>
    <w:p w14:paraId="3D5DA1B6">
      <w:pPr>
        <w:spacing w:line="700" w:lineRule="exact"/>
        <w:ind w:left="1120" w:leftChars="400" w:firstLine="0" w:firstLineChars="0"/>
        <w:rPr>
          <w:rFonts w:hint="eastAsia" w:ascii="宋体" w:hAnsi="宋体" w:eastAsia="宋体" w:cs="宋体"/>
          <w:color w:val="auto"/>
          <w:szCs w:val="24"/>
        </w:rPr>
      </w:pPr>
      <w:r>
        <w:rPr>
          <w:rFonts w:hint="eastAsia" w:ascii="宋体" w:hAnsi="宋体" w:eastAsia="宋体" w:cs="宋体"/>
          <w:szCs w:val="24"/>
        </w:rPr>
        <w:t>磋商项目名称：重庆市大足区城市管理局食堂食材配送服务采购-猪肉类</w:t>
      </w:r>
    </w:p>
    <w:p w14:paraId="2A1AF262">
      <w:pPr>
        <w:spacing w:line="700" w:lineRule="exact"/>
        <w:ind w:firstLine="3080" w:firstLineChars="1100"/>
        <w:rPr>
          <w:rFonts w:hint="eastAsia" w:ascii="宋体" w:hAnsi="宋体" w:eastAsia="宋体" w:cs="宋体"/>
          <w:color w:val="auto"/>
        </w:rPr>
      </w:pPr>
    </w:p>
    <w:p w14:paraId="4395AD54">
      <w:pPr>
        <w:spacing w:line="700" w:lineRule="exact"/>
        <w:ind w:left="3696" w:leftChars="405" w:hanging="2562" w:hangingChars="915"/>
        <w:rPr>
          <w:rFonts w:hint="eastAsia" w:ascii="宋体" w:hAnsi="宋体" w:eastAsia="宋体" w:cs="宋体"/>
          <w:color w:val="auto"/>
          <w:sz w:val="28"/>
          <w:szCs w:val="24"/>
          <w:lang w:val="en-US" w:eastAsia="zh-CN"/>
        </w:rPr>
      </w:pPr>
      <w:r>
        <w:rPr>
          <w:rFonts w:hint="eastAsia" w:ascii="宋体" w:hAnsi="宋体" w:eastAsia="宋体" w:cs="宋体"/>
          <w:color w:val="auto"/>
          <w:sz w:val="28"/>
          <w:szCs w:val="24"/>
        </w:rPr>
        <w:t>项目编号：202505-300022</w:t>
      </w:r>
    </w:p>
    <w:p w14:paraId="4E7C69C7">
      <w:pPr>
        <w:spacing w:line="700" w:lineRule="exact"/>
        <w:ind w:firstLine="1360" w:firstLineChars="486"/>
        <w:rPr>
          <w:rFonts w:hint="eastAsia" w:ascii="宋体" w:hAnsi="宋体" w:eastAsia="宋体" w:cs="宋体"/>
          <w:szCs w:val="24"/>
        </w:rPr>
      </w:pPr>
    </w:p>
    <w:p w14:paraId="2B631895">
      <w:pPr>
        <w:spacing w:line="700" w:lineRule="exact"/>
        <w:ind w:firstLine="1360" w:firstLineChars="486"/>
        <w:rPr>
          <w:rFonts w:hint="eastAsia" w:ascii="宋体" w:hAnsi="宋体" w:eastAsia="宋体" w:cs="宋体"/>
          <w:szCs w:val="24"/>
        </w:rPr>
      </w:pPr>
    </w:p>
    <w:p w14:paraId="5D795C0B">
      <w:pPr>
        <w:spacing w:line="700" w:lineRule="exact"/>
        <w:jc w:val="center"/>
        <w:rPr>
          <w:rFonts w:hint="eastAsia" w:ascii="宋体" w:hAnsi="宋体" w:eastAsia="宋体" w:cs="宋体"/>
          <w:b/>
          <w:sz w:val="24"/>
          <w:szCs w:val="24"/>
        </w:rPr>
      </w:pPr>
    </w:p>
    <w:p w14:paraId="1AA0278E">
      <w:pPr>
        <w:spacing w:line="700" w:lineRule="exact"/>
        <w:ind w:firstLine="1500" w:firstLineChars="500"/>
        <w:rPr>
          <w:rFonts w:hint="eastAsia" w:ascii="宋体" w:hAnsi="宋体" w:eastAsia="宋体" w:cs="宋体"/>
          <w:b/>
          <w:sz w:val="30"/>
          <w:szCs w:val="30"/>
        </w:rPr>
      </w:pPr>
      <w:r>
        <w:rPr>
          <w:rFonts w:hint="eastAsia" w:ascii="宋体" w:hAnsi="宋体" w:eastAsia="宋体" w:cs="宋体"/>
          <w:sz w:val="30"/>
          <w:szCs w:val="30"/>
        </w:rPr>
        <w:t>采   购   人：重庆市大足区城市管理局</w:t>
      </w:r>
    </w:p>
    <w:p w14:paraId="7717D302">
      <w:pPr>
        <w:spacing w:line="700" w:lineRule="exact"/>
        <w:ind w:firstLine="1458" w:firstLineChars="486"/>
        <w:rPr>
          <w:rFonts w:hint="eastAsia" w:ascii="宋体" w:hAnsi="宋体" w:eastAsia="宋体" w:cs="宋体"/>
          <w:sz w:val="30"/>
          <w:szCs w:val="30"/>
        </w:rPr>
      </w:pPr>
      <w:r>
        <w:rPr>
          <w:rFonts w:hint="eastAsia" w:ascii="宋体" w:hAnsi="宋体" w:eastAsia="宋体" w:cs="宋体"/>
          <w:color w:val="000000"/>
          <w:sz w:val="30"/>
          <w:szCs w:val="30"/>
        </w:rPr>
        <w:t>采购代理机构：</w:t>
      </w:r>
      <w:r>
        <w:rPr>
          <w:rFonts w:hint="eastAsia" w:ascii="宋体" w:hAnsi="宋体" w:eastAsia="宋体" w:cs="宋体"/>
          <w:sz w:val="30"/>
          <w:szCs w:val="30"/>
        </w:rPr>
        <w:t>明科建设咨询有限公司</w:t>
      </w:r>
    </w:p>
    <w:p w14:paraId="10809D3F">
      <w:pPr>
        <w:spacing w:line="700" w:lineRule="exact"/>
        <w:ind w:firstLine="1360" w:firstLineChars="486"/>
        <w:rPr>
          <w:rFonts w:hint="eastAsia" w:ascii="宋体" w:hAnsi="宋体" w:eastAsia="宋体" w:cs="宋体"/>
          <w:szCs w:val="24"/>
        </w:rPr>
      </w:pPr>
    </w:p>
    <w:p w14:paraId="63D754A9">
      <w:pPr>
        <w:spacing w:line="720" w:lineRule="exact"/>
        <w:jc w:val="center"/>
        <w:outlineLvl w:val="0"/>
        <w:rPr>
          <w:rFonts w:hint="eastAsia" w:ascii="宋体" w:hAnsi="宋体" w:eastAsia="宋体" w:cs="宋体"/>
          <w:b w:val="0"/>
          <w:bCs w:val="0"/>
          <w:sz w:val="40"/>
          <w:szCs w:val="24"/>
        </w:rPr>
      </w:pPr>
      <w:r>
        <w:rPr>
          <w:rFonts w:hint="eastAsia" w:ascii="宋体" w:hAnsi="宋体" w:eastAsia="宋体" w:cs="宋体"/>
          <w:b w:val="0"/>
          <w:bCs w:val="0"/>
          <w:sz w:val="40"/>
          <w:szCs w:val="24"/>
        </w:rPr>
        <w:t>二〇二五年</w:t>
      </w:r>
      <w:r>
        <w:rPr>
          <w:rFonts w:hint="eastAsia" w:ascii="宋体" w:hAnsi="宋体" w:cs="宋体"/>
          <w:b w:val="0"/>
          <w:bCs w:val="0"/>
          <w:sz w:val="40"/>
          <w:szCs w:val="24"/>
          <w:lang w:val="en-US" w:eastAsia="zh-CN"/>
        </w:rPr>
        <w:t>五</w:t>
      </w:r>
      <w:r>
        <w:rPr>
          <w:rFonts w:hint="eastAsia" w:ascii="宋体" w:hAnsi="宋体" w:eastAsia="宋体" w:cs="宋体"/>
          <w:b w:val="0"/>
          <w:bCs w:val="0"/>
          <w:sz w:val="40"/>
          <w:szCs w:val="24"/>
        </w:rPr>
        <w:t>月</w:t>
      </w:r>
    </w:p>
    <w:p w14:paraId="29C2F182">
      <w:pPr>
        <w:spacing w:line="480" w:lineRule="exact"/>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5C811EC0">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3F4735AA">
      <w:pPr>
        <w:pStyle w:val="30"/>
        <w:tabs>
          <w:tab w:val="right" w:leader="dot" w:pos="9412"/>
        </w:tabs>
        <w:ind w:left="0" w:leftChars="0" w:firstLine="0" w:firstLineChars="0"/>
        <w:rPr>
          <w:rFonts w:hint="eastAsia" w:ascii="宋体" w:hAnsi="宋体" w:eastAsia="宋体" w:cs="宋体"/>
          <w:sz w:val="21"/>
          <w:szCs w:val="21"/>
        </w:rPr>
      </w:pPr>
    </w:p>
    <w:p w14:paraId="5AD7D7CB">
      <w:pPr>
        <w:pStyle w:val="30"/>
        <w:tabs>
          <w:tab w:val="right" w:leader="dot" w:pos="9412"/>
        </w:tabs>
        <w:ind w:left="0" w:leftChars="0" w:firstLine="630" w:firstLineChars="300"/>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_Toc29909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第一篇  采购邀请书</w:t>
      </w:r>
      <w:r>
        <w:tab/>
      </w:r>
      <w:r>
        <w:fldChar w:fldCharType="begin"/>
      </w:r>
      <w:r>
        <w:instrText xml:space="preserve"> PAGEREF _Toc29909 \h </w:instrText>
      </w:r>
      <w:r>
        <w:fldChar w:fldCharType="separate"/>
      </w:r>
      <w:r>
        <w:t>- 1 -</w:t>
      </w:r>
      <w:r>
        <w:fldChar w:fldCharType="end"/>
      </w:r>
      <w:r>
        <w:rPr>
          <w:rFonts w:hint="eastAsia" w:ascii="宋体" w:hAnsi="宋体" w:eastAsia="宋体" w:cs="宋体"/>
          <w:szCs w:val="21"/>
        </w:rPr>
        <w:fldChar w:fldCharType="end"/>
      </w:r>
    </w:p>
    <w:p w14:paraId="72BDFD1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_Toc72 </w:instrText>
      </w:r>
      <w:r>
        <w:rPr>
          <w:rFonts w:hint="eastAsia" w:ascii="宋体" w:hAnsi="宋体" w:eastAsia="宋体" w:cs="宋体"/>
          <w:szCs w:val="21"/>
        </w:rPr>
        <w:fldChar w:fldCharType="separate"/>
      </w:r>
      <w:r>
        <w:rPr>
          <w:rFonts w:hint="eastAsia" w:ascii="宋体" w:hAnsi="宋体" w:eastAsia="宋体" w:cs="宋体"/>
          <w:szCs w:val="24"/>
        </w:rPr>
        <w:t>一、竞争性磋商内容</w:t>
      </w:r>
      <w:r>
        <w:tab/>
      </w:r>
      <w:r>
        <w:fldChar w:fldCharType="begin"/>
      </w:r>
      <w:r>
        <w:instrText xml:space="preserve"> PAGEREF _Toc72 \h </w:instrText>
      </w:r>
      <w:r>
        <w:fldChar w:fldCharType="separate"/>
      </w:r>
      <w:r>
        <w:t>- 1 -</w:t>
      </w:r>
      <w:r>
        <w:fldChar w:fldCharType="end"/>
      </w:r>
      <w:r>
        <w:rPr>
          <w:rFonts w:hint="eastAsia" w:ascii="宋体" w:hAnsi="宋体" w:eastAsia="宋体" w:cs="宋体"/>
          <w:szCs w:val="21"/>
        </w:rPr>
        <w:fldChar w:fldCharType="end"/>
      </w:r>
    </w:p>
    <w:p w14:paraId="29759A7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_Toc11213 </w:instrText>
      </w:r>
      <w:r>
        <w:rPr>
          <w:rFonts w:hint="eastAsia" w:ascii="宋体" w:hAnsi="宋体" w:eastAsia="宋体" w:cs="宋体"/>
          <w:szCs w:val="21"/>
        </w:rPr>
        <w:fldChar w:fldCharType="separate"/>
      </w:r>
      <w:r>
        <w:rPr>
          <w:rFonts w:hint="eastAsia" w:ascii="宋体" w:hAnsi="宋体" w:eastAsia="宋体" w:cs="宋体"/>
          <w:szCs w:val="24"/>
        </w:rPr>
        <w:t>二、资金来源</w:t>
      </w:r>
      <w:r>
        <w:tab/>
      </w:r>
      <w:r>
        <w:fldChar w:fldCharType="begin"/>
      </w:r>
      <w:r>
        <w:instrText xml:space="preserve"> PAGEREF _Toc11213 \h </w:instrText>
      </w:r>
      <w:r>
        <w:fldChar w:fldCharType="separate"/>
      </w:r>
      <w:r>
        <w:t>- 1 -</w:t>
      </w:r>
      <w:r>
        <w:fldChar w:fldCharType="end"/>
      </w:r>
      <w:r>
        <w:rPr>
          <w:rFonts w:hint="eastAsia" w:ascii="宋体" w:hAnsi="宋体" w:eastAsia="宋体" w:cs="宋体"/>
          <w:szCs w:val="21"/>
        </w:rPr>
        <w:fldChar w:fldCharType="end"/>
      </w:r>
    </w:p>
    <w:p w14:paraId="51658A1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_Toc28014 </w:instrText>
      </w:r>
      <w:r>
        <w:rPr>
          <w:rFonts w:hint="eastAsia" w:ascii="宋体" w:hAnsi="宋体" w:eastAsia="宋体" w:cs="宋体"/>
          <w:szCs w:val="21"/>
        </w:rPr>
        <w:fldChar w:fldCharType="separate"/>
      </w:r>
      <w:r>
        <w:rPr>
          <w:rFonts w:hint="eastAsia" w:ascii="宋体" w:hAnsi="宋体" w:eastAsia="宋体" w:cs="宋体"/>
          <w:szCs w:val="24"/>
        </w:rPr>
        <w:t>三、供应商资格条件</w:t>
      </w:r>
      <w:r>
        <w:tab/>
      </w:r>
      <w:r>
        <w:fldChar w:fldCharType="begin"/>
      </w:r>
      <w:r>
        <w:instrText xml:space="preserve"> PAGEREF _Toc28014 \h </w:instrText>
      </w:r>
      <w:r>
        <w:fldChar w:fldCharType="separate"/>
      </w:r>
      <w:r>
        <w:t>- 1 -</w:t>
      </w:r>
      <w:r>
        <w:fldChar w:fldCharType="end"/>
      </w:r>
      <w:r>
        <w:rPr>
          <w:rFonts w:hint="eastAsia" w:ascii="宋体" w:hAnsi="宋体" w:eastAsia="宋体" w:cs="宋体"/>
          <w:szCs w:val="21"/>
        </w:rPr>
        <w:fldChar w:fldCharType="end"/>
      </w:r>
    </w:p>
    <w:p w14:paraId="16DB3AC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_Toc14022 </w:instrText>
      </w:r>
      <w:r>
        <w:rPr>
          <w:rFonts w:hint="eastAsia" w:ascii="宋体" w:hAnsi="宋体" w:eastAsia="宋体" w:cs="宋体"/>
          <w:szCs w:val="21"/>
        </w:rPr>
        <w:fldChar w:fldCharType="separate"/>
      </w:r>
      <w:r>
        <w:rPr>
          <w:rFonts w:hint="eastAsia" w:ascii="宋体" w:hAnsi="宋体" w:eastAsia="宋体" w:cs="宋体"/>
          <w:szCs w:val="24"/>
        </w:rPr>
        <w:t>四、投标、磋商有关说明</w:t>
      </w:r>
      <w:r>
        <w:tab/>
      </w:r>
      <w:r>
        <w:fldChar w:fldCharType="begin"/>
      </w:r>
      <w:r>
        <w:instrText xml:space="preserve"> PAGEREF _Toc14022 \h </w:instrText>
      </w:r>
      <w:r>
        <w:fldChar w:fldCharType="separate"/>
      </w:r>
      <w:r>
        <w:t>- 1 -</w:t>
      </w:r>
      <w:r>
        <w:fldChar w:fldCharType="end"/>
      </w:r>
      <w:r>
        <w:rPr>
          <w:rFonts w:hint="eastAsia" w:ascii="宋体" w:hAnsi="宋体" w:eastAsia="宋体" w:cs="宋体"/>
          <w:szCs w:val="21"/>
        </w:rPr>
        <w:fldChar w:fldCharType="end"/>
      </w:r>
    </w:p>
    <w:p w14:paraId="588035FE">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_Toc30385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、投标有关规定</w:t>
      </w:r>
      <w:r>
        <w:tab/>
      </w:r>
      <w:r>
        <w:fldChar w:fldCharType="begin"/>
      </w:r>
      <w:r>
        <w:instrText xml:space="preserve"> PAGEREF _Toc30385 \h </w:instrText>
      </w:r>
      <w:r>
        <w:fldChar w:fldCharType="separate"/>
      </w:r>
      <w:r>
        <w:t>- 2 -</w:t>
      </w:r>
      <w:r>
        <w:fldChar w:fldCharType="end"/>
      </w:r>
      <w:r>
        <w:rPr>
          <w:rFonts w:hint="eastAsia" w:ascii="宋体" w:hAnsi="宋体" w:eastAsia="宋体" w:cs="宋体"/>
          <w:szCs w:val="21"/>
        </w:rPr>
        <w:fldChar w:fldCharType="end"/>
      </w:r>
    </w:p>
    <w:p w14:paraId="3708241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_Toc10376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六、联系方式</w:t>
      </w:r>
      <w:r>
        <w:tab/>
      </w:r>
      <w:r>
        <w:fldChar w:fldCharType="begin"/>
      </w:r>
      <w:r>
        <w:instrText xml:space="preserve"> PAGEREF _Toc10376 \h </w:instrText>
      </w:r>
      <w:r>
        <w:fldChar w:fldCharType="separate"/>
      </w:r>
      <w:r>
        <w:t>- 3 -</w:t>
      </w:r>
      <w:r>
        <w:fldChar w:fldCharType="end"/>
      </w:r>
      <w:r>
        <w:rPr>
          <w:rFonts w:hint="eastAsia" w:ascii="宋体" w:hAnsi="宋体" w:eastAsia="宋体" w:cs="宋体"/>
          <w:szCs w:val="21"/>
        </w:rPr>
        <w:fldChar w:fldCharType="end"/>
      </w:r>
    </w:p>
    <w:p w14:paraId="4AAAF085">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_Toc11756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第二篇  项目服务需求</w:t>
      </w:r>
      <w:r>
        <w:tab/>
      </w:r>
      <w:r>
        <w:fldChar w:fldCharType="begin"/>
      </w:r>
      <w:r>
        <w:instrText xml:space="preserve"> PAGEREF _Toc11756 \h </w:instrText>
      </w:r>
      <w:r>
        <w:fldChar w:fldCharType="separate"/>
      </w:r>
      <w:r>
        <w:t>- 4 -</w:t>
      </w:r>
      <w:r>
        <w:fldChar w:fldCharType="end"/>
      </w:r>
      <w:r>
        <w:rPr>
          <w:rFonts w:hint="eastAsia" w:ascii="宋体" w:hAnsi="宋体" w:eastAsia="宋体" w:cs="宋体"/>
          <w:szCs w:val="21"/>
        </w:rPr>
        <w:fldChar w:fldCharType="end"/>
      </w:r>
    </w:p>
    <w:p w14:paraId="6D942430">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_Toc15864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一、项目一览表</w:t>
      </w:r>
      <w:r>
        <w:tab/>
      </w:r>
      <w:r>
        <w:fldChar w:fldCharType="begin"/>
      </w:r>
      <w:r>
        <w:instrText xml:space="preserve"> PAGEREF _Toc15864 \h </w:instrText>
      </w:r>
      <w:r>
        <w:fldChar w:fldCharType="separate"/>
      </w:r>
      <w:r>
        <w:t>- 4 -</w:t>
      </w:r>
      <w:r>
        <w:fldChar w:fldCharType="end"/>
      </w:r>
      <w:r>
        <w:rPr>
          <w:rFonts w:hint="eastAsia" w:ascii="宋体" w:hAnsi="宋体" w:eastAsia="宋体" w:cs="宋体"/>
          <w:szCs w:val="21"/>
        </w:rPr>
        <w:fldChar w:fldCharType="end"/>
      </w:r>
    </w:p>
    <w:p w14:paraId="4692CFA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_Toc6745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二、项目服务内容</w:t>
      </w:r>
      <w:r>
        <w:tab/>
      </w:r>
      <w:r>
        <w:fldChar w:fldCharType="begin"/>
      </w:r>
      <w:r>
        <w:instrText xml:space="preserve"> PAGEREF _Toc6745 \h </w:instrText>
      </w:r>
      <w:r>
        <w:fldChar w:fldCharType="separate"/>
      </w:r>
      <w:r>
        <w:t>- 4 -</w:t>
      </w:r>
      <w:r>
        <w:fldChar w:fldCharType="end"/>
      </w:r>
      <w:r>
        <w:rPr>
          <w:rFonts w:hint="eastAsia" w:ascii="宋体" w:hAnsi="宋体" w:eastAsia="宋体" w:cs="宋体"/>
          <w:szCs w:val="21"/>
        </w:rPr>
        <w:fldChar w:fldCharType="end"/>
      </w:r>
    </w:p>
    <w:p w14:paraId="7EF108A9">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_Toc11756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w:t>
      </w:r>
      <w:r>
        <w:rPr>
          <w:rFonts w:hint="eastAsia" w:ascii="宋体" w:hAnsi="宋体" w:cs="宋体"/>
          <w:kern w:val="2"/>
          <w:szCs w:val="30"/>
          <w:lang w:val="en-US" w:eastAsia="zh-CN" w:bidi="ar-SA"/>
        </w:rPr>
        <w:t>三</w:t>
      </w:r>
      <w:r>
        <w:rPr>
          <w:rFonts w:hint="eastAsia" w:ascii="宋体" w:hAnsi="宋体" w:eastAsia="宋体" w:cs="宋体"/>
          <w:kern w:val="2"/>
          <w:szCs w:val="30"/>
          <w:lang w:val="en-US" w:eastAsia="zh-CN" w:bidi="ar-SA"/>
        </w:rPr>
        <w:t>篇  项目</w:t>
      </w:r>
      <w:r>
        <w:rPr>
          <w:rFonts w:hint="eastAsia" w:ascii="宋体" w:hAnsi="宋体" w:cs="宋体"/>
          <w:kern w:val="2"/>
          <w:szCs w:val="30"/>
          <w:lang w:val="en-US" w:eastAsia="zh-CN" w:bidi="ar-SA"/>
        </w:rPr>
        <w:t>商务</w:t>
      </w:r>
      <w:r>
        <w:rPr>
          <w:rFonts w:hint="eastAsia" w:ascii="宋体" w:hAnsi="宋体" w:eastAsia="宋体" w:cs="宋体"/>
          <w:kern w:val="2"/>
          <w:szCs w:val="30"/>
          <w:lang w:val="en-US" w:eastAsia="zh-CN" w:bidi="ar-SA"/>
        </w:rPr>
        <w:t>需求</w:t>
      </w:r>
      <w:r>
        <w:tab/>
      </w:r>
      <w:r>
        <w:fldChar w:fldCharType="begin"/>
      </w:r>
      <w:r>
        <w:instrText xml:space="preserve"> PAGEREF _Toc11756 \h </w:instrText>
      </w:r>
      <w:r>
        <w:fldChar w:fldCharType="separate"/>
      </w:r>
      <w:r>
        <w:t xml:space="preserve">- </w:t>
      </w:r>
      <w:r>
        <w:rPr>
          <w:rFonts w:hint="eastAsia"/>
          <w:lang w:val="en-US" w:eastAsia="zh-CN"/>
        </w:rPr>
        <w:t>6</w:t>
      </w:r>
      <w:r>
        <w:t xml:space="preserve"> -</w:t>
      </w:r>
      <w:r>
        <w:fldChar w:fldCharType="end"/>
      </w:r>
      <w:r>
        <w:rPr>
          <w:rFonts w:hint="eastAsia" w:ascii="宋体" w:hAnsi="宋体" w:eastAsia="宋体" w:cs="宋体"/>
          <w:szCs w:val="21"/>
        </w:rPr>
        <w:fldChar w:fldCharType="end"/>
      </w:r>
    </w:p>
    <w:p w14:paraId="6BBEB0E6">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_Toc22554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一、服务期、地点及验收方式</w:t>
      </w:r>
      <w:r>
        <w:tab/>
      </w:r>
      <w:r>
        <w:fldChar w:fldCharType="begin"/>
      </w:r>
      <w:r>
        <w:instrText xml:space="preserve"> PAGEREF _Toc22554 \h </w:instrText>
      </w:r>
      <w:r>
        <w:fldChar w:fldCharType="separate"/>
      </w:r>
      <w:r>
        <w:t>- 6 -</w:t>
      </w:r>
      <w:r>
        <w:fldChar w:fldCharType="end"/>
      </w:r>
      <w:r>
        <w:rPr>
          <w:rFonts w:hint="eastAsia" w:ascii="宋体" w:hAnsi="宋体" w:eastAsia="宋体" w:cs="宋体"/>
          <w:szCs w:val="21"/>
        </w:rPr>
        <w:fldChar w:fldCharType="end"/>
      </w:r>
    </w:p>
    <w:p w14:paraId="329B764A">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_Toc31959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_Toc31959 \h </w:instrText>
      </w:r>
      <w:r>
        <w:fldChar w:fldCharType="separate"/>
      </w:r>
      <w:r>
        <w:t>- 6 -</w:t>
      </w:r>
      <w:r>
        <w:fldChar w:fldCharType="end"/>
      </w:r>
      <w:r>
        <w:rPr>
          <w:rFonts w:hint="eastAsia" w:ascii="宋体" w:hAnsi="宋体" w:eastAsia="宋体" w:cs="宋体"/>
          <w:szCs w:val="21"/>
        </w:rPr>
        <w:fldChar w:fldCharType="end"/>
      </w:r>
    </w:p>
    <w:p w14:paraId="7AE83C81">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_Toc12438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三、结算</w:t>
      </w:r>
      <w:r>
        <w:rPr>
          <w:rFonts w:hint="eastAsia" w:ascii="宋体" w:hAnsi="宋体" w:cs="宋体"/>
          <w:szCs w:val="24"/>
          <w:lang w:val="en-US" w:eastAsia="zh-CN"/>
        </w:rPr>
        <w:t>单</w:t>
      </w:r>
      <w:r>
        <w:rPr>
          <w:rFonts w:hint="eastAsia" w:ascii="宋体" w:hAnsi="宋体" w:eastAsia="宋体" w:cs="宋体"/>
          <w:szCs w:val="24"/>
          <w:lang w:val="en-US" w:eastAsia="zh-CN"/>
        </w:rPr>
        <w:t>价确定标准和流程</w:t>
      </w:r>
      <w:r>
        <w:tab/>
      </w:r>
      <w:r>
        <w:fldChar w:fldCharType="begin"/>
      </w:r>
      <w:r>
        <w:instrText xml:space="preserve"> PAGEREF _Toc12438 \h </w:instrText>
      </w:r>
      <w:r>
        <w:fldChar w:fldCharType="separate"/>
      </w:r>
      <w:r>
        <w:t>- 6 -</w:t>
      </w:r>
      <w:r>
        <w:fldChar w:fldCharType="end"/>
      </w:r>
      <w:r>
        <w:rPr>
          <w:rFonts w:hint="eastAsia" w:ascii="宋体" w:hAnsi="宋体" w:eastAsia="宋体" w:cs="宋体"/>
          <w:szCs w:val="21"/>
        </w:rPr>
        <w:fldChar w:fldCharType="end"/>
      </w:r>
    </w:p>
    <w:p w14:paraId="0E5117A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_Toc15271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四、付款方式</w:t>
      </w:r>
      <w:r>
        <w:tab/>
      </w:r>
      <w:r>
        <w:fldChar w:fldCharType="begin"/>
      </w:r>
      <w:r>
        <w:instrText xml:space="preserve"> PAGEREF _Toc15271 \h </w:instrText>
      </w:r>
      <w:r>
        <w:fldChar w:fldCharType="separate"/>
      </w:r>
      <w:r>
        <w:t>- 7 -</w:t>
      </w:r>
      <w:r>
        <w:fldChar w:fldCharType="end"/>
      </w:r>
      <w:r>
        <w:rPr>
          <w:rFonts w:hint="eastAsia" w:ascii="宋体" w:hAnsi="宋体" w:eastAsia="宋体" w:cs="宋体"/>
          <w:szCs w:val="21"/>
        </w:rPr>
        <w:fldChar w:fldCharType="end"/>
      </w:r>
    </w:p>
    <w:p w14:paraId="56BAC5E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_Toc17140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五、知识产权</w:t>
      </w:r>
      <w:r>
        <w:tab/>
      </w:r>
      <w:r>
        <w:fldChar w:fldCharType="begin"/>
      </w:r>
      <w:r>
        <w:instrText xml:space="preserve"> PAGEREF _Toc17140 \h </w:instrText>
      </w:r>
      <w:r>
        <w:fldChar w:fldCharType="separate"/>
      </w:r>
      <w:r>
        <w:t>- 7 -</w:t>
      </w:r>
      <w:r>
        <w:fldChar w:fldCharType="end"/>
      </w:r>
      <w:r>
        <w:rPr>
          <w:rFonts w:hint="eastAsia" w:ascii="宋体" w:hAnsi="宋体" w:eastAsia="宋体" w:cs="宋体"/>
          <w:szCs w:val="21"/>
        </w:rPr>
        <w:fldChar w:fldCharType="end"/>
      </w:r>
    </w:p>
    <w:p w14:paraId="0F33137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_Toc8510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_Toc8510 \h </w:instrText>
      </w:r>
      <w:r>
        <w:fldChar w:fldCharType="separate"/>
      </w:r>
      <w:r>
        <w:t>- 7 -</w:t>
      </w:r>
      <w:r>
        <w:fldChar w:fldCharType="end"/>
      </w:r>
      <w:r>
        <w:rPr>
          <w:rFonts w:hint="eastAsia" w:ascii="宋体" w:hAnsi="宋体" w:eastAsia="宋体" w:cs="宋体"/>
          <w:szCs w:val="21"/>
        </w:rPr>
        <w:fldChar w:fldCharType="end"/>
      </w:r>
    </w:p>
    <w:p w14:paraId="5FF23EE0">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_Toc8381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磋商程序及方法、评审标准、无效响应和采购终止</w:t>
      </w:r>
      <w:r>
        <w:tab/>
      </w:r>
      <w:r>
        <w:fldChar w:fldCharType="begin"/>
      </w:r>
      <w:r>
        <w:instrText xml:space="preserve"> PAGEREF _Toc8381 \h </w:instrText>
      </w:r>
      <w:r>
        <w:fldChar w:fldCharType="separate"/>
      </w:r>
      <w:r>
        <w:t>- 11 -</w:t>
      </w:r>
      <w:r>
        <w:fldChar w:fldCharType="end"/>
      </w:r>
      <w:r>
        <w:rPr>
          <w:rFonts w:hint="eastAsia" w:ascii="宋体" w:hAnsi="宋体" w:eastAsia="宋体" w:cs="宋体"/>
          <w:szCs w:val="21"/>
        </w:rPr>
        <w:fldChar w:fldCharType="end"/>
      </w:r>
    </w:p>
    <w:p w14:paraId="458912C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_Toc11865 </w:instrText>
      </w:r>
      <w:r>
        <w:rPr>
          <w:rFonts w:hint="eastAsia" w:ascii="宋体" w:hAnsi="宋体" w:eastAsia="宋体" w:cs="宋体"/>
          <w:szCs w:val="21"/>
        </w:rPr>
        <w:fldChar w:fldCharType="separate"/>
      </w:r>
      <w:r>
        <w:rPr>
          <w:rFonts w:hint="eastAsia" w:ascii="宋体" w:hAnsi="宋体" w:eastAsia="宋体" w:cs="宋体"/>
          <w:szCs w:val="24"/>
        </w:rPr>
        <w:t>一、磋商程序及方法</w:t>
      </w:r>
      <w:r>
        <w:tab/>
      </w:r>
      <w:r>
        <w:fldChar w:fldCharType="begin"/>
      </w:r>
      <w:r>
        <w:instrText xml:space="preserve"> PAGEREF _Toc11865 \h </w:instrText>
      </w:r>
      <w:r>
        <w:fldChar w:fldCharType="separate"/>
      </w:r>
      <w:r>
        <w:t>- 11 -</w:t>
      </w:r>
      <w:r>
        <w:fldChar w:fldCharType="end"/>
      </w:r>
      <w:r>
        <w:rPr>
          <w:rFonts w:hint="eastAsia" w:ascii="宋体" w:hAnsi="宋体" w:eastAsia="宋体" w:cs="宋体"/>
          <w:szCs w:val="21"/>
        </w:rPr>
        <w:fldChar w:fldCharType="end"/>
      </w:r>
    </w:p>
    <w:p w14:paraId="0F6B2740">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_Toc4012 </w:instrText>
      </w:r>
      <w:r>
        <w:rPr>
          <w:rFonts w:hint="eastAsia" w:ascii="宋体" w:hAnsi="宋体" w:eastAsia="宋体" w:cs="宋体"/>
          <w:szCs w:val="21"/>
        </w:rPr>
        <w:fldChar w:fldCharType="separate"/>
      </w:r>
      <w:r>
        <w:rPr>
          <w:rFonts w:hint="eastAsia" w:ascii="宋体" w:hAnsi="宋体" w:eastAsia="宋体" w:cs="宋体"/>
          <w:bCs/>
          <w:kern w:val="2"/>
          <w:szCs w:val="24"/>
          <w:lang w:val="en-US" w:eastAsia="zh-CN" w:bidi="ar-SA"/>
        </w:rPr>
        <w:t>二、评审标准</w:t>
      </w:r>
      <w:r>
        <w:tab/>
      </w:r>
      <w:r>
        <w:fldChar w:fldCharType="begin"/>
      </w:r>
      <w:r>
        <w:instrText xml:space="preserve"> PAGEREF _Toc4012 \h </w:instrText>
      </w:r>
      <w:r>
        <w:fldChar w:fldCharType="separate"/>
      </w:r>
      <w:r>
        <w:t>- 13 -</w:t>
      </w:r>
      <w:r>
        <w:fldChar w:fldCharType="end"/>
      </w:r>
      <w:r>
        <w:rPr>
          <w:rFonts w:hint="eastAsia" w:ascii="宋体" w:hAnsi="宋体" w:eastAsia="宋体" w:cs="宋体"/>
          <w:szCs w:val="21"/>
        </w:rPr>
        <w:fldChar w:fldCharType="end"/>
      </w:r>
    </w:p>
    <w:p w14:paraId="7D129EA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_Toc499 </w:instrText>
      </w:r>
      <w:r>
        <w:rPr>
          <w:rFonts w:hint="eastAsia" w:ascii="宋体" w:hAnsi="宋体" w:eastAsia="宋体" w:cs="宋体"/>
          <w:szCs w:val="21"/>
        </w:rPr>
        <w:fldChar w:fldCharType="separate"/>
      </w:r>
      <w:r>
        <w:rPr>
          <w:rFonts w:hint="eastAsia" w:ascii="宋体" w:hAnsi="宋体" w:eastAsia="宋体" w:cs="宋体"/>
          <w:szCs w:val="24"/>
        </w:rPr>
        <w:t>三、无效响应</w:t>
      </w:r>
      <w:r>
        <w:tab/>
      </w:r>
      <w:r>
        <w:fldChar w:fldCharType="begin"/>
      </w:r>
      <w:r>
        <w:instrText xml:space="preserve"> PAGEREF _Toc499 \h </w:instrText>
      </w:r>
      <w:r>
        <w:fldChar w:fldCharType="separate"/>
      </w:r>
      <w:r>
        <w:t>- 14 -</w:t>
      </w:r>
      <w:r>
        <w:fldChar w:fldCharType="end"/>
      </w:r>
      <w:r>
        <w:rPr>
          <w:rFonts w:hint="eastAsia" w:ascii="宋体" w:hAnsi="宋体" w:eastAsia="宋体" w:cs="宋体"/>
          <w:szCs w:val="21"/>
        </w:rPr>
        <w:fldChar w:fldCharType="end"/>
      </w:r>
    </w:p>
    <w:p w14:paraId="2F56133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_Toc2637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_Toc2637 \h </w:instrText>
      </w:r>
      <w:r>
        <w:fldChar w:fldCharType="separate"/>
      </w:r>
      <w:r>
        <w:t>- 15 -</w:t>
      </w:r>
      <w:r>
        <w:fldChar w:fldCharType="end"/>
      </w:r>
      <w:r>
        <w:rPr>
          <w:rFonts w:hint="eastAsia" w:ascii="宋体" w:hAnsi="宋体" w:eastAsia="宋体" w:cs="宋体"/>
          <w:szCs w:val="21"/>
        </w:rPr>
        <w:fldChar w:fldCharType="end"/>
      </w:r>
    </w:p>
    <w:p w14:paraId="2D8ECE2A">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_Toc11741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_Toc11741 \h </w:instrText>
      </w:r>
      <w:r>
        <w:fldChar w:fldCharType="separate"/>
      </w:r>
      <w:r>
        <w:t>- 16 -</w:t>
      </w:r>
      <w:r>
        <w:fldChar w:fldCharType="end"/>
      </w:r>
      <w:r>
        <w:rPr>
          <w:rFonts w:hint="eastAsia" w:ascii="宋体" w:hAnsi="宋体" w:eastAsia="宋体" w:cs="宋体"/>
          <w:szCs w:val="21"/>
        </w:rPr>
        <w:fldChar w:fldCharType="end"/>
      </w:r>
    </w:p>
    <w:p w14:paraId="40D3D9B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_Toc16069 </w:instrText>
      </w:r>
      <w:r>
        <w:rPr>
          <w:rFonts w:hint="eastAsia" w:ascii="宋体" w:hAnsi="宋体" w:eastAsia="宋体" w:cs="宋体"/>
          <w:szCs w:val="21"/>
        </w:rPr>
        <w:fldChar w:fldCharType="separate"/>
      </w:r>
      <w:r>
        <w:rPr>
          <w:rFonts w:hint="eastAsia" w:ascii="宋体" w:hAnsi="宋体" w:eastAsia="宋体" w:cs="宋体"/>
          <w:szCs w:val="24"/>
        </w:rPr>
        <w:t>一、磋商费用</w:t>
      </w:r>
      <w:r>
        <w:tab/>
      </w:r>
      <w:r>
        <w:fldChar w:fldCharType="begin"/>
      </w:r>
      <w:r>
        <w:instrText xml:space="preserve"> PAGEREF _Toc16069 \h </w:instrText>
      </w:r>
      <w:r>
        <w:fldChar w:fldCharType="separate"/>
      </w:r>
      <w:r>
        <w:t>- 16 -</w:t>
      </w:r>
      <w:r>
        <w:fldChar w:fldCharType="end"/>
      </w:r>
      <w:r>
        <w:rPr>
          <w:rFonts w:hint="eastAsia" w:ascii="宋体" w:hAnsi="宋体" w:eastAsia="宋体" w:cs="宋体"/>
          <w:szCs w:val="21"/>
        </w:rPr>
        <w:fldChar w:fldCharType="end"/>
      </w:r>
    </w:p>
    <w:p w14:paraId="5398F18E">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_Toc17656 </w:instrText>
      </w:r>
      <w:r>
        <w:rPr>
          <w:rFonts w:hint="eastAsia" w:ascii="宋体" w:hAnsi="宋体" w:eastAsia="宋体" w:cs="宋体"/>
          <w:szCs w:val="21"/>
        </w:rPr>
        <w:fldChar w:fldCharType="separate"/>
      </w:r>
      <w:r>
        <w:rPr>
          <w:rFonts w:hint="eastAsia" w:ascii="宋体" w:hAnsi="宋体" w:eastAsia="宋体" w:cs="宋体"/>
          <w:szCs w:val="24"/>
        </w:rPr>
        <w:t>二、竞争性磋商文件</w:t>
      </w:r>
      <w:r>
        <w:tab/>
      </w:r>
      <w:r>
        <w:fldChar w:fldCharType="begin"/>
      </w:r>
      <w:r>
        <w:instrText xml:space="preserve"> PAGEREF _Toc17656 \h </w:instrText>
      </w:r>
      <w:r>
        <w:fldChar w:fldCharType="separate"/>
      </w:r>
      <w:r>
        <w:t>- 16 -</w:t>
      </w:r>
      <w:r>
        <w:fldChar w:fldCharType="end"/>
      </w:r>
      <w:r>
        <w:rPr>
          <w:rFonts w:hint="eastAsia" w:ascii="宋体" w:hAnsi="宋体" w:eastAsia="宋体" w:cs="宋体"/>
          <w:szCs w:val="21"/>
        </w:rPr>
        <w:fldChar w:fldCharType="end"/>
      </w:r>
    </w:p>
    <w:p w14:paraId="47F93290">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_Toc17552 </w:instrText>
      </w:r>
      <w:r>
        <w:rPr>
          <w:rFonts w:hint="eastAsia" w:ascii="宋体" w:hAnsi="宋体" w:eastAsia="宋体" w:cs="宋体"/>
          <w:szCs w:val="21"/>
        </w:rPr>
        <w:fldChar w:fldCharType="separate"/>
      </w:r>
      <w:r>
        <w:rPr>
          <w:rFonts w:hint="eastAsia" w:ascii="宋体" w:hAnsi="宋体" w:eastAsia="宋体" w:cs="宋体"/>
          <w:szCs w:val="24"/>
        </w:rPr>
        <w:t>三、磋商要求</w:t>
      </w:r>
      <w:r>
        <w:tab/>
      </w:r>
      <w:r>
        <w:fldChar w:fldCharType="begin"/>
      </w:r>
      <w:r>
        <w:instrText xml:space="preserve"> PAGEREF _Toc17552 \h </w:instrText>
      </w:r>
      <w:r>
        <w:fldChar w:fldCharType="separate"/>
      </w:r>
      <w:r>
        <w:t>- 16 -</w:t>
      </w:r>
      <w:r>
        <w:fldChar w:fldCharType="end"/>
      </w:r>
      <w:r>
        <w:rPr>
          <w:rFonts w:hint="eastAsia" w:ascii="宋体" w:hAnsi="宋体" w:eastAsia="宋体" w:cs="宋体"/>
          <w:szCs w:val="21"/>
        </w:rPr>
        <w:fldChar w:fldCharType="end"/>
      </w:r>
    </w:p>
    <w:p w14:paraId="61C5FDF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_Toc6246 </w:instrText>
      </w:r>
      <w:r>
        <w:rPr>
          <w:rFonts w:hint="eastAsia" w:ascii="宋体" w:hAnsi="宋体" w:eastAsia="宋体" w:cs="宋体"/>
          <w:szCs w:val="21"/>
        </w:rPr>
        <w:fldChar w:fldCharType="separate"/>
      </w:r>
      <w:r>
        <w:rPr>
          <w:rFonts w:hint="eastAsia" w:ascii="宋体" w:hAnsi="宋体" w:eastAsia="宋体" w:cs="宋体"/>
          <w:szCs w:val="24"/>
        </w:rPr>
        <w:t>四、</w:t>
      </w:r>
      <w:r>
        <w:rPr>
          <w:rFonts w:hint="eastAsia" w:ascii="宋体" w:hAnsi="宋体" w:cs="宋体"/>
          <w:szCs w:val="24"/>
          <w:lang w:val="en-US" w:eastAsia="zh-CN"/>
        </w:rPr>
        <w:t>成交</w:t>
      </w:r>
      <w:r>
        <w:rPr>
          <w:rFonts w:hint="eastAsia" w:ascii="宋体" w:hAnsi="宋体" w:eastAsia="宋体" w:cs="宋体"/>
          <w:szCs w:val="24"/>
        </w:rPr>
        <w:t>供应商的确认和变更</w:t>
      </w:r>
      <w:r>
        <w:tab/>
      </w:r>
      <w:r>
        <w:fldChar w:fldCharType="begin"/>
      </w:r>
      <w:r>
        <w:instrText xml:space="preserve"> PAGEREF _Toc6246 \h </w:instrText>
      </w:r>
      <w:r>
        <w:fldChar w:fldCharType="separate"/>
      </w:r>
      <w:r>
        <w:t>- 17 -</w:t>
      </w:r>
      <w:r>
        <w:fldChar w:fldCharType="end"/>
      </w:r>
      <w:r>
        <w:rPr>
          <w:rFonts w:hint="eastAsia" w:ascii="宋体" w:hAnsi="宋体" w:eastAsia="宋体" w:cs="宋体"/>
          <w:szCs w:val="21"/>
        </w:rPr>
        <w:fldChar w:fldCharType="end"/>
      </w:r>
    </w:p>
    <w:p w14:paraId="4A5E029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_Toc18808 </w:instrText>
      </w:r>
      <w:r>
        <w:rPr>
          <w:rFonts w:hint="eastAsia" w:ascii="宋体" w:hAnsi="宋体" w:eastAsia="宋体" w:cs="宋体"/>
          <w:szCs w:val="21"/>
        </w:rPr>
        <w:fldChar w:fldCharType="separate"/>
      </w:r>
      <w:r>
        <w:rPr>
          <w:rFonts w:hint="eastAsia" w:ascii="宋体" w:hAnsi="宋体" w:eastAsia="宋体" w:cs="宋体"/>
          <w:szCs w:val="24"/>
        </w:rPr>
        <w:t>五、</w:t>
      </w:r>
      <w:r>
        <w:rPr>
          <w:rFonts w:hint="eastAsia" w:ascii="宋体" w:hAnsi="宋体" w:cs="宋体"/>
          <w:szCs w:val="24"/>
          <w:lang w:val="en-US" w:eastAsia="zh-CN"/>
        </w:rPr>
        <w:t>成交</w:t>
      </w:r>
      <w:r>
        <w:rPr>
          <w:rFonts w:hint="eastAsia" w:ascii="宋体" w:hAnsi="宋体" w:eastAsia="宋体" w:cs="宋体"/>
          <w:szCs w:val="24"/>
        </w:rPr>
        <w:t>通知</w:t>
      </w:r>
      <w:r>
        <w:tab/>
      </w:r>
      <w:r>
        <w:fldChar w:fldCharType="begin"/>
      </w:r>
      <w:r>
        <w:instrText xml:space="preserve"> PAGEREF _Toc18808 \h </w:instrText>
      </w:r>
      <w:r>
        <w:fldChar w:fldCharType="separate"/>
      </w:r>
      <w:r>
        <w:t>- 18 -</w:t>
      </w:r>
      <w:r>
        <w:fldChar w:fldCharType="end"/>
      </w:r>
      <w:r>
        <w:rPr>
          <w:rFonts w:hint="eastAsia" w:ascii="宋体" w:hAnsi="宋体" w:eastAsia="宋体" w:cs="宋体"/>
          <w:szCs w:val="21"/>
        </w:rPr>
        <w:fldChar w:fldCharType="end"/>
      </w:r>
    </w:p>
    <w:p w14:paraId="3F89DF8A">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_Toc25706 </w:instrText>
      </w:r>
      <w:r>
        <w:rPr>
          <w:rFonts w:hint="eastAsia" w:ascii="宋体" w:hAnsi="宋体" w:eastAsia="宋体" w:cs="宋体"/>
          <w:szCs w:val="21"/>
        </w:rPr>
        <w:fldChar w:fldCharType="separate"/>
      </w:r>
      <w:r>
        <w:rPr>
          <w:rFonts w:hint="eastAsia" w:ascii="宋体" w:hAnsi="宋体" w:eastAsia="宋体" w:cs="宋体"/>
          <w:szCs w:val="24"/>
        </w:rPr>
        <w:t>六、关于质疑和投诉</w:t>
      </w:r>
      <w:r>
        <w:tab/>
      </w:r>
      <w:r>
        <w:fldChar w:fldCharType="begin"/>
      </w:r>
      <w:r>
        <w:instrText xml:space="preserve"> PAGEREF _Toc25706 \h </w:instrText>
      </w:r>
      <w:r>
        <w:fldChar w:fldCharType="separate"/>
      </w:r>
      <w:r>
        <w:t>- 18 -</w:t>
      </w:r>
      <w:r>
        <w:fldChar w:fldCharType="end"/>
      </w:r>
      <w:r>
        <w:rPr>
          <w:rFonts w:hint="eastAsia" w:ascii="宋体" w:hAnsi="宋体" w:eastAsia="宋体" w:cs="宋体"/>
          <w:szCs w:val="21"/>
        </w:rPr>
        <w:fldChar w:fldCharType="end"/>
      </w:r>
    </w:p>
    <w:p w14:paraId="33EA5E5A">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_Toc22010 </w:instrText>
      </w:r>
      <w:r>
        <w:rPr>
          <w:rFonts w:hint="eastAsia" w:ascii="宋体" w:hAnsi="宋体" w:eastAsia="宋体" w:cs="宋体"/>
          <w:szCs w:val="21"/>
        </w:rPr>
        <w:fldChar w:fldCharType="separate"/>
      </w:r>
      <w:r>
        <w:rPr>
          <w:rFonts w:hint="eastAsia" w:ascii="宋体" w:hAnsi="宋体" w:eastAsia="宋体" w:cs="宋体"/>
          <w:szCs w:val="24"/>
        </w:rPr>
        <w:t>七、采购代理服务费</w:t>
      </w:r>
      <w:r>
        <w:tab/>
      </w:r>
      <w:r>
        <w:fldChar w:fldCharType="begin"/>
      </w:r>
      <w:r>
        <w:instrText xml:space="preserve"> PAGEREF _Toc22010 \h </w:instrText>
      </w:r>
      <w:r>
        <w:fldChar w:fldCharType="separate"/>
      </w:r>
      <w:r>
        <w:t>- 19 -</w:t>
      </w:r>
      <w:r>
        <w:fldChar w:fldCharType="end"/>
      </w:r>
      <w:r>
        <w:rPr>
          <w:rFonts w:hint="eastAsia" w:ascii="宋体" w:hAnsi="宋体" w:eastAsia="宋体" w:cs="宋体"/>
          <w:szCs w:val="21"/>
        </w:rPr>
        <w:fldChar w:fldCharType="end"/>
      </w:r>
    </w:p>
    <w:p w14:paraId="1CB41221">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_Toc10080 </w:instrText>
      </w:r>
      <w:r>
        <w:rPr>
          <w:rFonts w:hint="eastAsia" w:ascii="宋体" w:hAnsi="宋体" w:eastAsia="宋体" w:cs="宋体"/>
          <w:szCs w:val="21"/>
        </w:rPr>
        <w:fldChar w:fldCharType="separate"/>
      </w:r>
      <w:r>
        <w:rPr>
          <w:rFonts w:hint="eastAsia" w:ascii="宋体" w:hAnsi="宋体" w:eastAsia="宋体" w:cs="宋体"/>
          <w:bCs w:val="0"/>
          <w:szCs w:val="24"/>
        </w:rPr>
        <w:t>八、签订合同</w:t>
      </w:r>
      <w:r>
        <w:tab/>
      </w:r>
      <w:r>
        <w:fldChar w:fldCharType="begin"/>
      </w:r>
      <w:r>
        <w:instrText xml:space="preserve"> PAGEREF _Toc10080 \h </w:instrText>
      </w:r>
      <w:r>
        <w:fldChar w:fldCharType="separate"/>
      </w:r>
      <w:r>
        <w:t>- 20 -</w:t>
      </w:r>
      <w:r>
        <w:fldChar w:fldCharType="end"/>
      </w:r>
      <w:r>
        <w:rPr>
          <w:rFonts w:hint="eastAsia" w:ascii="宋体" w:hAnsi="宋体" w:eastAsia="宋体" w:cs="宋体"/>
          <w:szCs w:val="21"/>
        </w:rPr>
        <w:fldChar w:fldCharType="end"/>
      </w:r>
    </w:p>
    <w:p w14:paraId="4D60EA8E">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_Toc7011 </w:instrText>
      </w:r>
      <w:r>
        <w:rPr>
          <w:rFonts w:hint="eastAsia" w:ascii="宋体" w:hAnsi="宋体" w:eastAsia="宋体" w:cs="宋体"/>
          <w:szCs w:val="21"/>
        </w:rPr>
        <w:fldChar w:fldCharType="separate"/>
      </w:r>
      <w:r>
        <w:rPr>
          <w:rFonts w:hint="eastAsia" w:ascii="宋体" w:hAnsi="宋体" w:eastAsia="宋体" w:cs="宋体"/>
          <w:szCs w:val="30"/>
        </w:rPr>
        <w:t>第六篇  政府采购合同（仅供参考）</w:t>
      </w:r>
      <w:r>
        <w:tab/>
      </w:r>
      <w:r>
        <w:fldChar w:fldCharType="begin"/>
      </w:r>
      <w:r>
        <w:instrText xml:space="preserve"> PAGEREF _Toc7011 \h </w:instrText>
      </w:r>
      <w:r>
        <w:fldChar w:fldCharType="separate"/>
      </w:r>
      <w:r>
        <w:t>- 21 -</w:t>
      </w:r>
      <w:r>
        <w:fldChar w:fldCharType="end"/>
      </w:r>
      <w:r>
        <w:rPr>
          <w:rFonts w:hint="eastAsia" w:ascii="宋体" w:hAnsi="宋体" w:eastAsia="宋体" w:cs="宋体"/>
          <w:szCs w:val="21"/>
        </w:rPr>
        <w:fldChar w:fldCharType="end"/>
      </w:r>
    </w:p>
    <w:p w14:paraId="5789918A">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_Toc14188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_Toc14188 \h </w:instrText>
      </w:r>
      <w:r>
        <w:fldChar w:fldCharType="separate"/>
      </w:r>
      <w:r>
        <w:t>- 22 -</w:t>
      </w:r>
      <w:r>
        <w:fldChar w:fldCharType="end"/>
      </w:r>
      <w:r>
        <w:rPr>
          <w:rFonts w:hint="eastAsia" w:ascii="宋体" w:hAnsi="宋体" w:eastAsia="宋体" w:cs="宋体"/>
          <w:szCs w:val="21"/>
        </w:rPr>
        <w:fldChar w:fldCharType="end"/>
      </w:r>
    </w:p>
    <w:p w14:paraId="06D435B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_Toc10503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_Toc10503 \h </w:instrText>
      </w:r>
      <w:r>
        <w:fldChar w:fldCharType="separate"/>
      </w:r>
      <w:r>
        <w:t>- 23 -</w:t>
      </w:r>
      <w:r>
        <w:fldChar w:fldCharType="end"/>
      </w:r>
      <w:r>
        <w:rPr>
          <w:rFonts w:hint="eastAsia" w:ascii="宋体" w:hAnsi="宋体" w:eastAsia="宋体" w:cs="宋体"/>
          <w:szCs w:val="21"/>
        </w:rPr>
        <w:fldChar w:fldCharType="end"/>
      </w:r>
    </w:p>
    <w:p w14:paraId="27B42C1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_Toc14655 </w:instrText>
      </w:r>
      <w:r>
        <w:rPr>
          <w:rFonts w:hint="eastAsia" w:ascii="宋体" w:hAnsi="宋体" w:eastAsia="宋体" w:cs="宋体"/>
          <w:szCs w:val="21"/>
        </w:rPr>
        <w:fldChar w:fldCharType="separate"/>
      </w:r>
      <w:r>
        <w:rPr>
          <w:rFonts w:hint="eastAsia" w:ascii="宋体" w:hAnsi="宋体" w:eastAsia="宋体" w:cs="宋体"/>
          <w:szCs w:val="24"/>
        </w:rPr>
        <w:t xml:space="preserve">二、 </w:t>
      </w:r>
      <w:r>
        <w:rPr>
          <w:rFonts w:hint="eastAsia" w:ascii="宋体" w:hAnsi="宋体" w:cs="宋体"/>
          <w:szCs w:val="24"/>
          <w:lang w:val="en-US" w:eastAsia="zh-CN"/>
        </w:rPr>
        <w:t>服务</w:t>
      </w:r>
      <w:r>
        <w:rPr>
          <w:rFonts w:hint="eastAsia" w:ascii="宋体" w:hAnsi="宋体" w:eastAsia="宋体" w:cs="宋体"/>
          <w:szCs w:val="24"/>
        </w:rPr>
        <w:t>部分</w:t>
      </w:r>
      <w:r>
        <w:tab/>
      </w:r>
      <w:r>
        <w:fldChar w:fldCharType="begin"/>
      </w:r>
      <w:r>
        <w:instrText xml:space="preserve"> PAGEREF _Toc14655 \h </w:instrText>
      </w:r>
      <w:r>
        <w:fldChar w:fldCharType="separate"/>
      </w:r>
      <w:r>
        <w:t>- 24 -</w:t>
      </w:r>
      <w:r>
        <w:fldChar w:fldCharType="end"/>
      </w:r>
      <w:r>
        <w:rPr>
          <w:rFonts w:hint="eastAsia" w:ascii="宋体" w:hAnsi="宋体" w:eastAsia="宋体" w:cs="宋体"/>
          <w:szCs w:val="21"/>
        </w:rPr>
        <w:fldChar w:fldCharType="end"/>
      </w:r>
    </w:p>
    <w:p w14:paraId="6DE0F86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_Toc30447 </w:instrText>
      </w:r>
      <w:r>
        <w:rPr>
          <w:rFonts w:hint="eastAsia" w:ascii="宋体" w:hAnsi="宋体" w:eastAsia="宋体" w:cs="宋体"/>
          <w:szCs w:val="21"/>
        </w:rPr>
        <w:fldChar w:fldCharType="separate"/>
      </w:r>
      <w:r>
        <w:rPr>
          <w:rFonts w:hint="eastAsia" w:ascii="宋体" w:hAnsi="宋体" w:eastAsia="宋体"/>
          <w:bCs/>
          <w:snapToGrid w:val="0"/>
          <w:szCs w:val="24"/>
          <w:lang w:val="en-US" w:eastAsia="zh-CN"/>
        </w:rPr>
        <w:t>二、服务</w:t>
      </w:r>
      <w:r>
        <w:rPr>
          <w:rFonts w:hint="eastAsia" w:ascii="宋体" w:hAnsi="宋体" w:eastAsia="宋体"/>
          <w:bCs/>
          <w:snapToGrid w:val="0"/>
          <w:szCs w:val="24"/>
        </w:rPr>
        <w:t>方案</w:t>
      </w:r>
      <w:r>
        <w:tab/>
      </w:r>
      <w:r>
        <w:fldChar w:fldCharType="begin"/>
      </w:r>
      <w:r>
        <w:instrText xml:space="preserve"> PAGEREF _Toc30447 \h </w:instrText>
      </w:r>
      <w:r>
        <w:fldChar w:fldCharType="separate"/>
      </w:r>
      <w:r>
        <w:t>- 25 -</w:t>
      </w:r>
      <w:r>
        <w:fldChar w:fldCharType="end"/>
      </w:r>
      <w:r>
        <w:rPr>
          <w:rFonts w:hint="eastAsia" w:ascii="宋体" w:hAnsi="宋体" w:eastAsia="宋体" w:cs="宋体"/>
          <w:szCs w:val="21"/>
        </w:rPr>
        <w:fldChar w:fldCharType="end"/>
      </w:r>
    </w:p>
    <w:p w14:paraId="5480A71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_Toc23180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_Toc23180 \h </w:instrText>
      </w:r>
      <w:r>
        <w:fldChar w:fldCharType="separate"/>
      </w:r>
      <w:r>
        <w:t>- 26 -</w:t>
      </w:r>
      <w:r>
        <w:fldChar w:fldCharType="end"/>
      </w:r>
      <w:r>
        <w:rPr>
          <w:rFonts w:hint="eastAsia" w:ascii="宋体" w:hAnsi="宋体" w:eastAsia="宋体" w:cs="宋体"/>
          <w:szCs w:val="21"/>
        </w:rPr>
        <w:fldChar w:fldCharType="end"/>
      </w:r>
    </w:p>
    <w:p w14:paraId="1111D5E0">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_Toc25243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_Toc25243 \h </w:instrText>
      </w:r>
      <w:r>
        <w:fldChar w:fldCharType="separate"/>
      </w:r>
      <w:r>
        <w:t>- 28 -</w:t>
      </w:r>
      <w:r>
        <w:fldChar w:fldCharType="end"/>
      </w:r>
      <w:r>
        <w:rPr>
          <w:rFonts w:hint="eastAsia" w:ascii="宋体" w:hAnsi="宋体" w:eastAsia="宋体" w:cs="宋体"/>
          <w:szCs w:val="21"/>
        </w:rPr>
        <w:fldChar w:fldCharType="end"/>
      </w:r>
    </w:p>
    <w:p w14:paraId="67BF2BC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_Toc22248 </w:instrText>
      </w:r>
      <w:r>
        <w:rPr>
          <w:rFonts w:hint="eastAsia" w:ascii="宋体" w:hAnsi="宋体" w:eastAsia="宋体" w:cs="宋体"/>
          <w:szCs w:val="21"/>
        </w:rPr>
        <w:fldChar w:fldCharType="separate"/>
      </w:r>
      <w:r>
        <w:rPr>
          <w:rFonts w:hint="eastAsia" w:ascii="宋体" w:hAnsi="宋体" w:eastAsia="宋体" w:cs="宋体"/>
          <w:szCs w:val="24"/>
        </w:rPr>
        <w:t>五、其他资料</w:t>
      </w:r>
      <w:r>
        <w:tab/>
      </w:r>
      <w:r>
        <w:fldChar w:fldCharType="begin"/>
      </w:r>
      <w:r>
        <w:instrText xml:space="preserve"> PAGEREF _Toc22248 \h </w:instrText>
      </w:r>
      <w:r>
        <w:fldChar w:fldCharType="separate"/>
      </w:r>
      <w:r>
        <w:t>- 33 -</w:t>
      </w:r>
      <w:r>
        <w:fldChar w:fldCharType="end"/>
      </w:r>
      <w:r>
        <w:rPr>
          <w:rFonts w:hint="eastAsia" w:ascii="宋体" w:hAnsi="宋体" w:eastAsia="宋体" w:cs="宋体"/>
          <w:szCs w:val="21"/>
        </w:rPr>
        <w:fldChar w:fldCharType="end"/>
      </w:r>
    </w:p>
    <w:p w14:paraId="469066F0">
      <w:pPr>
        <w:pStyle w:val="39"/>
        <w:tabs>
          <w:tab w:val="right" w:leader="dot" w:pos="9412"/>
        </w:tabs>
        <w:rPr>
          <w:rFonts w:hint="default" w:ascii="宋体" w:hAnsi="宋体" w:eastAsia="宋体" w:cs="宋体"/>
          <w:sz w:val="18"/>
          <w:szCs w:val="22"/>
          <w:lang w:val="en-US" w:eastAsia="zh-CN"/>
        </w:rPr>
        <w:sectPr>
          <w:footerReference r:id="rId6"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1"/>
        </w:rPr>
        <w:fldChar w:fldCharType="end"/>
      </w:r>
    </w:p>
    <w:p w14:paraId="6D710B24">
      <w:pPr>
        <w:pStyle w:val="5"/>
        <w:spacing w:before="120" w:beforeLines="50" w:after="120" w:afterLines="50" w:line="240" w:lineRule="auto"/>
        <w:jc w:val="center"/>
        <w:rPr>
          <w:rFonts w:hint="eastAsia" w:ascii="宋体" w:hAnsi="宋体" w:eastAsia="宋体" w:cs="宋体"/>
          <w:b w:val="0"/>
          <w:kern w:val="2"/>
          <w:sz w:val="36"/>
          <w:szCs w:val="30"/>
          <w:lang w:val="en-US" w:eastAsia="zh-CN" w:bidi="ar-SA"/>
        </w:rPr>
      </w:pPr>
      <w:bookmarkStart w:id="0" w:name="_Toc106030870"/>
      <w:bookmarkStart w:id="1" w:name="_Toc29909"/>
      <w:bookmarkStart w:id="2" w:name="_Toc11641050"/>
      <w:bookmarkStart w:id="3" w:name="_Toc7314"/>
      <w:bookmarkStart w:id="4" w:name="_Toc9685"/>
      <w:bookmarkStart w:id="5" w:name="_Toc12789052"/>
      <w:bookmarkStart w:id="6" w:name="_Toc76462316"/>
      <w:r>
        <w:rPr>
          <w:rFonts w:hint="eastAsia" w:ascii="宋体" w:hAnsi="宋体" w:eastAsia="宋体" w:cs="宋体"/>
          <w:b w:val="0"/>
          <w:kern w:val="2"/>
          <w:sz w:val="36"/>
          <w:szCs w:val="30"/>
          <w:lang w:val="en-US" w:eastAsia="zh-CN" w:bidi="ar-SA"/>
        </w:rPr>
        <w:t>第一篇  采购邀请书</w:t>
      </w:r>
      <w:bookmarkEnd w:id="0"/>
      <w:bookmarkEnd w:id="1"/>
      <w:bookmarkEnd w:id="2"/>
      <w:bookmarkEnd w:id="3"/>
      <w:bookmarkEnd w:id="4"/>
      <w:bookmarkEnd w:id="5"/>
      <w:bookmarkEnd w:id="6"/>
    </w:p>
    <w:p w14:paraId="2B40B088">
      <w:pPr>
        <w:spacing w:line="360" w:lineRule="auto"/>
        <w:ind w:firstLine="480"/>
        <w:rPr>
          <w:rFonts w:hint="eastAsia" w:ascii="宋体" w:hAnsi="宋体" w:eastAsia="宋体" w:cs="宋体"/>
          <w:sz w:val="24"/>
          <w:szCs w:val="24"/>
        </w:rPr>
      </w:pPr>
      <w:r>
        <w:rPr>
          <w:rFonts w:hint="eastAsia" w:ascii="宋体" w:hAnsi="宋体" w:eastAsia="宋体" w:cs="宋体"/>
          <w:sz w:val="24"/>
          <w:szCs w:val="24"/>
          <w:u w:val="single"/>
          <w:lang w:val="en-US" w:eastAsia="zh-CN"/>
        </w:rPr>
        <w:t>明科建设咨询有限公司</w:t>
      </w:r>
      <w:r>
        <w:rPr>
          <w:rFonts w:hint="eastAsia" w:ascii="宋体" w:hAnsi="宋体" w:eastAsia="宋体" w:cs="宋体"/>
          <w:sz w:val="24"/>
          <w:szCs w:val="24"/>
        </w:rPr>
        <w:t>（以下简称：采购代理机构）接受</w:t>
      </w:r>
      <w:r>
        <w:rPr>
          <w:rFonts w:hint="eastAsia" w:ascii="宋体" w:hAnsi="宋体" w:eastAsia="宋体" w:cs="宋体"/>
          <w:sz w:val="24"/>
          <w:szCs w:val="24"/>
          <w:u w:val="single"/>
        </w:rPr>
        <w:t>重庆市大足区城市管理局</w:t>
      </w:r>
      <w:r>
        <w:rPr>
          <w:rFonts w:hint="eastAsia" w:ascii="宋体" w:hAnsi="宋体" w:eastAsia="宋体" w:cs="宋体"/>
          <w:sz w:val="24"/>
          <w:szCs w:val="24"/>
        </w:rPr>
        <w:t>的委托（以下简称：</w:t>
      </w:r>
      <w:r>
        <w:rPr>
          <w:rFonts w:hint="eastAsia" w:ascii="宋体" w:hAnsi="宋体" w:cs="宋体"/>
          <w:sz w:val="24"/>
          <w:szCs w:val="24"/>
          <w:lang w:val="en-US" w:eastAsia="zh-CN"/>
        </w:rPr>
        <w:t>采购人</w:t>
      </w:r>
      <w:r>
        <w:rPr>
          <w:rFonts w:hint="eastAsia" w:ascii="宋体" w:hAnsi="宋体" w:eastAsia="宋体" w:cs="宋体"/>
          <w:sz w:val="24"/>
          <w:szCs w:val="24"/>
        </w:rPr>
        <w:t>），对</w:t>
      </w:r>
      <w:r>
        <w:rPr>
          <w:rFonts w:hint="eastAsia" w:ascii="宋体" w:hAnsi="宋体" w:cs="宋体"/>
          <w:sz w:val="24"/>
          <w:szCs w:val="24"/>
          <w:u w:val="single"/>
          <w:lang w:val="en-US" w:eastAsia="zh-CN"/>
        </w:rPr>
        <w:t xml:space="preserve"> </w:t>
      </w:r>
      <w:r>
        <w:rPr>
          <w:rFonts w:hint="eastAsia" w:ascii="宋体" w:hAnsi="宋体" w:eastAsia="宋体" w:cs="宋体"/>
          <w:b w:val="0"/>
          <w:bCs w:val="0"/>
          <w:color w:val="auto"/>
          <w:sz w:val="24"/>
          <w:szCs w:val="24"/>
          <w:u w:val="single"/>
        </w:rPr>
        <w:t>重庆市大足区城市管理局食堂食材配送服务采购-猪肉类</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sz w:val="24"/>
          <w:szCs w:val="24"/>
        </w:rPr>
        <w:t>项目进行竞争性磋商采购。欢迎有资格的供应商前来参与磋商。</w:t>
      </w:r>
    </w:p>
    <w:p w14:paraId="1DD0CBA7">
      <w:pPr>
        <w:pStyle w:val="5"/>
        <w:spacing w:before="120" w:beforeLines="50" w:after="120" w:afterLines="50" w:line="240" w:lineRule="auto"/>
        <w:rPr>
          <w:rFonts w:hint="eastAsia" w:ascii="宋体" w:hAnsi="宋体" w:eastAsia="宋体" w:cs="宋体"/>
          <w:sz w:val="24"/>
          <w:szCs w:val="24"/>
        </w:rPr>
      </w:pPr>
      <w:bookmarkStart w:id="7" w:name="_Toc313893526"/>
      <w:bookmarkStart w:id="8" w:name="_Toc72"/>
      <w:bookmarkStart w:id="9" w:name="_Toc317775175"/>
      <w:r>
        <w:rPr>
          <w:rFonts w:hint="eastAsia" w:ascii="宋体" w:hAnsi="宋体" w:eastAsia="宋体" w:cs="宋体"/>
          <w:sz w:val="24"/>
          <w:szCs w:val="24"/>
        </w:rPr>
        <w:t>一、竞争性磋商内容</w:t>
      </w:r>
      <w:bookmarkEnd w:id="7"/>
      <w:bookmarkEnd w:id="8"/>
      <w:bookmarkEnd w:id="9"/>
    </w:p>
    <w:tbl>
      <w:tblPr>
        <w:tblStyle w:val="6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1690"/>
        <w:gridCol w:w="1690"/>
        <w:gridCol w:w="1939"/>
      </w:tblGrid>
      <w:tr w14:paraId="775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17" w:type="dxa"/>
            <w:tcBorders>
              <w:top w:val="single" w:color="auto" w:sz="4" w:space="0"/>
              <w:left w:val="single" w:color="auto" w:sz="4" w:space="0"/>
              <w:right w:val="single" w:color="auto" w:sz="4" w:space="0"/>
            </w:tcBorders>
            <w:vAlign w:val="center"/>
          </w:tcPr>
          <w:p w14:paraId="660D9BD2">
            <w:pPr>
              <w:keepNext w:val="0"/>
              <w:keepLines w:val="0"/>
              <w:widowControl/>
              <w:suppressLineNumbers w:val="0"/>
              <w:spacing w:before="0" w:beforeAutospacing="0" w:after="0" w:afterAutospacing="0"/>
              <w:ind w:left="0" w:right="0"/>
              <w:jc w:val="center"/>
              <w:rPr>
                <w:rFonts w:hint="eastAsia" w:ascii="宋体" w:hAnsi="宋体" w:eastAsia="宋体" w:cs="宋体"/>
                <w:bCs/>
                <w:color w:val="FF0000"/>
                <w:kern w:val="0"/>
                <w:sz w:val="24"/>
                <w:szCs w:val="24"/>
              </w:rPr>
            </w:pPr>
            <w:r>
              <w:rPr>
                <w:rFonts w:hint="eastAsia" w:ascii="宋体" w:hAnsi="宋体" w:eastAsia="宋体" w:cs="宋体"/>
                <w:b/>
                <w:bCs/>
                <w:i w:val="0"/>
                <w:iCs w:val="0"/>
                <w:color w:val="auto"/>
                <w:kern w:val="0"/>
                <w:sz w:val="24"/>
                <w:szCs w:val="24"/>
              </w:rPr>
              <w:t>项目名称</w:t>
            </w:r>
          </w:p>
        </w:tc>
        <w:tc>
          <w:tcPr>
            <w:tcW w:w="1690" w:type="dxa"/>
            <w:tcBorders>
              <w:top w:val="single" w:color="auto" w:sz="4" w:space="0"/>
              <w:left w:val="single" w:color="auto" w:sz="4" w:space="0"/>
              <w:right w:val="single" w:color="auto" w:sz="4" w:space="0"/>
            </w:tcBorders>
            <w:vAlign w:val="center"/>
          </w:tcPr>
          <w:p w14:paraId="410B21F4">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auto"/>
                <w:kern w:val="0"/>
                <w:sz w:val="24"/>
                <w:szCs w:val="24"/>
                <w:lang w:val="en-US" w:eastAsia="zh-CN"/>
              </w:rPr>
            </w:pPr>
            <w:r>
              <w:rPr>
                <w:rFonts w:hint="eastAsia" w:ascii="宋体" w:hAnsi="宋体" w:cs="宋体"/>
                <w:b/>
                <w:bCs/>
                <w:i w:val="0"/>
                <w:iCs w:val="0"/>
                <w:color w:val="auto"/>
                <w:kern w:val="0"/>
                <w:sz w:val="24"/>
                <w:szCs w:val="24"/>
                <w:lang w:val="en-US" w:eastAsia="zh-CN"/>
              </w:rPr>
              <w:t xml:space="preserve">采购预算  </w:t>
            </w: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690" w:type="dxa"/>
            <w:tcBorders>
              <w:top w:val="single" w:color="auto" w:sz="4" w:space="0"/>
              <w:left w:val="single" w:color="auto" w:sz="4" w:space="0"/>
              <w:right w:val="single" w:color="auto" w:sz="4" w:space="0"/>
            </w:tcBorders>
            <w:vAlign w:val="center"/>
          </w:tcPr>
          <w:p w14:paraId="58147B3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lang w:val="en-US" w:eastAsia="zh-CN"/>
              </w:rPr>
            </w:pPr>
            <w:r>
              <w:rPr>
                <w:rFonts w:hint="eastAsia" w:ascii="宋体" w:hAnsi="宋体" w:eastAsia="宋体" w:cs="宋体"/>
                <w:b/>
                <w:bCs/>
                <w:i w:val="0"/>
                <w:iCs w:val="0"/>
                <w:color w:val="auto"/>
                <w:kern w:val="0"/>
                <w:sz w:val="24"/>
                <w:szCs w:val="24"/>
                <w:lang w:val="en-US" w:eastAsia="zh-CN"/>
              </w:rPr>
              <w:t>最高限价</w:t>
            </w:r>
          </w:p>
          <w:p w14:paraId="551C48E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4"/>
                <w:szCs w:val="24"/>
              </w:rPr>
            </w:pP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939" w:type="dxa"/>
            <w:tcBorders>
              <w:top w:val="single" w:color="auto" w:sz="4" w:space="0"/>
              <w:left w:val="single" w:color="auto" w:sz="4" w:space="0"/>
              <w:right w:val="single" w:color="auto" w:sz="4" w:space="0"/>
            </w:tcBorders>
            <w:vAlign w:val="center"/>
          </w:tcPr>
          <w:p w14:paraId="7A8234B5">
            <w:pPr>
              <w:keepNext w:val="0"/>
              <w:keepLines w:val="0"/>
              <w:suppressLineNumbers w:val="0"/>
              <w:spacing w:before="0" w:beforeAutospacing="0" w:after="0" w:afterAutospacing="0"/>
              <w:ind w:left="0" w:right="0"/>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w:t>
            </w:r>
          </w:p>
          <w:p w14:paraId="34943A33">
            <w:pPr>
              <w:keepNext w:val="0"/>
              <w:keepLines w:val="0"/>
              <w:suppressLineNumbers w:val="0"/>
              <w:spacing w:before="0" w:beforeAutospacing="0" w:after="0" w:afterAutospacing="0"/>
              <w:ind w:left="0" w:right="0"/>
              <w:jc w:val="center"/>
              <w:rPr>
                <w:rFonts w:hint="eastAsia" w:ascii="宋体" w:hAnsi="宋体" w:eastAsia="宋体" w:cs="宋体"/>
                <w:bCs/>
                <w:color w:val="000000"/>
                <w:kern w:val="0"/>
                <w:sz w:val="24"/>
                <w:szCs w:val="24"/>
              </w:rPr>
            </w:pPr>
            <w:r>
              <w:rPr>
                <w:rFonts w:hint="eastAsia" w:ascii="宋体" w:hAnsi="宋体" w:eastAsia="宋体" w:cs="宋体"/>
                <w:b/>
                <w:bCs/>
                <w:i w:val="0"/>
                <w:iCs w:val="0"/>
                <w:color w:val="auto"/>
                <w:kern w:val="0"/>
                <w:sz w:val="24"/>
                <w:szCs w:val="24"/>
                <w:lang w:val="en-US" w:eastAsia="zh-CN"/>
              </w:rPr>
              <w:t>（名）</w:t>
            </w:r>
          </w:p>
        </w:tc>
      </w:tr>
      <w:tr w14:paraId="517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217" w:type="dxa"/>
            <w:tcBorders>
              <w:top w:val="single" w:color="auto" w:sz="4" w:space="0"/>
              <w:left w:val="single" w:color="auto" w:sz="4" w:space="0"/>
              <w:bottom w:val="single" w:color="auto" w:sz="4" w:space="0"/>
              <w:right w:val="single" w:color="auto" w:sz="4" w:space="0"/>
            </w:tcBorders>
            <w:vAlign w:val="center"/>
          </w:tcPr>
          <w:p w14:paraId="6487E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0"/>
                <w:sz w:val="24"/>
                <w:szCs w:val="24"/>
                <w:lang w:val="en-US" w:eastAsia="zh-CN"/>
              </w:rPr>
            </w:pPr>
            <w:bookmarkStart w:id="10" w:name="_Hlk344477914"/>
            <w:r>
              <w:rPr>
                <w:rFonts w:hint="eastAsia" w:ascii="宋体" w:hAnsi="宋体" w:eastAsia="宋体" w:cs="宋体"/>
                <w:kern w:val="2"/>
                <w:sz w:val="24"/>
                <w:szCs w:val="24"/>
                <w:lang w:val="en-US" w:eastAsia="zh-CN" w:bidi="ar-SA"/>
              </w:rPr>
              <w:t>重庆市大足区城市管理局食堂食材配送服务采购-猪肉类</w:t>
            </w:r>
          </w:p>
        </w:tc>
        <w:tc>
          <w:tcPr>
            <w:tcW w:w="1690" w:type="dxa"/>
            <w:tcBorders>
              <w:top w:val="single" w:color="auto" w:sz="4" w:space="0"/>
              <w:left w:val="single" w:color="auto" w:sz="4" w:space="0"/>
              <w:bottom w:val="single" w:color="auto" w:sz="4" w:space="0"/>
              <w:right w:val="single" w:color="auto" w:sz="4" w:space="0"/>
            </w:tcBorders>
            <w:vAlign w:val="center"/>
          </w:tcPr>
          <w:p w14:paraId="591C78CA">
            <w:pPr>
              <w:keepNext w:val="0"/>
              <w:keepLines w:val="0"/>
              <w:suppressLineNumbers w:val="0"/>
              <w:spacing w:before="0" w:beforeAutospacing="0" w:after="0" w:afterAutospacing="0" w:line="360" w:lineRule="auto"/>
              <w:ind w:left="0" w:right="0"/>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38</w:t>
            </w:r>
          </w:p>
        </w:tc>
        <w:tc>
          <w:tcPr>
            <w:tcW w:w="1690" w:type="dxa"/>
            <w:tcBorders>
              <w:top w:val="single" w:color="auto" w:sz="4" w:space="0"/>
              <w:left w:val="single" w:color="auto" w:sz="4" w:space="0"/>
              <w:bottom w:val="single" w:color="auto" w:sz="4" w:space="0"/>
              <w:right w:val="single" w:color="auto" w:sz="4" w:space="0"/>
            </w:tcBorders>
            <w:vAlign w:val="center"/>
          </w:tcPr>
          <w:p w14:paraId="785AEB3D">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38</w:t>
            </w:r>
          </w:p>
        </w:tc>
        <w:tc>
          <w:tcPr>
            <w:tcW w:w="1939" w:type="dxa"/>
            <w:tcBorders>
              <w:top w:val="single" w:color="auto" w:sz="4" w:space="0"/>
              <w:left w:val="single" w:color="auto" w:sz="4" w:space="0"/>
              <w:bottom w:val="single" w:color="auto" w:sz="4" w:space="0"/>
              <w:right w:val="single" w:color="auto" w:sz="4" w:space="0"/>
            </w:tcBorders>
            <w:vAlign w:val="center"/>
          </w:tcPr>
          <w:p w14:paraId="2F9BEB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bookmarkEnd w:id="10"/>
    </w:tbl>
    <w:p w14:paraId="0465A8A8">
      <w:pPr>
        <w:pStyle w:val="5"/>
        <w:spacing w:before="120" w:beforeLines="50" w:after="120" w:afterLines="50" w:line="400" w:lineRule="exact"/>
        <w:rPr>
          <w:rFonts w:hint="eastAsia" w:ascii="宋体" w:hAnsi="宋体" w:eastAsia="宋体" w:cs="宋体"/>
          <w:sz w:val="24"/>
          <w:szCs w:val="24"/>
        </w:rPr>
      </w:pPr>
      <w:bookmarkStart w:id="11" w:name="_Toc11213"/>
      <w:bookmarkStart w:id="12" w:name="_Toc373860293"/>
      <w:bookmarkStart w:id="13" w:name="_Toc317775178"/>
      <w:r>
        <w:rPr>
          <w:rFonts w:hint="eastAsia" w:ascii="宋体" w:hAnsi="宋体" w:eastAsia="宋体" w:cs="宋体"/>
          <w:sz w:val="24"/>
          <w:szCs w:val="24"/>
        </w:rPr>
        <w:t>二、资金来源</w:t>
      </w:r>
      <w:bookmarkEnd w:id="11"/>
    </w:p>
    <w:p w14:paraId="6D327C7B">
      <w:pPr>
        <w:pStyle w:val="5"/>
        <w:spacing w:before="0" w:after="0" w:line="400" w:lineRule="exact"/>
        <w:ind w:firstLine="480" w:firstLineChars="200"/>
        <w:rPr>
          <w:rFonts w:hint="eastAsia" w:ascii="宋体" w:hAnsi="宋体" w:eastAsia="宋体" w:cs="宋体"/>
          <w:b w:val="0"/>
          <w:kern w:val="2"/>
          <w:sz w:val="24"/>
          <w:szCs w:val="24"/>
          <w:highlight w:val="none"/>
          <w:lang w:val="en-US" w:eastAsia="zh-CN" w:bidi="ar-SA"/>
        </w:rPr>
      </w:pPr>
      <w:bookmarkStart w:id="14" w:name="_Toc32278"/>
      <w:bookmarkStart w:id="15" w:name="_Toc16915"/>
      <w:bookmarkStart w:id="16" w:name="_Toc14651"/>
      <w:bookmarkStart w:id="17" w:name="_Toc17810"/>
      <w:r>
        <w:rPr>
          <w:rFonts w:hint="eastAsia" w:ascii="宋体" w:hAnsi="宋体" w:eastAsia="宋体" w:cs="宋体"/>
          <w:b w:val="0"/>
          <w:kern w:val="2"/>
          <w:sz w:val="24"/>
          <w:szCs w:val="24"/>
          <w:highlight w:val="none"/>
          <w:lang w:val="en-US" w:eastAsia="zh-CN" w:bidi="ar-SA"/>
        </w:rPr>
        <w:t>财政资金</w:t>
      </w:r>
      <w:bookmarkEnd w:id="14"/>
      <w:bookmarkEnd w:id="15"/>
      <w:bookmarkEnd w:id="16"/>
      <w:bookmarkEnd w:id="17"/>
    </w:p>
    <w:p w14:paraId="3C27CC38">
      <w:pPr>
        <w:pStyle w:val="5"/>
        <w:spacing w:before="120" w:beforeLines="50" w:after="120" w:afterLines="50" w:line="240" w:lineRule="auto"/>
        <w:rPr>
          <w:rFonts w:hint="eastAsia" w:ascii="宋体" w:hAnsi="宋体" w:eastAsia="宋体" w:cs="宋体"/>
          <w:sz w:val="24"/>
          <w:szCs w:val="24"/>
        </w:rPr>
      </w:pPr>
      <w:bookmarkStart w:id="18" w:name="_Toc28014"/>
      <w:r>
        <w:rPr>
          <w:rFonts w:hint="eastAsia" w:ascii="宋体" w:hAnsi="宋体" w:eastAsia="宋体" w:cs="宋体"/>
          <w:sz w:val="24"/>
          <w:szCs w:val="24"/>
        </w:rPr>
        <w:t>三、供应商资格条件</w:t>
      </w:r>
      <w:bookmarkEnd w:id="18"/>
    </w:p>
    <w:p w14:paraId="295852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w:t>
      </w:r>
    </w:p>
    <w:p w14:paraId="2B5B588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cs="宋体"/>
          <w:b/>
          <w:sz w:val="24"/>
          <w:szCs w:val="24"/>
          <w:lang w:val="en-US" w:eastAsia="zh-CN"/>
        </w:rPr>
        <w:t>基本</w:t>
      </w:r>
      <w:r>
        <w:rPr>
          <w:rFonts w:hint="eastAsia" w:ascii="宋体" w:hAnsi="宋体" w:eastAsia="宋体" w:cs="宋体"/>
          <w:b/>
          <w:sz w:val="24"/>
          <w:szCs w:val="24"/>
        </w:rPr>
        <w:t>条件</w:t>
      </w:r>
    </w:p>
    <w:p w14:paraId="5932CED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CED6F5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7220AD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F1299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w:t>
      </w:r>
      <w:r>
        <w:rPr>
          <w:rFonts w:hint="eastAsia" w:ascii="宋体" w:hAnsi="宋体" w:cs="宋体"/>
          <w:sz w:val="24"/>
          <w:szCs w:val="24"/>
          <w:lang w:val="en-US" w:eastAsia="zh-CN"/>
        </w:rPr>
        <w:t>或</w:t>
      </w:r>
      <w:r>
        <w:rPr>
          <w:rFonts w:hint="eastAsia" w:ascii="宋体" w:hAnsi="宋体" w:eastAsia="宋体" w:cs="宋体"/>
          <w:sz w:val="24"/>
          <w:szCs w:val="24"/>
        </w:rPr>
        <w:t>社会保障资金的良好记录；</w:t>
      </w:r>
    </w:p>
    <w:p w14:paraId="2855DBD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7515D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11BD3652">
      <w:pPr>
        <w:spacing w:line="400" w:lineRule="exact"/>
        <w:ind w:firstLine="482" w:firstLineChars="200"/>
        <w:rPr>
          <w:rFonts w:hint="eastAsia" w:ascii="宋体" w:hAnsi="宋体" w:cs="宋体"/>
          <w:b/>
          <w:sz w:val="24"/>
          <w:szCs w:val="24"/>
          <w:lang w:eastAsia="zh-CN"/>
        </w:rPr>
      </w:pPr>
      <w:r>
        <w:rPr>
          <w:rFonts w:hint="eastAsia" w:ascii="宋体" w:hAnsi="宋体" w:eastAsia="宋体" w:cs="宋体"/>
          <w:b/>
          <w:sz w:val="24"/>
          <w:szCs w:val="24"/>
        </w:rPr>
        <w:t>（二）特定资格条件</w:t>
      </w:r>
    </w:p>
    <w:p w14:paraId="137B51D4">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eastAsia="zh-CN"/>
        </w:rPr>
        <w:t>供应商须具备有效的食品经营许可证或食品流通许可证（提供复印件加盖公章）</w:t>
      </w:r>
    </w:p>
    <w:bookmarkEnd w:id="12"/>
    <w:p w14:paraId="511C43E6">
      <w:pPr>
        <w:pStyle w:val="5"/>
        <w:spacing w:before="120" w:beforeLines="50" w:after="120" w:afterLines="50" w:line="240" w:lineRule="auto"/>
        <w:rPr>
          <w:rFonts w:hint="eastAsia" w:ascii="宋体" w:hAnsi="宋体" w:eastAsia="宋体" w:cs="宋体"/>
          <w:sz w:val="24"/>
          <w:szCs w:val="24"/>
        </w:rPr>
      </w:pPr>
      <w:bookmarkStart w:id="19" w:name="_Toc14022"/>
      <w:bookmarkStart w:id="20" w:name="_Toc474487430"/>
      <w:bookmarkStart w:id="21" w:name="_Toc531184285"/>
      <w:bookmarkStart w:id="22" w:name="_Toc446505900"/>
      <w:bookmarkStart w:id="23" w:name="_Toc373860294"/>
      <w:r>
        <w:rPr>
          <w:rFonts w:hint="eastAsia" w:ascii="宋体" w:hAnsi="宋体" w:eastAsia="宋体" w:cs="宋体"/>
          <w:sz w:val="24"/>
          <w:szCs w:val="24"/>
        </w:rPr>
        <w:t>四、投标、磋商有关说明</w:t>
      </w:r>
      <w:bookmarkEnd w:id="19"/>
      <w:bookmarkEnd w:id="20"/>
      <w:bookmarkEnd w:id="21"/>
    </w:p>
    <w:bookmarkEnd w:id="22"/>
    <w:p w14:paraId="602EAC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）供应商应按要求通过行采家（https://www.gec123.com/）进行注册，登记加入“行采家供应商库”。</w:t>
      </w:r>
    </w:p>
    <w:p w14:paraId="5DAE4F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（二）磋商文件获取方式：凡有意参加磋商的供应商，请在行采家（https://www.gec123.com/）网下载本项目磋商文件以及补遗文件等磋商前公布的所有项目资料。</w:t>
      </w:r>
    </w:p>
    <w:p w14:paraId="0832BD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（三）磋商公告期限：自磋商公告发布之日起</w:t>
      </w:r>
      <w:r>
        <w:rPr>
          <w:rFonts w:hint="eastAsia" w:ascii="宋体" w:hAnsi="宋体" w:cs="宋体"/>
          <w:sz w:val="24"/>
          <w:szCs w:val="24"/>
          <w:lang w:val="en-US" w:eastAsia="zh-CN"/>
        </w:rPr>
        <w:t>10</w:t>
      </w:r>
      <w:r>
        <w:rPr>
          <w:rFonts w:hint="eastAsia" w:ascii="宋体" w:hAnsi="宋体" w:eastAsia="宋体" w:cs="宋体"/>
          <w:sz w:val="24"/>
          <w:szCs w:val="24"/>
        </w:rPr>
        <w:t>个</w:t>
      </w:r>
      <w:r>
        <w:rPr>
          <w:rFonts w:hint="eastAsia" w:ascii="宋体" w:hAnsi="宋体" w:cs="宋体"/>
          <w:sz w:val="24"/>
          <w:szCs w:val="24"/>
          <w:lang w:val="en-US" w:eastAsia="zh-CN"/>
        </w:rPr>
        <w:t>日历天</w:t>
      </w:r>
      <w:r>
        <w:rPr>
          <w:rFonts w:hint="eastAsia" w:ascii="宋体" w:hAnsi="宋体" w:eastAsia="宋体" w:cs="宋体"/>
          <w:sz w:val="24"/>
          <w:szCs w:val="24"/>
        </w:rPr>
        <w:t>。</w:t>
      </w:r>
    </w:p>
    <w:p w14:paraId="39CA78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 w:val="0"/>
          <w:bCs/>
          <w:sz w:val="24"/>
          <w:szCs w:val="24"/>
        </w:rPr>
        <w:t>磋商文件发售</w:t>
      </w:r>
    </w:p>
    <w:p w14:paraId="067A54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日（工作时间）</w:t>
      </w:r>
      <w:r>
        <w:rPr>
          <w:rFonts w:hint="eastAsia" w:ascii="宋体" w:hAnsi="宋体" w:eastAsia="宋体" w:cs="宋体"/>
          <w:sz w:val="24"/>
          <w:szCs w:val="24"/>
          <w:highlight w:val="none"/>
          <w:lang w:val="en-US" w:eastAsia="zh-CN"/>
        </w:rPr>
        <w:t>09:00-17:00</w:t>
      </w:r>
    </w:p>
    <w:p w14:paraId="66F689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2.售价：人民币</w:t>
      </w:r>
      <w:r>
        <w:rPr>
          <w:rFonts w:hint="eastAsia" w:ascii="宋体" w:hAnsi="宋体" w:cs="宋体"/>
          <w:sz w:val="24"/>
          <w:szCs w:val="24"/>
          <w:lang w:val="en-US" w:eastAsia="zh-CN"/>
        </w:rPr>
        <w:t>5</w:t>
      </w:r>
      <w:r>
        <w:rPr>
          <w:rFonts w:hint="eastAsia" w:ascii="宋体" w:hAnsi="宋体" w:eastAsia="宋体" w:cs="宋体"/>
          <w:sz w:val="24"/>
          <w:szCs w:val="24"/>
        </w:rPr>
        <w:t>00 元/份（微信转账或现金，售后不退）</w:t>
      </w:r>
      <w:r>
        <w:rPr>
          <w:rFonts w:hint="eastAsia" w:ascii="宋体" w:hAnsi="宋体" w:eastAsia="宋体" w:cs="宋体"/>
          <w:sz w:val="24"/>
          <w:szCs w:val="24"/>
          <w:lang w:eastAsia="zh-CN"/>
        </w:rPr>
        <w:t>，</w:t>
      </w:r>
      <w:r>
        <w:rPr>
          <w:rFonts w:hint="eastAsia" w:ascii="宋体" w:hAnsi="宋体" w:eastAsia="宋体" w:cs="宋体"/>
          <w:sz w:val="24"/>
          <w:szCs w:val="24"/>
        </w:rPr>
        <w:t>各供应商</w:t>
      </w:r>
      <w:r>
        <w:rPr>
          <w:rFonts w:hint="eastAsia" w:ascii="宋体" w:hAnsi="宋体" w:eastAsia="宋体" w:cs="宋体"/>
          <w:sz w:val="24"/>
          <w:szCs w:val="24"/>
          <w:lang w:eastAsia="zh-CN"/>
        </w:rPr>
        <w:t>在发售期内递交《发售登记表》并</w:t>
      </w:r>
      <w:r>
        <w:rPr>
          <w:rFonts w:hint="eastAsia" w:ascii="宋体" w:hAnsi="宋体" w:eastAsia="宋体" w:cs="宋体"/>
          <w:sz w:val="24"/>
          <w:szCs w:val="24"/>
        </w:rPr>
        <w:t>缴纳</w:t>
      </w:r>
      <w:r>
        <w:rPr>
          <w:rFonts w:hint="eastAsia" w:ascii="宋体" w:hAnsi="宋体" w:eastAsia="宋体" w:cs="宋体"/>
          <w:sz w:val="24"/>
          <w:szCs w:val="24"/>
          <w:lang w:eastAsia="zh-CN"/>
        </w:rPr>
        <w:t>磋商</w:t>
      </w:r>
      <w:r>
        <w:rPr>
          <w:rFonts w:hint="eastAsia" w:ascii="宋体" w:hAnsi="宋体" w:eastAsia="宋体" w:cs="宋体"/>
          <w:sz w:val="24"/>
          <w:szCs w:val="24"/>
        </w:rPr>
        <w:t>文件购买费，其响应文件才被接收。</w:t>
      </w:r>
    </w:p>
    <w:p w14:paraId="7F620B81">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3.磋商文件购买方式：供应商到明科建设咨询有限公司购买招标文件的地址：重庆市大足区城西佳苑</w:t>
      </w:r>
      <w:r>
        <w:rPr>
          <w:rFonts w:hint="eastAsia" w:ascii="宋体" w:hAnsi="宋体" w:cs="宋体"/>
          <w:sz w:val="24"/>
          <w:szCs w:val="24"/>
          <w:lang w:val="en-US" w:eastAsia="zh-CN"/>
        </w:rPr>
        <w:t>3栋4单元</w:t>
      </w:r>
      <w:r>
        <w:rPr>
          <w:rFonts w:hint="eastAsia" w:ascii="宋体" w:hAnsi="宋体" w:eastAsia="宋体" w:cs="宋体"/>
          <w:sz w:val="24"/>
          <w:szCs w:val="24"/>
        </w:rPr>
        <w:t>，供应商在缴纳购买采购文件费用后，请将《磋商文件发售登记表》（加盖</w:t>
      </w:r>
      <w:r>
        <w:rPr>
          <w:rFonts w:hint="eastAsia" w:ascii="宋体" w:hAnsi="宋体" w:cs="宋体"/>
          <w:sz w:val="24"/>
          <w:szCs w:val="24"/>
          <w:lang w:val="en-US" w:eastAsia="zh-CN"/>
        </w:rPr>
        <w:t>供应商</w:t>
      </w:r>
      <w:r>
        <w:rPr>
          <w:rFonts w:hint="eastAsia" w:ascii="宋体" w:hAnsi="宋体" w:eastAsia="宋体" w:cs="宋体"/>
          <w:sz w:val="24"/>
          <w:szCs w:val="24"/>
        </w:rPr>
        <w:t>公章）递交至代理公司工作人员</w:t>
      </w:r>
      <w:r>
        <w:rPr>
          <w:rFonts w:hint="eastAsia" w:ascii="宋体" w:hAnsi="宋体" w:cs="宋体"/>
          <w:sz w:val="24"/>
          <w:szCs w:val="24"/>
          <w:lang w:eastAsia="zh-CN"/>
        </w:rPr>
        <w:t>。</w:t>
      </w:r>
    </w:p>
    <w:p w14:paraId="4A2CAE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供应商须满足以下</w:t>
      </w:r>
      <w:r>
        <w:rPr>
          <w:rFonts w:hint="eastAsia" w:ascii="宋体" w:hAnsi="宋体" w:eastAsia="宋体" w:cs="宋体"/>
          <w:sz w:val="24"/>
          <w:szCs w:val="24"/>
          <w:lang w:eastAsia="zh-CN"/>
        </w:rPr>
        <w:t>三</w:t>
      </w:r>
      <w:r>
        <w:rPr>
          <w:rFonts w:hint="eastAsia" w:ascii="宋体" w:hAnsi="宋体" w:eastAsia="宋体" w:cs="宋体"/>
          <w:sz w:val="24"/>
          <w:szCs w:val="24"/>
        </w:rPr>
        <w:t>种要件，其响应文件才被接受：</w:t>
      </w:r>
    </w:p>
    <w:p w14:paraId="08E116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1、按时递交了响应文件；</w:t>
      </w:r>
    </w:p>
    <w:p w14:paraId="7F0F30C5">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2、按时足额缴纳了竞争性磋商文件购买费</w:t>
      </w:r>
      <w:r>
        <w:rPr>
          <w:rFonts w:hint="eastAsia" w:ascii="宋体" w:hAnsi="宋体" w:eastAsia="宋体" w:cs="宋体"/>
          <w:sz w:val="24"/>
          <w:szCs w:val="24"/>
          <w:lang w:eastAsia="zh-CN"/>
        </w:rPr>
        <w:t>；</w:t>
      </w:r>
    </w:p>
    <w:p w14:paraId="4529A1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在报名和文件发售期截止时间内购买了</w:t>
      </w:r>
      <w:r>
        <w:rPr>
          <w:rFonts w:hint="eastAsia" w:ascii="宋体" w:hAnsi="宋体" w:eastAsia="宋体" w:cs="宋体"/>
          <w:sz w:val="24"/>
          <w:szCs w:val="24"/>
          <w:lang w:eastAsia="zh-CN"/>
        </w:rPr>
        <w:t>磋商</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，其报名才被接收。</w:t>
      </w:r>
    </w:p>
    <w:p w14:paraId="1F64ADD4">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lang w:eastAsia="zh-CN"/>
        </w:rPr>
        <w:t>）线上报价</w:t>
      </w:r>
    </w:p>
    <w:p w14:paraId="0F342AC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1.线上报价时间：2025年</w:t>
      </w:r>
      <w:r>
        <w:rPr>
          <w:rFonts w:hint="eastAsia" w:ascii="宋体" w:hAnsi="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cs="宋体"/>
          <w:sz w:val="24"/>
          <w:szCs w:val="24"/>
          <w:lang w:val="en-US" w:eastAsia="zh-CN"/>
        </w:rPr>
        <w:t>28</w:t>
      </w:r>
      <w:r>
        <w:rPr>
          <w:rFonts w:hint="eastAsia" w:ascii="宋体" w:hAnsi="宋体" w:eastAsia="宋体" w:cs="宋体"/>
          <w:sz w:val="24"/>
          <w:szCs w:val="24"/>
          <w:lang w:eastAsia="zh-CN"/>
        </w:rPr>
        <w:t>日</w:t>
      </w:r>
      <w:r>
        <w:rPr>
          <w:rFonts w:hint="eastAsia" w:ascii="宋体" w:hAnsi="宋体" w:cs="宋体"/>
          <w:sz w:val="24"/>
          <w:szCs w:val="24"/>
          <w:lang w:val="en-US" w:eastAsia="zh-CN"/>
        </w:rPr>
        <w:t>09</w:t>
      </w:r>
      <w:r>
        <w:rPr>
          <w:rFonts w:hint="eastAsia" w:ascii="宋体" w:hAnsi="宋体" w:eastAsia="宋体" w:cs="宋体"/>
          <w:sz w:val="24"/>
          <w:szCs w:val="24"/>
          <w:lang w:eastAsia="zh-CN"/>
        </w:rPr>
        <w:t>:00-1</w:t>
      </w:r>
      <w:r>
        <w:rPr>
          <w:rFonts w:hint="eastAsia" w:ascii="宋体" w:hAnsi="宋体" w:cs="宋体"/>
          <w:sz w:val="24"/>
          <w:szCs w:val="24"/>
          <w:lang w:val="en-US" w:eastAsia="zh-CN"/>
        </w:rPr>
        <w:t>2</w:t>
      </w:r>
      <w:r>
        <w:rPr>
          <w:rFonts w:hint="eastAsia" w:ascii="宋体" w:hAnsi="宋体" w:eastAsia="宋体" w:cs="宋体"/>
          <w:sz w:val="24"/>
          <w:szCs w:val="24"/>
          <w:lang w:eastAsia="zh-CN"/>
        </w:rPr>
        <w:t>:00。</w:t>
      </w:r>
    </w:p>
    <w:p w14:paraId="78DF632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2.线上报价要求：按本项目规定的时间在“行采家（https://www.gec123.com/）”进行网上报价，未在规定时间内报价的投标人不具备竞标资格。</w:t>
      </w:r>
    </w:p>
    <w:p w14:paraId="0193793A">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注：线上报价时，按平台要求进行报价和上传投标文件，平台会收取相应的平台保证金，平台保证金收取及退还相关问题请各潜在投标人报价前自行咨询平台客服，此费用与投标保证金无关。</w:t>
      </w:r>
    </w:p>
    <w:p w14:paraId="253D58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（六）投标文件递交</w:t>
      </w:r>
    </w:p>
    <w:p w14:paraId="6A36EC10">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递交响应文件地点：</w:t>
      </w:r>
      <w:r>
        <w:rPr>
          <w:rFonts w:hint="eastAsia" w:ascii="宋体" w:hAnsi="宋体" w:eastAsia="宋体" w:cs="宋体"/>
          <w:sz w:val="24"/>
          <w:szCs w:val="24"/>
          <w:lang w:val="en-US" w:eastAsia="zh-CN"/>
        </w:rPr>
        <w:t>重庆市大足区城西佳苑3栋4单元</w:t>
      </w:r>
      <w:r>
        <w:rPr>
          <w:rFonts w:hint="eastAsia" w:ascii="宋体" w:hAnsi="宋体" w:eastAsia="宋体" w:cs="宋体"/>
          <w:sz w:val="24"/>
          <w:szCs w:val="24"/>
        </w:rPr>
        <w:t>。</w:t>
      </w:r>
    </w:p>
    <w:p w14:paraId="27254A6D">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响应文件递交开始时间：202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D8F97E9">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响应文件递交截止时间：202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94A3838">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EC487CF">
      <w:pPr>
        <w:spacing w:line="40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逾期送达的、未送达指定地点的或者不按照招标文件要求密封的投标文件，招标人将予以拒收</w:t>
      </w:r>
      <w:r>
        <w:rPr>
          <w:rFonts w:hint="eastAsia" w:ascii="宋体" w:hAnsi="宋体" w:cs="宋体"/>
          <w:b/>
          <w:bCs/>
          <w:sz w:val="24"/>
          <w:szCs w:val="24"/>
          <w:highlight w:val="none"/>
          <w:lang w:eastAsia="zh-CN"/>
        </w:rPr>
        <w:t>。</w:t>
      </w:r>
    </w:p>
    <w:p w14:paraId="3E1AA332">
      <w:pPr>
        <w:spacing w:line="4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cs="宋体"/>
          <w:b/>
          <w:sz w:val="24"/>
          <w:szCs w:val="24"/>
          <w:lang w:val="en-US" w:eastAsia="zh-CN"/>
        </w:rPr>
        <w:t>七</w:t>
      </w:r>
      <w:r>
        <w:rPr>
          <w:rFonts w:hint="eastAsia" w:ascii="宋体" w:hAnsi="宋体" w:eastAsia="宋体" w:cs="宋体"/>
          <w:b/>
          <w:sz w:val="24"/>
          <w:szCs w:val="24"/>
        </w:rPr>
        <w:t>）投标保证金缴纳</w:t>
      </w:r>
    </w:p>
    <w:p w14:paraId="0F0B66E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本项目无需缴纳磋商保证金</w:t>
      </w:r>
    </w:p>
    <w:bookmarkEnd w:id="13"/>
    <w:bookmarkEnd w:id="23"/>
    <w:p w14:paraId="59004FA2">
      <w:pPr>
        <w:pStyle w:val="5"/>
        <w:spacing w:before="120" w:beforeLines="50" w:after="120" w:afterLines="50" w:line="240" w:lineRule="auto"/>
        <w:rPr>
          <w:rFonts w:hint="eastAsia" w:ascii="宋体" w:hAnsi="宋体" w:eastAsia="宋体" w:cs="宋体"/>
          <w:sz w:val="24"/>
          <w:szCs w:val="24"/>
        </w:rPr>
      </w:pPr>
      <w:bookmarkStart w:id="24" w:name="_Toc531184287"/>
      <w:bookmarkStart w:id="25" w:name="_Toc30385"/>
      <w:r>
        <w:rPr>
          <w:rFonts w:hint="eastAsia" w:ascii="宋体" w:hAnsi="宋体" w:eastAsia="宋体" w:cs="宋体"/>
          <w:sz w:val="24"/>
          <w:szCs w:val="24"/>
          <w:lang w:val="en-US" w:eastAsia="zh-CN"/>
        </w:rPr>
        <w:t>五</w:t>
      </w:r>
      <w:r>
        <w:rPr>
          <w:rFonts w:hint="eastAsia" w:ascii="宋体" w:hAnsi="宋体" w:eastAsia="宋体" w:cs="宋体"/>
          <w:sz w:val="24"/>
          <w:szCs w:val="24"/>
        </w:rPr>
        <w:t>、投标有关规定</w:t>
      </w:r>
      <w:bookmarkEnd w:id="24"/>
      <w:bookmarkEnd w:id="25"/>
    </w:p>
    <w:p w14:paraId="04A72645">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w:t>
      </w:r>
    </w:p>
    <w:p w14:paraId="2B3DED4A">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6E39459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（三）同一合同项（分包）下的货物，制造商参与投标的，不得再委托代理商参与投标。</w:t>
      </w:r>
    </w:p>
    <w:p w14:paraId="7FD7AAD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（四）本项目的补遗文件（如果有）一律到采购代理机构领取；无论投标人下载或领取与否，均视同投标人已知晓本项目补遗文件的内容。</w:t>
      </w:r>
    </w:p>
    <w:p w14:paraId="06E6A7D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（五）超过投标截止时间递交的投标文件，恕不接收。</w:t>
      </w:r>
    </w:p>
    <w:p w14:paraId="26A1D50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（六）投标费用：无论投标结果如何，投标人参与本项目投标的所有费用均应由投标人自行承担。</w:t>
      </w:r>
    </w:p>
    <w:p w14:paraId="1EF0DBE3">
      <w:pPr>
        <w:pStyle w:val="5"/>
        <w:spacing w:before="120" w:beforeLines="50" w:after="120" w:afterLines="50" w:line="240" w:lineRule="auto"/>
        <w:rPr>
          <w:rFonts w:hint="eastAsia" w:ascii="宋体" w:hAnsi="宋体" w:eastAsia="宋体" w:cs="宋体"/>
          <w:sz w:val="24"/>
          <w:szCs w:val="24"/>
          <w:lang w:val="en-US" w:eastAsia="zh-CN"/>
        </w:rPr>
      </w:pPr>
      <w:bookmarkStart w:id="26" w:name="_Toc474603910"/>
      <w:bookmarkStart w:id="27" w:name="_Toc10376"/>
      <w:bookmarkStart w:id="28" w:name="_Toc531184289"/>
      <w:bookmarkStart w:id="29" w:name="_Toc17427"/>
      <w:r>
        <w:rPr>
          <w:rFonts w:hint="eastAsia" w:ascii="宋体" w:hAnsi="宋体" w:eastAsia="宋体" w:cs="宋体"/>
          <w:sz w:val="24"/>
          <w:szCs w:val="24"/>
          <w:lang w:val="en-US" w:eastAsia="zh-CN"/>
        </w:rPr>
        <w:t>六、联系方式</w:t>
      </w:r>
      <w:bookmarkEnd w:id="26"/>
      <w:bookmarkEnd w:id="27"/>
      <w:bookmarkEnd w:id="28"/>
      <w:bookmarkEnd w:id="29"/>
    </w:p>
    <w:p w14:paraId="3911A73A">
      <w:pPr>
        <w:spacing w:line="360" w:lineRule="auto"/>
        <w:ind w:firstLine="482"/>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采购人：重庆市大足区城市管理局  </w:t>
      </w:r>
    </w:p>
    <w:p w14:paraId="748E91F7">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联系人：郎老师</w:t>
      </w:r>
    </w:p>
    <w:p w14:paraId="09711F13">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话：18883114262</w:t>
      </w:r>
    </w:p>
    <w:p w14:paraId="4D32F0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址：重庆市大足区城市管理局</w:t>
      </w:r>
    </w:p>
    <w:p w14:paraId="5E718DE4">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（二）采购代理机构：</w:t>
      </w:r>
      <w:r>
        <w:rPr>
          <w:rFonts w:hint="eastAsia" w:ascii="宋体" w:hAnsi="宋体" w:eastAsia="宋体" w:cs="宋体"/>
          <w:sz w:val="24"/>
          <w:szCs w:val="24"/>
          <w:lang w:val="en-US" w:eastAsia="zh-CN"/>
        </w:rPr>
        <w:t>明科建设咨询有限公司</w:t>
      </w:r>
    </w:p>
    <w:p w14:paraId="473050C8">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auto"/>
          <w:sz w:val="24"/>
          <w:szCs w:val="24"/>
          <w:lang w:val="en-US" w:eastAsia="zh-CN"/>
        </w:rPr>
        <w:t>舒老师</w:t>
      </w:r>
    </w:p>
    <w:p w14:paraId="1289721B">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color w:val="auto"/>
          <w:sz w:val="24"/>
          <w:szCs w:val="24"/>
          <w:lang w:val="en-US" w:eastAsia="zh-CN"/>
        </w:rPr>
        <w:t>15823068024</w:t>
      </w:r>
    </w:p>
    <w:p w14:paraId="57C15D3D">
      <w:pPr>
        <w:spacing w:line="360" w:lineRule="auto"/>
        <w:ind w:firstLine="482"/>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重庆市大足区城西佳苑3栋4单元</w:t>
      </w:r>
    </w:p>
    <w:p w14:paraId="77711530">
      <w:pPr>
        <w:spacing w:line="360" w:lineRule="auto"/>
        <w:ind w:firstLine="482"/>
        <w:rPr>
          <w:rFonts w:hint="eastAsia" w:ascii="宋体" w:hAnsi="宋体" w:eastAsia="宋体" w:cs="宋体"/>
          <w:sz w:val="24"/>
          <w:szCs w:val="24"/>
        </w:rPr>
      </w:pPr>
    </w:p>
    <w:p w14:paraId="67FB9CC7">
      <w:pPr>
        <w:spacing w:line="400" w:lineRule="exact"/>
        <w:ind w:firstLine="480" w:firstLineChars="200"/>
        <w:rPr>
          <w:rFonts w:hint="eastAsia" w:ascii="宋体" w:hAnsi="宋体" w:eastAsia="宋体" w:cs="宋体"/>
          <w:sz w:val="24"/>
          <w:szCs w:val="24"/>
        </w:rPr>
      </w:pPr>
    </w:p>
    <w:p w14:paraId="3C7077F0">
      <w:pPr>
        <w:pStyle w:val="2"/>
        <w:rPr>
          <w:rFonts w:hint="eastAsia" w:ascii="宋体" w:hAnsi="宋体" w:eastAsia="宋体" w:cs="宋体"/>
        </w:rPr>
      </w:pPr>
    </w:p>
    <w:p w14:paraId="073A456E">
      <w:pPr>
        <w:pStyle w:val="5"/>
        <w:spacing w:before="120" w:beforeLines="50" w:after="120" w:afterLines="50" w:line="240" w:lineRule="auto"/>
        <w:jc w:val="center"/>
        <w:rPr>
          <w:rFonts w:hint="default" w:ascii="宋体" w:hAnsi="宋体" w:eastAsia="宋体" w:cs="宋体"/>
          <w:b w:val="0"/>
          <w:kern w:val="2"/>
          <w:sz w:val="36"/>
          <w:szCs w:val="30"/>
          <w:lang w:val="en-US" w:eastAsia="zh-CN" w:bidi="ar-SA"/>
        </w:rPr>
      </w:pPr>
      <w:r>
        <w:rPr>
          <w:rFonts w:hint="eastAsia" w:ascii="宋体" w:hAnsi="宋体" w:eastAsia="宋体" w:cs="宋体"/>
        </w:rPr>
        <w:br w:type="page"/>
      </w:r>
      <w:bookmarkStart w:id="30" w:name="_Toc11756"/>
      <w:bookmarkStart w:id="31" w:name="_Toc12789058"/>
      <w:r>
        <w:rPr>
          <w:rFonts w:hint="eastAsia" w:ascii="宋体" w:hAnsi="宋体" w:eastAsia="宋体" w:cs="宋体"/>
          <w:b w:val="0"/>
          <w:kern w:val="2"/>
          <w:sz w:val="36"/>
          <w:szCs w:val="30"/>
          <w:lang w:val="en-US" w:eastAsia="zh-CN" w:bidi="ar-SA"/>
        </w:rPr>
        <w:t>第二篇  项目服务需求</w:t>
      </w:r>
      <w:bookmarkEnd w:id="30"/>
    </w:p>
    <w:p w14:paraId="380BAE68">
      <w:pPr>
        <w:pStyle w:val="5"/>
        <w:spacing w:before="0" w:after="0" w:line="312" w:lineRule="auto"/>
        <w:outlineLvl w:val="0"/>
        <w:rPr>
          <w:rFonts w:hint="eastAsia" w:ascii="宋体" w:hAnsi="宋体" w:eastAsia="宋体" w:cs="宋体"/>
          <w:i w:val="0"/>
          <w:iCs w:val="0"/>
          <w:color w:val="auto"/>
          <w:sz w:val="24"/>
          <w:szCs w:val="24"/>
          <w:lang w:val="en-US" w:eastAsia="zh-CN"/>
        </w:rPr>
      </w:pPr>
    </w:p>
    <w:p w14:paraId="025EB2C5">
      <w:pPr>
        <w:pStyle w:val="5"/>
        <w:spacing w:before="120" w:beforeLines="50" w:after="120" w:afterLines="50" w:line="240" w:lineRule="auto"/>
        <w:rPr>
          <w:rFonts w:hint="eastAsia" w:ascii="宋体" w:hAnsi="宋体" w:eastAsia="宋体" w:cs="宋体"/>
          <w:sz w:val="24"/>
          <w:szCs w:val="24"/>
          <w:lang w:val="en-US" w:eastAsia="zh-CN"/>
        </w:rPr>
      </w:pPr>
      <w:bookmarkStart w:id="32" w:name="_Toc15864"/>
      <w:r>
        <w:rPr>
          <w:rFonts w:hint="eastAsia" w:ascii="宋体" w:hAnsi="宋体" w:eastAsia="宋体" w:cs="宋体"/>
          <w:sz w:val="24"/>
          <w:szCs w:val="24"/>
          <w:lang w:val="en-US" w:eastAsia="zh-CN"/>
        </w:rPr>
        <w:t>一、项目一览表</w:t>
      </w:r>
      <w:bookmarkEnd w:id="32"/>
    </w:p>
    <w:tbl>
      <w:tblPr>
        <w:tblStyle w:val="6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221"/>
        <w:gridCol w:w="1594"/>
        <w:gridCol w:w="1423"/>
        <w:gridCol w:w="2796"/>
      </w:tblGrid>
      <w:tr w14:paraId="1D60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846" w:type="dxa"/>
            <w:noWrap w:val="0"/>
            <w:vAlign w:val="center"/>
          </w:tcPr>
          <w:p w14:paraId="05AF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rPr>
            </w:pPr>
            <w:bookmarkStart w:id="33" w:name="_Toc1716"/>
            <w:r>
              <w:rPr>
                <w:rFonts w:hint="eastAsia" w:ascii="宋体" w:hAnsi="宋体" w:eastAsia="宋体" w:cs="宋体"/>
                <w:b/>
                <w:bCs/>
                <w:color w:val="auto"/>
                <w:kern w:val="0"/>
                <w:sz w:val="22"/>
                <w:szCs w:val="22"/>
                <w:highlight w:val="none"/>
              </w:rPr>
              <w:t>项目名称</w:t>
            </w:r>
          </w:p>
        </w:tc>
        <w:tc>
          <w:tcPr>
            <w:tcW w:w="1221" w:type="dxa"/>
            <w:noWrap w:val="0"/>
            <w:vAlign w:val="center"/>
          </w:tcPr>
          <w:p w14:paraId="70AB7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最高限价（万元）</w:t>
            </w:r>
          </w:p>
        </w:tc>
        <w:tc>
          <w:tcPr>
            <w:tcW w:w="1594" w:type="dxa"/>
            <w:noWrap w:val="0"/>
            <w:vAlign w:val="center"/>
          </w:tcPr>
          <w:p w14:paraId="2BCA24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资金性质</w:t>
            </w:r>
          </w:p>
        </w:tc>
        <w:tc>
          <w:tcPr>
            <w:tcW w:w="1423" w:type="dxa"/>
            <w:noWrap w:val="0"/>
            <w:vAlign w:val="center"/>
          </w:tcPr>
          <w:p w14:paraId="663F9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成交供应商（名）</w:t>
            </w:r>
          </w:p>
        </w:tc>
        <w:tc>
          <w:tcPr>
            <w:tcW w:w="2796" w:type="dxa"/>
            <w:noWrap w:val="0"/>
            <w:vAlign w:val="center"/>
          </w:tcPr>
          <w:p w14:paraId="1DC95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022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46" w:type="dxa"/>
            <w:noWrap w:val="0"/>
            <w:vAlign w:val="center"/>
          </w:tcPr>
          <w:p w14:paraId="57F4A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0" w:firstLineChars="100"/>
              <w:jc w:val="center"/>
              <w:textAlignment w:val="auto"/>
              <w:outlineLvl w:val="9"/>
              <w:rPr>
                <w:rFonts w:hint="eastAsia" w:ascii="宋体" w:hAnsi="宋体" w:cs="宋体"/>
                <w:color w:val="auto"/>
                <w:sz w:val="22"/>
                <w:szCs w:val="22"/>
                <w:highlight w:val="none"/>
                <w:lang w:eastAsia="zh-CN"/>
              </w:rPr>
            </w:pPr>
            <w:r>
              <w:rPr>
                <w:rFonts w:hint="eastAsia" w:ascii="宋体" w:hAnsi="宋体" w:eastAsia="宋体" w:cs="宋体"/>
                <w:kern w:val="2"/>
                <w:sz w:val="24"/>
                <w:szCs w:val="24"/>
                <w:lang w:val="en-US" w:eastAsia="zh-CN" w:bidi="ar-SA"/>
              </w:rPr>
              <w:t>重庆市大足区城市管理局食堂食材配送服务采购-猪肉类</w:t>
            </w:r>
          </w:p>
        </w:tc>
        <w:tc>
          <w:tcPr>
            <w:tcW w:w="1221" w:type="dxa"/>
            <w:noWrap w:val="0"/>
            <w:vAlign w:val="center"/>
          </w:tcPr>
          <w:p w14:paraId="0AEA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w:t>
            </w:r>
          </w:p>
        </w:tc>
        <w:tc>
          <w:tcPr>
            <w:tcW w:w="1594" w:type="dxa"/>
            <w:noWrap w:val="0"/>
            <w:vAlign w:val="center"/>
          </w:tcPr>
          <w:p w14:paraId="38F3F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财政资金</w:t>
            </w:r>
          </w:p>
        </w:tc>
        <w:tc>
          <w:tcPr>
            <w:tcW w:w="1423" w:type="dxa"/>
            <w:noWrap w:val="0"/>
            <w:vAlign w:val="center"/>
          </w:tcPr>
          <w:p w14:paraId="6C05B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2796" w:type="dxa"/>
            <w:noWrap w:val="0"/>
            <w:vAlign w:val="center"/>
          </w:tcPr>
          <w:p w14:paraId="1FC867F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不接受联合体投标</w:t>
            </w:r>
          </w:p>
        </w:tc>
      </w:tr>
    </w:tbl>
    <w:p w14:paraId="428CA09E">
      <w:pPr>
        <w:pStyle w:val="5"/>
        <w:spacing w:before="0" w:after="0" w:line="312" w:lineRule="auto"/>
        <w:outlineLvl w:val="0"/>
        <w:rPr>
          <w:rFonts w:hint="eastAsia" w:ascii="宋体" w:hAnsi="宋体" w:eastAsia="宋体" w:cs="宋体"/>
          <w:i w:val="0"/>
          <w:iCs w:val="0"/>
          <w:color w:val="auto"/>
          <w:sz w:val="24"/>
          <w:szCs w:val="24"/>
          <w:lang w:val="en-US" w:eastAsia="zh-CN"/>
        </w:rPr>
      </w:pPr>
    </w:p>
    <w:p w14:paraId="64E36411">
      <w:pPr>
        <w:pStyle w:val="5"/>
        <w:spacing w:before="120" w:beforeLines="50" w:after="120" w:afterLines="50" w:line="240" w:lineRule="auto"/>
        <w:rPr>
          <w:rFonts w:hint="eastAsia" w:ascii="宋体" w:hAnsi="宋体" w:eastAsia="宋体" w:cs="宋体"/>
          <w:sz w:val="24"/>
          <w:szCs w:val="24"/>
          <w:lang w:val="en-US" w:eastAsia="zh-CN"/>
        </w:rPr>
      </w:pPr>
      <w:bookmarkStart w:id="34" w:name="_Toc6745"/>
      <w:r>
        <w:rPr>
          <w:rFonts w:hint="eastAsia" w:ascii="宋体" w:hAnsi="宋体" w:eastAsia="宋体" w:cs="宋体"/>
          <w:sz w:val="24"/>
          <w:szCs w:val="24"/>
          <w:lang w:val="en-US" w:eastAsia="zh-CN"/>
        </w:rPr>
        <w:t>二、</w:t>
      </w:r>
      <w:bookmarkEnd w:id="33"/>
      <w:r>
        <w:rPr>
          <w:rFonts w:hint="eastAsia" w:ascii="宋体" w:hAnsi="宋体" w:eastAsia="宋体" w:cs="宋体"/>
          <w:sz w:val="24"/>
          <w:szCs w:val="24"/>
          <w:lang w:val="en-US" w:eastAsia="zh-CN"/>
        </w:rPr>
        <w:t>项目服务内容</w:t>
      </w:r>
      <w:bookmarkEnd w:id="34"/>
    </w:p>
    <w:p w14:paraId="00A81CA6">
      <w:pPr>
        <w:pageBreakBefore w:val="0"/>
        <w:kinsoku/>
        <w:overflowPunct/>
        <w:topLinePunct w:val="0"/>
        <w:autoSpaceDE/>
        <w:autoSpaceDN/>
        <w:bidi w:val="0"/>
        <w:spacing w:before="0" w:after="0" w:line="360" w:lineRule="auto"/>
        <w:textAlignment w:val="auto"/>
        <w:outlineLvl w:val="9"/>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（一）产品要求</w:t>
      </w:r>
    </w:p>
    <w:tbl>
      <w:tblPr>
        <w:tblStyle w:val="61"/>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176"/>
        <w:gridCol w:w="6387"/>
      </w:tblGrid>
      <w:tr w14:paraId="4954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223" w:type="dxa"/>
            <w:noWrap w:val="0"/>
            <w:vAlign w:val="center"/>
          </w:tcPr>
          <w:p w14:paraId="44D3C7FE">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p>
        </w:tc>
        <w:tc>
          <w:tcPr>
            <w:tcW w:w="1176" w:type="dxa"/>
            <w:noWrap w:val="0"/>
            <w:vAlign w:val="center"/>
          </w:tcPr>
          <w:p w14:paraId="1B173FFC">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品种</w:t>
            </w:r>
          </w:p>
        </w:tc>
        <w:tc>
          <w:tcPr>
            <w:tcW w:w="6387" w:type="dxa"/>
            <w:noWrap w:val="0"/>
            <w:vAlign w:val="center"/>
          </w:tcPr>
          <w:p w14:paraId="472A861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质量标准</w:t>
            </w:r>
          </w:p>
        </w:tc>
      </w:tr>
      <w:tr w14:paraId="2D4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2223" w:type="dxa"/>
            <w:noWrap w:val="0"/>
            <w:vAlign w:val="center"/>
          </w:tcPr>
          <w:p w14:paraId="2F1AD5F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重庆市大足区城市管理局食堂食材配送服务采购-猪肉类</w:t>
            </w:r>
          </w:p>
        </w:tc>
        <w:tc>
          <w:tcPr>
            <w:tcW w:w="1176" w:type="dxa"/>
            <w:noWrap w:val="0"/>
            <w:vAlign w:val="center"/>
          </w:tcPr>
          <w:p w14:paraId="687E3CFA">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猪肉类</w:t>
            </w:r>
          </w:p>
        </w:tc>
        <w:tc>
          <w:tcPr>
            <w:tcW w:w="6387" w:type="dxa"/>
            <w:noWrap w:val="0"/>
            <w:vAlign w:val="center"/>
          </w:tcPr>
          <w:p w14:paraId="35CEB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必须在供货前12小时内在定点屠宰场(或宰杀店)宰杀加工，新鲜、表皮洁净、无异味，肌肉有弹性，并经动物卫生检疫机构检疫合格，加盖检疫合格印章和屠宰场印章，并附有《动物产品(B)检疫合格证明》，产品质量必须符合食品卫生安全要求。</w:t>
            </w:r>
          </w:p>
        </w:tc>
      </w:tr>
    </w:tbl>
    <w:p w14:paraId="067D2BC6">
      <w:pPr>
        <w:pageBreakBefore w:val="0"/>
        <w:widowControl/>
        <w:kinsoku/>
        <w:overflowPunct/>
        <w:topLinePunct w:val="0"/>
        <w:autoSpaceDE/>
        <w:autoSpaceDN/>
        <w:bidi w:val="0"/>
        <w:spacing w:line="240" w:lineRule="auto"/>
        <w:ind w:firstLine="0" w:firstLineChars="0"/>
        <w:jc w:val="left"/>
        <w:textAlignment w:val="center"/>
        <w:rPr>
          <w:rFonts w:hint="eastAsia" w:ascii="宋体" w:hAnsi="宋体" w:eastAsia="宋体" w:cs="宋体"/>
          <w:color w:val="auto"/>
          <w:sz w:val="22"/>
          <w:szCs w:val="22"/>
          <w:highlight w:val="none"/>
          <w:lang w:val="en-US" w:eastAsia="zh-CN"/>
        </w:rPr>
      </w:pPr>
    </w:p>
    <w:p w14:paraId="00315C10">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注：1.供应商与采购人每月底进行一次市场询价，并将当日市场询价平均值作为次月相应食材的结算单价，其中询价地点为大足区农贸市场、菜园子、水果市场等地。</w:t>
      </w:r>
    </w:p>
    <w:p w14:paraId="0BEC495D">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2.如果食材市场价格浮动较大，以双方协商一致的价格作为结算单价，且不高于市场价。</w:t>
      </w:r>
    </w:p>
    <w:p w14:paraId="0C94EF11">
      <w:pPr>
        <w:pageBreakBefore w:val="0"/>
        <w:widowControl/>
        <w:numPr>
          <w:ilvl w:val="0"/>
          <w:numId w:val="0"/>
        </w:numPr>
        <w:kinsoku/>
        <w:overflowPunct/>
        <w:topLinePunct w:val="0"/>
        <w:autoSpaceDE/>
        <w:autoSpaceDN/>
        <w:bidi w:val="0"/>
        <w:spacing w:line="360" w:lineRule="auto"/>
        <w:ind w:firstLine="221" w:firstLineChars="100"/>
        <w:jc w:val="left"/>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（二）其他要求</w:t>
      </w:r>
    </w:p>
    <w:p w14:paraId="0323BC5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.所有采购食材除达到上表中的标准外，均需达到以下要求：</w:t>
      </w:r>
    </w:p>
    <w:p w14:paraId="3FC7C037">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（1）GB2760-2011《食品安全国家标准 食品添加剂使用标准》</w:t>
      </w:r>
    </w:p>
    <w:p w14:paraId="3B4B3276">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（2）GB2762-2012《食品安全国家标准 食品中污染物限量标准》</w:t>
      </w:r>
    </w:p>
    <w:p w14:paraId="6C762B7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（3）GB2763-2012《食品安全国家标准 食品中农药最大残留限量》</w:t>
      </w:r>
    </w:p>
    <w:p w14:paraId="46A2949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（4）GB31621-2014《食品安全国家标准食品经营过程卫生规范》</w:t>
      </w:r>
    </w:p>
    <w:p w14:paraId="050AF558">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）所有产品必须符合新颁布的《食品安全法》及其他相关法规要求。</w:t>
      </w:r>
    </w:p>
    <w:p w14:paraId="6BC260CF">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.安全责任，供货人员要求：</w:t>
      </w:r>
    </w:p>
    <w:p w14:paraId="77FD842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（1）供应商供货人员和车辆的安全责任，由供应商承担。</w:t>
      </w:r>
    </w:p>
    <w:p w14:paraId="5B52EF6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（2）供应商所供产品出现质量问题，供应商应承担全部法律、经济责任。</w:t>
      </w:r>
    </w:p>
    <w:p w14:paraId="49471AD4">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（3）供应商在供货期间，因自身原因造成事故事件等，所有后果由供应商自行承担。</w:t>
      </w:r>
    </w:p>
    <w:p w14:paraId="547EA48C">
      <w:pPr>
        <w:pageBreakBefore w:val="0"/>
        <w:widowControl/>
        <w:kinsoku/>
        <w:overflowPunct/>
        <w:topLinePunct w:val="0"/>
        <w:autoSpaceDE/>
        <w:autoSpaceDN/>
        <w:bidi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.配送要求</w:t>
      </w:r>
    </w:p>
    <w:p w14:paraId="041AADD0">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（1）配送车辆、人员应相对固定；配送时间：供应商应在每天早上6：00前将采购人所需食材按时送到采购人指定地点（食堂）。</w:t>
      </w:r>
    </w:p>
    <w:p w14:paraId="3224378C">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（2）供应商按照前一工作日采购人拟定的食堂食材清单进行配送，供应商接受配送任务后，应按要求向采购人食堂提供符合品相及规格要求的货物。</w:t>
      </w:r>
    </w:p>
    <w:p w14:paraId="68707094">
      <w:pPr>
        <w:pageBreakBefore w:val="0"/>
        <w:widowControl/>
        <w:kinsoku/>
        <w:overflowPunct/>
        <w:topLinePunct w:val="0"/>
        <w:autoSpaceDE/>
        <w:autoSpaceDN/>
        <w:bidi w:val="0"/>
        <w:spacing w:line="360" w:lineRule="auto"/>
        <w:ind w:firstLine="440" w:firstLineChars="200"/>
        <w:jc w:val="center"/>
        <w:textAlignment w:val="center"/>
        <w:rPr>
          <w:rFonts w:hint="eastAsia" w:ascii="宋体" w:hAnsi="宋体" w:eastAsia="宋体" w:cs="宋体"/>
          <w:b w:val="0"/>
          <w:sz w:val="36"/>
          <w:szCs w:val="30"/>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对于质量及数量有问题的食品要保证退货，并及时更换符合质量标准的食品。对采购人要求的原料规格市场确实缺货的，经采购人研究同意后，可临时调整配送规格，价格按实际情况浮动。要努力提高有关工作人员的服务水平，不得强制向采购人食堂配送不符质量标准的食品。</w:t>
      </w:r>
      <w:r>
        <w:rPr>
          <w:rFonts w:hint="eastAsia" w:ascii="宋体" w:hAnsi="宋体" w:eastAsia="宋体" w:cs="宋体"/>
          <w:b w:val="0"/>
          <w:sz w:val="36"/>
          <w:szCs w:val="30"/>
        </w:rPr>
        <w:br w:type="page"/>
      </w:r>
      <w:r>
        <w:rPr>
          <w:rFonts w:hint="eastAsia" w:ascii="宋体" w:hAnsi="宋体" w:eastAsia="宋体" w:cs="宋体"/>
          <w:b w:val="0"/>
          <w:kern w:val="2"/>
          <w:sz w:val="36"/>
          <w:szCs w:val="30"/>
          <w:lang w:val="en-US" w:eastAsia="zh-CN" w:bidi="ar-SA"/>
        </w:rPr>
        <w:t xml:space="preserve">第三篇  </w:t>
      </w:r>
      <w:bookmarkEnd w:id="31"/>
      <w:r>
        <w:rPr>
          <w:rFonts w:hint="eastAsia" w:ascii="宋体" w:hAnsi="宋体" w:eastAsia="宋体" w:cs="宋体"/>
          <w:b w:val="0"/>
          <w:kern w:val="2"/>
          <w:sz w:val="36"/>
          <w:szCs w:val="30"/>
          <w:lang w:val="en-US" w:eastAsia="zh-CN" w:bidi="ar-SA"/>
        </w:rPr>
        <w:t>项目商务需求</w:t>
      </w:r>
    </w:p>
    <w:p w14:paraId="222428CD">
      <w:pPr>
        <w:pStyle w:val="5"/>
        <w:spacing w:before="120" w:beforeLines="50" w:after="120" w:afterLines="50" w:line="240" w:lineRule="auto"/>
        <w:rPr>
          <w:rFonts w:hint="eastAsia" w:ascii="宋体" w:hAnsi="宋体" w:eastAsia="宋体" w:cs="宋体"/>
          <w:sz w:val="24"/>
          <w:szCs w:val="24"/>
          <w:lang w:val="en-US" w:eastAsia="zh-CN"/>
        </w:rPr>
      </w:pPr>
      <w:bookmarkStart w:id="35" w:name="_Toc31501"/>
      <w:bookmarkStart w:id="36" w:name="_Toc106030883"/>
      <w:bookmarkStart w:id="37" w:name="_Toc22554"/>
      <w:bookmarkStart w:id="38" w:name="_Toc76462328"/>
      <w:bookmarkStart w:id="39" w:name="_Toc344475120"/>
      <w:bookmarkStart w:id="40" w:name="_Toc13460"/>
      <w:r>
        <w:rPr>
          <w:rFonts w:hint="eastAsia" w:ascii="宋体" w:hAnsi="宋体" w:eastAsia="宋体" w:cs="宋体"/>
          <w:sz w:val="24"/>
          <w:szCs w:val="24"/>
          <w:lang w:val="en-US" w:eastAsia="zh-CN"/>
        </w:rPr>
        <w:t>一、服务期、地点及验收方式</w:t>
      </w:r>
      <w:bookmarkEnd w:id="35"/>
      <w:bookmarkEnd w:id="36"/>
      <w:bookmarkEnd w:id="37"/>
      <w:bookmarkEnd w:id="38"/>
      <w:bookmarkEnd w:id="39"/>
      <w:bookmarkEnd w:id="40"/>
    </w:p>
    <w:p w14:paraId="7B2219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highlight w:val="none"/>
          <w:lang w:val="en-US" w:eastAsia="zh-CN"/>
        </w:rPr>
        <w:t>服务期：自合同签订之日起1年（具体以合同签订为准）</w:t>
      </w:r>
      <w:r>
        <w:rPr>
          <w:rFonts w:hint="eastAsia" w:ascii="宋体" w:hAnsi="宋体" w:cs="宋体"/>
          <w:color w:val="auto"/>
          <w:sz w:val="24"/>
          <w:szCs w:val="24"/>
          <w:highlight w:val="none"/>
          <w:lang w:val="en-US" w:eastAsia="zh-CN"/>
        </w:rPr>
        <w:t>。</w:t>
      </w:r>
    </w:p>
    <w:p w14:paraId="15FCCAC3">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（二）服务地点：采购人指定地点</w:t>
      </w:r>
    </w:p>
    <w:p w14:paraId="4E4B1B1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w:t>
      </w:r>
    </w:p>
    <w:p w14:paraId="502463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货物到达现场后，供应商应在甲方收货员、厨师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14:paraId="7FE402B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货物未达到采购文件规定要求的，采购人向供应商出具服务不合格书面通知，对采购人造成损失的，由供应商承担一切责任，并赔偿所造成损失。如供应商在服务期内出现货品累计5次以上不合格情况的，采购人可解除合同。</w:t>
      </w:r>
    </w:p>
    <w:p w14:paraId="6902FA0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组织定期或不定期货品抽检和送检。对检验不合格产品无条件退、换货外，需按双方约定予以处理。如乙方存在有短斤少两、以次充好或乙方延误甲方供货时间导致甲方不能按时就餐情况等情况，发现一次支付违约金2000元，发生两次及以上的或者有严重质量问题（霉烂、变质的等），甲方有权直接解除合同，乙方缴纳的履约保证金不予退还。</w:t>
      </w:r>
    </w:p>
    <w:p w14:paraId="7D88EC7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4.因验收货物时不能直接判断质量的，在使用过程中发现不合格商品，供应商应作退货处理。</w:t>
      </w:r>
    </w:p>
    <w:p w14:paraId="686EFB0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5.凡按重量计量物资，均以物品净重方式计量结算。</w:t>
      </w:r>
    </w:p>
    <w:p w14:paraId="1F4102B4">
      <w:pPr>
        <w:pStyle w:val="5"/>
        <w:spacing w:before="120" w:beforeLines="50" w:after="120" w:afterLines="50" w:line="240" w:lineRule="auto"/>
        <w:rPr>
          <w:rFonts w:hint="eastAsia" w:ascii="宋体" w:hAnsi="宋体" w:eastAsia="宋体" w:cs="宋体"/>
          <w:sz w:val="24"/>
          <w:szCs w:val="24"/>
          <w:lang w:val="en-US" w:eastAsia="zh-CN"/>
        </w:rPr>
      </w:pPr>
      <w:bookmarkStart w:id="41" w:name="_Toc344475121"/>
      <w:bookmarkStart w:id="42" w:name="_Toc21889"/>
      <w:bookmarkStart w:id="43" w:name="_Toc10645"/>
      <w:bookmarkStart w:id="44" w:name="_Toc106030884"/>
      <w:bookmarkStart w:id="45" w:name="_Toc76462329"/>
      <w:bookmarkStart w:id="46" w:name="_Toc31959"/>
      <w:r>
        <w:rPr>
          <w:rFonts w:hint="eastAsia" w:ascii="宋体" w:hAnsi="宋体" w:eastAsia="宋体" w:cs="宋体"/>
          <w:sz w:val="24"/>
          <w:szCs w:val="24"/>
          <w:lang w:val="en-US" w:eastAsia="zh-CN"/>
        </w:rPr>
        <w:t>二、</w:t>
      </w:r>
      <w:bookmarkEnd w:id="41"/>
      <w:r>
        <w:rPr>
          <w:rFonts w:hint="eastAsia" w:ascii="宋体" w:hAnsi="宋体" w:eastAsia="宋体" w:cs="宋体"/>
          <w:sz w:val="24"/>
          <w:szCs w:val="24"/>
          <w:lang w:val="en-US" w:eastAsia="zh-CN"/>
        </w:rPr>
        <w:t>报价要求</w:t>
      </w:r>
      <w:bookmarkEnd w:id="42"/>
      <w:bookmarkEnd w:id="43"/>
      <w:bookmarkEnd w:id="44"/>
      <w:bookmarkEnd w:id="45"/>
      <w:bookmarkEnd w:id="46"/>
    </w:p>
    <w:p w14:paraId="69D778A9">
      <w:pPr>
        <w:spacing w:line="360" w:lineRule="auto"/>
        <w:ind w:firstLine="480" w:firstLineChars="200"/>
        <w:rPr>
          <w:rFonts w:hint="eastAsia" w:ascii="宋体" w:hAnsi="宋体" w:eastAsia="宋体" w:cs="宋体"/>
          <w:color w:val="auto"/>
          <w:sz w:val="24"/>
          <w:szCs w:val="24"/>
          <w:lang w:val="en-US" w:eastAsia="zh-CN"/>
        </w:rPr>
      </w:pPr>
      <w:bookmarkStart w:id="47" w:name="_Toc344475122"/>
      <w:bookmarkStart w:id="48" w:name="_Toc76462330"/>
      <w:bookmarkStart w:id="49" w:name="_Toc106030885"/>
      <w:r>
        <w:rPr>
          <w:rFonts w:hint="eastAsia" w:ascii="宋体" w:hAnsi="宋体" w:eastAsia="宋体" w:cs="宋体"/>
          <w:color w:val="auto"/>
          <w:sz w:val="24"/>
          <w:szCs w:val="24"/>
          <w:lang w:val="en-US" w:eastAsia="zh-CN"/>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099B0B8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（二）本项目采购预算金额为预估金额，仅作为供应商的报价参考，不作为最终结算依据。实际结算金额以实际配送数量和结算单价进行据实结算。</w:t>
      </w:r>
    </w:p>
    <w:p w14:paraId="0752E1AF">
      <w:pPr>
        <w:pStyle w:val="5"/>
        <w:spacing w:before="120" w:beforeLines="50" w:after="120" w:afterLines="50" w:line="240" w:lineRule="auto"/>
        <w:rPr>
          <w:rFonts w:hint="eastAsia" w:ascii="宋体" w:hAnsi="宋体" w:eastAsia="宋体" w:cs="宋体"/>
          <w:sz w:val="24"/>
          <w:szCs w:val="24"/>
          <w:lang w:val="en-US" w:eastAsia="zh-CN"/>
        </w:rPr>
      </w:pPr>
      <w:bookmarkStart w:id="50" w:name="_Toc1745"/>
      <w:bookmarkStart w:id="51" w:name="_Toc24485"/>
      <w:bookmarkStart w:id="52" w:name="_Toc12438"/>
      <w:r>
        <w:rPr>
          <w:rFonts w:hint="eastAsia" w:ascii="宋体" w:hAnsi="宋体" w:eastAsia="宋体" w:cs="宋体"/>
          <w:sz w:val="24"/>
          <w:szCs w:val="24"/>
          <w:lang w:val="en-US" w:eastAsia="zh-CN"/>
        </w:rPr>
        <w:t>三、</w:t>
      </w:r>
      <w:bookmarkEnd w:id="47"/>
      <w:bookmarkEnd w:id="48"/>
      <w:bookmarkEnd w:id="49"/>
      <w:bookmarkEnd w:id="50"/>
      <w:bookmarkEnd w:id="51"/>
      <w:r>
        <w:rPr>
          <w:rFonts w:hint="eastAsia" w:ascii="宋体" w:hAnsi="宋体" w:eastAsia="宋体" w:cs="宋体"/>
          <w:sz w:val="24"/>
          <w:szCs w:val="24"/>
          <w:lang w:val="en-US" w:eastAsia="zh-CN"/>
        </w:rPr>
        <w:t>结算</w:t>
      </w:r>
      <w:r>
        <w:rPr>
          <w:rFonts w:hint="eastAsia" w:ascii="宋体" w:hAnsi="宋体" w:cs="宋体"/>
          <w:sz w:val="24"/>
          <w:szCs w:val="24"/>
          <w:lang w:val="en-US" w:eastAsia="zh-CN"/>
        </w:rPr>
        <w:t>单</w:t>
      </w:r>
      <w:r>
        <w:rPr>
          <w:rFonts w:hint="eastAsia" w:ascii="宋体" w:hAnsi="宋体" w:eastAsia="宋体" w:cs="宋体"/>
          <w:sz w:val="24"/>
          <w:szCs w:val="24"/>
          <w:lang w:val="en-US" w:eastAsia="zh-CN"/>
        </w:rPr>
        <w:t>价确定标准和流程</w:t>
      </w:r>
      <w:bookmarkEnd w:id="52"/>
    </w:p>
    <w:p w14:paraId="6A11D43C">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 w:name="_Toc76462331"/>
      <w:bookmarkStart w:id="54" w:name="_Toc106030886"/>
      <w:bookmarkStart w:id="55" w:name="_Toc344475124"/>
      <w:r>
        <w:rPr>
          <w:rFonts w:hint="eastAsia" w:ascii="宋体" w:hAnsi="宋体" w:eastAsia="宋体" w:cs="宋体"/>
          <w:color w:val="000000" w:themeColor="text1"/>
          <w:sz w:val="24"/>
          <w:szCs w:val="24"/>
          <w:highlight w:val="none"/>
          <w:lang w:val="en-US" w:eastAsia="zh-CN"/>
          <w14:textFill>
            <w14:solidFill>
              <w14:schemeClr w14:val="tx1"/>
            </w14:solidFill>
          </w14:textFill>
        </w:rPr>
        <w:t>（一）询定价</w:t>
      </w:r>
    </w:p>
    <w:p w14:paraId="013BC362">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人对所采购货物品种进行市场考察询价，询价每月1次。每次考察询价地点在采购人所在就近地区内进行，以不同卖场时价的平均价（核价应遵循同品同质的原则，特价商品除外）为结算单价，并由双方人员签字确认。</w:t>
      </w:r>
    </w:p>
    <w:p w14:paraId="36C7A42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（2）采购人附近的超市及农贸市场无法查询基础价而无法定价的个别品种或采购人有特殊要求的货品，可参照其他市场售价及上期供货价，双方协商确定定价。</w:t>
      </w:r>
    </w:p>
    <w:p w14:paraId="1459F297">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（二）结算</w:t>
      </w:r>
    </w:p>
    <w:p w14:paraId="5222814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当月最终结算金额=Σ（各品类结算单价×各品类实际配送数量）-考核扣除金额（如有）。</w:t>
      </w:r>
    </w:p>
    <w:bookmarkEnd w:id="53"/>
    <w:bookmarkEnd w:id="54"/>
    <w:bookmarkEnd w:id="55"/>
    <w:p w14:paraId="421B13D4">
      <w:pPr>
        <w:pStyle w:val="5"/>
        <w:spacing w:before="120" w:beforeLines="50" w:after="120" w:afterLines="50" w:line="240" w:lineRule="auto"/>
        <w:rPr>
          <w:rFonts w:hint="default" w:ascii="宋体" w:hAnsi="宋体" w:eastAsia="宋体" w:cs="宋体"/>
          <w:sz w:val="24"/>
          <w:szCs w:val="24"/>
          <w:highlight w:val="none"/>
          <w:lang w:val="en-US" w:eastAsia="zh-CN"/>
        </w:rPr>
      </w:pPr>
      <w:bookmarkStart w:id="56" w:name="_Toc10764"/>
      <w:bookmarkStart w:id="57" w:name="_Toc23341"/>
      <w:bookmarkStart w:id="58" w:name="_Toc12448"/>
      <w:bookmarkStart w:id="59" w:name="_Toc17140"/>
      <w:r>
        <w:rPr>
          <w:rFonts w:hint="eastAsia" w:ascii="宋体" w:hAnsi="宋体" w:eastAsia="宋体" w:cs="宋体"/>
          <w:sz w:val="24"/>
          <w:szCs w:val="24"/>
          <w:highlight w:val="none"/>
          <w:lang w:val="en-US" w:eastAsia="zh-CN"/>
        </w:rPr>
        <w:t>四、</w:t>
      </w:r>
      <w:bookmarkEnd w:id="56"/>
      <w:bookmarkEnd w:id="57"/>
      <w:bookmarkStart w:id="60" w:name="_Toc344475125"/>
      <w:r>
        <w:rPr>
          <w:rFonts w:hint="eastAsia" w:ascii="宋体" w:hAnsi="宋体" w:eastAsia="宋体" w:cs="宋体"/>
          <w:sz w:val="24"/>
          <w:szCs w:val="24"/>
          <w:highlight w:val="none"/>
          <w:lang w:val="en-US" w:eastAsia="zh-CN"/>
        </w:rPr>
        <w:t>付款方式</w:t>
      </w:r>
      <w:bookmarkEnd w:id="58"/>
    </w:p>
    <w:bookmarkEnd w:id="60"/>
    <w:p w14:paraId="0ABF16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1.成交供应商每月向采购人提供经采购人签证的采购清单，由采购人确认种类、数量、价格进行核</w:t>
      </w:r>
      <w:r>
        <w:rPr>
          <w:rFonts w:hint="eastAsia" w:ascii="宋体" w:hAnsi="宋体" w:cs="宋体"/>
          <w:color w:val="auto"/>
          <w:sz w:val="24"/>
          <w:szCs w:val="24"/>
          <w:highlight w:val="none"/>
          <w:lang w:val="en-US" w:eastAsia="zh-CN"/>
        </w:rPr>
        <w:t>算</w:t>
      </w:r>
      <w:r>
        <w:rPr>
          <w:rFonts w:hint="eastAsia" w:ascii="宋体" w:hAnsi="宋体" w:eastAsia="宋体" w:cs="宋体"/>
          <w:color w:val="auto"/>
          <w:sz w:val="24"/>
          <w:szCs w:val="24"/>
          <w:highlight w:val="none"/>
          <w:lang w:val="en-US" w:eastAsia="zh-CN"/>
        </w:rPr>
        <w:t>。</w:t>
      </w:r>
    </w:p>
    <w:p w14:paraId="32F70BC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2.成交供应商根据采购人确认的价格开具合法发票。</w:t>
      </w:r>
    </w:p>
    <w:p w14:paraId="412F31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w:t>
      </w:r>
      <w:r>
        <w:rPr>
          <w:rFonts w:hint="eastAsia" w:ascii="宋体" w:hAnsi="宋体" w:cs="宋体"/>
          <w:color w:val="auto"/>
          <w:sz w:val="24"/>
          <w:szCs w:val="24"/>
          <w:highlight w:val="none"/>
          <w:lang w:val="en-US" w:eastAsia="zh-CN"/>
        </w:rPr>
        <w:t>按时把</w:t>
      </w:r>
      <w:r>
        <w:rPr>
          <w:rFonts w:hint="eastAsia" w:ascii="宋体" w:hAnsi="宋体" w:eastAsia="宋体" w:cs="宋体"/>
          <w:color w:val="auto"/>
          <w:sz w:val="24"/>
          <w:szCs w:val="24"/>
          <w:highlight w:val="none"/>
          <w:lang w:val="en-US" w:eastAsia="zh-CN"/>
        </w:rPr>
        <w:t>实际结算金额</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lang w:val="en-US" w:eastAsia="zh-CN"/>
        </w:rPr>
        <w:t>到成交供应商银行基本帐户。</w:t>
      </w:r>
    </w:p>
    <w:p w14:paraId="5E5D938A">
      <w:pPr>
        <w:pStyle w:val="5"/>
        <w:spacing w:before="120" w:beforeLines="50" w:after="120" w:afterLines="5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五、知识产权</w:t>
      </w:r>
      <w:bookmarkEnd w:id="59"/>
    </w:p>
    <w:p w14:paraId="47C88445">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采购人在中华人民共和国境内使用成交供应商提供的服务时免受第三方提出的侵犯其专利权或其它知识产权的起诉。如果第三方提出侵权指控，成交供应商应承担由此而引起</w:t>
      </w:r>
      <w:r>
        <w:rPr>
          <w:rFonts w:hint="eastAsia" w:ascii="宋体" w:hAnsi="宋体" w:eastAsia="宋体" w:cs="宋体"/>
          <w:b w:val="0"/>
          <w:bCs w:val="0"/>
          <w:color w:val="auto"/>
          <w:sz w:val="24"/>
          <w:szCs w:val="24"/>
          <w:lang w:val="en-US" w:eastAsia="zh-CN"/>
        </w:rPr>
        <w:t>的一切法律责任和费用。</w:t>
      </w:r>
    </w:p>
    <w:p w14:paraId="0519AB2B">
      <w:pPr>
        <w:pStyle w:val="5"/>
        <w:spacing w:before="120" w:beforeLines="50" w:after="120" w:afterLines="50" w:line="240" w:lineRule="auto"/>
        <w:rPr>
          <w:rFonts w:hint="eastAsia" w:ascii="宋体" w:hAnsi="宋体" w:eastAsia="宋体" w:cs="宋体"/>
          <w:sz w:val="24"/>
          <w:szCs w:val="24"/>
          <w:lang w:val="en-US" w:eastAsia="zh-CN"/>
        </w:rPr>
      </w:pPr>
      <w:bookmarkStart w:id="61" w:name="_Toc8510"/>
      <w:r>
        <w:rPr>
          <w:rFonts w:hint="eastAsia" w:ascii="宋体" w:hAnsi="宋体" w:eastAsia="宋体" w:cs="宋体"/>
          <w:sz w:val="24"/>
          <w:szCs w:val="24"/>
          <w:lang w:val="en-US" w:eastAsia="zh-CN"/>
        </w:rPr>
        <w:t>六、其他</w:t>
      </w:r>
      <w:bookmarkEnd w:id="61"/>
    </w:p>
    <w:p w14:paraId="3A7D039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（一）未经采购人同意，成交供应商不得将成交的项目分包、转让给其他单位。否则，采购人可随时取消其成交资格。由此给采购人造成的经济损失均由成交供应商自行全部承担。</w:t>
      </w:r>
    </w:p>
    <w:p w14:paraId="1ECEF43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）其他未尽事宜由供需双方在采购合同中详细约定。</w:t>
      </w:r>
    </w:p>
    <w:p w14:paraId="542907F0">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eastAsia="宋体" w:cs="宋体"/>
          <w:b/>
          <w:bCs/>
          <w:color w:val="auto"/>
          <w:sz w:val="24"/>
          <w:szCs w:val="24"/>
          <w:lang w:val="en-US" w:eastAsia="zh-CN"/>
        </w:rPr>
        <w:t>采购合同签订前，成交供应商需向采购人缴纳履约保证金</w:t>
      </w:r>
      <w:r>
        <w:rPr>
          <w:rFonts w:hint="eastAsia" w:ascii="宋体" w:hAnsi="宋体" w:cs="宋体"/>
          <w:b/>
          <w:bCs/>
          <w:color w:val="auto"/>
          <w:sz w:val="24"/>
          <w:szCs w:val="24"/>
          <w:lang w:val="en-US" w:eastAsia="zh-CN"/>
        </w:rPr>
        <w:t>76</w:t>
      </w:r>
      <w:r>
        <w:rPr>
          <w:rFonts w:hint="eastAsia" w:ascii="宋体" w:hAnsi="宋体" w:eastAsia="宋体" w:cs="宋体"/>
          <w:b/>
          <w:bCs/>
          <w:color w:val="auto"/>
          <w:sz w:val="24"/>
          <w:szCs w:val="24"/>
          <w:lang w:val="en-US" w:eastAsia="zh-CN"/>
        </w:rPr>
        <w:t>00元。履约保证金缴纳账户由采购人提供，服务期满后无息退还（未有违约情况）</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银行账户全称：重庆市大足区财政局，银行账号：2233010120010010998-133001，开户行全称：重庆农村商业银行大足支行。</w:t>
      </w:r>
    </w:p>
    <w:p w14:paraId="106BB28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）考核要求</w:t>
      </w:r>
    </w:p>
    <w:p w14:paraId="72C4B5C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（1）每月按照考核结果支付采购费用，具体计算公式为:每月实际支付金额=每月实际采购额-考核扣除金额。</w:t>
      </w:r>
    </w:p>
    <w:p w14:paraId="6A96F70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（2）成交供应商对扣款项目应立即着手整改，整改完毕由采购人验收合格后不予扣款；验收不合格的，当月按照该扣款金额进行扣减采购费用；3次整改不合格，采购人处以双倍罚款，并有权解除合同。</w:t>
      </w:r>
    </w:p>
    <w:p w14:paraId="43B880F9">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（3）成交供应商工作不负责或达不到合同约定内容和要求，月扣款金额合计超过 5000元，当月采购费用暂不支付，次月扣款合计未超过 5000元，与次月采购费用一并支付;两月扣款金额均超过5000元，两月采购费用暂不支付，第三月扣款金额未超过5000元的，与第三月采购费用一并支付;连续三个月扣款金额均超过 5000 元，采购人有权单方面解除合同，不支付相应月份的采购费用，并要求中标供应商承担相应损失。</w:t>
      </w:r>
    </w:p>
    <w:p w14:paraId="07F7215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1、食堂当日急需食材供货，在双方约定的送货时间未送达的，以迟到1000元/30分钟为一个单位计算，不足30分钟按30分钟计算，以此累计。</w:t>
      </w:r>
    </w:p>
    <w:p w14:paraId="17AF82A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2、供货商配送的食材出现质量问题，发现1 起，扣 1000 元。</w:t>
      </w:r>
    </w:p>
    <w:p w14:paraId="64356834">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3、外包装不完整、生产日期、保质期、生产厂家和 QS 标识不齐全清晰的，发现1起扣1000元。</w:t>
      </w:r>
    </w:p>
    <w:p w14:paraId="6CE3E01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4、采购人对供货商食材不定期进行送检，产品不合格的，发现1起扣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000元。</w:t>
      </w:r>
    </w:p>
    <w:p w14:paraId="68B392D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5、发生经第三方具备国家资质机构确认的因食材质量导致的人员中毒事件，除必须承担其相应的医疗费用外，同时解除双方合约关系，同时按相关法律法规承担相应的责任。</w:t>
      </w:r>
    </w:p>
    <w:p w14:paraId="7F64A3F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（4）考评细则</w:t>
      </w:r>
    </w:p>
    <w:p w14:paraId="327D2237">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1.以月为单位进行考核，考核基准分为100分，95分（含95分）以上为“合格”等级（小数点后数字四舍五入,下同）；</w:t>
      </w:r>
    </w:p>
    <w:p w14:paraId="7EB0FC4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2.达到90分（含90分）以上且低于95分（不含95分）的为“基本合格”等级；</w:t>
      </w:r>
    </w:p>
    <w:p w14:paraId="0E9C180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3.达到85分（含85分）以上且低于90分（不含90分）的为“较差”等级，以90分为基准分值，每差1分从当月结算款中直接扣除1000元；</w:t>
      </w:r>
    </w:p>
    <w:p w14:paraId="175A62A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4.低于85分（不含85分）为“差”等级，以90分为基准分值，每差1分从当月结算款项中直接扣除1000元；</w:t>
      </w:r>
    </w:p>
    <w:p w14:paraId="0D69D06A">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5.一年内累计三次单月考核得分低于85分（不含85分），采购人有权终止合同，并扣除履约保证金。</w:t>
      </w:r>
    </w:p>
    <w:p w14:paraId="426C6E35">
      <w:pPr>
        <w:snapToGrid w:val="0"/>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具体考核细则如下：</w:t>
      </w:r>
    </w:p>
    <w:tbl>
      <w:tblPr>
        <w:tblStyle w:val="6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68"/>
        <w:gridCol w:w="6722"/>
      </w:tblGrid>
      <w:tr w14:paraId="70B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37" w:type="pct"/>
            <w:tcBorders>
              <w:tl2br w:val="nil"/>
              <w:tr2bl w:val="nil"/>
            </w:tcBorders>
            <w:noWrap w:val="0"/>
            <w:vAlign w:val="center"/>
          </w:tcPr>
          <w:p w14:paraId="0836DB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867" w:type="pct"/>
            <w:tcBorders>
              <w:tl2br w:val="nil"/>
              <w:tr2bl w:val="nil"/>
            </w:tcBorders>
            <w:noWrap w:val="0"/>
            <w:vAlign w:val="center"/>
          </w:tcPr>
          <w:p w14:paraId="23C481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考核指标</w:t>
            </w:r>
          </w:p>
        </w:tc>
        <w:tc>
          <w:tcPr>
            <w:tcW w:w="3494" w:type="pct"/>
            <w:tcBorders>
              <w:tl2br w:val="nil"/>
              <w:tr2bl w:val="nil"/>
            </w:tcBorders>
            <w:noWrap w:val="0"/>
            <w:vAlign w:val="center"/>
          </w:tcPr>
          <w:p w14:paraId="6BBC7F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考核说明</w:t>
            </w:r>
          </w:p>
        </w:tc>
      </w:tr>
      <w:tr w14:paraId="24C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37" w:type="pct"/>
            <w:vMerge w:val="restart"/>
            <w:tcBorders>
              <w:tl2br w:val="nil"/>
              <w:tr2bl w:val="nil"/>
            </w:tcBorders>
            <w:noWrap w:val="0"/>
            <w:vAlign w:val="center"/>
          </w:tcPr>
          <w:p w14:paraId="5F52FA9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货物质量</w:t>
            </w:r>
          </w:p>
        </w:tc>
        <w:tc>
          <w:tcPr>
            <w:tcW w:w="867" w:type="pct"/>
            <w:tcBorders>
              <w:tl2br w:val="nil"/>
              <w:tr2bl w:val="nil"/>
            </w:tcBorders>
            <w:noWrap w:val="0"/>
            <w:vAlign w:val="center"/>
          </w:tcPr>
          <w:p w14:paraId="78F4D0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配送货物质量合格</w:t>
            </w:r>
          </w:p>
        </w:tc>
        <w:tc>
          <w:tcPr>
            <w:tcW w:w="3494" w:type="pct"/>
            <w:tcBorders>
              <w:tl2br w:val="nil"/>
              <w:tr2bl w:val="nil"/>
            </w:tcBorders>
            <w:noWrap w:val="0"/>
            <w:vAlign w:val="center"/>
          </w:tcPr>
          <w:p w14:paraId="6133CB7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出现货物腐烂变质，霉变等质量问题的，每个单品一次扣5分并做退货处理；出现其他质量问题的，每个单品一次扣1分，出现以次充好、夹带的，每个单品一次扣2分。</w:t>
            </w:r>
          </w:p>
        </w:tc>
      </w:tr>
      <w:tr w14:paraId="74A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7" w:type="pct"/>
            <w:vMerge w:val="continue"/>
            <w:tcBorders>
              <w:tl2br w:val="nil"/>
              <w:tr2bl w:val="nil"/>
            </w:tcBorders>
            <w:noWrap w:val="0"/>
            <w:vAlign w:val="center"/>
          </w:tcPr>
          <w:p w14:paraId="73C891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44E598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配送品种、品牌、规格、品质、含水（冰）量等符合约定标准的货物</w:t>
            </w:r>
          </w:p>
        </w:tc>
        <w:tc>
          <w:tcPr>
            <w:tcW w:w="3494" w:type="pct"/>
            <w:tcBorders>
              <w:tl2br w:val="nil"/>
              <w:tr2bl w:val="nil"/>
            </w:tcBorders>
            <w:noWrap w:val="0"/>
            <w:vAlign w:val="center"/>
          </w:tcPr>
          <w:p w14:paraId="238ED6B0">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经同意不得随意更换货物的品牌、品种、规格、型号等，随意更换的，每个单品一次扣2分并做退货处理；冻品按照约定要求无冰或少冰，如超过约定含冰量的，每个单品一次扣2分并做退货处理；成交供应商以无货品、无利润为由，拒绝配送货物的，每个单品一次扣3分。</w:t>
            </w:r>
          </w:p>
        </w:tc>
      </w:tr>
      <w:tr w14:paraId="739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37" w:type="pct"/>
            <w:vMerge w:val="continue"/>
            <w:tcBorders>
              <w:tl2br w:val="nil"/>
              <w:tr2bl w:val="nil"/>
            </w:tcBorders>
            <w:noWrap w:val="0"/>
            <w:vAlign w:val="center"/>
          </w:tcPr>
          <w:p w14:paraId="6BB8485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3B6824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配送数量浮动标准</w:t>
            </w:r>
          </w:p>
        </w:tc>
        <w:tc>
          <w:tcPr>
            <w:tcW w:w="3494" w:type="pct"/>
            <w:tcBorders>
              <w:tl2br w:val="nil"/>
              <w:tr2bl w:val="nil"/>
            </w:tcBorders>
            <w:noWrap w:val="0"/>
            <w:vAlign w:val="center"/>
          </w:tcPr>
          <w:p w14:paraId="65CB60D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一般货物实际供应量在计划数量基础上，上下浮动不得超过±5%，如超过相应比例视作违规配送，每个单品一次扣1分（特殊情况经采购人同意的除外）。</w:t>
            </w:r>
          </w:p>
        </w:tc>
      </w:tr>
      <w:tr w14:paraId="0CB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37" w:type="pct"/>
            <w:vMerge w:val="restart"/>
            <w:tcBorders>
              <w:tl2br w:val="nil"/>
              <w:tr2bl w:val="nil"/>
            </w:tcBorders>
            <w:noWrap w:val="0"/>
            <w:vAlign w:val="center"/>
          </w:tcPr>
          <w:p w14:paraId="5158EB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tc>
        <w:tc>
          <w:tcPr>
            <w:tcW w:w="867" w:type="pct"/>
            <w:tcBorders>
              <w:tl2br w:val="nil"/>
              <w:tr2bl w:val="nil"/>
            </w:tcBorders>
            <w:noWrap w:val="0"/>
            <w:vAlign w:val="center"/>
          </w:tcPr>
          <w:p w14:paraId="4B88B03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配送时间</w:t>
            </w:r>
          </w:p>
        </w:tc>
        <w:tc>
          <w:tcPr>
            <w:tcW w:w="3494" w:type="pct"/>
            <w:tcBorders>
              <w:tl2br w:val="nil"/>
              <w:tr2bl w:val="nil"/>
            </w:tcBorders>
            <w:noWrap w:val="0"/>
            <w:vAlign w:val="center"/>
          </w:tcPr>
          <w:p w14:paraId="69CFF14D">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所需物资须于当日早上6：00时前送达，应急采购任务（突发事件保障）必须按照约定时间送达，迟到30分钟内，每次扣1分；迟到30分钟以上每次扣2分；影响开餐的（含因时间关系更换菜品、改变制作方式、延误开餐等情况）一次扣3分。</w:t>
            </w:r>
          </w:p>
        </w:tc>
      </w:tr>
      <w:tr w14:paraId="4E0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37" w:type="pct"/>
            <w:vMerge w:val="continue"/>
            <w:tcBorders>
              <w:tl2br w:val="nil"/>
              <w:tr2bl w:val="nil"/>
            </w:tcBorders>
            <w:noWrap w:val="0"/>
            <w:vAlign w:val="center"/>
          </w:tcPr>
          <w:p w14:paraId="1553908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25BF16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漏送货情况，退换、补货情况</w:t>
            </w:r>
          </w:p>
        </w:tc>
        <w:tc>
          <w:tcPr>
            <w:tcW w:w="3494" w:type="pct"/>
            <w:tcBorders>
              <w:tl2br w:val="nil"/>
              <w:tr2bl w:val="nil"/>
            </w:tcBorders>
            <w:noWrap w:val="0"/>
            <w:vAlign w:val="center"/>
          </w:tcPr>
          <w:p w14:paraId="0AB04352">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62F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37" w:type="pct"/>
            <w:tcBorders>
              <w:tl2br w:val="nil"/>
              <w:tr2bl w:val="nil"/>
            </w:tcBorders>
            <w:noWrap w:val="0"/>
            <w:vAlign w:val="center"/>
          </w:tcPr>
          <w:p w14:paraId="53DDA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人员管理</w:t>
            </w:r>
          </w:p>
        </w:tc>
        <w:tc>
          <w:tcPr>
            <w:tcW w:w="867" w:type="pct"/>
            <w:tcBorders>
              <w:tl2br w:val="nil"/>
              <w:tr2bl w:val="nil"/>
            </w:tcBorders>
            <w:noWrap w:val="0"/>
            <w:vAlign w:val="center"/>
          </w:tcPr>
          <w:p w14:paraId="04566B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员工健康、个人卫生管理。</w:t>
            </w:r>
          </w:p>
        </w:tc>
        <w:tc>
          <w:tcPr>
            <w:tcW w:w="3494" w:type="pct"/>
            <w:tcBorders>
              <w:tl2br w:val="nil"/>
              <w:tr2bl w:val="nil"/>
            </w:tcBorders>
            <w:noWrap w:val="0"/>
            <w:vAlign w:val="center"/>
          </w:tcPr>
          <w:p w14:paraId="76F41B55">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员工需衣着整洁，个人清洁卫生干净，不符合要求一次扣1分；抽检配送员工的《健康证》，如没有的一人次扣2分，并劝离工作岗位。</w:t>
            </w:r>
          </w:p>
        </w:tc>
      </w:tr>
      <w:tr w14:paraId="17C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7" w:type="pct"/>
            <w:vMerge w:val="restart"/>
            <w:tcBorders>
              <w:tl2br w:val="nil"/>
              <w:tr2bl w:val="nil"/>
            </w:tcBorders>
            <w:noWrap w:val="0"/>
            <w:vAlign w:val="center"/>
          </w:tcPr>
          <w:p w14:paraId="17FB51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867" w:type="pct"/>
            <w:tcBorders>
              <w:tl2br w:val="nil"/>
              <w:tr2bl w:val="nil"/>
            </w:tcBorders>
            <w:noWrap w:val="0"/>
            <w:vAlign w:val="center"/>
          </w:tcPr>
          <w:p w14:paraId="7A6A64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4BBE147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未按合同约定完成应急保障任务，每次扣10分。</w:t>
            </w:r>
          </w:p>
        </w:tc>
      </w:tr>
      <w:tr w14:paraId="4B6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37" w:type="pct"/>
            <w:vMerge w:val="continue"/>
            <w:tcBorders>
              <w:tl2br w:val="nil"/>
              <w:tr2bl w:val="nil"/>
            </w:tcBorders>
            <w:noWrap w:val="0"/>
            <w:vAlign w:val="center"/>
          </w:tcPr>
          <w:p w14:paraId="7181E4C9">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0D147E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配送物资</w:t>
            </w:r>
          </w:p>
        </w:tc>
        <w:tc>
          <w:tcPr>
            <w:tcW w:w="3494" w:type="pct"/>
            <w:tcBorders>
              <w:tl2br w:val="nil"/>
              <w:tr2bl w:val="nil"/>
            </w:tcBorders>
            <w:noWrap w:val="0"/>
            <w:vAlign w:val="center"/>
          </w:tcPr>
          <w:p w14:paraId="41BDEC5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性物资，急需物资按采购人要求在约定时间内采购到位，每个单品逾期一天扣2分，最多扣10分；特殊保障物资必须在规定时间内采购到位，如延误，每个单品一次扣2分。采购人提供配送物资样品的或指定采购地点的，配送商须按要求采购，未按要求采购的，一次扣2分。大型商超以外的货物，所报价格不得虚高（偏离市场价20%以上），虚假报价一经查实，每查实一个单品扣1分。</w:t>
            </w:r>
          </w:p>
        </w:tc>
      </w:tr>
      <w:tr w14:paraId="60F4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7" w:type="pct"/>
            <w:vMerge w:val="continue"/>
            <w:tcBorders>
              <w:tl2br w:val="nil"/>
              <w:tr2bl w:val="nil"/>
            </w:tcBorders>
            <w:noWrap w:val="0"/>
            <w:vAlign w:val="center"/>
          </w:tcPr>
          <w:p w14:paraId="525332D5">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6CB9609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履行合同约定情况</w:t>
            </w:r>
          </w:p>
        </w:tc>
        <w:tc>
          <w:tcPr>
            <w:tcW w:w="3494" w:type="pct"/>
            <w:tcBorders>
              <w:tl2br w:val="nil"/>
              <w:tr2bl w:val="nil"/>
            </w:tcBorders>
            <w:noWrap w:val="0"/>
            <w:vAlign w:val="center"/>
          </w:tcPr>
          <w:p w14:paraId="0EE36CD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合同、招标文件、供应商承诺书等约定或承诺的相关事项，未完成一项每次扣2分。</w:t>
            </w:r>
          </w:p>
        </w:tc>
      </w:tr>
      <w:tr w14:paraId="2730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7" w:type="pct"/>
            <w:vMerge w:val="continue"/>
            <w:tcBorders>
              <w:tl2br w:val="nil"/>
              <w:tr2bl w:val="nil"/>
            </w:tcBorders>
            <w:noWrap w:val="0"/>
            <w:vAlign w:val="center"/>
          </w:tcPr>
          <w:p w14:paraId="732CD12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1AF6C157">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3494" w:type="pct"/>
            <w:tcBorders>
              <w:tl2br w:val="nil"/>
              <w:tr2bl w:val="nil"/>
            </w:tcBorders>
            <w:noWrap w:val="0"/>
            <w:vAlign w:val="center"/>
          </w:tcPr>
          <w:p w14:paraId="03F5CE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违反采购人管理规定被通报一次扣5分；造成恶劣影响一次扣20分。</w:t>
            </w:r>
          </w:p>
        </w:tc>
      </w:tr>
      <w:tr w14:paraId="2E77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37" w:type="pct"/>
            <w:tcBorders>
              <w:tl2br w:val="nil"/>
              <w:tr2bl w:val="nil"/>
            </w:tcBorders>
            <w:noWrap w:val="0"/>
            <w:vAlign w:val="center"/>
          </w:tcPr>
          <w:p w14:paraId="66D1A6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加分项目</w:t>
            </w:r>
          </w:p>
        </w:tc>
        <w:tc>
          <w:tcPr>
            <w:tcW w:w="867" w:type="pct"/>
            <w:tcBorders>
              <w:tl2br w:val="nil"/>
              <w:tr2bl w:val="nil"/>
            </w:tcBorders>
            <w:noWrap w:val="0"/>
            <w:vAlign w:val="center"/>
          </w:tcPr>
          <w:p w14:paraId="6837EE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10EC1541">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顺利完成1小时内的应急保障任务，每次加4分；顺利完成2小时以内应急保障任务，每次加2分；顺利完成综合（大型）保障任务每次加4分。</w:t>
            </w:r>
          </w:p>
        </w:tc>
      </w:tr>
    </w:tbl>
    <w:p w14:paraId="00A47C4C">
      <w:pPr>
        <w:pStyle w:val="3"/>
        <w:rPr>
          <w:rFonts w:hint="eastAsia"/>
          <w:lang w:val="en-US" w:eastAsia="zh-CN"/>
        </w:rPr>
      </w:pPr>
      <w:r>
        <w:rPr>
          <w:rFonts w:hint="eastAsia" w:ascii="宋体" w:hAnsi="宋体" w:eastAsia="宋体" w:cs="宋体"/>
          <w:b/>
          <w:bCs/>
          <w:color w:val="auto"/>
          <w:sz w:val="32"/>
          <w:szCs w:val="32"/>
          <w:highlight w:val="none"/>
        </w:rPr>
        <w:br w:type="page"/>
      </w:r>
    </w:p>
    <w:p w14:paraId="555423C5">
      <w:pPr>
        <w:pStyle w:val="4"/>
        <w:spacing w:before="0" w:after="0" w:line="360" w:lineRule="auto"/>
        <w:jc w:val="center"/>
        <w:rPr>
          <w:rFonts w:hint="eastAsia" w:ascii="宋体" w:hAnsi="宋体" w:eastAsia="宋体" w:cs="宋体"/>
          <w:b w:val="0"/>
          <w:sz w:val="36"/>
          <w:szCs w:val="30"/>
        </w:rPr>
      </w:pPr>
      <w:bookmarkStart w:id="62" w:name="_Toc8381"/>
      <w:r>
        <w:rPr>
          <w:rFonts w:hint="eastAsia" w:ascii="宋体" w:hAnsi="宋体" w:eastAsia="宋体" w:cs="宋体"/>
          <w:b w:val="0"/>
          <w:sz w:val="36"/>
          <w:szCs w:val="30"/>
        </w:rPr>
        <w:t>第四篇  磋商程序及方法、评审标准、无效响应和采购终止</w:t>
      </w:r>
      <w:bookmarkEnd w:id="62"/>
    </w:p>
    <w:p w14:paraId="68DF635C">
      <w:pPr>
        <w:pStyle w:val="5"/>
        <w:spacing w:before="0" w:after="0" w:line="440" w:lineRule="exact"/>
        <w:rPr>
          <w:rFonts w:hint="eastAsia" w:ascii="宋体" w:hAnsi="宋体" w:eastAsia="宋体" w:cs="宋体"/>
          <w:sz w:val="24"/>
          <w:szCs w:val="24"/>
        </w:rPr>
      </w:pPr>
      <w:bookmarkStart w:id="63" w:name="_Toc11865"/>
      <w:r>
        <w:rPr>
          <w:rFonts w:hint="eastAsia" w:ascii="宋体" w:hAnsi="宋体" w:eastAsia="宋体" w:cs="宋体"/>
          <w:sz w:val="24"/>
          <w:szCs w:val="24"/>
        </w:rPr>
        <w:t>一、磋商程序及方法</w:t>
      </w:r>
      <w:bookmarkEnd w:id="63"/>
    </w:p>
    <w:p w14:paraId="3E18F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F8F5A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3555769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7"/>
        <w:gridCol w:w="3566"/>
      </w:tblGrid>
      <w:tr w14:paraId="3C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Align w:val="center"/>
          </w:tcPr>
          <w:p w14:paraId="6ABB44C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5386" w:type="dxa"/>
            <w:gridSpan w:val="2"/>
            <w:vAlign w:val="center"/>
          </w:tcPr>
          <w:p w14:paraId="41B45DC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3566" w:type="dxa"/>
            <w:vAlign w:val="center"/>
          </w:tcPr>
          <w:p w14:paraId="7E7822D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650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BDBE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09" w:type="dxa"/>
            <w:vMerge w:val="restart"/>
            <w:vAlign w:val="center"/>
          </w:tcPr>
          <w:p w14:paraId="591B900A">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应符合的基本资格条件</w:t>
            </w:r>
          </w:p>
        </w:tc>
        <w:tc>
          <w:tcPr>
            <w:tcW w:w="4677" w:type="dxa"/>
            <w:vAlign w:val="center"/>
          </w:tcPr>
          <w:p w14:paraId="5DE5798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3566" w:type="dxa"/>
            <w:vAlign w:val="center"/>
          </w:tcPr>
          <w:p w14:paraId="5E4C5DB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olor w:val="auto"/>
                <w:sz w:val="21"/>
                <w:szCs w:val="21"/>
              </w:rPr>
              <w:t>供应商法人营业执照（副本）或事业单位法人证书（副本）；供应商法定代表人身份证明和法定代表人授权代表委托书。</w:t>
            </w:r>
          </w:p>
        </w:tc>
      </w:tr>
      <w:tr w14:paraId="607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7D8806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492C6D38">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77F0474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3566" w:type="dxa"/>
            <w:vMerge w:val="restart"/>
            <w:vAlign w:val="center"/>
          </w:tcPr>
          <w:p w14:paraId="5184BC5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供应商提供</w:t>
            </w:r>
            <w:r>
              <w:rPr>
                <w:rFonts w:hint="eastAsia" w:ascii="宋体" w:hAnsi="宋体" w:cs="宋体"/>
                <w:sz w:val="21"/>
                <w:szCs w:val="21"/>
                <w:lang w:val="en-US" w:eastAsia="zh-CN"/>
              </w:rPr>
              <w:t>承诺函</w:t>
            </w:r>
            <w:r>
              <w:rPr>
                <w:rFonts w:hint="eastAsia" w:ascii="宋体" w:hAnsi="宋体" w:eastAsia="宋体" w:cs="宋体"/>
                <w:sz w:val="21"/>
                <w:szCs w:val="21"/>
              </w:rPr>
              <w:t>（见格式文件）</w:t>
            </w:r>
          </w:p>
        </w:tc>
      </w:tr>
      <w:tr w14:paraId="478B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Merge w:val="continue"/>
            <w:vAlign w:val="center"/>
          </w:tcPr>
          <w:p w14:paraId="3A374F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0F5BB2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35C415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3566" w:type="dxa"/>
            <w:vMerge w:val="continue"/>
            <w:vAlign w:val="center"/>
          </w:tcPr>
          <w:p w14:paraId="4AFF34C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23C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Merge w:val="continue"/>
            <w:vAlign w:val="center"/>
          </w:tcPr>
          <w:p w14:paraId="7FE773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112081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52D0D36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（4）有依法缴纳税收</w:t>
            </w:r>
            <w:r>
              <w:rPr>
                <w:rFonts w:hint="eastAsia" w:ascii="宋体" w:hAnsi="宋体" w:cs="宋体"/>
                <w:sz w:val="21"/>
                <w:szCs w:val="21"/>
                <w:lang w:val="en-US" w:eastAsia="zh-CN"/>
              </w:rPr>
              <w:t>或</w:t>
            </w:r>
            <w:r>
              <w:rPr>
                <w:rFonts w:hint="eastAsia" w:ascii="宋体" w:hAnsi="宋体" w:eastAsia="宋体" w:cs="宋体"/>
                <w:sz w:val="21"/>
                <w:szCs w:val="21"/>
                <w:lang w:val="zh-CN"/>
              </w:rPr>
              <w:t>社会保障金的良好记录</w:t>
            </w:r>
          </w:p>
        </w:tc>
        <w:tc>
          <w:tcPr>
            <w:tcW w:w="3566" w:type="dxa"/>
            <w:vMerge w:val="continue"/>
            <w:vAlign w:val="center"/>
          </w:tcPr>
          <w:p w14:paraId="7F4C339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533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6" w:type="dxa"/>
            <w:vMerge w:val="continue"/>
            <w:vAlign w:val="center"/>
          </w:tcPr>
          <w:p w14:paraId="23E503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3ECED76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5FA254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）参加政府采购活动前三年内，在经营活动中没有重大违法记录</w:t>
            </w:r>
          </w:p>
        </w:tc>
        <w:tc>
          <w:tcPr>
            <w:tcW w:w="3566" w:type="dxa"/>
            <w:vMerge w:val="continue"/>
            <w:vAlign w:val="center"/>
          </w:tcPr>
          <w:p w14:paraId="057838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E32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Merge w:val="continue"/>
            <w:vAlign w:val="center"/>
          </w:tcPr>
          <w:p w14:paraId="35595C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6615E3BB">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6A7D073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）法律、行政法规规定的其他条件</w:t>
            </w:r>
          </w:p>
        </w:tc>
        <w:tc>
          <w:tcPr>
            <w:tcW w:w="3566" w:type="dxa"/>
            <w:vMerge w:val="continue"/>
            <w:vAlign w:val="center"/>
          </w:tcPr>
          <w:p w14:paraId="320778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22E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Align w:val="center"/>
          </w:tcPr>
          <w:p w14:paraId="3DB7655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386" w:type="dxa"/>
            <w:gridSpan w:val="2"/>
            <w:vAlign w:val="center"/>
          </w:tcPr>
          <w:p w14:paraId="024F6D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auto"/>
                <w:sz w:val="22"/>
                <w:szCs w:val="22"/>
                <w:highlight w:val="none"/>
                <w:lang w:val="en-US" w:eastAsia="zh-CN"/>
              </w:rPr>
              <w:t>本项目规定的特定资格条件</w:t>
            </w:r>
          </w:p>
        </w:tc>
        <w:tc>
          <w:tcPr>
            <w:tcW w:w="3566" w:type="dxa"/>
            <w:vAlign w:val="center"/>
          </w:tcPr>
          <w:p w14:paraId="742CCB7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按第一篇“三、供应商资格</w:t>
            </w:r>
            <w:r>
              <w:rPr>
                <w:rFonts w:hint="eastAsia" w:ascii="宋体" w:hAnsi="宋体" w:eastAsia="宋体" w:cs="宋体"/>
                <w:sz w:val="21"/>
                <w:szCs w:val="21"/>
                <w:lang w:val="en-US" w:eastAsia="zh-CN"/>
              </w:rPr>
              <w:t>条件</w:t>
            </w:r>
            <w:r>
              <w:rPr>
                <w:rFonts w:hint="eastAsia" w:ascii="宋体" w:hAnsi="宋体" w:eastAsia="宋体" w:cs="宋体"/>
                <w:sz w:val="21"/>
                <w:szCs w:val="21"/>
              </w:rPr>
              <w:t>（二）特定资格条件”的要求提交证明材料复印件加盖供应商公章。</w:t>
            </w:r>
          </w:p>
        </w:tc>
      </w:tr>
    </w:tbl>
    <w:p w14:paraId="215F65E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72D895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0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0524A08">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1ADA137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63853A16">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608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47C79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71F6DF2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23CA7A10">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41A2595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5F2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B39D5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E22E131">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6685C8C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0C76A39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516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5" w:type="dxa"/>
            <w:vMerge w:val="continue"/>
            <w:vAlign w:val="center"/>
          </w:tcPr>
          <w:p w14:paraId="251C4B9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7DC4E9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3C57587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46D4F33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79F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2E8AEA8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0959F66">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27DA39F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0CB8618">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3417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E0E0B9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14:paraId="3A3DA7DB">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6B081719">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6F020CE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7DEB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667E76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2DCBCE16">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2A05A5C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4417A234">
            <w:pPr>
              <w:pStyle w:val="33"/>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对竞争性磋商文件第二篇</w:t>
            </w:r>
            <w:r>
              <w:rPr>
                <w:rFonts w:hint="eastAsia" w:ascii="宋体" w:hAnsi="宋体" w:cs="宋体"/>
                <w:kern w:val="0"/>
                <w:sz w:val="21"/>
                <w:szCs w:val="21"/>
                <w:lang w:val="en-US" w:eastAsia="zh-CN"/>
              </w:rPr>
              <w:t>、</w:t>
            </w:r>
            <w:r>
              <w:rPr>
                <w:rFonts w:hint="eastAsia" w:ascii="宋体" w:hAnsi="宋体"/>
                <w:sz w:val="21"/>
                <w:szCs w:val="21"/>
              </w:rPr>
              <w:t>第三篇</w:t>
            </w:r>
            <w:r>
              <w:rPr>
                <w:rFonts w:hint="eastAsia" w:ascii="宋体" w:hAnsi="宋体" w:eastAsia="宋体" w:cs="宋体"/>
                <w:kern w:val="0"/>
                <w:sz w:val="21"/>
                <w:szCs w:val="21"/>
                <w:lang w:val="en-US" w:eastAsia="zh-CN"/>
              </w:rPr>
              <w:t>规定的磋商内容作出响应。</w:t>
            </w:r>
          </w:p>
        </w:tc>
      </w:tr>
      <w:tr w14:paraId="264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53593D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5BF3CA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1984" w:type="dxa"/>
            <w:vAlign w:val="center"/>
          </w:tcPr>
          <w:p w14:paraId="161BDA5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2F71412F">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2BDD18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6FF0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9640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1E0217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41CF2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572439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综合评分法，是指响应文件满足竞争性磋商文件全部实质性要求且按照评审因素的量化指标评审得分由高到低顺序推荐3名以上</w:t>
      </w:r>
      <w:r>
        <w:rPr>
          <w:rFonts w:hint="eastAsia" w:ascii="宋体" w:hAnsi="宋体" w:cs="宋体"/>
          <w:kern w:val="0"/>
          <w:sz w:val="24"/>
          <w:szCs w:val="24"/>
          <w:lang w:val="en-US" w:eastAsia="zh-CN"/>
        </w:rPr>
        <w:t>成交</w:t>
      </w:r>
      <w:r>
        <w:rPr>
          <w:rFonts w:hint="eastAsia" w:ascii="宋体" w:hAnsi="宋体" w:eastAsia="宋体" w:cs="宋体"/>
          <w:kern w:val="0"/>
          <w:sz w:val="24"/>
          <w:szCs w:val="24"/>
        </w:rPr>
        <w:t>候选人。供应商总得分为价格、</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、商务等评定因素分别按照相应权重值计算分项得分后相加，满分为100分</w:t>
      </w:r>
      <w:r>
        <w:rPr>
          <w:rFonts w:hint="eastAsia" w:ascii="宋体" w:hAnsi="宋体" w:eastAsia="宋体" w:cs="宋体"/>
          <w:sz w:val="24"/>
          <w:szCs w:val="24"/>
        </w:rPr>
        <w:t>。</w:t>
      </w:r>
    </w:p>
    <w:p w14:paraId="6D260F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w:t>
      </w:r>
      <w:r>
        <w:rPr>
          <w:rFonts w:hint="eastAsia" w:ascii="宋体" w:hAnsi="宋体" w:cs="宋体"/>
          <w:sz w:val="24"/>
          <w:szCs w:val="24"/>
          <w:lang w:val="en-US" w:eastAsia="zh-CN"/>
        </w:rPr>
        <w:t>成交</w:t>
      </w:r>
      <w:r>
        <w:rPr>
          <w:rFonts w:hint="eastAsia" w:ascii="宋体" w:hAnsi="宋体" w:eastAsia="宋体" w:cs="宋体"/>
          <w:sz w:val="24"/>
          <w:szCs w:val="24"/>
        </w:rPr>
        <w:t>候选供应商，并编写评审报告。若供应商的评审得分相同的，按照最后报价由低到高的顺序排列推荐。评审得分且最后报价相同的，按照服务指标优劣顺序排列推荐。以上都相同的，按商务条款的优劣顺序排列推荐。若供应商的</w:t>
      </w:r>
      <w:r>
        <w:rPr>
          <w:rFonts w:hint="eastAsia" w:ascii="宋体" w:hAnsi="宋体" w:cs="宋体"/>
          <w:sz w:val="24"/>
          <w:szCs w:val="24"/>
          <w:lang w:val="en-US" w:eastAsia="zh-CN"/>
        </w:rPr>
        <w:t>服务</w:t>
      </w:r>
      <w:r>
        <w:rPr>
          <w:rFonts w:hint="eastAsia" w:ascii="宋体" w:hAnsi="宋体" w:eastAsia="宋体" w:cs="宋体"/>
          <w:sz w:val="24"/>
          <w:szCs w:val="24"/>
        </w:rPr>
        <w:t>部分为0分，将失去成为</w:t>
      </w:r>
      <w:r>
        <w:rPr>
          <w:rFonts w:hint="eastAsia" w:ascii="宋体" w:hAnsi="宋体" w:cs="宋体"/>
          <w:sz w:val="24"/>
          <w:szCs w:val="24"/>
          <w:lang w:val="en-US" w:eastAsia="zh-CN"/>
        </w:rPr>
        <w:t>成交</w:t>
      </w:r>
      <w:r>
        <w:rPr>
          <w:rFonts w:hint="eastAsia" w:ascii="宋体" w:hAnsi="宋体" w:eastAsia="宋体" w:cs="宋体"/>
          <w:sz w:val="24"/>
          <w:szCs w:val="24"/>
        </w:rPr>
        <w:t>候选供应商的资格。</w:t>
      </w:r>
    </w:p>
    <w:p w14:paraId="0E2BDF76">
      <w:pPr>
        <w:pStyle w:val="5"/>
        <w:spacing w:before="0" w:after="0" w:line="440" w:lineRule="exact"/>
        <w:rPr>
          <w:rFonts w:hint="eastAsia" w:ascii="宋体" w:hAnsi="宋体" w:eastAsia="宋体" w:cs="宋体"/>
          <w:sz w:val="24"/>
          <w:szCs w:val="24"/>
        </w:rPr>
      </w:pPr>
      <w:bookmarkStart w:id="64" w:name="_Toc4012"/>
      <w:bookmarkStart w:id="65" w:name="_Toc342913394"/>
      <w:bookmarkStart w:id="66" w:name="_Toc102227320"/>
      <w:r>
        <w:rPr>
          <w:rFonts w:hint="eastAsia" w:ascii="宋体" w:hAnsi="宋体" w:eastAsia="宋体" w:cs="宋体"/>
          <w:b/>
          <w:bCs/>
          <w:color w:val="auto"/>
          <w:kern w:val="2"/>
          <w:sz w:val="24"/>
          <w:szCs w:val="24"/>
          <w:lang w:val="en-US" w:eastAsia="zh-CN" w:bidi="ar-SA"/>
        </w:rPr>
        <w:t>二、评审标准</w:t>
      </w:r>
      <w:bookmarkEnd w:id="64"/>
    </w:p>
    <w:tbl>
      <w:tblPr>
        <w:tblStyle w:val="61"/>
        <w:tblW w:w="9868" w:type="dxa"/>
        <w:jc w:val="center"/>
        <w:tblLayout w:type="fixed"/>
        <w:tblCellMar>
          <w:top w:w="15" w:type="dxa"/>
          <w:left w:w="15" w:type="dxa"/>
          <w:bottom w:w="15" w:type="dxa"/>
          <w:right w:w="15" w:type="dxa"/>
        </w:tblCellMar>
      </w:tblPr>
      <w:tblGrid>
        <w:gridCol w:w="581"/>
        <w:gridCol w:w="1032"/>
        <w:gridCol w:w="629"/>
        <w:gridCol w:w="4918"/>
        <w:gridCol w:w="2708"/>
      </w:tblGrid>
      <w:tr w14:paraId="0D5039D7">
        <w:tblPrEx>
          <w:tblCellMar>
            <w:top w:w="15" w:type="dxa"/>
            <w:left w:w="15" w:type="dxa"/>
            <w:bottom w:w="15" w:type="dxa"/>
            <w:right w:w="15" w:type="dxa"/>
          </w:tblCellMar>
        </w:tblPrEx>
        <w:trPr>
          <w:trHeight w:val="610" w:hRule="atLeast"/>
          <w:tblHeader/>
          <w:jc w:val="center"/>
        </w:trPr>
        <w:tc>
          <w:tcPr>
            <w:tcW w:w="581" w:type="dxa"/>
            <w:tcBorders>
              <w:top w:val="single" w:color="000000" w:sz="4" w:space="0"/>
              <w:left w:val="single" w:color="000000" w:sz="4" w:space="0"/>
              <w:bottom w:val="single" w:color="000000" w:sz="4" w:space="0"/>
              <w:right w:val="single" w:color="000000" w:sz="4" w:space="0"/>
            </w:tcBorders>
            <w:vAlign w:val="center"/>
          </w:tcPr>
          <w:p w14:paraId="707AA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14:paraId="3ABC0C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629" w:type="dxa"/>
            <w:tcBorders>
              <w:top w:val="single" w:color="000000" w:sz="4" w:space="0"/>
              <w:left w:val="single" w:color="000000" w:sz="4" w:space="0"/>
              <w:bottom w:val="single" w:color="000000" w:sz="4" w:space="0"/>
              <w:right w:val="single" w:color="000000" w:sz="4" w:space="0"/>
            </w:tcBorders>
            <w:vAlign w:val="center"/>
          </w:tcPr>
          <w:p w14:paraId="26FDF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918" w:type="dxa"/>
            <w:tcBorders>
              <w:top w:val="single" w:color="000000" w:sz="4" w:space="0"/>
              <w:left w:val="single" w:color="000000" w:sz="4" w:space="0"/>
              <w:bottom w:val="single" w:color="000000" w:sz="4" w:space="0"/>
              <w:right w:val="single" w:color="000000" w:sz="4" w:space="0"/>
            </w:tcBorders>
            <w:vAlign w:val="center"/>
          </w:tcPr>
          <w:p w14:paraId="79DA9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12" w:leftChars="40" w:right="168" w:rightChars="60" w:firstLine="65" w:firstLineChars="27"/>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708" w:type="dxa"/>
            <w:tcBorders>
              <w:top w:val="single" w:color="000000" w:sz="4" w:space="0"/>
              <w:left w:val="single" w:color="000000" w:sz="4" w:space="0"/>
              <w:bottom w:val="single" w:color="000000" w:sz="4" w:space="0"/>
              <w:right w:val="single" w:color="000000" w:sz="4" w:space="0"/>
            </w:tcBorders>
            <w:vAlign w:val="center"/>
          </w:tcPr>
          <w:p w14:paraId="701F7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6FD271E">
        <w:tblPrEx>
          <w:tblCellMar>
            <w:top w:w="15" w:type="dxa"/>
            <w:left w:w="15" w:type="dxa"/>
            <w:bottom w:w="15" w:type="dxa"/>
            <w:right w:w="15" w:type="dxa"/>
          </w:tblCellMar>
        </w:tblPrEx>
        <w:trPr>
          <w:trHeight w:val="1826" w:hRule="atLeast"/>
          <w:jc w:val="center"/>
        </w:trPr>
        <w:tc>
          <w:tcPr>
            <w:tcW w:w="581" w:type="dxa"/>
            <w:tcBorders>
              <w:top w:val="single" w:color="000000" w:sz="4" w:space="0"/>
              <w:left w:val="single" w:color="000000" w:sz="4" w:space="0"/>
              <w:bottom w:val="single" w:color="auto" w:sz="4" w:space="0"/>
              <w:right w:val="single" w:color="000000" w:sz="4" w:space="0"/>
            </w:tcBorders>
            <w:vAlign w:val="center"/>
          </w:tcPr>
          <w:p w14:paraId="22A2A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2" w:type="dxa"/>
            <w:tcBorders>
              <w:top w:val="single" w:color="000000" w:sz="4" w:space="0"/>
              <w:left w:val="single" w:color="000000" w:sz="4" w:space="0"/>
              <w:bottom w:val="single" w:color="auto" w:sz="4" w:space="0"/>
              <w:right w:val="single" w:color="000000" w:sz="4" w:space="0"/>
            </w:tcBorders>
            <w:vAlign w:val="center"/>
          </w:tcPr>
          <w:p w14:paraId="40C66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5F37E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29" w:type="dxa"/>
            <w:tcBorders>
              <w:top w:val="single" w:color="000000" w:sz="4" w:space="0"/>
              <w:left w:val="single" w:color="000000" w:sz="4" w:space="0"/>
              <w:bottom w:val="single" w:color="auto" w:sz="4" w:space="0"/>
              <w:right w:val="single" w:color="000000" w:sz="4" w:space="0"/>
            </w:tcBorders>
            <w:vAlign w:val="center"/>
          </w:tcPr>
          <w:p w14:paraId="10F4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c>
          <w:tcPr>
            <w:tcW w:w="4918" w:type="dxa"/>
            <w:tcBorders>
              <w:top w:val="single" w:color="000000" w:sz="4" w:space="0"/>
              <w:left w:val="single" w:color="000000" w:sz="4" w:space="0"/>
              <w:bottom w:val="single" w:color="auto" w:sz="4" w:space="0"/>
              <w:right w:val="single" w:color="000000" w:sz="4" w:space="0"/>
            </w:tcBorders>
            <w:vAlign w:val="center"/>
          </w:tcPr>
          <w:p w14:paraId="1B4860F8">
            <w:pPr>
              <w:keepNext w:val="0"/>
              <w:keepLines w:val="0"/>
              <w:suppressLineNumbers w:val="0"/>
              <w:adjustRightInd w:val="0"/>
              <w:snapToGrid w:val="0"/>
              <w:spacing w:before="0" w:beforeAutospacing="0" w:after="0" w:afterAutospacing="0"/>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有效的投标报价中的最低价为评标基准价，其价格分为满分。其他投标人的价格分统一按照下列公式计算：</w:t>
            </w:r>
          </w:p>
          <w:p w14:paraId="71B26167">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kern w:val="0"/>
                <w:sz w:val="21"/>
                <w:szCs w:val="21"/>
              </w:rPr>
              <w:t>投标报价得分＝（评标基准价/投标报价）×价格权重×100。</w:t>
            </w:r>
          </w:p>
        </w:tc>
        <w:tc>
          <w:tcPr>
            <w:tcW w:w="2708" w:type="dxa"/>
            <w:tcBorders>
              <w:top w:val="single" w:color="000000" w:sz="4" w:space="0"/>
              <w:left w:val="single" w:color="000000" w:sz="4" w:space="0"/>
              <w:bottom w:val="single" w:color="auto" w:sz="4" w:space="0"/>
              <w:right w:val="single" w:color="000000" w:sz="4" w:space="0"/>
            </w:tcBorders>
            <w:vAlign w:val="center"/>
          </w:tcPr>
          <w:p w14:paraId="53C174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高于预算价为无效报价</w:t>
            </w:r>
          </w:p>
        </w:tc>
      </w:tr>
      <w:tr w14:paraId="50165A4E">
        <w:tblPrEx>
          <w:tblCellMar>
            <w:top w:w="15" w:type="dxa"/>
            <w:left w:w="15" w:type="dxa"/>
            <w:bottom w:w="15" w:type="dxa"/>
            <w:right w:w="15" w:type="dxa"/>
          </w:tblCellMar>
        </w:tblPrEx>
        <w:trPr>
          <w:trHeight w:val="4107" w:hRule="atLeast"/>
          <w:jc w:val="center"/>
        </w:trPr>
        <w:tc>
          <w:tcPr>
            <w:tcW w:w="581" w:type="dxa"/>
            <w:vMerge w:val="restart"/>
            <w:tcBorders>
              <w:top w:val="single" w:color="000000" w:sz="4" w:space="0"/>
              <w:left w:val="single" w:color="000000" w:sz="4" w:space="0"/>
              <w:right w:val="single" w:color="000000" w:sz="4" w:space="0"/>
            </w:tcBorders>
            <w:vAlign w:val="center"/>
          </w:tcPr>
          <w:p w14:paraId="4E2051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040DF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c>
          <w:tcPr>
            <w:tcW w:w="1032" w:type="dxa"/>
            <w:vMerge w:val="restart"/>
            <w:tcBorders>
              <w:top w:val="single" w:color="000000" w:sz="4" w:space="0"/>
              <w:left w:val="single" w:color="000000" w:sz="4" w:space="0"/>
              <w:right w:val="single" w:color="000000" w:sz="4" w:space="0"/>
            </w:tcBorders>
            <w:vAlign w:val="center"/>
          </w:tcPr>
          <w:p w14:paraId="31A02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服务部分60</w:t>
            </w:r>
            <w:r>
              <w:rPr>
                <w:rFonts w:hint="eastAsia" w:ascii="宋体" w:hAnsi="宋体" w:eastAsia="宋体" w:cs="宋体"/>
                <w:color w:val="auto"/>
                <w:sz w:val="21"/>
                <w:szCs w:val="21"/>
              </w:rPr>
              <w:t>%</w:t>
            </w:r>
          </w:p>
        </w:tc>
        <w:tc>
          <w:tcPr>
            <w:tcW w:w="629" w:type="dxa"/>
            <w:tcBorders>
              <w:top w:val="single" w:color="000000" w:sz="4" w:space="0"/>
              <w:left w:val="single" w:color="000000" w:sz="4" w:space="0"/>
              <w:bottom w:val="single" w:color="auto" w:sz="4" w:space="0"/>
              <w:right w:val="single" w:color="000000" w:sz="4" w:space="0"/>
            </w:tcBorders>
            <w:vAlign w:val="center"/>
          </w:tcPr>
          <w:p w14:paraId="1B81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0EF0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2"/>
                <w:szCs w:val="22"/>
                <w:highlight w:val="none"/>
                <w:lang w:bidi="ar"/>
              </w:rPr>
              <w:t>配送服务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lang w:val="en-US" w:eastAsia="zh-CN"/>
              </w:rPr>
              <w:t>（15分）</w:t>
            </w:r>
          </w:p>
          <w:p w14:paraId="70A08B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供应商针对本项目编制配送服务方案：</w:t>
            </w:r>
          </w:p>
          <w:p w14:paraId="680B5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1F7BF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036D4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164FF4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76750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restart"/>
            <w:tcBorders>
              <w:top w:val="single" w:color="000000" w:sz="4" w:space="0"/>
              <w:left w:val="single" w:color="000000" w:sz="4" w:space="0"/>
              <w:right w:val="single" w:color="000000" w:sz="4" w:space="0"/>
            </w:tcBorders>
            <w:vAlign w:val="center"/>
          </w:tcPr>
          <w:p w14:paraId="20B36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7CE6C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供应商提供服务方案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加盖供应商公章。</w:t>
            </w:r>
            <w:r>
              <w:rPr>
                <w:rFonts w:hint="eastAsia" w:ascii="宋体" w:hAnsi="宋体" w:eastAsia="宋体" w:cs="宋体"/>
                <w:color w:val="auto"/>
                <w:sz w:val="21"/>
                <w:szCs w:val="21"/>
              </w:rPr>
              <w:t>（格式自拟）</w:t>
            </w:r>
          </w:p>
          <w:p w14:paraId="68C84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07D1D0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rPr>
            </w:pPr>
          </w:p>
        </w:tc>
      </w:tr>
      <w:tr w14:paraId="6922B3C6">
        <w:tblPrEx>
          <w:tblCellMar>
            <w:top w:w="15" w:type="dxa"/>
            <w:left w:w="15" w:type="dxa"/>
            <w:bottom w:w="15" w:type="dxa"/>
            <w:right w:w="15" w:type="dxa"/>
          </w:tblCellMar>
        </w:tblPrEx>
        <w:trPr>
          <w:trHeight w:val="4111" w:hRule="atLeast"/>
          <w:jc w:val="center"/>
        </w:trPr>
        <w:tc>
          <w:tcPr>
            <w:tcW w:w="581" w:type="dxa"/>
            <w:vMerge w:val="continue"/>
            <w:tcBorders>
              <w:left w:val="single" w:color="000000" w:sz="4" w:space="0"/>
              <w:right w:val="single" w:color="000000" w:sz="4" w:space="0"/>
            </w:tcBorders>
            <w:vAlign w:val="center"/>
          </w:tcPr>
          <w:p w14:paraId="5DDEF5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6326A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0B27C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5313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配送运输储存保障方案</w:t>
            </w:r>
            <w:r>
              <w:rPr>
                <w:rFonts w:hint="eastAsia" w:ascii="宋体" w:hAnsi="宋体" w:eastAsia="宋体" w:cs="宋体"/>
                <w:color w:val="auto"/>
                <w:sz w:val="21"/>
                <w:szCs w:val="21"/>
                <w:lang w:val="en-US" w:eastAsia="zh-CN"/>
              </w:rPr>
              <w:t>（15分）</w:t>
            </w:r>
          </w:p>
          <w:p w14:paraId="2252C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供应商针对本项目配送服务运输储存保障方案：</w:t>
            </w:r>
          </w:p>
          <w:p w14:paraId="489BA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69278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2588D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C54C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36B27D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0CA5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r>
      <w:tr w14:paraId="1E00410C">
        <w:tblPrEx>
          <w:tblCellMar>
            <w:top w:w="15" w:type="dxa"/>
            <w:left w:w="15" w:type="dxa"/>
            <w:bottom w:w="15" w:type="dxa"/>
            <w:right w:w="15" w:type="dxa"/>
          </w:tblCellMar>
        </w:tblPrEx>
        <w:trPr>
          <w:trHeight w:val="2602" w:hRule="atLeast"/>
          <w:jc w:val="center"/>
        </w:trPr>
        <w:tc>
          <w:tcPr>
            <w:tcW w:w="581" w:type="dxa"/>
            <w:vMerge w:val="continue"/>
            <w:tcBorders>
              <w:left w:val="single" w:color="000000" w:sz="4" w:space="0"/>
              <w:right w:val="single" w:color="000000" w:sz="4" w:space="0"/>
            </w:tcBorders>
            <w:vAlign w:val="center"/>
          </w:tcPr>
          <w:p w14:paraId="5C6D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55E7A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18F9D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000000" w:sz="4" w:space="0"/>
              <w:left w:val="single" w:color="000000" w:sz="4" w:space="0"/>
              <w:bottom w:val="single" w:color="auto" w:sz="4" w:space="0"/>
              <w:right w:val="single" w:color="000000" w:sz="4" w:space="0"/>
            </w:tcBorders>
            <w:vAlign w:val="center"/>
          </w:tcPr>
          <w:p w14:paraId="4A9F2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3、应急处理方案</w:t>
            </w:r>
            <w:r>
              <w:rPr>
                <w:rFonts w:hint="eastAsia" w:ascii="宋体" w:hAnsi="宋体" w:eastAsia="宋体" w:cs="宋体"/>
                <w:color w:val="auto"/>
                <w:sz w:val="21"/>
                <w:szCs w:val="21"/>
                <w:lang w:val="en-US" w:eastAsia="zh-CN"/>
              </w:rPr>
              <w:t>（15分）</w:t>
            </w:r>
          </w:p>
          <w:p w14:paraId="220E12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供应商针对本项目编制应急处理方案：</w:t>
            </w:r>
          </w:p>
          <w:p w14:paraId="3850C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BC85E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66405B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58FBBE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81436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23AC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rPr>
            </w:pPr>
          </w:p>
        </w:tc>
      </w:tr>
      <w:tr w14:paraId="4C0C4F23">
        <w:tblPrEx>
          <w:tblCellMar>
            <w:top w:w="15" w:type="dxa"/>
            <w:left w:w="15" w:type="dxa"/>
            <w:bottom w:w="15" w:type="dxa"/>
            <w:right w:w="15" w:type="dxa"/>
          </w:tblCellMar>
        </w:tblPrEx>
        <w:trPr>
          <w:trHeight w:val="1610" w:hRule="atLeast"/>
          <w:jc w:val="center"/>
        </w:trPr>
        <w:tc>
          <w:tcPr>
            <w:tcW w:w="581" w:type="dxa"/>
            <w:vMerge w:val="continue"/>
            <w:tcBorders>
              <w:left w:val="single" w:color="000000" w:sz="4" w:space="0"/>
              <w:bottom w:val="single" w:color="auto" w:sz="4" w:space="0"/>
              <w:right w:val="single" w:color="000000" w:sz="4" w:space="0"/>
            </w:tcBorders>
            <w:vAlign w:val="center"/>
          </w:tcPr>
          <w:p w14:paraId="55362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bottom w:val="single" w:color="auto" w:sz="4" w:space="0"/>
              <w:right w:val="single" w:color="000000" w:sz="4" w:space="0"/>
            </w:tcBorders>
            <w:vAlign w:val="center"/>
          </w:tcPr>
          <w:p w14:paraId="2CA49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auto" w:sz="4" w:space="0"/>
              <w:left w:val="single" w:color="000000" w:sz="4" w:space="0"/>
              <w:bottom w:val="single" w:color="auto" w:sz="4" w:space="0"/>
              <w:right w:val="single" w:color="000000" w:sz="4" w:space="0"/>
            </w:tcBorders>
            <w:vAlign w:val="center"/>
          </w:tcPr>
          <w:p w14:paraId="7348D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auto" w:sz="4" w:space="0"/>
              <w:left w:val="single" w:color="000000" w:sz="4" w:space="0"/>
              <w:bottom w:val="single" w:color="auto" w:sz="4" w:space="0"/>
              <w:right w:val="single" w:color="auto" w:sz="4" w:space="0"/>
            </w:tcBorders>
            <w:vAlign w:val="center"/>
          </w:tcPr>
          <w:p w14:paraId="405B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4、食品质量安全保证措施方案（15分）</w:t>
            </w:r>
          </w:p>
          <w:p w14:paraId="3A23A5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供应商针对本项目编制食品质量安全保证措施方案：</w:t>
            </w:r>
          </w:p>
          <w:p w14:paraId="440B86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0DA30F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71EED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5ABA0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1CAB4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bottom w:val="single" w:color="auto" w:sz="4" w:space="0"/>
              <w:right w:val="single" w:color="000000" w:sz="4" w:space="0"/>
            </w:tcBorders>
            <w:vAlign w:val="center"/>
          </w:tcPr>
          <w:p w14:paraId="07612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420" w:firstLineChars="200"/>
              <w:textAlignment w:val="auto"/>
              <w:rPr>
                <w:rFonts w:hint="eastAsia" w:ascii="宋体" w:hAnsi="宋体" w:eastAsia="宋体" w:cs="宋体"/>
                <w:color w:val="auto"/>
                <w:sz w:val="21"/>
                <w:szCs w:val="21"/>
              </w:rPr>
            </w:pPr>
          </w:p>
        </w:tc>
      </w:tr>
      <w:tr w14:paraId="2295A6BA">
        <w:tblPrEx>
          <w:tblCellMar>
            <w:top w:w="15" w:type="dxa"/>
            <w:left w:w="15" w:type="dxa"/>
            <w:bottom w:w="15" w:type="dxa"/>
            <w:right w:w="15" w:type="dxa"/>
          </w:tblCellMar>
        </w:tblPrEx>
        <w:trPr>
          <w:trHeight w:val="171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A4DF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32" w:type="dxa"/>
            <w:tcBorders>
              <w:top w:val="single" w:color="auto" w:sz="4" w:space="0"/>
              <w:left w:val="single" w:color="auto" w:sz="4" w:space="0"/>
              <w:bottom w:val="single" w:color="auto" w:sz="4" w:space="0"/>
              <w:right w:val="single" w:color="auto" w:sz="4" w:space="0"/>
            </w:tcBorders>
            <w:vAlign w:val="center"/>
          </w:tcPr>
          <w:p w14:paraId="1BC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商务部分10%</w:t>
            </w:r>
          </w:p>
        </w:tc>
        <w:tc>
          <w:tcPr>
            <w:tcW w:w="629" w:type="dxa"/>
            <w:tcBorders>
              <w:top w:val="single" w:color="auto" w:sz="4" w:space="0"/>
              <w:left w:val="single" w:color="auto" w:sz="4" w:space="0"/>
              <w:bottom w:val="single" w:color="auto" w:sz="4" w:space="0"/>
              <w:right w:val="single" w:color="auto" w:sz="4" w:space="0"/>
            </w:tcBorders>
            <w:vAlign w:val="center"/>
          </w:tcPr>
          <w:p w14:paraId="4DF3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1"/>
                <w:szCs w:val="21"/>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14:paraId="19671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业绩（10分）</w:t>
            </w:r>
          </w:p>
          <w:p w14:paraId="6E1517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年起至今有与政府机关单位或学校或医院或部队等企事业单位有</w:t>
            </w:r>
            <w:r>
              <w:rPr>
                <w:rFonts w:hint="eastAsia" w:ascii="宋体" w:hAnsi="宋体" w:eastAsia="宋体" w:cs="宋体"/>
                <w:color w:val="auto"/>
                <w:sz w:val="21"/>
                <w:szCs w:val="21"/>
                <w:highlight w:val="none"/>
                <w:lang w:val="en-US" w:eastAsia="zh-CN"/>
              </w:rPr>
              <w:t>食堂食材</w:t>
            </w:r>
            <w:r>
              <w:rPr>
                <w:rFonts w:hint="eastAsia" w:ascii="宋体" w:hAnsi="宋体" w:eastAsia="宋体" w:cs="宋体"/>
                <w:color w:val="auto"/>
                <w:sz w:val="21"/>
                <w:szCs w:val="21"/>
                <w:highlight w:val="none"/>
                <w:lang w:val="zh-CN" w:eastAsia="zh-CN"/>
              </w:rPr>
              <w:t>配送业绩的每提供一个得</w:t>
            </w:r>
            <w:r>
              <w:rPr>
                <w:rFonts w:hint="eastAsia" w:ascii="宋体" w:hAnsi="宋体" w:eastAsia="宋体" w:cs="宋体"/>
                <w:color w:val="auto"/>
                <w:sz w:val="21"/>
                <w:szCs w:val="21"/>
                <w:highlight w:val="none"/>
                <w:lang w:val="en-US" w:eastAsia="zh-CN"/>
              </w:rPr>
              <w:t>5分，最多可得10分。</w:t>
            </w:r>
          </w:p>
        </w:tc>
        <w:tc>
          <w:tcPr>
            <w:tcW w:w="2708" w:type="dxa"/>
            <w:tcBorders>
              <w:top w:val="single" w:color="auto" w:sz="4" w:space="0"/>
              <w:left w:val="single" w:color="auto" w:sz="4" w:space="0"/>
              <w:bottom w:val="single" w:color="auto" w:sz="4" w:space="0"/>
              <w:right w:val="single" w:color="auto" w:sz="4" w:space="0"/>
            </w:tcBorders>
            <w:shd w:val="clear" w:color="auto" w:fill="auto"/>
            <w:vAlign w:val="center"/>
          </w:tcPr>
          <w:p w14:paraId="7731D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提供有效的中标通知书复印件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合同复印件</w:t>
            </w:r>
            <w:r>
              <w:rPr>
                <w:rFonts w:hint="eastAsia" w:ascii="宋体" w:hAnsi="宋体" w:cs="宋体"/>
                <w:color w:val="auto"/>
                <w:sz w:val="21"/>
                <w:szCs w:val="21"/>
                <w:highlight w:val="none"/>
                <w:lang w:val="en-US" w:eastAsia="zh-CN"/>
              </w:rPr>
              <w:t>或者发票复印件</w:t>
            </w:r>
          </w:p>
        </w:tc>
      </w:tr>
    </w:tbl>
    <w:p w14:paraId="1822079B">
      <w:pPr>
        <w:pStyle w:val="5"/>
        <w:spacing w:before="0" w:after="0" w:line="360" w:lineRule="auto"/>
        <w:rPr>
          <w:rFonts w:hint="eastAsia" w:ascii="宋体" w:hAnsi="宋体" w:eastAsia="宋体" w:cs="宋体"/>
          <w:sz w:val="24"/>
          <w:szCs w:val="24"/>
        </w:rPr>
      </w:pPr>
    </w:p>
    <w:p w14:paraId="29AB03EF">
      <w:pPr>
        <w:pStyle w:val="5"/>
        <w:spacing w:before="0" w:after="0" w:line="360" w:lineRule="auto"/>
        <w:rPr>
          <w:rFonts w:hint="eastAsia" w:ascii="宋体" w:hAnsi="宋体" w:eastAsia="宋体" w:cs="宋体"/>
          <w:sz w:val="24"/>
          <w:szCs w:val="24"/>
        </w:rPr>
      </w:pPr>
      <w:bookmarkStart w:id="67" w:name="_Toc499"/>
      <w:r>
        <w:rPr>
          <w:rFonts w:hint="eastAsia" w:ascii="宋体" w:hAnsi="宋体" w:eastAsia="宋体" w:cs="宋体"/>
          <w:sz w:val="24"/>
          <w:szCs w:val="24"/>
        </w:rPr>
        <w:t>三、无效响应</w:t>
      </w:r>
      <w:bookmarkEnd w:id="67"/>
    </w:p>
    <w:p w14:paraId="1FC3039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5311E6D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414D7CD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01F4CBB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525C855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4FFF567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16DFA2A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5C867CB">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0DD563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490464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338BBB2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5CAC112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（十一）供应商被列入失信被执行人、重大税收违法案件当事人名单、政府采购严重违法失信行为记录名单及其他不符合《中华人民共和国政府采购法》第二十二条规定条件的。</w:t>
      </w:r>
    </w:p>
    <w:p w14:paraId="5617112F">
      <w:pPr>
        <w:pStyle w:val="5"/>
        <w:spacing w:before="0" w:after="0" w:line="360" w:lineRule="auto"/>
        <w:rPr>
          <w:rFonts w:hint="eastAsia" w:ascii="宋体" w:hAnsi="宋体" w:eastAsia="宋体" w:cs="宋体"/>
          <w:sz w:val="24"/>
          <w:szCs w:val="24"/>
        </w:rPr>
      </w:pPr>
      <w:bookmarkStart w:id="68" w:name="_Toc2637"/>
      <w:r>
        <w:rPr>
          <w:rFonts w:hint="eastAsia" w:ascii="宋体" w:hAnsi="宋体" w:eastAsia="宋体" w:cs="宋体"/>
          <w:sz w:val="24"/>
          <w:szCs w:val="24"/>
        </w:rPr>
        <w:t>四、</w:t>
      </w:r>
      <w:bookmarkEnd w:id="65"/>
      <w:bookmarkEnd w:id="66"/>
      <w:r>
        <w:rPr>
          <w:rFonts w:hint="eastAsia" w:ascii="宋体" w:hAnsi="宋体" w:eastAsia="宋体" w:cs="宋体"/>
          <w:sz w:val="24"/>
          <w:szCs w:val="24"/>
        </w:rPr>
        <w:t>采购终止</w:t>
      </w:r>
      <w:bookmarkEnd w:id="68"/>
    </w:p>
    <w:p w14:paraId="47B52EB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5563528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5A14E3D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14C0307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48FEF630">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numberInDash" w:start="1"/>
          <w:cols w:space="720" w:num="1"/>
          <w:docGrid w:linePitch="312" w:charSpace="0"/>
        </w:sectPr>
      </w:pPr>
    </w:p>
    <w:p w14:paraId="388DBB38">
      <w:pPr>
        <w:pStyle w:val="4"/>
        <w:spacing w:before="0" w:after="0" w:line="360" w:lineRule="auto"/>
        <w:jc w:val="center"/>
        <w:rPr>
          <w:rFonts w:hint="eastAsia" w:ascii="宋体" w:hAnsi="宋体" w:eastAsia="宋体" w:cs="宋体"/>
          <w:b w:val="0"/>
          <w:sz w:val="36"/>
          <w:szCs w:val="30"/>
        </w:rPr>
      </w:pPr>
      <w:bookmarkStart w:id="69" w:name="_Toc11741"/>
      <w:bookmarkStart w:id="70" w:name="_Toc102227313"/>
      <w:r>
        <w:rPr>
          <w:rFonts w:hint="eastAsia" w:ascii="宋体" w:hAnsi="宋体" w:eastAsia="宋体" w:cs="宋体"/>
          <w:b w:val="0"/>
          <w:sz w:val="36"/>
          <w:szCs w:val="30"/>
        </w:rPr>
        <w:t>第五篇  供应商须知</w:t>
      </w:r>
      <w:bookmarkEnd w:id="69"/>
      <w:bookmarkEnd w:id="70"/>
    </w:p>
    <w:p w14:paraId="4CBD5308">
      <w:pPr>
        <w:pStyle w:val="5"/>
        <w:spacing w:before="0" w:after="0" w:line="360" w:lineRule="auto"/>
        <w:rPr>
          <w:rFonts w:hint="eastAsia" w:ascii="宋体" w:hAnsi="宋体" w:eastAsia="宋体" w:cs="宋体"/>
          <w:sz w:val="24"/>
          <w:szCs w:val="24"/>
        </w:rPr>
      </w:pPr>
      <w:bookmarkStart w:id="71" w:name="_Toc16069"/>
      <w:bookmarkStart w:id="72" w:name="_Toc342913389"/>
      <w:r>
        <w:rPr>
          <w:rFonts w:hint="eastAsia" w:ascii="宋体" w:hAnsi="宋体" w:eastAsia="宋体" w:cs="宋体"/>
          <w:sz w:val="24"/>
          <w:szCs w:val="24"/>
        </w:rPr>
        <w:t>一、磋商费用</w:t>
      </w:r>
      <w:bookmarkEnd w:id="71"/>
      <w:bookmarkEnd w:id="72"/>
    </w:p>
    <w:p w14:paraId="1C12E84C">
      <w:pPr>
        <w:pStyle w:val="2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29FEEB32">
      <w:pPr>
        <w:pStyle w:val="5"/>
        <w:tabs>
          <w:tab w:val="left" w:pos="2640"/>
        </w:tabs>
        <w:spacing w:before="0" w:after="0" w:line="360" w:lineRule="auto"/>
        <w:rPr>
          <w:rFonts w:hint="eastAsia" w:ascii="宋体" w:hAnsi="宋体" w:eastAsia="宋体" w:cs="宋体"/>
          <w:sz w:val="24"/>
          <w:szCs w:val="24"/>
        </w:rPr>
      </w:pPr>
      <w:bookmarkStart w:id="73" w:name="_Toc342913391"/>
      <w:bookmarkStart w:id="74" w:name="_Toc17656"/>
      <w:r>
        <w:rPr>
          <w:rFonts w:hint="eastAsia" w:ascii="宋体" w:hAnsi="宋体" w:eastAsia="宋体" w:cs="宋体"/>
          <w:sz w:val="24"/>
          <w:szCs w:val="24"/>
        </w:rPr>
        <w:t>二、竞争性磋商文件</w:t>
      </w:r>
      <w:bookmarkEnd w:id="73"/>
      <w:bookmarkEnd w:id="74"/>
    </w:p>
    <w:p w14:paraId="41C8F2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27145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C1104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3CF8E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59349"/>
      <w:bookmarkStart w:id="76" w:name="_Toc318166429"/>
      <w:bookmarkStart w:id="77" w:name="_Toc318159160"/>
      <w:bookmarkStart w:id="78" w:name="_Toc318159780"/>
    </w:p>
    <w:p w14:paraId="15F885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（四）本竞争性磋商文件中，磋商小组根据与供应商进行磋商可能实质性变动的内容为竞争性磋商文件第二、三、四篇全部内容。</w:t>
      </w:r>
    </w:p>
    <w:p w14:paraId="4F46D2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75"/>
    <w:bookmarkEnd w:id="76"/>
    <w:bookmarkEnd w:id="77"/>
    <w:bookmarkEnd w:id="78"/>
    <w:p w14:paraId="0D5AE19B">
      <w:pPr>
        <w:pStyle w:val="5"/>
        <w:spacing w:before="0" w:after="0" w:line="360" w:lineRule="auto"/>
        <w:rPr>
          <w:rFonts w:hint="eastAsia" w:ascii="宋体" w:hAnsi="宋体" w:eastAsia="宋体" w:cs="宋体"/>
          <w:sz w:val="24"/>
          <w:szCs w:val="24"/>
        </w:rPr>
      </w:pPr>
      <w:bookmarkStart w:id="79" w:name="_Toc102227318"/>
      <w:bookmarkStart w:id="80" w:name="_Toc17552"/>
      <w:bookmarkStart w:id="81" w:name="_Toc179714297"/>
      <w:bookmarkStart w:id="82" w:name="_Toc342913392"/>
      <w:r>
        <w:rPr>
          <w:rFonts w:hint="eastAsia" w:ascii="宋体" w:hAnsi="宋体" w:eastAsia="宋体" w:cs="宋体"/>
          <w:sz w:val="24"/>
          <w:szCs w:val="24"/>
        </w:rPr>
        <w:t>三、磋商要求</w:t>
      </w:r>
      <w:bookmarkEnd w:id="79"/>
      <w:bookmarkEnd w:id="80"/>
      <w:bookmarkEnd w:id="81"/>
      <w:bookmarkEnd w:id="82"/>
    </w:p>
    <w:p w14:paraId="46557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0E9CB5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027E50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70CDB2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A2E72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（二）联合体</w:t>
      </w:r>
    </w:p>
    <w:p w14:paraId="789E9ED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本项目不接受联合体磋商。</w:t>
      </w:r>
    </w:p>
    <w:p w14:paraId="0551C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038EF2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1797E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6EC37D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w:t>
      </w:r>
      <w:r>
        <w:rPr>
          <w:rFonts w:hint="eastAsia" w:ascii="宋体" w:hAnsi="宋体" w:cs="宋体"/>
          <w:sz w:val="24"/>
          <w:szCs w:val="24"/>
          <w:lang w:val="en-US" w:eastAsia="zh-CN"/>
        </w:rPr>
        <w:t>成交</w:t>
      </w:r>
      <w:r>
        <w:rPr>
          <w:rFonts w:hint="eastAsia" w:ascii="宋体" w:hAnsi="宋体" w:eastAsia="宋体" w:cs="宋体"/>
          <w:sz w:val="24"/>
          <w:szCs w:val="24"/>
        </w:rPr>
        <w:t>供应商的资格。</w:t>
      </w:r>
    </w:p>
    <w:p w14:paraId="218011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AC70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cs="宋体"/>
          <w:sz w:val="24"/>
          <w:szCs w:val="24"/>
          <w:lang w:val="en-US" w:eastAsia="zh-CN"/>
        </w:rPr>
        <w:t>三</w:t>
      </w:r>
      <w:r>
        <w:rPr>
          <w:rFonts w:hint="eastAsia" w:ascii="宋体" w:hAnsi="宋体" w:eastAsia="宋体" w:cs="宋体"/>
          <w:sz w:val="24"/>
          <w:szCs w:val="24"/>
        </w:rPr>
        <w:t>份，其中</w:t>
      </w:r>
      <w:r>
        <w:rPr>
          <w:rFonts w:hint="eastAsia" w:ascii="宋体" w:hAnsi="宋体" w:eastAsia="宋体" w:cs="宋体"/>
          <w:sz w:val="24"/>
          <w:szCs w:val="24"/>
          <w:highlight w:val="none"/>
        </w:rPr>
        <w:t>正本一份，副本二份</w:t>
      </w:r>
      <w:r>
        <w:rPr>
          <w:rFonts w:hint="eastAsia" w:ascii="宋体" w:hAnsi="宋体" w:eastAsia="宋体" w:cs="宋体"/>
          <w:sz w:val="24"/>
          <w:szCs w:val="24"/>
        </w:rPr>
        <w:t>；副本可为正本的复印件，应与正本一致，如出现不一致情况以正本为准。</w:t>
      </w:r>
    </w:p>
    <w:p w14:paraId="59CA7B5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2.在响应文件正本中，竞争性磋商文件第</w:t>
      </w:r>
      <w:r>
        <w:rPr>
          <w:rFonts w:hint="eastAsia" w:ascii="宋体" w:hAnsi="宋体" w:cs="宋体"/>
          <w:sz w:val="24"/>
          <w:szCs w:val="24"/>
          <w:lang w:val="en-US" w:eastAsia="zh-CN"/>
        </w:rPr>
        <w:t>七</w:t>
      </w:r>
      <w:r>
        <w:rPr>
          <w:rFonts w:hint="eastAsia" w:ascii="宋体" w:hAnsi="宋体" w:eastAsia="宋体" w:cs="宋体"/>
          <w:sz w:val="24"/>
          <w:szCs w:val="24"/>
        </w:rPr>
        <w:t>篇响应文件编制要求中规定签字、盖章的地方必须按其规定签字、盖章</w:t>
      </w:r>
      <w:r>
        <w:rPr>
          <w:rFonts w:hint="eastAsia" w:ascii="宋体" w:hAnsi="宋体" w:eastAsia="宋体" w:cs="宋体"/>
          <w:sz w:val="24"/>
          <w:szCs w:val="24"/>
          <w:lang w:eastAsia="zh-CN"/>
        </w:rPr>
        <w:t>，并逐页盖章，正本须逐页加盖供应商公章。</w:t>
      </w:r>
    </w:p>
    <w:p w14:paraId="1C1F53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53D98D3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1.响应文件的密封与标记</w:t>
      </w:r>
    </w:p>
    <w:p w14:paraId="456C49E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1.1响应文件的正本、副本均应密封送达磋商地点，应在封套上注明磋商项目名称、供应商名称。若正本、副本分别进行密封的，还应在封套上注明“正本”、“副本”字样。</w:t>
      </w:r>
    </w:p>
    <w:p w14:paraId="3536BDE5">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1.2封套的封口处应加盖供应商公章或由法定代表人授权代表签字。</w:t>
      </w:r>
    </w:p>
    <w:p w14:paraId="3840B392">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2.如果响应文件通过邮寄递交，供应商应将响应文件用内、外两层封套密封。</w:t>
      </w:r>
    </w:p>
    <w:p w14:paraId="615CE88C">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2.1内层封套的封装与标记同 “1、”款规定。</w:t>
      </w:r>
    </w:p>
    <w:p w14:paraId="44637317">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2.2外层封套装入“1、”款所述全部内封资料，并注明项目号、磋商项目编号、磋商项目名称、采购代理机构名称及地址。同时应写明供应商的名称、地址，以便将迟交的响应文件原封退还。</w:t>
      </w:r>
    </w:p>
    <w:p w14:paraId="4F4B6D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3.如果未按上述规定进行密封和标记，采购代理机构对响应文件误投、丢失或提前拆封不负责任。</w:t>
      </w:r>
    </w:p>
    <w:p w14:paraId="7031CB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14:paraId="1CBA13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7AE6AF47">
      <w:pPr>
        <w:pStyle w:val="5"/>
        <w:spacing w:before="0" w:after="0" w:line="360" w:lineRule="auto"/>
        <w:rPr>
          <w:rFonts w:hint="eastAsia" w:ascii="宋体" w:hAnsi="宋体" w:eastAsia="宋体" w:cs="宋体"/>
          <w:sz w:val="24"/>
          <w:szCs w:val="24"/>
        </w:rPr>
      </w:pPr>
      <w:bookmarkStart w:id="83" w:name="_Toc6246"/>
      <w:r>
        <w:rPr>
          <w:rFonts w:hint="eastAsia" w:ascii="宋体" w:hAnsi="宋体" w:eastAsia="宋体" w:cs="宋体"/>
          <w:sz w:val="24"/>
          <w:szCs w:val="24"/>
        </w:rPr>
        <w:t>四、</w:t>
      </w:r>
      <w:r>
        <w:rPr>
          <w:rFonts w:hint="eastAsia" w:ascii="宋体" w:hAnsi="宋体" w:cs="宋体"/>
          <w:sz w:val="24"/>
          <w:szCs w:val="24"/>
          <w:lang w:val="en-US" w:eastAsia="zh-CN"/>
        </w:rPr>
        <w:t>成交</w:t>
      </w:r>
      <w:r>
        <w:rPr>
          <w:rFonts w:hint="eastAsia" w:ascii="宋体" w:hAnsi="宋体" w:eastAsia="宋体" w:cs="宋体"/>
          <w:sz w:val="24"/>
          <w:szCs w:val="24"/>
        </w:rPr>
        <w:t>供应商的确认和变更</w:t>
      </w:r>
      <w:bookmarkEnd w:id="83"/>
    </w:p>
    <w:p w14:paraId="75CDF1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成交</w:t>
      </w:r>
      <w:r>
        <w:rPr>
          <w:rFonts w:hint="eastAsia" w:ascii="宋体" w:hAnsi="宋体" w:eastAsia="宋体" w:cs="宋体"/>
          <w:sz w:val="24"/>
          <w:szCs w:val="24"/>
        </w:rPr>
        <w:t>供应商的确认</w:t>
      </w:r>
    </w:p>
    <w:p w14:paraId="153852A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w:t>
      </w:r>
      <w:r>
        <w:rPr>
          <w:rFonts w:hint="eastAsia" w:ascii="宋体" w:hAnsi="宋体" w:cs="宋体"/>
          <w:sz w:val="24"/>
          <w:szCs w:val="24"/>
          <w:lang w:val="en-US" w:eastAsia="zh-CN"/>
        </w:rPr>
        <w:t>成交</w:t>
      </w:r>
      <w:r>
        <w:rPr>
          <w:rFonts w:hint="eastAsia" w:ascii="宋体" w:hAnsi="宋体" w:eastAsia="宋体" w:cs="宋体"/>
          <w:sz w:val="24"/>
          <w:szCs w:val="24"/>
        </w:rPr>
        <w:t>候选供应商中，按照排序由高到低的原则确定</w:t>
      </w:r>
      <w:r>
        <w:rPr>
          <w:rFonts w:hint="eastAsia" w:ascii="宋体" w:hAnsi="宋体" w:cs="宋体"/>
          <w:sz w:val="24"/>
          <w:szCs w:val="24"/>
          <w:lang w:val="en-US" w:eastAsia="zh-CN"/>
        </w:rPr>
        <w:t>成交</w:t>
      </w:r>
      <w:r>
        <w:rPr>
          <w:rFonts w:hint="eastAsia" w:ascii="宋体" w:hAnsi="宋体" w:eastAsia="宋体" w:cs="宋体"/>
          <w:sz w:val="24"/>
          <w:szCs w:val="24"/>
        </w:rPr>
        <w:t>供应商，也可以书面授权磋商小组直接确定</w:t>
      </w:r>
      <w:r>
        <w:rPr>
          <w:rFonts w:hint="eastAsia" w:ascii="宋体" w:hAnsi="宋体" w:cs="宋体"/>
          <w:sz w:val="24"/>
          <w:szCs w:val="24"/>
          <w:lang w:val="en-US" w:eastAsia="zh-CN"/>
        </w:rPr>
        <w:t>成交</w:t>
      </w:r>
      <w:r>
        <w:rPr>
          <w:rFonts w:hint="eastAsia" w:ascii="宋体" w:hAnsi="宋体" w:eastAsia="宋体" w:cs="宋体"/>
          <w:sz w:val="24"/>
          <w:szCs w:val="24"/>
        </w:rPr>
        <w:t>供应商。采购人逾期未确定</w:t>
      </w:r>
      <w:r>
        <w:rPr>
          <w:rFonts w:hint="eastAsia" w:ascii="宋体" w:hAnsi="宋体" w:cs="宋体"/>
          <w:sz w:val="24"/>
          <w:szCs w:val="24"/>
          <w:lang w:val="en-US" w:eastAsia="zh-CN"/>
        </w:rPr>
        <w:t>成交</w:t>
      </w:r>
      <w:r>
        <w:rPr>
          <w:rFonts w:hint="eastAsia" w:ascii="宋体" w:hAnsi="宋体" w:eastAsia="宋体" w:cs="宋体"/>
          <w:sz w:val="24"/>
          <w:szCs w:val="24"/>
        </w:rPr>
        <w:t>供应商且不提出异议的，视为确定评审报告提出的排序</w:t>
      </w:r>
      <w:r>
        <w:rPr>
          <w:rFonts w:hint="eastAsia" w:ascii="宋体" w:hAnsi="宋体" w:cs="宋体"/>
          <w:sz w:val="24"/>
          <w:szCs w:val="24"/>
          <w:lang w:val="en-US" w:eastAsia="zh-CN"/>
        </w:rPr>
        <w:t>前三</w:t>
      </w:r>
      <w:r>
        <w:rPr>
          <w:rFonts w:hint="eastAsia" w:ascii="宋体" w:hAnsi="宋体" w:eastAsia="宋体" w:cs="宋体"/>
          <w:sz w:val="24"/>
          <w:szCs w:val="24"/>
        </w:rPr>
        <w:t>的供应商为</w:t>
      </w:r>
      <w:r>
        <w:rPr>
          <w:rFonts w:hint="eastAsia" w:ascii="宋体" w:hAnsi="宋体" w:cs="宋体"/>
          <w:sz w:val="24"/>
          <w:szCs w:val="24"/>
          <w:lang w:val="en-US" w:eastAsia="zh-CN"/>
        </w:rPr>
        <w:t>成交</w:t>
      </w:r>
      <w:r>
        <w:rPr>
          <w:rFonts w:hint="eastAsia" w:ascii="宋体" w:hAnsi="宋体" w:eastAsia="宋体" w:cs="宋体"/>
          <w:sz w:val="24"/>
          <w:szCs w:val="24"/>
        </w:rPr>
        <w:t>供应商。</w:t>
      </w:r>
    </w:p>
    <w:p w14:paraId="0FC309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成交</w:t>
      </w:r>
      <w:r>
        <w:rPr>
          <w:rFonts w:hint="eastAsia" w:ascii="宋体" w:hAnsi="宋体" w:eastAsia="宋体" w:cs="宋体"/>
          <w:sz w:val="24"/>
          <w:szCs w:val="24"/>
        </w:rPr>
        <w:t>供应商的变更</w:t>
      </w:r>
    </w:p>
    <w:p w14:paraId="0CBD2F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成交</w:t>
      </w:r>
      <w:r>
        <w:rPr>
          <w:rFonts w:hint="eastAsia" w:ascii="宋体" w:hAnsi="宋体" w:eastAsia="宋体" w:cs="宋体"/>
          <w:sz w:val="24"/>
          <w:szCs w:val="24"/>
        </w:rPr>
        <w:t>供应商拒绝与采购人签订合同的，采购人可以按照评审报告推荐的供应商候选人名单排序，确定下一候选人为</w:t>
      </w:r>
      <w:r>
        <w:rPr>
          <w:rFonts w:hint="eastAsia" w:ascii="宋体" w:hAnsi="宋体" w:cs="宋体"/>
          <w:sz w:val="24"/>
          <w:szCs w:val="24"/>
          <w:lang w:val="en-US" w:eastAsia="zh-CN"/>
        </w:rPr>
        <w:t>成交</w:t>
      </w:r>
      <w:r>
        <w:rPr>
          <w:rFonts w:hint="eastAsia" w:ascii="宋体" w:hAnsi="宋体" w:eastAsia="宋体" w:cs="宋体"/>
          <w:sz w:val="24"/>
          <w:szCs w:val="24"/>
        </w:rPr>
        <w:t>供应商，也可以重新开展政府采购活动。</w:t>
      </w:r>
    </w:p>
    <w:p w14:paraId="29AA3E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成交</w:t>
      </w:r>
      <w:r>
        <w:rPr>
          <w:rFonts w:hint="eastAsia" w:ascii="宋体" w:hAnsi="宋体" w:eastAsia="宋体" w:cs="宋体"/>
          <w:sz w:val="24"/>
          <w:szCs w:val="24"/>
        </w:rPr>
        <w:t>供应商无充分理由放弃成交的，采购人将会根据《中华人民共和国政府采购法实施条例》的第七十二条的规定对违规供应商进行处罚。</w:t>
      </w:r>
    </w:p>
    <w:p w14:paraId="28243BDC">
      <w:pPr>
        <w:pStyle w:val="5"/>
        <w:spacing w:before="0" w:after="0" w:line="360" w:lineRule="auto"/>
        <w:rPr>
          <w:rFonts w:hint="eastAsia" w:ascii="宋体" w:hAnsi="宋体" w:eastAsia="宋体" w:cs="宋体"/>
          <w:sz w:val="24"/>
          <w:szCs w:val="24"/>
        </w:rPr>
      </w:pPr>
      <w:bookmarkStart w:id="84" w:name="_Toc18808"/>
      <w:bookmarkStart w:id="85" w:name="_Toc342913395"/>
      <w:bookmarkStart w:id="86" w:name="_Toc102227321"/>
      <w:r>
        <w:rPr>
          <w:rFonts w:hint="eastAsia" w:ascii="宋体" w:hAnsi="宋体" w:eastAsia="宋体" w:cs="宋体"/>
          <w:sz w:val="24"/>
          <w:szCs w:val="24"/>
        </w:rPr>
        <w:t>五、</w:t>
      </w:r>
      <w:r>
        <w:rPr>
          <w:rFonts w:hint="eastAsia" w:ascii="宋体" w:hAnsi="宋体" w:cs="宋体"/>
          <w:sz w:val="24"/>
          <w:szCs w:val="24"/>
          <w:lang w:val="en-US" w:eastAsia="zh-CN"/>
        </w:rPr>
        <w:t>成交</w:t>
      </w:r>
      <w:r>
        <w:rPr>
          <w:rFonts w:hint="eastAsia" w:ascii="宋体" w:hAnsi="宋体" w:eastAsia="宋体" w:cs="宋体"/>
          <w:sz w:val="24"/>
          <w:szCs w:val="24"/>
        </w:rPr>
        <w:t>通知</w:t>
      </w:r>
      <w:bookmarkEnd w:id="84"/>
      <w:bookmarkEnd w:id="85"/>
      <w:bookmarkEnd w:id="86"/>
    </w:p>
    <w:p w14:paraId="0FB656F8">
      <w:pPr>
        <w:pStyle w:val="5"/>
        <w:spacing w:before="0" w:after="0" w:line="360" w:lineRule="auto"/>
        <w:rPr>
          <w:rFonts w:hint="eastAsia" w:ascii="宋体" w:hAnsi="宋体" w:eastAsia="宋体" w:cs="宋体"/>
          <w:b w:val="0"/>
          <w:kern w:val="2"/>
          <w:sz w:val="24"/>
          <w:szCs w:val="24"/>
          <w:lang w:val="en-US" w:eastAsia="zh-CN" w:bidi="ar-SA"/>
        </w:rPr>
      </w:pPr>
      <w:bookmarkStart w:id="87" w:name="_Toc12678"/>
      <w:bookmarkStart w:id="88" w:name="_Toc22670"/>
      <w:bookmarkStart w:id="89" w:name="_Toc820"/>
      <w:bookmarkStart w:id="90" w:name="_Toc28883"/>
      <w:r>
        <w:rPr>
          <w:rFonts w:hint="eastAsia" w:ascii="宋体" w:hAnsi="宋体" w:eastAsia="宋体" w:cs="宋体"/>
          <w:b w:val="0"/>
          <w:kern w:val="2"/>
          <w:sz w:val="24"/>
          <w:szCs w:val="24"/>
          <w:lang w:val="en-US" w:eastAsia="zh-CN" w:bidi="ar-SA"/>
        </w:rPr>
        <w:t>（一）</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供应商确定后2个工作日内，采购代理机构将在“行采家”（https://www.gec123.com/）网上发布成交结果公告。</w:t>
      </w:r>
      <w:bookmarkEnd w:id="87"/>
      <w:bookmarkEnd w:id="88"/>
      <w:bookmarkEnd w:id="89"/>
      <w:bookmarkEnd w:id="90"/>
    </w:p>
    <w:p w14:paraId="3DA5A902">
      <w:pPr>
        <w:pStyle w:val="5"/>
        <w:spacing w:before="0" w:after="0" w:line="360" w:lineRule="auto"/>
        <w:rPr>
          <w:rFonts w:hint="eastAsia" w:ascii="宋体" w:hAnsi="宋体" w:eastAsia="宋体" w:cs="宋体"/>
          <w:b w:val="0"/>
          <w:kern w:val="2"/>
          <w:sz w:val="24"/>
          <w:szCs w:val="24"/>
          <w:lang w:val="en-US" w:eastAsia="zh-CN" w:bidi="ar-SA"/>
        </w:rPr>
      </w:pPr>
      <w:bookmarkStart w:id="91" w:name="_Toc4443"/>
      <w:bookmarkStart w:id="92" w:name="_Toc14108"/>
      <w:bookmarkStart w:id="93" w:name="_Toc19287"/>
      <w:bookmarkStart w:id="94" w:name="_Toc19150"/>
      <w:r>
        <w:rPr>
          <w:rFonts w:hint="eastAsia" w:ascii="宋体" w:hAnsi="宋体" w:eastAsia="宋体" w:cs="宋体"/>
          <w:b w:val="0"/>
          <w:kern w:val="2"/>
          <w:sz w:val="24"/>
          <w:szCs w:val="24"/>
          <w:lang w:val="en-US" w:eastAsia="zh-CN" w:bidi="ar-SA"/>
        </w:rPr>
        <w:t>（二）结果公告发出同时，采购人或采购代理机构将以书面形式发出《</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通知书》一经发出即发生法律效力。</w:t>
      </w:r>
      <w:bookmarkEnd w:id="91"/>
      <w:bookmarkEnd w:id="92"/>
      <w:bookmarkEnd w:id="93"/>
      <w:bookmarkEnd w:id="94"/>
    </w:p>
    <w:p w14:paraId="6182ED08">
      <w:pPr>
        <w:pStyle w:val="5"/>
        <w:spacing w:before="0" w:after="0" w:line="360" w:lineRule="auto"/>
        <w:rPr>
          <w:rFonts w:hint="eastAsia" w:ascii="宋体" w:hAnsi="宋体" w:eastAsia="宋体" w:cs="宋体"/>
          <w:b w:val="0"/>
          <w:kern w:val="2"/>
          <w:sz w:val="24"/>
          <w:szCs w:val="24"/>
          <w:lang w:val="en-US" w:eastAsia="zh-CN" w:bidi="ar-SA"/>
        </w:rPr>
      </w:pPr>
      <w:bookmarkStart w:id="95" w:name="_Toc24639"/>
      <w:bookmarkStart w:id="96" w:name="_Toc30631"/>
      <w:bookmarkStart w:id="97" w:name="_Toc17568"/>
      <w:bookmarkStart w:id="98" w:name="_Toc26468"/>
      <w:r>
        <w:rPr>
          <w:rFonts w:hint="eastAsia" w:ascii="宋体" w:hAnsi="宋体" w:eastAsia="宋体" w:cs="宋体"/>
          <w:b w:val="0"/>
          <w:kern w:val="2"/>
          <w:sz w:val="24"/>
          <w:szCs w:val="24"/>
          <w:lang w:val="en-US" w:eastAsia="zh-CN" w:bidi="ar-SA"/>
        </w:rPr>
        <w:t>（三）《</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通知书》将作为签订合同的依据。</w:t>
      </w:r>
      <w:bookmarkEnd w:id="95"/>
      <w:bookmarkEnd w:id="96"/>
      <w:bookmarkEnd w:id="97"/>
      <w:bookmarkEnd w:id="98"/>
    </w:p>
    <w:p w14:paraId="74E50496">
      <w:pPr>
        <w:pStyle w:val="5"/>
        <w:spacing w:before="0" w:after="0" w:line="360" w:lineRule="auto"/>
        <w:rPr>
          <w:rFonts w:hint="eastAsia" w:ascii="宋体" w:hAnsi="宋体" w:eastAsia="宋体" w:cs="宋体"/>
          <w:b w:val="0"/>
          <w:kern w:val="2"/>
          <w:sz w:val="24"/>
          <w:szCs w:val="24"/>
          <w:lang w:val="en-US" w:eastAsia="zh-CN" w:bidi="ar-SA"/>
        </w:rPr>
      </w:pPr>
      <w:bookmarkStart w:id="99" w:name="_Toc13962"/>
      <w:bookmarkStart w:id="100" w:name="_Toc31408"/>
      <w:bookmarkStart w:id="101" w:name="_Toc7603"/>
      <w:bookmarkStart w:id="102" w:name="_Toc24538"/>
      <w:r>
        <w:rPr>
          <w:rFonts w:hint="eastAsia" w:ascii="宋体" w:hAnsi="宋体" w:eastAsia="宋体" w:cs="宋体"/>
          <w:b w:val="0"/>
          <w:kern w:val="2"/>
          <w:sz w:val="24"/>
          <w:szCs w:val="24"/>
          <w:lang w:val="en-US" w:eastAsia="zh-CN" w:bidi="ar-SA"/>
        </w:rPr>
        <w:t>（四）如有供应商对成交结果提出质疑的，在质疑处理完毕后发出</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w:t>
      </w:r>
      <w:bookmarkEnd w:id="99"/>
      <w:bookmarkEnd w:id="100"/>
      <w:bookmarkEnd w:id="101"/>
      <w:bookmarkEnd w:id="102"/>
    </w:p>
    <w:p w14:paraId="33C672A2">
      <w:pPr>
        <w:pStyle w:val="5"/>
        <w:spacing w:before="0" w:after="0" w:line="360" w:lineRule="auto"/>
        <w:rPr>
          <w:rFonts w:hint="eastAsia" w:ascii="宋体" w:hAnsi="宋体" w:eastAsia="宋体" w:cs="宋体"/>
          <w:sz w:val="24"/>
          <w:szCs w:val="24"/>
        </w:rPr>
      </w:pPr>
      <w:bookmarkStart w:id="103" w:name="_Toc25706"/>
      <w:r>
        <w:rPr>
          <w:rFonts w:hint="eastAsia" w:ascii="宋体" w:hAnsi="宋体" w:eastAsia="宋体" w:cs="宋体"/>
          <w:sz w:val="24"/>
          <w:szCs w:val="24"/>
        </w:rPr>
        <w:t>六、关于质疑和投诉</w:t>
      </w:r>
      <w:bookmarkEnd w:id="103"/>
    </w:p>
    <w:p w14:paraId="0FE69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（一）质疑</w:t>
      </w:r>
    </w:p>
    <w:p w14:paraId="0CB4C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0D80FC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68004A9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1.质疑时限、内容</w:t>
      </w:r>
    </w:p>
    <w:p w14:paraId="6E532CD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4CCC412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311EDEC7">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305612CF">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1.2.2质疑项目的名称、项目号以及磋商项目编号；</w:t>
      </w:r>
    </w:p>
    <w:p w14:paraId="56D339A0">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08B49A4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1.2.4事实依据；</w:t>
      </w:r>
    </w:p>
    <w:p w14:paraId="3DF09BA6">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1.2.5必要的法律依据；</w:t>
      </w:r>
    </w:p>
    <w:p w14:paraId="0BBF82A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1.2.6提出质疑的日期；</w:t>
      </w:r>
    </w:p>
    <w:p w14:paraId="689D48E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1.2.7营业执照（或事业单位法人证书，或个体工商户营业执照或有效的自然人身份证明、组织机构代码证）复印件；</w:t>
      </w:r>
    </w:p>
    <w:p w14:paraId="6A145764">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3B61BDD5">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w:t>
      </w:r>
      <w:r>
        <w:rPr>
          <w:rFonts w:hint="eastAsia" w:ascii="宋体" w:hAnsi="宋体" w:cs="宋体"/>
          <w:sz w:val="24"/>
          <w:szCs w:val="24"/>
          <w:lang w:val="en-US" w:eastAsia="zh-CN"/>
        </w:rPr>
        <w:t>和</w:t>
      </w:r>
      <w:r>
        <w:rPr>
          <w:rFonts w:hint="eastAsia" w:ascii="宋体" w:hAnsi="宋体" w:eastAsia="宋体" w:cs="宋体"/>
          <w:sz w:val="24"/>
          <w:szCs w:val="24"/>
        </w:rPr>
        <w:t>盖章，并加盖公章。</w:t>
      </w:r>
    </w:p>
    <w:p w14:paraId="462059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2.质疑答复</w:t>
      </w:r>
    </w:p>
    <w:p w14:paraId="1B45350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336FDDA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3.其他</w:t>
      </w:r>
    </w:p>
    <w:p w14:paraId="5FA6D9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75EE18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3.2质疑函范本可在代理机构领取下载。</w:t>
      </w:r>
    </w:p>
    <w:p w14:paraId="097797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（二）投诉</w:t>
      </w:r>
    </w:p>
    <w:p w14:paraId="4892EA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352234BE">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14:paraId="165F8E8C">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0ADE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2FB5B3D">
      <w:pPr>
        <w:pStyle w:val="5"/>
        <w:spacing w:before="0" w:after="0" w:line="360" w:lineRule="auto"/>
        <w:rPr>
          <w:rFonts w:hint="eastAsia" w:ascii="宋体" w:hAnsi="宋体" w:eastAsia="宋体" w:cs="宋体"/>
          <w:sz w:val="24"/>
          <w:szCs w:val="24"/>
        </w:rPr>
      </w:pPr>
      <w:bookmarkStart w:id="104" w:name="_Toc22010"/>
      <w:r>
        <w:rPr>
          <w:rFonts w:hint="eastAsia" w:ascii="宋体" w:hAnsi="宋体" w:eastAsia="宋体" w:cs="宋体"/>
          <w:sz w:val="24"/>
          <w:szCs w:val="24"/>
        </w:rPr>
        <w:t>七、采购代理服务费</w:t>
      </w:r>
      <w:bookmarkEnd w:id="104"/>
    </w:p>
    <w:p w14:paraId="57B254E8">
      <w:pPr>
        <w:pStyle w:val="3"/>
        <w:spacing w:line="360" w:lineRule="auto"/>
        <w:ind w:firstLine="480" w:firstLineChars="200"/>
        <w:rPr>
          <w:rFonts w:hint="eastAsia"/>
          <w:lang w:eastAsia="zh-CN"/>
        </w:rPr>
      </w:pPr>
      <w:r>
        <w:rPr>
          <w:rFonts w:hint="eastAsia" w:ascii="宋体" w:hAnsi="宋体" w:cs="宋体"/>
          <w:color w:val="auto"/>
          <w:sz w:val="24"/>
          <w:szCs w:val="24"/>
          <w:highlight w:val="none"/>
          <w:lang w:eastAsia="zh-CN"/>
        </w:rPr>
        <w:t>供应商中标后在领取成交通知书前一次性向采购代理机构缴纳代理服务费，代理服务费按预算金额的1.2%收取，采购代理服务费为：</w:t>
      </w:r>
      <w:r>
        <w:rPr>
          <w:rFonts w:hint="eastAsia" w:hAnsi="宋体" w:cs="宋体"/>
          <w:color w:val="auto"/>
          <w:sz w:val="24"/>
          <w:szCs w:val="24"/>
          <w:highlight w:val="none"/>
          <w:lang w:val="en-US" w:eastAsia="zh-CN"/>
        </w:rPr>
        <w:t>4560</w:t>
      </w:r>
      <w:r>
        <w:rPr>
          <w:rFonts w:hint="eastAsia" w:ascii="宋体" w:hAnsi="宋体" w:cs="宋体"/>
          <w:color w:val="auto"/>
          <w:sz w:val="24"/>
          <w:szCs w:val="24"/>
          <w:highlight w:val="none"/>
          <w:lang w:eastAsia="zh-CN"/>
        </w:rPr>
        <w:t>元，大写：（</w:t>
      </w:r>
      <w:r>
        <w:rPr>
          <w:rFonts w:hint="eastAsia" w:hAnsi="宋体" w:cs="宋体"/>
          <w:color w:val="auto"/>
          <w:sz w:val="24"/>
          <w:szCs w:val="24"/>
          <w:highlight w:val="none"/>
          <w:lang w:val="en-US" w:eastAsia="zh-CN"/>
        </w:rPr>
        <w:t>肆仟伍佰陆拾</w:t>
      </w:r>
      <w:r>
        <w:rPr>
          <w:rFonts w:hint="eastAsia" w:ascii="宋体" w:hAnsi="宋体" w:cs="宋体"/>
          <w:color w:val="auto"/>
          <w:sz w:val="24"/>
          <w:szCs w:val="24"/>
          <w:highlight w:val="none"/>
          <w:lang w:eastAsia="zh-CN"/>
        </w:rPr>
        <w:t>元整）。采购代理费已含在供应商的投标报价中，采购人不再另行单独支付此费用</w:t>
      </w:r>
      <w:r>
        <w:rPr>
          <w:rFonts w:hint="eastAsia" w:ascii="宋体" w:hAnsi="宋体" w:eastAsia="宋体" w:cs="宋体"/>
          <w:color w:val="auto"/>
          <w:sz w:val="24"/>
          <w:szCs w:val="24"/>
          <w:highlight w:val="none"/>
          <w:lang w:eastAsia="zh-CN"/>
        </w:rPr>
        <w:t>。</w:t>
      </w:r>
    </w:p>
    <w:p w14:paraId="25B27945">
      <w:pPr>
        <w:pStyle w:val="5"/>
        <w:spacing w:before="0" w:after="0" w:line="360" w:lineRule="auto"/>
        <w:rPr>
          <w:rFonts w:hint="eastAsia" w:ascii="宋体" w:hAnsi="宋体" w:eastAsia="宋体" w:cs="宋体"/>
          <w:b/>
          <w:bCs w:val="0"/>
          <w:sz w:val="24"/>
          <w:szCs w:val="24"/>
        </w:rPr>
      </w:pPr>
      <w:bookmarkStart w:id="105" w:name="_Toc102227322"/>
      <w:bookmarkStart w:id="106" w:name="_Toc10080"/>
      <w:bookmarkStart w:id="107" w:name="_Toc342913396"/>
      <w:bookmarkStart w:id="108" w:name="_Toc12789059"/>
      <w:bookmarkStart w:id="109" w:name="_Toc11641055"/>
      <w:r>
        <w:rPr>
          <w:rFonts w:hint="eastAsia" w:ascii="宋体" w:hAnsi="宋体" w:eastAsia="宋体" w:cs="宋体"/>
          <w:b/>
          <w:bCs w:val="0"/>
          <w:sz w:val="24"/>
          <w:szCs w:val="24"/>
        </w:rPr>
        <w:t>八、签订</w:t>
      </w:r>
      <w:bookmarkEnd w:id="105"/>
      <w:r>
        <w:rPr>
          <w:rFonts w:hint="eastAsia" w:ascii="宋体" w:hAnsi="宋体" w:eastAsia="宋体" w:cs="宋体"/>
          <w:b/>
          <w:bCs w:val="0"/>
          <w:sz w:val="24"/>
          <w:szCs w:val="24"/>
        </w:rPr>
        <w:t>合同</w:t>
      </w:r>
      <w:bookmarkEnd w:id="106"/>
      <w:bookmarkEnd w:id="107"/>
    </w:p>
    <w:p w14:paraId="0B10439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（一）采购人应当自</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通知书发出之日起</w:t>
      </w:r>
      <w:r>
        <w:rPr>
          <w:rFonts w:hint="eastAsia" w:ascii="宋体" w:hAnsi="宋体" w:cs="宋体"/>
          <w:b w:val="0"/>
          <w:bCs/>
          <w:sz w:val="24"/>
          <w:szCs w:val="24"/>
          <w:lang w:val="en-US" w:eastAsia="zh-CN"/>
        </w:rPr>
        <w:t>二</w:t>
      </w:r>
      <w:r>
        <w:rPr>
          <w:rFonts w:hint="eastAsia" w:ascii="宋体" w:hAnsi="宋体" w:eastAsia="宋体" w:cs="宋体"/>
          <w:b w:val="0"/>
          <w:bCs/>
          <w:sz w:val="24"/>
          <w:szCs w:val="24"/>
        </w:rPr>
        <w:t>十日内，按照竞争性磋商文件和</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供应商响应文件的约定，与</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供应商签订书面合同。所签订的合同不得对竞争性磋商文件和供应商的响应文件作实质性修改。</w:t>
      </w:r>
    </w:p>
    <w:p w14:paraId="70759E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）竞争性磋商文件、供应商的响应文件及澄清文件等，均为签订政府采购合同的依据。</w:t>
      </w:r>
    </w:p>
    <w:p w14:paraId="25449C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14:paraId="60409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）合同原则上应按照《重庆市政府采购合同》签订，相关单位要求适用合同通用格式版本的，应按其要求另行签订其他合同。</w:t>
      </w:r>
    </w:p>
    <w:p w14:paraId="24CD60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）采购人要求</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供应商提供履约保证金的，应当在竞争性磋商文件中予以约定。</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供应商履约完毕后，采购人根据采购文件规定无息退还其履约保证金。</w:t>
      </w:r>
    </w:p>
    <w:p w14:paraId="0B52201F">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sz w:val="36"/>
          <w:szCs w:val="30"/>
        </w:rPr>
        <w:br w:type="page"/>
      </w:r>
      <w:bookmarkStart w:id="110" w:name="_Toc7011"/>
      <w:r>
        <w:rPr>
          <w:rFonts w:hint="eastAsia" w:ascii="宋体" w:hAnsi="宋体" w:eastAsia="宋体" w:cs="宋体"/>
          <w:b w:val="0"/>
          <w:sz w:val="36"/>
          <w:szCs w:val="30"/>
        </w:rPr>
        <w:t xml:space="preserve">第六篇  </w:t>
      </w:r>
      <w:bookmarkEnd w:id="108"/>
      <w:bookmarkEnd w:id="109"/>
      <w:r>
        <w:rPr>
          <w:rFonts w:hint="eastAsia" w:ascii="宋体" w:hAnsi="宋体" w:eastAsia="宋体" w:cs="宋体"/>
          <w:b w:val="0"/>
          <w:sz w:val="36"/>
          <w:szCs w:val="30"/>
        </w:rPr>
        <w:t>政府采购合同（仅供参考）</w:t>
      </w:r>
      <w:bookmarkEnd w:id="110"/>
    </w:p>
    <w:p w14:paraId="4F1CB69E">
      <w:pPr>
        <w:spacing w:line="500" w:lineRule="exact"/>
        <w:jc w:val="center"/>
        <w:rPr>
          <w:rFonts w:hint="eastAsia" w:ascii="宋体" w:hAnsi="宋体" w:eastAsia="宋体" w:cs="宋体"/>
        </w:rPr>
      </w:pPr>
    </w:p>
    <w:p w14:paraId="3A843835">
      <w:pPr>
        <w:spacing w:line="440" w:lineRule="exact"/>
        <w:rPr>
          <w:rFonts w:hint="eastAsia" w:ascii="宋体" w:hAnsi="宋体" w:eastAsia="宋体" w:cs="宋体"/>
          <w:color w:val="auto"/>
          <w:sz w:val="24"/>
        </w:rPr>
      </w:pPr>
      <w:bookmarkStart w:id="111" w:name="_Hlt41879464"/>
      <w:bookmarkEnd w:id="111"/>
      <w:r>
        <w:rPr>
          <w:rFonts w:hint="eastAsia" w:ascii="宋体" w:hAnsi="宋体" w:eastAsia="宋体" w:cs="宋体"/>
          <w:color w:val="auto"/>
          <w:sz w:val="24"/>
        </w:rPr>
        <w:t>甲方（需方）：___________________________</w:t>
      </w:r>
    </w:p>
    <w:p w14:paraId="2F1B649E">
      <w:pPr>
        <w:spacing w:line="44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w:t>
      </w:r>
    </w:p>
    <w:p w14:paraId="02A53AF6">
      <w:pPr>
        <w:spacing w:line="44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61"/>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473"/>
        <w:gridCol w:w="888"/>
        <w:gridCol w:w="653"/>
        <w:gridCol w:w="1500"/>
        <w:gridCol w:w="1500"/>
        <w:gridCol w:w="1472"/>
      </w:tblGrid>
      <w:tr w14:paraId="16E0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E69BA4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1473" w:type="dxa"/>
            <w:noWrap/>
            <w:vAlign w:val="center"/>
          </w:tcPr>
          <w:p w14:paraId="37D3540A">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数量</w:t>
            </w:r>
          </w:p>
        </w:tc>
        <w:tc>
          <w:tcPr>
            <w:tcW w:w="1541" w:type="dxa"/>
            <w:gridSpan w:val="2"/>
            <w:noWrap/>
            <w:vAlign w:val="center"/>
          </w:tcPr>
          <w:p w14:paraId="6A57DA4E">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综合单价</w:t>
            </w:r>
          </w:p>
        </w:tc>
        <w:tc>
          <w:tcPr>
            <w:tcW w:w="1500" w:type="dxa"/>
            <w:noWrap/>
            <w:vAlign w:val="center"/>
          </w:tcPr>
          <w:p w14:paraId="298301C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00" w:type="dxa"/>
            <w:shd w:val="clear" w:color="auto" w:fill="auto"/>
            <w:noWrap/>
            <w:vAlign w:val="center"/>
          </w:tcPr>
          <w:p w14:paraId="1C36485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服务时间</w:t>
            </w:r>
          </w:p>
        </w:tc>
        <w:tc>
          <w:tcPr>
            <w:tcW w:w="1472" w:type="dxa"/>
            <w:shd w:val="clear" w:color="auto" w:fill="auto"/>
            <w:noWrap/>
            <w:vAlign w:val="center"/>
          </w:tcPr>
          <w:p w14:paraId="4731EBD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服务地点</w:t>
            </w:r>
          </w:p>
        </w:tc>
      </w:tr>
      <w:tr w14:paraId="416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52C46C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6745C0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7B7EAD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5C478F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0570792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399C881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496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07B65C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11E5480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4CBA88D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29B0F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39414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58DAAC7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3FA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582D099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4E5BDC7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1BB297D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695D34E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45B20F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1779258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24F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7FD7688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0F4A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0971E3D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228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28" w:type="dxa"/>
            <w:gridSpan w:val="7"/>
            <w:noWrap/>
          </w:tcPr>
          <w:p w14:paraId="12405167">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服务要求</w:t>
            </w:r>
            <w:r>
              <w:rPr>
                <w:rFonts w:hint="eastAsia" w:ascii="宋体" w:hAnsi="宋体" w:eastAsia="宋体" w:cs="宋体"/>
                <w:color w:val="auto"/>
                <w:sz w:val="21"/>
                <w:szCs w:val="21"/>
              </w:rPr>
              <w:t>：</w:t>
            </w:r>
          </w:p>
          <w:p w14:paraId="00C7FB2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5C0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7"/>
            <w:noWrap/>
          </w:tcPr>
          <w:p w14:paraId="7504907E">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二、验收</w:t>
            </w:r>
            <w:r>
              <w:rPr>
                <w:rFonts w:hint="eastAsia" w:ascii="宋体" w:hAnsi="宋体" w:eastAsia="宋体" w:cs="宋体"/>
                <w:color w:val="auto"/>
                <w:sz w:val="21"/>
                <w:szCs w:val="21"/>
                <w:lang w:val="en-US" w:eastAsia="zh-CN"/>
              </w:rPr>
              <w:t>方式</w:t>
            </w:r>
            <w:r>
              <w:rPr>
                <w:rFonts w:hint="eastAsia" w:ascii="宋体" w:hAnsi="宋体" w:eastAsia="宋体" w:cs="宋体"/>
                <w:color w:val="auto"/>
                <w:sz w:val="21"/>
                <w:szCs w:val="21"/>
              </w:rPr>
              <w:t>：</w:t>
            </w:r>
          </w:p>
          <w:p w14:paraId="3AD26A0B">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0CF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7"/>
            <w:noWrap/>
          </w:tcPr>
          <w:p w14:paraId="7BE7F93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142C6001">
            <w:pPr>
              <w:pStyle w:val="33"/>
              <w:keepNext w:val="0"/>
              <w:keepLines w:val="0"/>
              <w:suppressLineNumbers w:val="0"/>
              <w:snapToGrid w:val="0"/>
              <w:spacing w:before="0" w:beforeAutospacing="0" w:after="0" w:afterAutospacing="0"/>
              <w:ind w:left="1540" w:right="0" w:hanging="420"/>
              <w:rPr>
                <w:rFonts w:hint="eastAsia" w:ascii="宋体" w:hAnsi="宋体" w:eastAsia="宋体" w:cs="宋体"/>
                <w:color w:val="auto"/>
                <w:sz w:val="21"/>
                <w:szCs w:val="21"/>
              </w:rPr>
            </w:pPr>
          </w:p>
        </w:tc>
      </w:tr>
      <w:tr w14:paraId="7EE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48C02E5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10166AE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按《中华人民共和国民法典》、《政府采购法》执行，或按双方约定。</w:t>
            </w:r>
          </w:p>
        </w:tc>
      </w:tr>
      <w:tr w14:paraId="376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654B072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147A86E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1、采购文件及其补遗文件、投标文件和承诺是本合同不可分割的部分。</w:t>
            </w:r>
          </w:p>
          <w:p w14:paraId="4B53DFCA">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本合同如发生争议由双方协商解决，协商不成向需方所在人民法院提请诉讼。</w:t>
            </w:r>
          </w:p>
          <w:p w14:paraId="7313350E">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本合同一式__份， 需方__份，供方__份，具同等法律效力。</w:t>
            </w:r>
          </w:p>
          <w:p w14:paraId="4F74566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2、其他：</w:t>
            </w:r>
          </w:p>
        </w:tc>
      </w:tr>
      <w:tr w14:paraId="17A2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3"/>
            <w:noWrap/>
          </w:tcPr>
          <w:p w14:paraId="30B865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44CEDF3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0671C8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640A7BF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4"/>
            <w:noWrap/>
          </w:tcPr>
          <w:p w14:paraId="46FB565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5C39447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892F7C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CB3AC0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641D49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E47ACA4">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737A06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9745078">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33A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7"/>
            <w:noWrap/>
          </w:tcPr>
          <w:p w14:paraId="1EA0D06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bl>
    <w:p w14:paraId="3229EF65">
      <w:pPr>
        <w:pStyle w:val="253"/>
        <w:rPr>
          <w:rFonts w:hint="eastAsia" w:ascii="宋体" w:hAnsi="宋体" w:eastAsia="宋体" w:cs="宋体"/>
          <w:color w:val="auto"/>
          <w:szCs w:val="28"/>
          <w:highlight w:val="none"/>
          <w:lang w:val="en-US" w:eastAsia="zh-CN"/>
        </w:rPr>
      </w:pPr>
      <w:r>
        <w:rPr>
          <w:rFonts w:hint="eastAsia" w:ascii="宋体" w:hAnsi="宋体" w:eastAsia="宋体" w:cs="宋体"/>
          <w:color w:val="auto"/>
        </w:rPr>
        <w:t>签约时间：           年   月   日         签约地点：</w:t>
      </w:r>
    </w:p>
    <w:p w14:paraId="578ACA02">
      <w:pPr>
        <w:pStyle w:val="4"/>
        <w:spacing w:before="0" w:after="0" w:line="360" w:lineRule="auto"/>
        <w:jc w:val="center"/>
        <w:rPr>
          <w:rFonts w:hint="eastAsia" w:ascii="宋体" w:hAnsi="宋体" w:eastAsia="宋体" w:cs="宋体"/>
          <w:b w:val="0"/>
          <w:sz w:val="36"/>
          <w:szCs w:val="30"/>
        </w:rPr>
      </w:pPr>
    </w:p>
    <w:p w14:paraId="1BE92225">
      <w:pPr>
        <w:pStyle w:val="4"/>
        <w:spacing w:before="0" w:after="0" w:line="360" w:lineRule="auto"/>
        <w:jc w:val="center"/>
        <w:rPr>
          <w:rFonts w:hint="eastAsia" w:ascii="宋体" w:hAnsi="宋体" w:eastAsia="宋体" w:cs="宋体"/>
          <w:b w:val="0"/>
          <w:sz w:val="36"/>
          <w:szCs w:val="30"/>
        </w:rPr>
      </w:pPr>
      <w:bookmarkStart w:id="112" w:name="_Toc14188"/>
      <w:r>
        <w:rPr>
          <w:rFonts w:hint="eastAsia" w:ascii="宋体" w:hAnsi="宋体" w:eastAsia="宋体" w:cs="宋体"/>
          <w:b w:val="0"/>
          <w:sz w:val="36"/>
          <w:szCs w:val="30"/>
        </w:rPr>
        <w:t>第七篇  响应文件编制要求</w:t>
      </w:r>
      <w:bookmarkEnd w:id="112"/>
    </w:p>
    <w:p w14:paraId="3B3C53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EA98A4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3565EAB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服务</w:t>
      </w:r>
      <w:r>
        <w:rPr>
          <w:rFonts w:hint="eastAsia" w:ascii="宋体" w:hAnsi="宋体" w:eastAsia="宋体" w:cs="宋体"/>
          <w:sz w:val="24"/>
          <w:szCs w:val="24"/>
        </w:rPr>
        <w:t>部分</w:t>
      </w:r>
    </w:p>
    <w:p w14:paraId="630433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服务</w:t>
      </w:r>
      <w:r>
        <w:rPr>
          <w:rFonts w:hint="eastAsia" w:ascii="宋体" w:hAnsi="宋体" w:eastAsia="宋体" w:cs="宋体"/>
          <w:sz w:val="24"/>
          <w:szCs w:val="24"/>
        </w:rPr>
        <w:t>响应偏离表</w:t>
      </w:r>
    </w:p>
    <w:p w14:paraId="01DE03DB">
      <w:pPr>
        <w:spacing w:line="44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（二）</w:t>
      </w:r>
      <w:r>
        <w:rPr>
          <w:rFonts w:hint="eastAsia" w:ascii="宋体" w:hAnsi="宋体" w:cs="宋体"/>
          <w:sz w:val="24"/>
          <w:szCs w:val="24"/>
          <w:lang w:val="en-US" w:eastAsia="zh-CN"/>
        </w:rPr>
        <w:t>服务方案</w:t>
      </w:r>
    </w:p>
    <w:p w14:paraId="078D82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0B1BB9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15E9A4E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）商务部分评分资料</w:t>
      </w:r>
    </w:p>
    <w:p w14:paraId="65D864D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564BA5E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182A6F7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特定资格条件证明材料</w:t>
      </w:r>
    </w:p>
    <w:p w14:paraId="3746782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51473E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）法定代表人授权委托书（格式）</w:t>
      </w:r>
    </w:p>
    <w:p w14:paraId="6DCA32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）基本资格条件承诺函（格式）</w:t>
      </w:r>
    </w:p>
    <w:p w14:paraId="2500156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682EEE6F">
      <w:pPr>
        <w:snapToGrid w:val="0"/>
        <w:spacing w:line="360" w:lineRule="auto"/>
        <w:rPr>
          <w:rFonts w:hint="eastAsia" w:ascii="宋体" w:hAnsi="宋体" w:eastAsia="宋体" w:cs="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）其他与项目有关的资料</w:t>
      </w:r>
      <w:r>
        <w:rPr>
          <w:rFonts w:hint="eastAsia" w:ascii="宋体" w:hAnsi="宋体" w:cs="宋体"/>
          <w:sz w:val="24"/>
          <w:szCs w:val="24"/>
          <w:lang w:eastAsia="zh-CN"/>
        </w:rPr>
        <w:t>（</w:t>
      </w:r>
      <w:r>
        <w:rPr>
          <w:rFonts w:hint="eastAsia" w:ascii="宋体" w:hAnsi="宋体" w:cs="宋体"/>
          <w:sz w:val="24"/>
          <w:szCs w:val="24"/>
          <w:lang w:val="en-US" w:eastAsia="zh-CN"/>
        </w:rPr>
        <w:t>自附</w:t>
      </w:r>
      <w:r>
        <w:rPr>
          <w:rFonts w:hint="eastAsia" w:ascii="宋体" w:hAnsi="宋体" w:cs="宋体"/>
          <w:sz w:val="24"/>
          <w:szCs w:val="24"/>
          <w:lang w:eastAsia="zh-CN"/>
        </w:rPr>
        <w:t>）</w:t>
      </w:r>
    </w:p>
    <w:p w14:paraId="2D877C46">
      <w:pPr>
        <w:pStyle w:val="5"/>
        <w:spacing w:before="0" w:after="0" w:line="360" w:lineRule="auto"/>
        <w:rPr>
          <w:rFonts w:hint="eastAsia" w:ascii="宋体" w:hAnsi="宋体" w:eastAsia="宋体" w:cs="宋体"/>
          <w:sz w:val="24"/>
          <w:szCs w:val="24"/>
        </w:rPr>
      </w:pPr>
      <w:bookmarkStart w:id="113" w:name="_Toc313888360"/>
      <w:bookmarkStart w:id="114" w:name="_Toc313008356"/>
      <w:bookmarkStart w:id="115" w:name="_Toc342913419"/>
      <w:bookmarkStart w:id="116" w:name="_Toc10503"/>
      <w:bookmarkStart w:id="117" w:name="_Toc12789073"/>
      <w:bookmarkStart w:id="118" w:name="_Toc283382454"/>
      <w:r>
        <w:rPr>
          <w:rFonts w:hint="eastAsia" w:ascii="宋体" w:hAnsi="宋体" w:eastAsia="宋体" w:cs="宋体"/>
          <w:sz w:val="24"/>
          <w:szCs w:val="24"/>
        </w:rPr>
        <w:t>一、经济部分</w:t>
      </w:r>
      <w:bookmarkEnd w:id="113"/>
      <w:bookmarkEnd w:id="114"/>
      <w:bookmarkEnd w:id="115"/>
      <w:bookmarkEnd w:id="116"/>
    </w:p>
    <w:bookmarkEnd w:id="117"/>
    <w:bookmarkEnd w:id="118"/>
    <w:p w14:paraId="54A0CF7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（一）竞争性磋商报价函</w:t>
      </w:r>
    </w:p>
    <w:p w14:paraId="2F271DE8">
      <w:pPr>
        <w:tabs>
          <w:tab w:val="left" w:pos="6300"/>
        </w:tabs>
        <w:snapToGrid w:val="0"/>
        <w:spacing w:line="312" w:lineRule="auto"/>
        <w:jc w:val="center"/>
        <w:outlineLvl w:val="0"/>
        <w:rPr>
          <w:rFonts w:hint="eastAsia" w:ascii="宋体" w:hAnsi="宋体" w:eastAsia="宋体" w:cs="宋体"/>
          <w:b/>
          <w:szCs w:val="28"/>
        </w:rPr>
      </w:pPr>
    </w:p>
    <w:p w14:paraId="03A47EEC">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534FB671">
      <w:pPr>
        <w:tabs>
          <w:tab w:val="left" w:pos="6300"/>
        </w:tabs>
        <w:snapToGrid w:val="0"/>
        <w:spacing w:line="312" w:lineRule="auto"/>
        <w:rPr>
          <w:rFonts w:hint="eastAsia" w:ascii="宋体" w:hAnsi="宋体" w:eastAsia="宋体" w:cs="宋体"/>
          <w:szCs w:val="28"/>
        </w:rPr>
      </w:pPr>
      <w:r>
        <w:rPr>
          <w:rFonts w:hint="eastAsia" w:ascii="宋体" w:hAnsi="宋体" w:eastAsia="宋体" w:cs="宋体"/>
          <w:szCs w:val="28"/>
          <w:u w:val="single"/>
        </w:rPr>
        <w:t>（</w:t>
      </w:r>
      <w:r>
        <w:rPr>
          <w:rFonts w:hint="eastAsia" w:ascii="宋体" w:hAnsi="宋体" w:eastAsia="宋体" w:cs="宋体"/>
          <w:color w:val="auto"/>
          <w:sz w:val="24"/>
          <w:szCs w:val="24"/>
          <w:highlight w:val="none"/>
          <w:u w:val="single"/>
        </w:rPr>
        <w:t>采购人名称</w:t>
      </w:r>
      <w:r>
        <w:rPr>
          <w:rFonts w:hint="eastAsia" w:ascii="宋体" w:hAnsi="宋体" w:eastAsia="宋体" w:cs="宋体"/>
          <w:szCs w:val="28"/>
          <w:u w:val="single"/>
        </w:rPr>
        <w:t>）</w:t>
      </w:r>
      <w:r>
        <w:rPr>
          <w:rFonts w:hint="eastAsia" w:ascii="宋体" w:hAnsi="宋体" w:eastAsia="宋体" w:cs="宋体"/>
          <w:szCs w:val="28"/>
        </w:rPr>
        <w:t>：</w:t>
      </w:r>
    </w:p>
    <w:p w14:paraId="1296A14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我方收到____________________________（磋商项目名称）的竞争性磋商文件，经详细研究，决定参加该项目的磋商。</w:t>
      </w:r>
    </w:p>
    <w:p w14:paraId="423008C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1.愿意按照竞争性磋商文件中的一切要求，提供本项目的</w:t>
      </w:r>
      <w:r>
        <w:rPr>
          <w:rFonts w:hint="eastAsia" w:ascii="宋体" w:hAnsi="宋体" w:cs="宋体"/>
          <w:szCs w:val="28"/>
          <w:lang w:val="en-US" w:eastAsia="zh-CN"/>
        </w:rPr>
        <w:t>服务</w:t>
      </w:r>
      <w:r>
        <w:rPr>
          <w:rFonts w:hint="eastAsia" w:ascii="宋体" w:hAnsi="宋体" w:eastAsia="宋体" w:cs="宋体"/>
          <w:szCs w:val="28"/>
        </w:rPr>
        <w:t>，初始报价为人民币大写：</w:t>
      </w:r>
      <w:r>
        <w:rPr>
          <w:rFonts w:hint="eastAsia" w:ascii="宋体" w:hAnsi="宋体" w:eastAsia="宋体" w:cs="宋体"/>
          <w:szCs w:val="28"/>
          <w:u w:val="single"/>
        </w:rPr>
        <w:t xml:space="preserve">      </w:t>
      </w:r>
      <w:r>
        <w:rPr>
          <w:rFonts w:hint="eastAsia" w:ascii="宋体" w:hAnsi="宋体" w:eastAsia="宋体" w:cs="宋体"/>
          <w:szCs w:val="28"/>
        </w:rPr>
        <w:t>；人民币小写：</w:t>
      </w:r>
      <w:r>
        <w:rPr>
          <w:rFonts w:hint="eastAsia" w:ascii="宋体" w:hAnsi="宋体" w:eastAsia="宋体" w:cs="宋体"/>
          <w:szCs w:val="28"/>
          <w:u w:val="single"/>
        </w:rPr>
        <w:t xml:space="preserve">    </w:t>
      </w:r>
      <w:r>
        <w:rPr>
          <w:rFonts w:hint="eastAsia" w:ascii="宋体" w:hAnsi="宋体" w:eastAsia="宋体" w:cs="宋体"/>
          <w:szCs w:val="28"/>
        </w:rPr>
        <w:t>元。以我公司最后报价为准。</w:t>
      </w:r>
    </w:p>
    <w:p w14:paraId="33543BB4">
      <w:pPr>
        <w:tabs>
          <w:tab w:val="left" w:pos="6300"/>
        </w:tabs>
        <w:snapToGrid w:val="0"/>
        <w:spacing w:line="312" w:lineRule="auto"/>
        <w:ind w:left="280" w:leftChars="100" w:firstLine="280" w:firstLineChars="100"/>
        <w:rPr>
          <w:rFonts w:hint="eastAsia" w:ascii="宋体" w:hAnsi="宋体" w:eastAsia="宋体" w:cs="宋体"/>
          <w:szCs w:val="28"/>
          <w:lang w:eastAsia="zh-CN"/>
        </w:rPr>
      </w:pPr>
      <w:r>
        <w:rPr>
          <w:rFonts w:hint="eastAsia" w:ascii="宋体" w:hAnsi="宋体" w:eastAsia="宋体" w:cs="宋体"/>
          <w:szCs w:val="28"/>
        </w:rPr>
        <w:t>2.我方现提交的响应文件为：响应文件正本</w:t>
      </w:r>
      <w:r>
        <w:rPr>
          <w:rFonts w:hint="eastAsia" w:ascii="宋体" w:hAnsi="宋体" w:eastAsia="宋体" w:cs="宋体"/>
          <w:szCs w:val="28"/>
          <w:u w:val="single"/>
        </w:rPr>
        <w:t xml:space="preserve">   </w:t>
      </w:r>
      <w:r>
        <w:rPr>
          <w:rFonts w:hint="eastAsia" w:ascii="宋体" w:hAnsi="宋体" w:eastAsia="宋体" w:cs="宋体"/>
          <w:szCs w:val="28"/>
        </w:rPr>
        <w:t>份，副本</w:t>
      </w:r>
      <w:r>
        <w:rPr>
          <w:rFonts w:hint="eastAsia" w:ascii="宋体" w:hAnsi="宋体" w:eastAsia="宋体" w:cs="宋体"/>
          <w:szCs w:val="28"/>
          <w:u w:val="single"/>
        </w:rPr>
        <w:t xml:space="preserve">   </w:t>
      </w:r>
      <w:r>
        <w:rPr>
          <w:rFonts w:hint="eastAsia" w:ascii="宋体" w:hAnsi="宋体" w:eastAsia="宋体" w:cs="宋体"/>
          <w:szCs w:val="28"/>
        </w:rPr>
        <w:t>份</w:t>
      </w:r>
      <w:r>
        <w:rPr>
          <w:rFonts w:hint="eastAsia" w:ascii="宋体" w:hAnsi="宋体" w:cs="宋体"/>
          <w:szCs w:val="28"/>
          <w:lang w:eastAsia="zh-CN"/>
        </w:rPr>
        <w:t>。</w:t>
      </w:r>
    </w:p>
    <w:p w14:paraId="1128C450">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3.我方承诺：本次磋商的有效期为90天。</w:t>
      </w:r>
    </w:p>
    <w:p w14:paraId="1493AE3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4.我方完全理解和接受贵方竞争性磋商文件的一切规定和要求及评审办法。</w:t>
      </w:r>
    </w:p>
    <w:p w14:paraId="178CF613">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5.在整个竞争性磋商过程中，我方若有违规行为，接受按照《中华人民共和国政府采购法》和《竞争性磋商文件》之规定给予惩罚。</w:t>
      </w:r>
    </w:p>
    <w:p w14:paraId="10E0D45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6.我方若成为</w:t>
      </w:r>
      <w:r>
        <w:rPr>
          <w:rFonts w:hint="eastAsia" w:ascii="宋体" w:hAnsi="宋体" w:cs="宋体"/>
          <w:szCs w:val="28"/>
          <w:lang w:val="en-US" w:eastAsia="zh-CN"/>
        </w:rPr>
        <w:t>成交</w:t>
      </w:r>
      <w:r>
        <w:rPr>
          <w:rFonts w:hint="eastAsia" w:ascii="宋体" w:hAnsi="宋体" w:eastAsia="宋体" w:cs="宋体"/>
          <w:szCs w:val="28"/>
        </w:rPr>
        <w:t>供应商，将按照最终磋商结果签订合同，并且严格履行合同义务。本承诺函将成为合同不可分割的一部分，与合同具有同等的法律效力。</w:t>
      </w:r>
    </w:p>
    <w:p w14:paraId="78E3B58C">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7.如果我方成为</w:t>
      </w:r>
      <w:r>
        <w:rPr>
          <w:rFonts w:hint="eastAsia" w:ascii="宋体" w:hAnsi="宋体" w:cs="宋体"/>
          <w:szCs w:val="28"/>
          <w:lang w:val="en-US" w:eastAsia="zh-CN"/>
        </w:rPr>
        <w:t>成交</w:t>
      </w:r>
      <w:r>
        <w:rPr>
          <w:rFonts w:hint="eastAsia" w:ascii="宋体" w:hAnsi="宋体" w:eastAsia="宋体" w:cs="宋体"/>
          <w:szCs w:val="28"/>
        </w:rPr>
        <w:t>供应商，保证在接到</w:t>
      </w:r>
      <w:r>
        <w:rPr>
          <w:rFonts w:hint="eastAsia" w:ascii="宋体" w:hAnsi="宋体" w:cs="宋体"/>
          <w:szCs w:val="28"/>
          <w:lang w:val="en-US" w:eastAsia="zh-CN"/>
        </w:rPr>
        <w:t>成交</w:t>
      </w:r>
      <w:r>
        <w:rPr>
          <w:rFonts w:hint="eastAsia" w:ascii="宋体" w:hAnsi="宋体" w:eastAsia="宋体" w:cs="宋体"/>
          <w:szCs w:val="28"/>
        </w:rPr>
        <w:t>通知书后，向采购代理机构缴纳竞争性磋商文件规定的采购代理服务费。</w:t>
      </w:r>
    </w:p>
    <w:p w14:paraId="4D381E95">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8.我方理解，最低报价不是成交的唯一条件。</w:t>
      </w:r>
    </w:p>
    <w:p w14:paraId="430FF231">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供应商（公章）：</w:t>
      </w:r>
    </w:p>
    <w:p w14:paraId="16F2276B">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 xml:space="preserve">地址：  </w:t>
      </w:r>
    </w:p>
    <w:p w14:paraId="2FF688A5">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电话：                                             传真：</w:t>
      </w:r>
    </w:p>
    <w:p w14:paraId="3096960A">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网址：                                             邮编：</w:t>
      </w:r>
    </w:p>
    <w:p w14:paraId="10D24F60">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联系人：</w:t>
      </w:r>
    </w:p>
    <w:p w14:paraId="2326B529">
      <w:pPr>
        <w:spacing w:line="400" w:lineRule="exact"/>
        <w:jc w:val="center"/>
        <w:rPr>
          <w:rFonts w:hint="eastAsia" w:ascii="宋体" w:hAnsi="宋体" w:eastAsia="宋体" w:cs="宋体"/>
          <w:szCs w:val="28"/>
        </w:rPr>
      </w:pPr>
      <w:r>
        <w:rPr>
          <w:rFonts w:hint="eastAsia" w:ascii="宋体" w:hAnsi="宋体" w:eastAsia="宋体" w:cs="宋体"/>
          <w:szCs w:val="28"/>
        </w:rPr>
        <w:t xml:space="preserve">                                                  年   月   日</w:t>
      </w:r>
    </w:p>
    <w:p w14:paraId="1DE1FAE7">
      <w:pPr>
        <w:spacing w:line="400" w:lineRule="exact"/>
        <w:jc w:val="center"/>
        <w:rPr>
          <w:rFonts w:hint="eastAsia" w:ascii="宋体" w:hAnsi="宋体" w:eastAsia="宋体" w:cs="宋体"/>
          <w:szCs w:val="28"/>
        </w:rPr>
      </w:pPr>
    </w:p>
    <w:p w14:paraId="138A94F4">
      <w:pPr>
        <w:spacing w:line="400" w:lineRule="exact"/>
        <w:jc w:val="center"/>
        <w:rPr>
          <w:rFonts w:hint="eastAsia" w:ascii="宋体" w:hAnsi="宋体" w:eastAsia="宋体" w:cs="宋体"/>
          <w:szCs w:val="28"/>
        </w:rPr>
      </w:pPr>
    </w:p>
    <w:p w14:paraId="3BB84AE3">
      <w:pPr>
        <w:spacing w:line="400" w:lineRule="exact"/>
        <w:jc w:val="center"/>
        <w:rPr>
          <w:rFonts w:hint="eastAsia" w:ascii="宋体" w:hAnsi="宋体" w:eastAsia="宋体" w:cs="宋体"/>
          <w:szCs w:val="28"/>
        </w:rPr>
      </w:pPr>
    </w:p>
    <w:p w14:paraId="575CD2FA">
      <w:pPr>
        <w:spacing w:line="400" w:lineRule="exact"/>
        <w:jc w:val="center"/>
        <w:rPr>
          <w:rFonts w:hint="eastAsia" w:ascii="宋体" w:hAnsi="宋体" w:eastAsia="宋体" w:cs="宋体"/>
          <w:szCs w:val="28"/>
        </w:rPr>
      </w:pPr>
    </w:p>
    <w:p w14:paraId="22CE4A79">
      <w:pPr>
        <w:snapToGrid/>
        <w:ind w:left="0" w:leftChars="0"/>
        <w:rPr>
          <w:rFonts w:hint="eastAsia" w:ascii="宋体" w:hAnsi="宋体" w:eastAsia="宋体" w:cs="宋体"/>
          <w:sz w:val="24"/>
          <w:szCs w:val="24"/>
        </w:rPr>
      </w:pPr>
    </w:p>
    <w:p w14:paraId="259A2602">
      <w:pPr>
        <w:pStyle w:val="5"/>
        <w:numPr>
          <w:ilvl w:val="0"/>
          <w:numId w:val="13"/>
        </w:numPr>
        <w:spacing w:before="0" w:after="0" w:line="360" w:lineRule="auto"/>
        <w:rPr>
          <w:rFonts w:hint="eastAsia" w:ascii="宋体" w:hAnsi="宋体" w:eastAsia="宋体" w:cs="宋体"/>
          <w:sz w:val="24"/>
          <w:szCs w:val="24"/>
        </w:rPr>
      </w:pPr>
      <w:bookmarkStart w:id="119" w:name="_Toc313888361"/>
      <w:bookmarkStart w:id="120" w:name="_Toc342913420"/>
      <w:bookmarkStart w:id="121" w:name="_Toc313008357"/>
      <w:bookmarkStart w:id="122" w:name="_Toc14655"/>
      <w:r>
        <w:rPr>
          <w:rFonts w:hint="eastAsia" w:ascii="宋体" w:hAnsi="宋体" w:cs="宋体"/>
          <w:sz w:val="24"/>
          <w:szCs w:val="24"/>
          <w:lang w:val="en-US" w:eastAsia="zh-CN"/>
        </w:rPr>
        <w:t>服务</w:t>
      </w:r>
      <w:r>
        <w:rPr>
          <w:rFonts w:hint="eastAsia" w:ascii="宋体" w:hAnsi="宋体" w:eastAsia="宋体" w:cs="宋体"/>
          <w:sz w:val="24"/>
          <w:szCs w:val="24"/>
        </w:rPr>
        <w:t>部</w:t>
      </w:r>
      <w:bookmarkEnd w:id="119"/>
      <w:bookmarkEnd w:id="120"/>
      <w:bookmarkEnd w:id="121"/>
      <w:r>
        <w:rPr>
          <w:rFonts w:hint="eastAsia" w:ascii="宋体" w:hAnsi="宋体" w:eastAsia="宋体" w:cs="宋体"/>
          <w:sz w:val="24"/>
          <w:szCs w:val="24"/>
        </w:rPr>
        <w:t>分</w:t>
      </w:r>
      <w:bookmarkEnd w:id="122"/>
    </w:p>
    <w:p w14:paraId="69B8F76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szCs w:val="24"/>
          <w:lang w:val="en-US" w:eastAsia="zh-CN"/>
        </w:rPr>
        <w:t>服务响应</w:t>
      </w:r>
      <w:r>
        <w:rPr>
          <w:rFonts w:hint="eastAsia" w:ascii="宋体" w:hAnsi="宋体" w:eastAsia="宋体" w:cs="宋体"/>
          <w:sz w:val="24"/>
          <w:szCs w:val="24"/>
        </w:rPr>
        <w:t>偏离表</w:t>
      </w:r>
    </w:p>
    <w:p w14:paraId="0369EC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72B22042">
      <w:pPr>
        <w:pStyle w:val="33"/>
        <w:tabs>
          <w:tab w:val="left" w:pos="6300"/>
        </w:tabs>
        <w:snapToGrid w:val="0"/>
        <w:spacing w:line="4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6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5B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B0C8E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14:paraId="412CCC2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vAlign w:val="center"/>
          </w:tcPr>
          <w:p w14:paraId="3857793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14:paraId="3E33993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7DF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C18D8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56B611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09024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0901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29F1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5692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9F3AA8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B55886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B2D92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B1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D1B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9973D5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513201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A4DCF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78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A21A2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1E65EEB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605C83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2F20B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BB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DA680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754C7A5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4C823A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C25EBC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348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AC9BC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2DB803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95197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5CFD2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9D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8383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72C148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70F9A73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95C4F4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85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431AB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470527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2024B4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FA72E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F8F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85C0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7D429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27F5A4A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ADCA7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76C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24847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3ED31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04FC76D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5C6D235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bl>
    <w:p w14:paraId="3D12ED44">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55115C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0447C416">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5EA6B40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00508C9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5B80D970">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1.本表即为对本项目“第二篇  项目服务需求”中所列</w:t>
      </w:r>
      <w:r>
        <w:rPr>
          <w:rFonts w:hint="eastAsia" w:ascii="宋体" w:hAnsi="宋体" w:cs="宋体"/>
          <w:sz w:val="24"/>
          <w:szCs w:val="24"/>
          <w:lang w:val="en-US" w:eastAsia="zh-CN"/>
        </w:rPr>
        <w:t>服务</w:t>
      </w:r>
      <w:r>
        <w:rPr>
          <w:rFonts w:hint="eastAsia" w:ascii="宋体" w:hAnsi="宋体" w:eastAsia="宋体" w:cs="宋体"/>
          <w:sz w:val="24"/>
          <w:szCs w:val="24"/>
        </w:rPr>
        <w:t>要求进行比较和响应；</w:t>
      </w:r>
    </w:p>
    <w:p w14:paraId="4C674CB9">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8EFE81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196B808B">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4.可附相关支撑材料。（格式自定）</w:t>
      </w:r>
    </w:p>
    <w:p w14:paraId="7A943B07">
      <w:pPr>
        <w:pStyle w:val="60"/>
        <w:rPr>
          <w:rFonts w:hint="eastAsia" w:ascii="宋体" w:hAnsi="宋体" w:eastAsia="宋体" w:cs="宋体"/>
          <w:sz w:val="24"/>
          <w:szCs w:val="24"/>
        </w:rPr>
      </w:pPr>
    </w:p>
    <w:p w14:paraId="58A977E9">
      <w:pPr>
        <w:pStyle w:val="5"/>
        <w:numPr>
          <w:ilvl w:val="0"/>
          <w:numId w:val="0"/>
        </w:numPr>
        <w:spacing w:before="0" w:after="0" w:line="360" w:lineRule="auto"/>
        <w:ind w:right="0" w:rightChars="0"/>
        <w:rPr>
          <w:rFonts w:hint="eastAsia" w:ascii="宋体" w:hAnsi="宋体" w:eastAsia="宋体"/>
          <w:b w:val="0"/>
          <w:bCs/>
          <w:snapToGrid w:val="0"/>
          <w:sz w:val="24"/>
          <w:szCs w:val="24"/>
        </w:rPr>
      </w:pPr>
      <w:bookmarkStart w:id="123" w:name="_Toc30447"/>
      <w:r>
        <w:rPr>
          <w:rFonts w:hint="eastAsia" w:ascii="宋体" w:hAnsi="宋体" w:eastAsia="宋体"/>
          <w:b w:val="0"/>
          <w:bCs/>
          <w:snapToGrid w:val="0"/>
          <w:sz w:val="24"/>
          <w:szCs w:val="24"/>
          <w:lang w:val="en-US" w:eastAsia="zh-CN"/>
        </w:rPr>
        <w:t>二、服务</w:t>
      </w:r>
      <w:r>
        <w:rPr>
          <w:rFonts w:hint="eastAsia" w:ascii="宋体" w:hAnsi="宋体" w:eastAsia="宋体"/>
          <w:b w:val="0"/>
          <w:bCs/>
          <w:snapToGrid w:val="0"/>
          <w:sz w:val="24"/>
          <w:szCs w:val="24"/>
        </w:rPr>
        <w:t>方案</w:t>
      </w:r>
      <w:bookmarkEnd w:id="123"/>
    </w:p>
    <w:p w14:paraId="7F6B8352">
      <w:pPr>
        <w:rPr>
          <w:rFonts w:hint="eastAsia" w:ascii="宋体" w:hAnsi="宋体" w:eastAsia="宋体" w:cs="Times New Roman"/>
          <w:b w:val="0"/>
          <w:bCs/>
          <w:snapToGrid w:val="0"/>
          <w:kern w:val="2"/>
          <w:sz w:val="24"/>
          <w:szCs w:val="24"/>
          <w:lang w:val="en-US" w:eastAsia="zh-CN" w:bidi="ar-SA"/>
        </w:rPr>
      </w:pPr>
      <w:r>
        <w:rPr>
          <w:rFonts w:hint="eastAsia" w:ascii="宋体" w:hAnsi="宋体" w:eastAsia="宋体" w:cs="Times New Roman"/>
          <w:b w:val="0"/>
          <w:bCs/>
          <w:snapToGrid w:val="0"/>
          <w:kern w:val="2"/>
          <w:sz w:val="24"/>
          <w:szCs w:val="24"/>
          <w:lang w:val="en-US" w:eastAsia="zh-CN" w:bidi="ar-SA"/>
        </w:rPr>
        <w:t>根据评分要求自行提供</w:t>
      </w:r>
    </w:p>
    <w:p w14:paraId="20519F9B">
      <w:pPr>
        <w:pStyle w:val="60"/>
        <w:rPr>
          <w:rFonts w:hint="eastAsia" w:ascii="宋体" w:hAnsi="宋体" w:eastAsia="宋体" w:cs="宋体"/>
          <w:sz w:val="24"/>
          <w:szCs w:val="24"/>
        </w:rPr>
      </w:pPr>
    </w:p>
    <w:p w14:paraId="60B304F5">
      <w:pPr>
        <w:pStyle w:val="5"/>
        <w:spacing w:before="0" w:after="0" w:line="360" w:lineRule="auto"/>
        <w:rPr>
          <w:rFonts w:hint="eastAsia" w:ascii="宋体" w:hAnsi="宋体" w:eastAsia="宋体" w:cs="宋体"/>
          <w:sz w:val="24"/>
          <w:szCs w:val="24"/>
        </w:rPr>
      </w:pPr>
      <w:r>
        <w:rPr>
          <w:rFonts w:hint="eastAsia" w:ascii="宋体" w:hAnsi="宋体" w:eastAsia="宋体" w:cs="宋体"/>
          <w:b w:val="0"/>
        </w:rPr>
        <w:br w:type="page"/>
      </w:r>
      <w:bookmarkStart w:id="124" w:name="_Toc23180"/>
      <w:bookmarkStart w:id="125" w:name="_Toc313888362"/>
      <w:bookmarkStart w:id="126" w:name="_Toc313008358"/>
      <w:bookmarkStart w:id="127" w:name="_Toc342913421"/>
      <w:r>
        <w:rPr>
          <w:rFonts w:hint="eastAsia" w:ascii="宋体" w:hAnsi="宋体" w:eastAsia="宋体" w:cs="宋体"/>
          <w:sz w:val="24"/>
          <w:szCs w:val="24"/>
        </w:rPr>
        <w:t>三、商务部分</w:t>
      </w:r>
      <w:bookmarkEnd w:id="124"/>
      <w:bookmarkEnd w:id="125"/>
      <w:bookmarkEnd w:id="126"/>
      <w:bookmarkEnd w:id="127"/>
    </w:p>
    <w:p w14:paraId="0737D74F">
      <w:pPr>
        <w:spacing w:line="360" w:lineRule="auto"/>
        <w:ind w:firstLine="480" w:firstLineChars="200"/>
        <w:rPr>
          <w:rFonts w:hint="eastAsia" w:ascii="宋体" w:hAnsi="宋体" w:eastAsia="宋体" w:cs="宋体"/>
          <w:sz w:val="24"/>
          <w:szCs w:val="24"/>
        </w:rPr>
      </w:pPr>
      <w:bookmarkStart w:id="128" w:name="_Toc283382459"/>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363C830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商务响应偏离表</w:t>
      </w:r>
    </w:p>
    <w:p w14:paraId="15321B0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项目号：                              </w:t>
      </w:r>
    </w:p>
    <w:p w14:paraId="2CDDC2C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AC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252492">
            <w:pPr>
              <w:keepNext w:val="0"/>
              <w:keepLines w:val="0"/>
              <w:suppressLineNumbers w:val="0"/>
              <w:snapToGrid w:val="0"/>
              <w:spacing w:before="0" w:beforeAutospacing="0" w:after="0" w:afterAutospacing="0" w:line="360" w:lineRule="auto"/>
              <w:ind w:left="0" w:right="0" w:firstLine="465"/>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14:paraId="7854757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磋商项目商务需求</w:t>
            </w:r>
          </w:p>
        </w:tc>
        <w:tc>
          <w:tcPr>
            <w:tcW w:w="2434" w:type="dxa"/>
            <w:vAlign w:val="center"/>
          </w:tcPr>
          <w:p w14:paraId="3A1181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355" w:type="dxa"/>
            <w:vAlign w:val="center"/>
          </w:tcPr>
          <w:p w14:paraId="2EC9DFC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78DD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037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477295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76129A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5427E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2B8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5DD4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524D57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64B5AE0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819AB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08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8C6D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1662C74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2CDAC5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212D44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349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F5D7E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7819CA2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67044B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F31970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54E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32A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34C3ACC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094427D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B925A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D25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C73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81DC8D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7D8A9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0BC7E61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bl>
    <w:p w14:paraId="6FA28037">
      <w:pPr>
        <w:snapToGrid w:val="0"/>
        <w:spacing w:line="360" w:lineRule="auto"/>
        <w:ind w:firstLine="465"/>
        <w:rPr>
          <w:rFonts w:hint="eastAsia" w:ascii="宋体" w:hAnsi="宋体" w:eastAsia="宋体" w:cs="宋体"/>
          <w:sz w:val="24"/>
          <w:szCs w:val="24"/>
        </w:rPr>
      </w:pPr>
    </w:p>
    <w:p w14:paraId="6DE36970">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2130BA2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7D47EFBD">
      <w:pPr>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151E154F">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1E16248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6AD697C">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1.本表即为对本项目“第三篇 项目商务需求”中所列服务要求进行比较和响应；</w:t>
      </w:r>
    </w:p>
    <w:p w14:paraId="606354B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F06DAB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5307CDD2">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color w:val="000000"/>
          <w:sz w:val="24"/>
          <w:szCs w:val="24"/>
        </w:rPr>
        <w:t>商务部分评分资料</w:t>
      </w:r>
    </w:p>
    <w:p w14:paraId="09FE827C">
      <w:pPr>
        <w:pStyle w:val="5"/>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8"/>
      <w:bookmarkStart w:id="129" w:name="_Toc342913422"/>
      <w:bookmarkStart w:id="130" w:name="_Toc25243"/>
      <w:bookmarkStart w:id="131" w:name="_Toc313008359"/>
      <w:bookmarkStart w:id="132" w:name="_Toc313888363"/>
      <w:r>
        <w:rPr>
          <w:rFonts w:hint="eastAsia" w:ascii="宋体" w:hAnsi="宋体" w:eastAsia="宋体" w:cs="宋体"/>
          <w:sz w:val="24"/>
          <w:szCs w:val="24"/>
        </w:rPr>
        <w:t>四、资格条件及其他</w:t>
      </w:r>
      <w:bookmarkEnd w:id="129"/>
      <w:bookmarkEnd w:id="130"/>
      <w:bookmarkEnd w:id="131"/>
      <w:bookmarkEnd w:id="132"/>
    </w:p>
    <w:p w14:paraId="6957840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5FD86BEA">
      <w:pPr>
        <w:tabs>
          <w:tab w:val="left" w:pos="6300"/>
        </w:tabs>
        <w:snapToGrid w:val="0"/>
        <w:spacing w:line="500" w:lineRule="exact"/>
        <w:ind w:firstLine="570"/>
        <w:rPr>
          <w:rFonts w:hint="eastAsia" w:ascii="宋体" w:hAnsi="宋体" w:eastAsia="宋体" w:cs="宋体"/>
          <w:sz w:val="24"/>
          <w:szCs w:val="24"/>
        </w:rPr>
      </w:pPr>
    </w:p>
    <w:p w14:paraId="364BDDD5">
      <w:pPr>
        <w:tabs>
          <w:tab w:val="left" w:pos="6300"/>
        </w:tabs>
        <w:snapToGrid w:val="0"/>
        <w:spacing w:line="500" w:lineRule="exact"/>
        <w:ind w:firstLine="570"/>
        <w:rPr>
          <w:rFonts w:hint="eastAsia" w:ascii="宋体" w:hAnsi="宋体" w:eastAsia="宋体" w:cs="宋体"/>
        </w:rPr>
      </w:pPr>
    </w:p>
    <w:p w14:paraId="66FC92BA">
      <w:pPr>
        <w:tabs>
          <w:tab w:val="left" w:pos="6300"/>
        </w:tabs>
        <w:snapToGrid w:val="0"/>
        <w:spacing w:line="500" w:lineRule="exact"/>
        <w:ind w:firstLine="570"/>
        <w:rPr>
          <w:rFonts w:hint="eastAsia" w:ascii="宋体" w:hAnsi="宋体" w:eastAsia="宋体" w:cs="宋体"/>
        </w:rPr>
      </w:pPr>
    </w:p>
    <w:p w14:paraId="2909CC63">
      <w:pPr>
        <w:tabs>
          <w:tab w:val="left" w:pos="6300"/>
        </w:tabs>
        <w:snapToGrid w:val="0"/>
        <w:spacing w:line="500" w:lineRule="exact"/>
        <w:ind w:firstLine="570"/>
        <w:rPr>
          <w:rFonts w:hint="eastAsia" w:ascii="宋体" w:hAnsi="宋体" w:eastAsia="宋体" w:cs="宋体"/>
        </w:rPr>
      </w:pPr>
    </w:p>
    <w:p w14:paraId="6A0B067F">
      <w:pPr>
        <w:widowControl/>
        <w:ind w:firstLine="560" w:firstLineChars="200"/>
        <w:jc w:val="left"/>
        <w:rPr>
          <w:rFonts w:hint="eastAsia" w:ascii="宋体" w:hAnsi="宋体" w:eastAsia="宋体" w:cs="宋体"/>
        </w:rPr>
      </w:pPr>
      <w:r>
        <w:rPr>
          <w:rFonts w:hint="eastAsia" w:ascii="宋体" w:hAnsi="宋体" w:eastAsia="宋体" w:cs="宋体"/>
        </w:rPr>
        <w:br w:type="page"/>
      </w:r>
    </w:p>
    <w:p w14:paraId="07BFC213">
      <w:pPr>
        <w:widowControl/>
        <w:ind w:firstLine="480" w:firstLineChars="200"/>
        <w:jc w:val="left"/>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）特定资格条件证明材料</w:t>
      </w:r>
    </w:p>
    <w:p w14:paraId="15AC78D5">
      <w:pPr>
        <w:widowControl/>
        <w:ind w:firstLine="560" w:firstLineChars="200"/>
        <w:jc w:val="left"/>
        <w:rPr>
          <w:rFonts w:hint="eastAsia" w:ascii="宋体" w:hAnsi="宋体" w:eastAsia="宋体" w:cs="宋体"/>
        </w:rPr>
      </w:pPr>
    </w:p>
    <w:p w14:paraId="3D45280C">
      <w:pPr>
        <w:widowControl/>
        <w:ind w:firstLine="560" w:firstLineChars="200"/>
        <w:jc w:val="left"/>
        <w:rPr>
          <w:rFonts w:hint="eastAsia" w:ascii="宋体" w:hAnsi="宋体" w:eastAsia="宋体" w:cs="宋体"/>
        </w:rPr>
      </w:pPr>
    </w:p>
    <w:p w14:paraId="030AE3BA">
      <w:pPr>
        <w:widowControl/>
        <w:ind w:firstLine="560" w:firstLineChars="200"/>
        <w:jc w:val="left"/>
        <w:rPr>
          <w:rFonts w:hint="eastAsia" w:ascii="宋体" w:hAnsi="宋体" w:eastAsia="宋体" w:cs="宋体"/>
        </w:rPr>
      </w:pPr>
    </w:p>
    <w:p w14:paraId="6695236D">
      <w:pPr>
        <w:widowControl/>
        <w:ind w:firstLine="560" w:firstLineChars="200"/>
        <w:jc w:val="left"/>
        <w:rPr>
          <w:rFonts w:hint="eastAsia" w:ascii="宋体" w:hAnsi="宋体" w:eastAsia="宋体" w:cs="宋体"/>
        </w:rPr>
      </w:pPr>
    </w:p>
    <w:p w14:paraId="044A8763">
      <w:pPr>
        <w:widowControl/>
        <w:ind w:firstLine="560" w:firstLineChars="200"/>
        <w:jc w:val="left"/>
        <w:rPr>
          <w:rFonts w:hint="eastAsia" w:ascii="宋体" w:hAnsi="宋体" w:eastAsia="宋体" w:cs="宋体"/>
        </w:rPr>
      </w:pPr>
    </w:p>
    <w:p w14:paraId="01919384">
      <w:pPr>
        <w:widowControl/>
        <w:ind w:firstLine="560" w:firstLineChars="200"/>
        <w:jc w:val="left"/>
        <w:rPr>
          <w:rFonts w:hint="eastAsia" w:ascii="宋体" w:hAnsi="宋体" w:eastAsia="宋体" w:cs="宋体"/>
        </w:rPr>
      </w:pPr>
    </w:p>
    <w:p w14:paraId="5B8786BD">
      <w:pPr>
        <w:widowControl/>
        <w:ind w:firstLine="560" w:firstLineChars="200"/>
        <w:jc w:val="left"/>
        <w:rPr>
          <w:rFonts w:hint="eastAsia" w:ascii="宋体" w:hAnsi="宋体" w:eastAsia="宋体" w:cs="宋体"/>
        </w:rPr>
      </w:pPr>
    </w:p>
    <w:p w14:paraId="29EDA877">
      <w:pPr>
        <w:widowControl/>
        <w:ind w:firstLine="560" w:firstLineChars="200"/>
        <w:jc w:val="left"/>
        <w:rPr>
          <w:rFonts w:hint="eastAsia" w:ascii="宋体" w:hAnsi="宋体" w:eastAsia="宋体" w:cs="宋体"/>
        </w:rPr>
      </w:pPr>
    </w:p>
    <w:p w14:paraId="7A5F10DB">
      <w:pPr>
        <w:widowControl/>
        <w:ind w:firstLine="560" w:firstLineChars="200"/>
        <w:jc w:val="left"/>
        <w:rPr>
          <w:rFonts w:hint="eastAsia" w:ascii="宋体" w:hAnsi="宋体" w:eastAsia="宋体" w:cs="宋体"/>
        </w:rPr>
      </w:pPr>
    </w:p>
    <w:p w14:paraId="15544707">
      <w:pPr>
        <w:widowControl/>
        <w:ind w:firstLine="560" w:firstLineChars="200"/>
        <w:jc w:val="left"/>
        <w:rPr>
          <w:rFonts w:hint="eastAsia" w:ascii="宋体" w:hAnsi="宋体" w:eastAsia="宋体" w:cs="宋体"/>
        </w:rPr>
      </w:pPr>
    </w:p>
    <w:p w14:paraId="3827FB28">
      <w:pPr>
        <w:widowControl/>
        <w:ind w:firstLine="560" w:firstLineChars="200"/>
        <w:jc w:val="left"/>
        <w:rPr>
          <w:rFonts w:hint="eastAsia" w:ascii="宋体" w:hAnsi="宋体" w:eastAsia="宋体" w:cs="宋体"/>
        </w:rPr>
      </w:pPr>
    </w:p>
    <w:p w14:paraId="321580BF">
      <w:pPr>
        <w:widowControl/>
        <w:ind w:firstLine="560" w:firstLineChars="200"/>
        <w:jc w:val="left"/>
        <w:rPr>
          <w:rFonts w:hint="eastAsia" w:ascii="宋体" w:hAnsi="宋体" w:eastAsia="宋体" w:cs="宋体"/>
        </w:rPr>
      </w:pPr>
    </w:p>
    <w:p w14:paraId="14C41831">
      <w:pPr>
        <w:widowControl/>
        <w:ind w:firstLine="560" w:firstLineChars="200"/>
        <w:jc w:val="left"/>
        <w:rPr>
          <w:rFonts w:hint="eastAsia" w:ascii="宋体" w:hAnsi="宋体" w:eastAsia="宋体" w:cs="宋体"/>
        </w:rPr>
      </w:pPr>
    </w:p>
    <w:p w14:paraId="3579B4C1">
      <w:pPr>
        <w:widowControl/>
        <w:ind w:firstLine="560" w:firstLineChars="200"/>
        <w:jc w:val="left"/>
        <w:rPr>
          <w:rFonts w:hint="eastAsia" w:ascii="宋体" w:hAnsi="宋体" w:eastAsia="宋体" w:cs="宋体"/>
        </w:rPr>
      </w:pPr>
    </w:p>
    <w:p w14:paraId="67EAE339">
      <w:pPr>
        <w:widowControl/>
        <w:ind w:firstLine="560" w:firstLineChars="200"/>
        <w:jc w:val="left"/>
        <w:rPr>
          <w:rFonts w:hint="eastAsia" w:ascii="宋体" w:hAnsi="宋体" w:eastAsia="宋体" w:cs="宋体"/>
        </w:rPr>
      </w:pPr>
    </w:p>
    <w:p w14:paraId="4A11C9EE">
      <w:pPr>
        <w:widowControl/>
        <w:ind w:firstLine="560" w:firstLineChars="200"/>
        <w:jc w:val="left"/>
        <w:rPr>
          <w:rFonts w:hint="eastAsia" w:ascii="宋体" w:hAnsi="宋体" w:eastAsia="宋体" w:cs="宋体"/>
        </w:rPr>
      </w:pPr>
    </w:p>
    <w:p w14:paraId="004B5836">
      <w:pPr>
        <w:widowControl/>
        <w:ind w:firstLine="560" w:firstLineChars="200"/>
        <w:jc w:val="left"/>
        <w:rPr>
          <w:rFonts w:hint="eastAsia" w:ascii="宋体" w:hAnsi="宋体" w:eastAsia="宋体" w:cs="宋体"/>
        </w:rPr>
      </w:pPr>
    </w:p>
    <w:p w14:paraId="1C960476">
      <w:pPr>
        <w:widowControl/>
        <w:ind w:firstLine="560" w:firstLineChars="200"/>
        <w:jc w:val="left"/>
        <w:rPr>
          <w:rFonts w:hint="eastAsia" w:ascii="宋体" w:hAnsi="宋体" w:eastAsia="宋体" w:cs="宋体"/>
        </w:rPr>
      </w:pPr>
    </w:p>
    <w:p w14:paraId="60E6574B">
      <w:pPr>
        <w:widowControl/>
        <w:ind w:firstLine="560" w:firstLineChars="200"/>
        <w:jc w:val="left"/>
        <w:rPr>
          <w:rFonts w:hint="eastAsia" w:ascii="宋体" w:hAnsi="宋体" w:eastAsia="宋体" w:cs="宋体"/>
        </w:rPr>
      </w:pPr>
    </w:p>
    <w:p w14:paraId="6349BF77">
      <w:pPr>
        <w:widowControl/>
        <w:ind w:firstLine="560" w:firstLineChars="200"/>
        <w:jc w:val="left"/>
        <w:rPr>
          <w:rFonts w:hint="eastAsia" w:ascii="宋体" w:hAnsi="宋体" w:eastAsia="宋体" w:cs="宋体"/>
        </w:rPr>
      </w:pPr>
    </w:p>
    <w:p w14:paraId="5CD8BF2F">
      <w:pPr>
        <w:widowControl/>
        <w:ind w:firstLine="560" w:firstLineChars="200"/>
        <w:jc w:val="left"/>
        <w:rPr>
          <w:rFonts w:hint="eastAsia" w:ascii="宋体" w:hAnsi="宋体" w:eastAsia="宋体" w:cs="宋体"/>
        </w:rPr>
      </w:pPr>
    </w:p>
    <w:p w14:paraId="57EB8BC6">
      <w:pPr>
        <w:widowControl/>
        <w:ind w:firstLine="560" w:firstLineChars="200"/>
        <w:jc w:val="left"/>
        <w:rPr>
          <w:rFonts w:hint="eastAsia" w:ascii="宋体" w:hAnsi="宋体" w:eastAsia="宋体" w:cs="宋体"/>
        </w:rPr>
      </w:pPr>
    </w:p>
    <w:p w14:paraId="4FA703A4">
      <w:pPr>
        <w:widowControl/>
        <w:ind w:firstLine="560" w:firstLineChars="200"/>
        <w:jc w:val="left"/>
        <w:rPr>
          <w:rFonts w:hint="eastAsia" w:ascii="宋体" w:hAnsi="宋体" w:eastAsia="宋体" w:cs="宋体"/>
        </w:rPr>
      </w:pPr>
    </w:p>
    <w:p w14:paraId="47285E0A">
      <w:pPr>
        <w:widowControl/>
        <w:ind w:firstLine="560" w:firstLineChars="200"/>
        <w:jc w:val="left"/>
        <w:rPr>
          <w:rFonts w:hint="eastAsia" w:ascii="宋体" w:hAnsi="宋体" w:eastAsia="宋体" w:cs="宋体"/>
        </w:rPr>
      </w:pPr>
    </w:p>
    <w:p w14:paraId="0018D749">
      <w:pPr>
        <w:widowControl/>
        <w:ind w:firstLine="560" w:firstLineChars="200"/>
        <w:jc w:val="left"/>
        <w:rPr>
          <w:rFonts w:hint="eastAsia" w:ascii="宋体" w:hAnsi="宋体" w:eastAsia="宋体" w:cs="宋体"/>
        </w:rPr>
      </w:pPr>
    </w:p>
    <w:p w14:paraId="5862AC80">
      <w:pPr>
        <w:widowControl/>
        <w:ind w:firstLine="560" w:firstLineChars="200"/>
        <w:jc w:val="left"/>
        <w:rPr>
          <w:rFonts w:hint="eastAsia" w:ascii="宋体" w:hAnsi="宋体" w:eastAsia="宋体" w:cs="宋体"/>
        </w:rPr>
      </w:pPr>
    </w:p>
    <w:p w14:paraId="55AA4160">
      <w:pPr>
        <w:widowControl/>
        <w:ind w:firstLine="560" w:firstLineChars="200"/>
        <w:jc w:val="left"/>
        <w:rPr>
          <w:rFonts w:hint="eastAsia" w:ascii="宋体" w:hAnsi="宋体" w:eastAsia="宋体" w:cs="宋体"/>
        </w:rPr>
      </w:pPr>
    </w:p>
    <w:p w14:paraId="000214F8">
      <w:pPr>
        <w:widowControl/>
        <w:ind w:firstLine="560" w:firstLineChars="200"/>
        <w:jc w:val="left"/>
        <w:rPr>
          <w:rFonts w:hint="eastAsia" w:ascii="宋体" w:hAnsi="宋体" w:eastAsia="宋体" w:cs="宋体"/>
        </w:rPr>
      </w:pPr>
    </w:p>
    <w:p w14:paraId="4A9879DF">
      <w:pPr>
        <w:widowControl/>
        <w:ind w:firstLine="560" w:firstLineChars="200"/>
        <w:jc w:val="left"/>
        <w:rPr>
          <w:rFonts w:hint="eastAsia" w:ascii="宋体" w:hAnsi="宋体" w:eastAsia="宋体" w:cs="宋体"/>
        </w:rPr>
      </w:pPr>
    </w:p>
    <w:p w14:paraId="054D8EC4">
      <w:pPr>
        <w:widowControl/>
        <w:ind w:firstLine="560" w:firstLineChars="200"/>
        <w:jc w:val="left"/>
        <w:rPr>
          <w:rFonts w:hint="eastAsia" w:ascii="宋体" w:hAnsi="宋体" w:eastAsia="宋体" w:cs="宋体"/>
        </w:rPr>
      </w:pPr>
    </w:p>
    <w:p w14:paraId="06C754C7">
      <w:pPr>
        <w:widowControl/>
        <w:ind w:firstLine="560" w:firstLineChars="200"/>
        <w:jc w:val="left"/>
        <w:rPr>
          <w:rFonts w:hint="eastAsia" w:ascii="宋体" w:hAnsi="宋体" w:eastAsia="宋体" w:cs="宋体"/>
        </w:rPr>
      </w:pPr>
    </w:p>
    <w:p w14:paraId="7E6EB3E4">
      <w:pPr>
        <w:widowControl/>
        <w:ind w:firstLine="560" w:firstLineChars="200"/>
        <w:jc w:val="left"/>
        <w:rPr>
          <w:rFonts w:hint="eastAsia" w:ascii="宋体" w:hAnsi="宋体" w:eastAsia="宋体" w:cs="宋体"/>
        </w:rPr>
      </w:pPr>
    </w:p>
    <w:p w14:paraId="7F2355F8">
      <w:pPr>
        <w:widowControl/>
        <w:ind w:firstLine="560" w:firstLineChars="200"/>
        <w:jc w:val="left"/>
        <w:rPr>
          <w:rFonts w:hint="eastAsia" w:ascii="宋体" w:hAnsi="宋体" w:eastAsia="宋体" w:cs="宋体"/>
        </w:rPr>
      </w:pPr>
    </w:p>
    <w:p w14:paraId="224947C0">
      <w:pPr>
        <w:widowControl/>
        <w:ind w:firstLine="560" w:firstLineChars="200"/>
        <w:jc w:val="left"/>
        <w:rPr>
          <w:rFonts w:hint="eastAsia" w:ascii="宋体" w:hAnsi="宋体" w:eastAsia="宋体" w:cs="宋体"/>
        </w:rPr>
      </w:pPr>
    </w:p>
    <w:p w14:paraId="3C8E8FBE">
      <w:pPr>
        <w:widowControl/>
        <w:ind w:firstLine="560" w:firstLineChars="200"/>
        <w:jc w:val="left"/>
        <w:rPr>
          <w:rFonts w:hint="eastAsia" w:ascii="宋体" w:hAnsi="宋体" w:eastAsia="宋体" w:cs="宋体"/>
        </w:rPr>
      </w:pPr>
    </w:p>
    <w:p w14:paraId="74B4585F">
      <w:pPr>
        <w:widowControl/>
        <w:ind w:firstLine="560" w:firstLineChars="200"/>
        <w:jc w:val="left"/>
        <w:rPr>
          <w:rFonts w:hint="eastAsia" w:ascii="宋体" w:hAnsi="宋体" w:eastAsia="宋体" w:cs="宋体"/>
        </w:rPr>
      </w:pPr>
    </w:p>
    <w:p w14:paraId="3B2333E1">
      <w:pPr>
        <w:widowControl/>
        <w:ind w:firstLine="560" w:firstLineChars="200"/>
        <w:jc w:val="left"/>
        <w:rPr>
          <w:rFonts w:hint="eastAsia" w:ascii="宋体" w:hAnsi="宋体" w:eastAsia="宋体" w:cs="宋体"/>
        </w:rPr>
      </w:pPr>
    </w:p>
    <w:p w14:paraId="07584EFC">
      <w:pPr>
        <w:widowControl/>
        <w:ind w:firstLine="560" w:firstLineChars="200"/>
        <w:jc w:val="left"/>
        <w:rPr>
          <w:rFonts w:hint="eastAsia" w:ascii="宋体" w:hAnsi="宋体" w:eastAsia="宋体" w:cs="宋体"/>
        </w:rPr>
      </w:pPr>
    </w:p>
    <w:p w14:paraId="7B7629BE">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E073F68">
      <w:pPr>
        <w:tabs>
          <w:tab w:val="left" w:pos="6300"/>
        </w:tabs>
        <w:snapToGrid w:val="0"/>
        <w:spacing w:line="500" w:lineRule="exact"/>
        <w:ind w:firstLine="570"/>
        <w:rPr>
          <w:rFonts w:hint="eastAsia" w:ascii="宋体" w:hAnsi="宋体" w:eastAsia="宋体" w:cs="宋体"/>
          <w:sz w:val="24"/>
          <w:szCs w:val="24"/>
        </w:rPr>
      </w:pPr>
    </w:p>
    <w:p w14:paraId="17585B34">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磋商项目名称：</w:t>
      </w:r>
      <w:r>
        <w:rPr>
          <w:rFonts w:hint="eastAsia" w:ascii="宋体" w:hAnsi="宋体" w:eastAsia="宋体" w:cs="宋体"/>
          <w:sz w:val="24"/>
          <w:szCs w:val="24"/>
          <w:u w:val="single"/>
        </w:rPr>
        <w:t xml:space="preserve">                                                </w:t>
      </w:r>
    </w:p>
    <w:p w14:paraId="407718E6">
      <w:pPr>
        <w:tabs>
          <w:tab w:val="left" w:pos="6300"/>
        </w:tabs>
        <w:snapToGrid w:val="0"/>
        <w:spacing w:line="500" w:lineRule="exact"/>
        <w:ind w:firstLine="570"/>
        <w:rPr>
          <w:rFonts w:hint="eastAsia" w:ascii="宋体" w:hAnsi="宋体" w:eastAsia="宋体" w:cs="宋体"/>
          <w:sz w:val="24"/>
          <w:szCs w:val="24"/>
        </w:rPr>
      </w:pPr>
    </w:p>
    <w:p w14:paraId="2D74AEC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p>
    <w:p w14:paraId="6993844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34D162E5">
      <w:pPr>
        <w:tabs>
          <w:tab w:val="left" w:pos="6300"/>
        </w:tabs>
        <w:snapToGrid w:val="0"/>
        <w:spacing w:line="500" w:lineRule="exact"/>
        <w:ind w:firstLine="570"/>
        <w:rPr>
          <w:rFonts w:hint="eastAsia" w:ascii="宋体" w:hAnsi="宋体" w:eastAsia="宋体" w:cs="宋体"/>
          <w:sz w:val="24"/>
          <w:szCs w:val="24"/>
        </w:rPr>
      </w:pPr>
    </w:p>
    <w:p w14:paraId="4ED7CEC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4764E8D4">
      <w:pPr>
        <w:tabs>
          <w:tab w:val="left" w:pos="6300"/>
        </w:tabs>
        <w:snapToGrid w:val="0"/>
        <w:spacing w:line="500" w:lineRule="exact"/>
        <w:ind w:firstLine="570"/>
        <w:rPr>
          <w:rFonts w:hint="eastAsia" w:ascii="宋体" w:hAnsi="宋体" w:eastAsia="宋体" w:cs="宋体"/>
          <w:sz w:val="24"/>
          <w:szCs w:val="24"/>
        </w:rPr>
      </w:pPr>
    </w:p>
    <w:p w14:paraId="4FC3C63B">
      <w:pPr>
        <w:tabs>
          <w:tab w:val="left" w:pos="6300"/>
        </w:tabs>
        <w:snapToGrid w:val="0"/>
        <w:spacing w:line="500" w:lineRule="exact"/>
        <w:ind w:firstLine="570"/>
        <w:rPr>
          <w:rFonts w:hint="eastAsia" w:ascii="宋体" w:hAnsi="宋体" w:eastAsia="宋体" w:cs="宋体"/>
          <w:sz w:val="24"/>
          <w:szCs w:val="24"/>
        </w:rPr>
      </w:pPr>
    </w:p>
    <w:p w14:paraId="2EB88027">
      <w:pPr>
        <w:tabs>
          <w:tab w:val="left" w:pos="6300"/>
        </w:tabs>
        <w:snapToGrid w:val="0"/>
        <w:spacing w:line="500" w:lineRule="exact"/>
        <w:ind w:firstLine="570"/>
        <w:rPr>
          <w:rFonts w:hint="eastAsia" w:ascii="宋体" w:hAnsi="宋体" w:eastAsia="宋体" w:cs="宋体"/>
          <w:sz w:val="24"/>
          <w:szCs w:val="24"/>
        </w:rPr>
      </w:pPr>
    </w:p>
    <w:p w14:paraId="7784B53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F257931">
      <w:pPr>
        <w:tabs>
          <w:tab w:val="left" w:pos="6300"/>
        </w:tabs>
        <w:snapToGrid w:val="0"/>
        <w:spacing w:line="500" w:lineRule="exact"/>
        <w:ind w:firstLine="570"/>
        <w:rPr>
          <w:rFonts w:hint="eastAsia" w:ascii="宋体" w:hAnsi="宋体" w:eastAsia="宋体" w:cs="宋体"/>
          <w:sz w:val="24"/>
          <w:szCs w:val="24"/>
        </w:rPr>
      </w:pPr>
    </w:p>
    <w:p w14:paraId="31A98735">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5928C9C2">
      <w:pPr>
        <w:tabs>
          <w:tab w:val="left" w:pos="6300"/>
        </w:tabs>
        <w:snapToGrid w:val="0"/>
        <w:spacing w:line="500" w:lineRule="exact"/>
        <w:ind w:firstLine="570"/>
        <w:rPr>
          <w:rFonts w:hint="eastAsia" w:ascii="宋体" w:hAnsi="宋体" w:eastAsia="宋体" w:cs="宋体"/>
          <w:sz w:val="24"/>
          <w:szCs w:val="24"/>
        </w:rPr>
      </w:pPr>
    </w:p>
    <w:p w14:paraId="67C6197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1E1AF6E7">
      <w:pPr>
        <w:tabs>
          <w:tab w:val="left" w:pos="6300"/>
        </w:tabs>
        <w:snapToGrid w:val="0"/>
        <w:spacing w:line="500" w:lineRule="exact"/>
        <w:ind w:firstLine="570"/>
        <w:rPr>
          <w:rFonts w:hint="eastAsia" w:ascii="宋体" w:hAnsi="宋体" w:eastAsia="宋体" w:cs="宋体"/>
          <w:sz w:val="24"/>
        </w:rPr>
      </w:pPr>
    </w:p>
    <w:p w14:paraId="199AD742">
      <w:pPr>
        <w:tabs>
          <w:tab w:val="left" w:pos="6300"/>
        </w:tabs>
        <w:snapToGrid w:val="0"/>
        <w:spacing w:line="500" w:lineRule="exact"/>
        <w:ind w:firstLine="570"/>
        <w:rPr>
          <w:rFonts w:hint="eastAsia" w:ascii="宋体" w:hAnsi="宋体" w:eastAsia="宋体" w:cs="宋体"/>
          <w:sz w:val="24"/>
        </w:rPr>
      </w:pPr>
    </w:p>
    <w:p w14:paraId="63F597A6">
      <w:pPr>
        <w:tabs>
          <w:tab w:val="left" w:pos="6300"/>
        </w:tabs>
        <w:snapToGrid w:val="0"/>
        <w:spacing w:line="500" w:lineRule="exact"/>
        <w:ind w:firstLine="570"/>
        <w:rPr>
          <w:rFonts w:hint="eastAsia" w:ascii="宋体" w:hAnsi="宋体" w:eastAsia="宋体" w:cs="宋体"/>
          <w:sz w:val="24"/>
        </w:rPr>
      </w:pPr>
    </w:p>
    <w:p w14:paraId="58F23FAC">
      <w:pPr>
        <w:tabs>
          <w:tab w:val="left" w:pos="6300"/>
        </w:tabs>
        <w:snapToGrid w:val="0"/>
        <w:spacing w:line="500" w:lineRule="exact"/>
        <w:ind w:firstLine="570"/>
        <w:rPr>
          <w:rFonts w:hint="eastAsia" w:ascii="宋体" w:hAnsi="宋体" w:eastAsia="宋体" w:cs="宋体"/>
          <w:sz w:val="24"/>
        </w:rPr>
      </w:pPr>
    </w:p>
    <w:p w14:paraId="527489AF">
      <w:pPr>
        <w:tabs>
          <w:tab w:val="left" w:pos="6300"/>
        </w:tabs>
        <w:snapToGrid w:val="0"/>
        <w:spacing w:line="500" w:lineRule="exact"/>
        <w:ind w:firstLine="570"/>
        <w:rPr>
          <w:rFonts w:hint="eastAsia" w:ascii="宋体" w:hAnsi="宋体" w:eastAsia="宋体" w:cs="宋体"/>
          <w:sz w:val="24"/>
        </w:rPr>
      </w:pPr>
    </w:p>
    <w:p w14:paraId="537501E1">
      <w:pPr>
        <w:tabs>
          <w:tab w:val="left" w:pos="6300"/>
        </w:tabs>
        <w:snapToGrid w:val="0"/>
        <w:spacing w:line="500" w:lineRule="exact"/>
        <w:ind w:firstLine="570"/>
        <w:rPr>
          <w:rFonts w:hint="eastAsia" w:ascii="宋体" w:hAnsi="宋体" w:eastAsia="宋体" w:cs="宋体"/>
          <w:sz w:val="24"/>
        </w:rPr>
      </w:pPr>
    </w:p>
    <w:p w14:paraId="4081BB61">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w:t>
      </w:r>
      <w:r>
        <w:rPr>
          <w:rFonts w:hint="eastAsia" w:ascii="宋体" w:hAnsi="宋体" w:cs="宋体"/>
          <w:lang w:val="en-US" w:eastAsia="zh-CN"/>
        </w:rPr>
        <w:t>四</w:t>
      </w:r>
      <w:r>
        <w:rPr>
          <w:rFonts w:hint="eastAsia" w:ascii="宋体" w:hAnsi="宋体" w:eastAsia="宋体" w:cs="宋体"/>
        </w:rPr>
        <w:t>）法定代表人授权委托书（格式）</w:t>
      </w:r>
    </w:p>
    <w:p w14:paraId="1132D86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DBDC2B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08C5091E">
      <w:pPr>
        <w:tabs>
          <w:tab w:val="left" w:pos="6300"/>
        </w:tabs>
        <w:snapToGrid w:val="0"/>
        <w:spacing w:line="500" w:lineRule="exact"/>
        <w:ind w:firstLine="570"/>
        <w:rPr>
          <w:rFonts w:hint="eastAsia" w:ascii="宋体" w:hAnsi="宋体" w:eastAsia="宋体" w:cs="宋体"/>
          <w:sz w:val="24"/>
        </w:rPr>
      </w:pPr>
    </w:p>
    <w:p w14:paraId="7CA5BD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采购人</w:t>
      </w:r>
      <w:r>
        <w:rPr>
          <w:rFonts w:hint="eastAsia" w:ascii="宋体" w:hAnsi="宋体" w:eastAsia="宋体" w:cs="宋体"/>
          <w:sz w:val="24"/>
        </w:rPr>
        <w:t>名称）：</w:t>
      </w:r>
    </w:p>
    <w:p w14:paraId="6015282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28B3AB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190322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507DD819">
      <w:pPr>
        <w:tabs>
          <w:tab w:val="left" w:pos="6300"/>
        </w:tabs>
        <w:snapToGrid w:val="0"/>
        <w:spacing w:line="500" w:lineRule="exact"/>
        <w:ind w:firstLine="570"/>
        <w:rPr>
          <w:rFonts w:hint="eastAsia" w:ascii="宋体" w:hAnsi="宋体" w:eastAsia="宋体" w:cs="宋体"/>
          <w:sz w:val="24"/>
        </w:rPr>
      </w:pPr>
    </w:p>
    <w:p w14:paraId="60865A24">
      <w:pPr>
        <w:tabs>
          <w:tab w:val="left" w:pos="6300"/>
        </w:tabs>
        <w:snapToGrid w:val="0"/>
        <w:spacing w:line="500" w:lineRule="exact"/>
        <w:ind w:firstLine="570"/>
        <w:rPr>
          <w:rFonts w:hint="eastAsia" w:ascii="宋体" w:hAnsi="宋体" w:eastAsia="宋体" w:cs="宋体"/>
          <w:sz w:val="24"/>
        </w:rPr>
      </w:pPr>
    </w:p>
    <w:p w14:paraId="06456D4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51C5C0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2F545DFE">
      <w:pPr>
        <w:tabs>
          <w:tab w:val="left" w:pos="6300"/>
        </w:tabs>
        <w:snapToGrid w:val="0"/>
        <w:spacing w:line="500" w:lineRule="exact"/>
        <w:ind w:firstLine="570"/>
        <w:rPr>
          <w:rFonts w:hint="eastAsia" w:ascii="宋体" w:hAnsi="宋体" w:eastAsia="宋体" w:cs="宋体"/>
          <w:sz w:val="24"/>
          <w:szCs w:val="28"/>
        </w:rPr>
      </w:pPr>
    </w:p>
    <w:p w14:paraId="3F974030">
      <w:pPr>
        <w:tabs>
          <w:tab w:val="left" w:pos="6300"/>
        </w:tabs>
        <w:snapToGrid w:val="0"/>
        <w:spacing w:line="500" w:lineRule="exact"/>
        <w:ind w:firstLine="570"/>
        <w:rPr>
          <w:rFonts w:hint="eastAsia" w:ascii="宋体" w:hAnsi="宋体" w:eastAsia="宋体" w:cs="宋体"/>
          <w:sz w:val="24"/>
        </w:rPr>
      </w:pPr>
    </w:p>
    <w:p w14:paraId="06DC4AE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4D009F3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A1E6479">
      <w:pPr>
        <w:tabs>
          <w:tab w:val="left" w:pos="6300"/>
        </w:tabs>
        <w:snapToGrid w:val="0"/>
        <w:spacing w:line="500" w:lineRule="exact"/>
        <w:ind w:firstLine="570"/>
        <w:rPr>
          <w:rFonts w:hint="eastAsia" w:ascii="宋体" w:hAnsi="宋体" w:eastAsia="宋体" w:cs="宋体"/>
          <w:sz w:val="24"/>
        </w:rPr>
      </w:pPr>
    </w:p>
    <w:p w14:paraId="03008757">
      <w:pPr>
        <w:tabs>
          <w:tab w:val="left" w:pos="6300"/>
        </w:tabs>
        <w:snapToGrid w:val="0"/>
        <w:spacing w:line="500" w:lineRule="exact"/>
        <w:ind w:firstLine="570"/>
        <w:rPr>
          <w:rFonts w:hint="eastAsia" w:ascii="宋体" w:hAnsi="宋体" w:eastAsia="宋体" w:cs="宋体"/>
          <w:sz w:val="24"/>
        </w:rPr>
      </w:pPr>
    </w:p>
    <w:p w14:paraId="00CDE018">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71267DD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5D4D3BC8">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w:t>
      </w:r>
    </w:p>
    <w:p w14:paraId="55A7DC9C">
      <w:pPr>
        <w:tabs>
          <w:tab w:val="left" w:pos="6300"/>
        </w:tabs>
        <w:snapToGrid w:val="0"/>
        <w:spacing w:line="500" w:lineRule="exact"/>
        <w:ind w:firstLine="570"/>
        <w:rPr>
          <w:rFonts w:hint="eastAsia" w:ascii="宋体" w:hAnsi="宋体" w:eastAsia="宋体" w:cs="宋体"/>
          <w:sz w:val="24"/>
          <w:szCs w:val="24"/>
        </w:rPr>
      </w:pPr>
    </w:p>
    <w:p w14:paraId="046604FC">
      <w:pPr>
        <w:tabs>
          <w:tab w:val="left" w:pos="6300"/>
        </w:tabs>
        <w:snapToGrid w:val="0"/>
        <w:spacing w:line="5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p w14:paraId="0EEF45B4">
      <w:pPr>
        <w:tabs>
          <w:tab w:val="left" w:pos="6300"/>
        </w:tabs>
        <w:snapToGrid w:val="0"/>
        <w:spacing w:line="530" w:lineRule="exact"/>
        <w:rPr>
          <w:rFonts w:hint="eastAsia" w:ascii="宋体" w:hAnsi="宋体" w:eastAsia="宋体" w:cs="宋体"/>
          <w:color w:val="auto"/>
          <w:sz w:val="24"/>
          <w:szCs w:val="24"/>
        </w:rPr>
      </w:pPr>
    </w:p>
    <w:p w14:paraId="260477EF">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w:t>
      </w:r>
    </w:p>
    <w:p w14:paraId="69979508">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名称）郑重承诺：</w:t>
      </w:r>
    </w:p>
    <w:p w14:paraId="5B40CE03">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zh-CN"/>
        </w:rPr>
        <w:t>社会保障金的良好记录</w:t>
      </w:r>
      <w:r>
        <w:rPr>
          <w:rFonts w:hint="eastAsia" w:ascii="宋体" w:hAnsi="宋体" w:eastAsia="宋体" w:cs="宋体"/>
          <w:color w:val="auto"/>
          <w:sz w:val="24"/>
          <w:szCs w:val="24"/>
        </w:rPr>
        <w:t>，参加本项目采购活动前三年内无重大违法活动记录。</w:t>
      </w:r>
    </w:p>
    <w:p w14:paraId="2637C8D6">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14863D3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08219D5A">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7F753AE2">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3F4D9F0A">
      <w:pPr>
        <w:tabs>
          <w:tab w:val="left" w:pos="6300"/>
        </w:tabs>
        <w:snapToGrid w:val="0"/>
        <w:spacing w:line="500" w:lineRule="exact"/>
        <w:ind w:firstLine="570"/>
        <w:rPr>
          <w:rFonts w:hint="eastAsia" w:ascii="宋体" w:hAnsi="宋体" w:eastAsia="宋体" w:cs="宋体"/>
          <w:sz w:val="24"/>
          <w:szCs w:val="24"/>
        </w:rPr>
      </w:pPr>
    </w:p>
    <w:p w14:paraId="20D99885">
      <w:pPr>
        <w:tabs>
          <w:tab w:val="left" w:pos="6300"/>
        </w:tabs>
        <w:snapToGrid w:val="0"/>
        <w:spacing w:line="500" w:lineRule="exact"/>
        <w:ind w:firstLine="570"/>
        <w:rPr>
          <w:rFonts w:hint="eastAsia" w:ascii="宋体" w:hAnsi="宋体" w:eastAsia="宋体" w:cs="宋体"/>
          <w:sz w:val="24"/>
          <w:szCs w:val="24"/>
        </w:rPr>
      </w:pPr>
    </w:p>
    <w:p w14:paraId="3D26A125">
      <w:pPr>
        <w:tabs>
          <w:tab w:val="left" w:pos="6300"/>
        </w:tabs>
        <w:snapToGrid w:val="0"/>
        <w:spacing w:line="50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0DD23A1E">
      <w:pPr>
        <w:tabs>
          <w:tab w:val="left" w:pos="6300"/>
        </w:tabs>
        <w:snapToGrid w:val="0"/>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14:paraId="1F6C9F15">
      <w:pPr>
        <w:tabs>
          <w:tab w:val="left" w:pos="6300"/>
        </w:tabs>
        <w:snapToGrid w:val="0"/>
        <w:spacing w:line="500" w:lineRule="exact"/>
        <w:ind w:right="1680"/>
        <w:rPr>
          <w:rFonts w:hint="eastAsia" w:ascii="宋体" w:hAnsi="宋体" w:eastAsia="宋体" w:cs="宋体"/>
          <w:sz w:val="24"/>
        </w:rPr>
      </w:pPr>
    </w:p>
    <w:p w14:paraId="69BB247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E6CF49">
      <w:pPr>
        <w:tabs>
          <w:tab w:val="left" w:pos="6300"/>
        </w:tabs>
        <w:snapToGrid w:val="0"/>
        <w:spacing w:line="500" w:lineRule="exact"/>
        <w:ind w:firstLine="480" w:firstLineChars="200"/>
        <w:rPr>
          <w:rFonts w:hint="eastAsia" w:ascii="宋体" w:hAnsi="宋体" w:eastAsia="宋体" w:cs="宋体"/>
          <w:sz w:val="24"/>
          <w:szCs w:val="24"/>
        </w:rPr>
      </w:pPr>
    </w:p>
    <w:p w14:paraId="7598D018">
      <w:pPr>
        <w:tabs>
          <w:tab w:val="left" w:pos="6300"/>
        </w:tabs>
        <w:snapToGrid w:val="0"/>
        <w:spacing w:line="500" w:lineRule="exact"/>
        <w:ind w:firstLine="480" w:firstLineChars="200"/>
        <w:rPr>
          <w:rFonts w:hint="eastAsia" w:ascii="宋体" w:hAnsi="宋体" w:eastAsia="宋体" w:cs="宋体"/>
          <w:sz w:val="24"/>
          <w:szCs w:val="24"/>
        </w:rPr>
      </w:pPr>
    </w:p>
    <w:p w14:paraId="49993DF0">
      <w:pPr>
        <w:tabs>
          <w:tab w:val="left" w:pos="6300"/>
        </w:tabs>
        <w:snapToGrid w:val="0"/>
        <w:spacing w:line="500" w:lineRule="exact"/>
        <w:ind w:firstLine="480" w:firstLineChars="200"/>
        <w:rPr>
          <w:rFonts w:hint="eastAsia" w:ascii="宋体" w:hAnsi="宋体" w:eastAsia="宋体" w:cs="宋体"/>
          <w:sz w:val="24"/>
          <w:szCs w:val="24"/>
        </w:rPr>
      </w:pPr>
    </w:p>
    <w:p w14:paraId="30E3AA30">
      <w:pPr>
        <w:tabs>
          <w:tab w:val="left" w:pos="6300"/>
        </w:tabs>
        <w:snapToGrid w:val="0"/>
        <w:spacing w:line="500" w:lineRule="exact"/>
        <w:ind w:firstLine="480" w:firstLineChars="200"/>
        <w:rPr>
          <w:rFonts w:hint="eastAsia" w:ascii="宋体" w:hAnsi="宋体" w:eastAsia="宋体" w:cs="宋体"/>
          <w:sz w:val="24"/>
          <w:szCs w:val="24"/>
        </w:rPr>
      </w:pPr>
    </w:p>
    <w:p w14:paraId="5BC87D1C">
      <w:pPr>
        <w:pStyle w:val="5"/>
        <w:spacing w:before="0" w:after="0" w:line="360" w:lineRule="auto"/>
        <w:rPr>
          <w:rFonts w:hint="eastAsia" w:ascii="宋体" w:hAnsi="宋体" w:eastAsia="宋体" w:cs="宋体"/>
          <w:sz w:val="24"/>
          <w:szCs w:val="24"/>
        </w:rPr>
      </w:pPr>
      <w:bookmarkStart w:id="133" w:name="_Toc22248"/>
      <w:bookmarkStart w:id="134" w:name="_Toc14422"/>
      <w:r>
        <w:rPr>
          <w:rFonts w:hint="eastAsia" w:ascii="宋体" w:hAnsi="宋体" w:eastAsia="宋体" w:cs="宋体"/>
          <w:sz w:val="24"/>
          <w:szCs w:val="24"/>
        </w:rPr>
        <w:t>五、其他资料</w:t>
      </w:r>
      <w:bookmarkEnd w:id="133"/>
      <w:bookmarkEnd w:id="134"/>
    </w:p>
    <w:p w14:paraId="388564BD">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其他与项目有关的资料（自附）</w:t>
      </w:r>
    </w:p>
    <w:p w14:paraId="4B3D2658">
      <w:pPr>
        <w:spacing w:line="360" w:lineRule="auto"/>
        <w:ind w:firstLine="480" w:firstLineChars="200"/>
        <w:rPr>
          <w:rFonts w:hint="eastAsia" w:ascii="宋体" w:hAnsi="宋体" w:eastAsia="宋体" w:cs="宋体"/>
          <w:sz w:val="24"/>
          <w:szCs w:val="24"/>
        </w:rPr>
      </w:pPr>
    </w:p>
    <w:p w14:paraId="325860A9">
      <w:pPr>
        <w:spacing w:line="360" w:lineRule="auto"/>
        <w:ind w:firstLine="480" w:firstLineChars="200"/>
        <w:jc w:val="center"/>
        <w:rPr>
          <w:rFonts w:hint="eastAsia" w:ascii="宋体" w:hAnsi="宋体" w:eastAsia="宋体" w:cs="宋体"/>
          <w:sz w:val="24"/>
          <w:szCs w:val="24"/>
        </w:rPr>
      </w:pPr>
    </w:p>
    <w:p w14:paraId="7FADD917">
      <w:pPr>
        <w:spacing w:line="360" w:lineRule="auto"/>
        <w:ind w:firstLine="480" w:firstLineChars="200"/>
        <w:jc w:val="center"/>
        <w:rPr>
          <w:rFonts w:hint="eastAsia" w:ascii="宋体" w:hAnsi="宋体" w:eastAsia="宋体" w:cs="宋体"/>
          <w:sz w:val="24"/>
          <w:szCs w:val="24"/>
        </w:rPr>
      </w:pPr>
    </w:p>
    <w:p w14:paraId="392A26FB">
      <w:pPr>
        <w:spacing w:line="360" w:lineRule="auto"/>
        <w:ind w:firstLine="480" w:firstLineChars="200"/>
        <w:jc w:val="center"/>
        <w:rPr>
          <w:rFonts w:hint="eastAsia" w:ascii="宋体" w:hAnsi="宋体" w:eastAsia="宋体" w:cs="宋体"/>
          <w:sz w:val="24"/>
          <w:szCs w:val="24"/>
        </w:rPr>
      </w:pPr>
    </w:p>
    <w:p w14:paraId="333E6132">
      <w:pPr>
        <w:spacing w:line="360" w:lineRule="auto"/>
        <w:ind w:firstLine="480" w:firstLineChars="200"/>
        <w:jc w:val="center"/>
        <w:rPr>
          <w:rFonts w:hint="eastAsia" w:ascii="宋体" w:hAnsi="宋体" w:eastAsia="宋体" w:cs="宋体"/>
          <w:sz w:val="24"/>
          <w:szCs w:val="24"/>
        </w:rPr>
      </w:pPr>
    </w:p>
    <w:p w14:paraId="52BF54BD">
      <w:pPr>
        <w:spacing w:line="360" w:lineRule="auto"/>
        <w:ind w:firstLine="480" w:firstLineChars="200"/>
        <w:jc w:val="center"/>
        <w:rPr>
          <w:rFonts w:hint="eastAsia" w:ascii="宋体" w:hAnsi="宋体" w:eastAsia="宋体" w:cs="宋体"/>
          <w:sz w:val="24"/>
          <w:szCs w:val="24"/>
        </w:rPr>
      </w:pPr>
    </w:p>
    <w:p w14:paraId="72866F2D">
      <w:pPr>
        <w:spacing w:line="360" w:lineRule="auto"/>
        <w:ind w:firstLine="480" w:firstLineChars="200"/>
        <w:jc w:val="center"/>
        <w:rPr>
          <w:rFonts w:hint="eastAsia" w:ascii="宋体" w:hAnsi="宋体" w:eastAsia="宋体" w:cs="宋体"/>
          <w:sz w:val="24"/>
          <w:szCs w:val="24"/>
        </w:rPr>
      </w:pPr>
    </w:p>
    <w:p w14:paraId="20F71967">
      <w:pPr>
        <w:spacing w:line="360" w:lineRule="auto"/>
        <w:ind w:firstLine="480" w:firstLineChars="200"/>
        <w:jc w:val="center"/>
        <w:rPr>
          <w:rFonts w:hint="eastAsia" w:ascii="宋体" w:hAnsi="宋体" w:eastAsia="宋体" w:cs="宋体"/>
          <w:sz w:val="24"/>
          <w:szCs w:val="24"/>
        </w:rPr>
      </w:pPr>
    </w:p>
    <w:p w14:paraId="7C883B3E">
      <w:pPr>
        <w:spacing w:line="360" w:lineRule="auto"/>
        <w:ind w:firstLine="480" w:firstLineChars="200"/>
        <w:jc w:val="center"/>
        <w:rPr>
          <w:rFonts w:hint="eastAsia" w:ascii="宋体" w:hAnsi="宋体" w:eastAsia="宋体" w:cs="宋体"/>
          <w:sz w:val="24"/>
          <w:szCs w:val="24"/>
        </w:rPr>
      </w:pPr>
    </w:p>
    <w:p w14:paraId="09935E41">
      <w:pPr>
        <w:spacing w:line="360" w:lineRule="auto"/>
        <w:ind w:firstLine="480" w:firstLineChars="200"/>
        <w:jc w:val="center"/>
        <w:rPr>
          <w:rFonts w:hint="eastAsia" w:ascii="宋体" w:hAnsi="宋体" w:eastAsia="宋体" w:cs="宋体"/>
          <w:sz w:val="24"/>
          <w:szCs w:val="24"/>
        </w:rPr>
      </w:pPr>
    </w:p>
    <w:p w14:paraId="5E50F021">
      <w:pPr>
        <w:spacing w:line="360" w:lineRule="auto"/>
        <w:ind w:firstLine="480" w:firstLineChars="200"/>
        <w:jc w:val="center"/>
        <w:rPr>
          <w:rFonts w:hint="eastAsia" w:ascii="宋体" w:hAnsi="宋体" w:eastAsia="宋体" w:cs="宋体"/>
          <w:sz w:val="24"/>
          <w:szCs w:val="24"/>
        </w:rPr>
      </w:pPr>
    </w:p>
    <w:p w14:paraId="38AF4595">
      <w:pPr>
        <w:spacing w:line="360" w:lineRule="auto"/>
        <w:ind w:firstLine="480" w:firstLineChars="200"/>
        <w:jc w:val="center"/>
        <w:rPr>
          <w:rFonts w:hint="eastAsia" w:ascii="宋体" w:hAnsi="宋体" w:eastAsia="宋体" w:cs="宋体"/>
          <w:sz w:val="24"/>
          <w:szCs w:val="24"/>
        </w:rPr>
      </w:pPr>
    </w:p>
    <w:p w14:paraId="050D8C14">
      <w:pPr>
        <w:spacing w:line="360" w:lineRule="auto"/>
        <w:ind w:firstLine="480" w:firstLineChars="200"/>
        <w:jc w:val="center"/>
        <w:rPr>
          <w:rFonts w:hint="eastAsia" w:ascii="宋体" w:hAnsi="宋体" w:eastAsia="宋体" w:cs="宋体"/>
          <w:sz w:val="24"/>
          <w:szCs w:val="24"/>
        </w:rPr>
      </w:pPr>
    </w:p>
    <w:p w14:paraId="35AB2024">
      <w:pPr>
        <w:spacing w:line="360" w:lineRule="auto"/>
        <w:ind w:firstLine="480" w:firstLineChars="200"/>
        <w:jc w:val="center"/>
        <w:rPr>
          <w:rFonts w:hint="eastAsia" w:ascii="宋体" w:hAnsi="宋体" w:eastAsia="宋体" w:cs="宋体"/>
          <w:sz w:val="24"/>
          <w:szCs w:val="24"/>
        </w:rPr>
      </w:pPr>
    </w:p>
    <w:p w14:paraId="2DCAB4DA">
      <w:pPr>
        <w:spacing w:line="360" w:lineRule="auto"/>
        <w:ind w:firstLine="480" w:firstLineChars="200"/>
        <w:jc w:val="center"/>
        <w:rPr>
          <w:rFonts w:hint="eastAsia" w:ascii="宋体" w:hAnsi="宋体" w:eastAsia="宋体" w:cs="宋体"/>
          <w:sz w:val="24"/>
          <w:szCs w:val="24"/>
        </w:rPr>
      </w:pPr>
    </w:p>
    <w:p w14:paraId="6FF08C12">
      <w:pPr>
        <w:spacing w:line="360" w:lineRule="auto"/>
        <w:ind w:firstLine="480" w:firstLineChars="200"/>
        <w:jc w:val="center"/>
        <w:rPr>
          <w:rFonts w:hint="eastAsia" w:ascii="宋体" w:hAnsi="宋体" w:eastAsia="宋体" w:cs="宋体"/>
          <w:sz w:val="24"/>
          <w:szCs w:val="24"/>
        </w:rPr>
      </w:pPr>
    </w:p>
    <w:p w14:paraId="2083A9B8">
      <w:pPr>
        <w:pStyle w:val="5"/>
        <w:rPr>
          <w:rFonts w:hint="eastAsia"/>
        </w:rPr>
      </w:pPr>
    </w:p>
    <w:p w14:paraId="357188F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19EBC7CD">
      <w:pPr>
        <w:pStyle w:val="2"/>
        <w:rPr>
          <w:rFonts w:hint="eastAsia" w:ascii="宋体" w:hAnsi="宋体" w:eastAsia="宋体" w:cs="宋体"/>
        </w:rPr>
      </w:pPr>
    </w:p>
    <w:p w14:paraId="6717DB48">
      <w:pPr>
        <w:pStyle w:val="2"/>
        <w:rPr>
          <w:rFonts w:hint="eastAsia" w:ascii="宋体" w:hAnsi="宋体" w:eastAsia="宋体" w:cs="宋体"/>
        </w:rPr>
      </w:pPr>
    </w:p>
    <w:p w14:paraId="6871841A">
      <w:pPr>
        <w:pStyle w:val="2"/>
        <w:rPr>
          <w:rFonts w:hint="eastAsia" w:ascii="宋体" w:hAnsi="宋体" w:eastAsia="宋体" w:cs="宋体"/>
        </w:rPr>
      </w:pPr>
    </w:p>
    <w:p w14:paraId="3BAD30A0">
      <w:pPr>
        <w:rPr>
          <w:rFonts w:hint="eastAsia" w:ascii="宋体" w:hAnsi="宋体" w:eastAsia="宋体" w:cs="宋体"/>
        </w:rPr>
      </w:pPr>
    </w:p>
    <w:p w14:paraId="12237252">
      <w:pPr>
        <w:pStyle w:val="2"/>
        <w:rPr>
          <w:rFonts w:hint="eastAsia" w:ascii="宋体" w:hAnsi="宋体" w:eastAsia="宋体" w:cs="宋体"/>
        </w:rPr>
      </w:pPr>
    </w:p>
    <w:p w14:paraId="2920BCCC">
      <w:pPr>
        <w:rPr>
          <w:rFonts w:hint="eastAsia" w:ascii="宋体" w:hAnsi="宋体" w:eastAsia="宋体" w:cs="宋体"/>
        </w:rPr>
      </w:pPr>
    </w:p>
    <w:p w14:paraId="06E44620">
      <w:pPr>
        <w:pStyle w:val="5"/>
        <w:rPr>
          <w:rFonts w:hint="eastAsia"/>
        </w:rPr>
      </w:pPr>
    </w:p>
    <w:p w14:paraId="1CC7CC58">
      <w:pPr>
        <w:pStyle w:val="2"/>
        <w:rPr>
          <w:rFonts w:hint="eastAsia" w:ascii="宋体" w:hAnsi="宋体" w:eastAsia="宋体" w:cs="宋体"/>
        </w:rPr>
      </w:pPr>
    </w:p>
    <w:p w14:paraId="73071A71">
      <w:pPr>
        <w:pStyle w:val="2"/>
        <w:rPr>
          <w:rFonts w:hint="eastAsia" w:ascii="宋体" w:hAnsi="宋体" w:eastAsia="宋体" w:cs="宋体"/>
        </w:rPr>
      </w:pPr>
    </w:p>
    <w:p w14:paraId="5A1C5931">
      <w:pPr>
        <w:jc w:val="center"/>
        <w:rPr>
          <w:rFonts w:hint="eastAsia" w:ascii="宋体" w:hAnsi="宋体" w:eastAsia="宋体" w:cs="宋体"/>
          <w:b/>
          <w:bCs/>
          <w:sz w:val="44"/>
          <w:szCs w:val="44"/>
        </w:rPr>
      </w:pPr>
      <w:bookmarkStart w:id="135" w:name="_Toc477027621"/>
      <w:bookmarkStart w:id="136" w:name="_Toc28290"/>
      <w:r>
        <w:rPr>
          <w:rFonts w:hint="eastAsia" w:ascii="宋体" w:hAnsi="宋体" w:eastAsia="宋体" w:cs="宋体"/>
          <w:b/>
          <w:bCs/>
          <w:sz w:val="44"/>
          <w:szCs w:val="44"/>
        </w:rPr>
        <w:t xml:space="preserve">  </w:t>
      </w:r>
    </w:p>
    <w:p w14:paraId="4EC6DDBD">
      <w:pPr>
        <w:jc w:val="center"/>
        <w:rPr>
          <w:rFonts w:hint="eastAsia" w:ascii="宋体" w:hAnsi="宋体" w:eastAsia="宋体" w:cs="宋体"/>
          <w:b/>
          <w:bCs/>
          <w:sz w:val="32"/>
          <w:szCs w:val="32"/>
        </w:rPr>
      </w:pPr>
      <w:r>
        <w:rPr>
          <w:rFonts w:hint="eastAsia" w:ascii="宋体" w:hAnsi="宋体" w:eastAsia="宋体" w:cs="宋体"/>
          <w:b/>
          <w:bCs/>
          <w:sz w:val="32"/>
          <w:szCs w:val="32"/>
        </w:rPr>
        <w:t>附件一：磋商文件发售登记表</w:t>
      </w:r>
    </w:p>
    <w:p w14:paraId="5933DE70">
      <w:pPr>
        <w:jc w:val="left"/>
        <w:rPr>
          <w:rFonts w:hint="eastAsia" w:ascii="宋体" w:hAnsi="宋体" w:eastAsia="宋体" w:cs="宋体"/>
          <w:b/>
          <w:bCs/>
          <w:spacing w:val="40"/>
        </w:rPr>
      </w:pPr>
    </w:p>
    <w:tbl>
      <w:tblPr>
        <w:tblStyle w:val="61"/>
        <w:tblW w:w="99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4150"/>
      </w:tblGrid>
      <w:tr w14:paraId="32496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vAlign w:val="center"/>
          </w:tcPr>
          <w:p w14:paraId="0A0D4A52">
            <w:pPr>
              <w:pStyle w:val="250"/>
              <w:keepNext w:val="0"/>
              <w:keepLines w:val="0"/>
              <w:widowControl/>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val="0"/>
                <w:sz w:val="28"/>
                <w:szCs w:val="28"/>
              </w:rPr>
              <w:t>采购执行编号</w:t>
            </w:r>
          </w:p>
        </w:tc>
        <w:tc>
          <w:tcPr>
            <w:tcW w:w="7846" w:type="dxa"/>
            <w:gridSpan w:val="3"/>
            <w:vAlign w:val="center"/>
          </w:tcPr>
          <w:p w14:paraId="5B375A8C">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r w14:paraId="62FBA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557AF27B">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项目名称</w:t>
            </w:r>
          </w:p>
        </w:tc>
        <w:tc>
          <w:tcPr>
            <w:tcW w:w="7846" w:type="dxa"/>
            <w:gridSpan w:val="3"/>
            <w:vAlign w:val="center"/>
          </w:tcPr>
          <w:p w14:paraId="4A91EA15">
            <w:pPr>
              <w:pStyle w:val="23"/>
              <w:keepNext w:val="0"/>
              <w:keepLines w:val="0"/>
              <w:suppressLineNumbers w:val="0"/>
              <w:spacing w:before="0" w:beforeAutospacing="0" w:after="0" w:afterAutospacing="0" w:line="500" w:lineRule="exact"/>
              <w:ind w:left="0" w:right="0"/>
              <w:jc w:val="center"/>
              <w:outlineLvl w:val="0"/>
              <w:rPr>
                <w:rFonts w:hint="eastAsia" w:ascii="宋体" w:hAnsi="宋体" w:eastAsia="宋体" w:cs="宋体"/>
                <w:sz w:val="28"/>
                <w:szCs w:val="28"/>
                <w:lang w:val="en-US" w:eastAsia="zh-CN"/>
              </w:rPr>
            </w:pPr>
          </w:p>
        </w:tc>
      </w:tr>
      <w:tr w14:paraId="24CBD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54" w:type="dxa"/>
            <w:vAlign w:val="center"/>
          </w:tcPr>
          <w:p w14:paraId="2159DB2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cs="宋体"/>
                <w:szCs w:val="28"/>
                <w:lang w:val="en-US" w:eastAsia="zh-CN"/>
              </w:rPr>
              <w:t>供应商</w:t>
            </w:r>
            <w:r>
              <w:rPr>
                <w:rFonts w:hint="eastAsia" w:ascii="宋体" w:hAnsi="宋体" w:eastAsia="宋体" w:cs="宋体"/>
                <w:szCs w:val="28"/>
              </w:rPr>
              <w:t>名称</w:t>
            </w:r>
          </w:p>
        </w:tc>
        <w:tc>
          <w:tcPr>
            <w:tcW w:w="7846" w:type="dxa"/>
            <w:gridSpan w:val="3"/>
            <w:vAlign w:val="bottom"/>
          </w:tcPr>
          <w:p w14:paraId="354C766B">
            <w:pPr>
              <w:keepNext w:val="0"/>
              <w:keepLines w:val="0"/>
              <w:suppressLineNumbers w:val="0"/>
              <w:spacing w:before="0" w:beforeAutospacing="0" w:after="0" w:afterAutospacing="0"/>
              <w:ind w:left="0" w:right="0"/>
              <w:jc w:val="both"/>
              <w:rPr>
                <w:rFonts w:hint="eastAsia" w:ascii="宋体" w:hAnsi="宋体" w:eastAsia="宋体" w:cs="宋体"/>
                <w:szCs w:val="28"/>
              </w:rPr>
            </w:pPr>
          </w:p>
          <w:p w14:paraId="12563E20">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2B844C36">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508B3281">
            <w:pPr>
              <w:keepNext w:val="0"/>
              <w:keepLines w:val="0"/>
              <w:suppressLineNumbers w:val="0"/>
              <w:spacing w:before="0" w:beforeAutospacing="0" w:after="0" w:afterAutospacing="0"/>
              <w:ind w:left="0" w:right="0"/>
              <w:jc w:val="right"/>
              <w:rPr>
                <w:rFonts w:hint="eastAsia" w:ascii="宋体" w:hAnsi="宋体" w:eastAsia="宋体" w:cs="宋体"/>
                <w:szCs w:val="28"/>
              </w:rPr>
            </w:pPr>
            <w:r>
              <w:rPr>
                <w:rFonts w:hint="eastAsia" w:ascii="宋体" w:hAnsi="宋体" w:eastAsia="宋体" w:cs="宋体"/>
                <w:szCs w:val="28"/>
              </w:rPr>
              <w:t>（</w:t>
            </w:r>
            <w:r>
              <w:rPr>
                <w:rFonts w:hint="eastAsia" w:ascii="宋体" w:hAnsi="宋体" w:cs="宋体"/>
                <w:szCs w:val="28"/>
                <w:lang w:val="en-US" w:eastAsia="zh-CN"/>
              </w:rPr>
              <w:t>供应商</w:t>
            </w:r>
            <w:r>
              <w:rPr>
                <w:rFonts w:hint="eastAsia" w:ascii="宋体" w:hAnsi="宋体" w:eastAsia="宋体" w:cs="宋体"/>
                <w:szCs w:val="28"/>
              </w:rPr>
              <w:t>公章）</w:t>
            </w:r>
          </w:p>
        </w:tc>
      </w:tr>
      <w:tr w14:paraId="68D65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7EF82C51">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联系人</w:t>
            </w:r>
          </w:p>
        </w:tc>
        <w:tc>
          <w:tcPr>
            <w:tcW w:w="2185" w:type="dxa"/>
            <w:vAlign w:val="center"/>
          </w:tcPr>
          <w:p w14:paraId="4B7833EC">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5C773E2A">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手机</w:t>
            </w:r>
          </w:p>
        </w:tc>
        <w:tc>
          <w:tcPr>
            <w:tcW w:w="4150" w:type="dxa"/>
            <w:vAlign w:val="center"/>
          </w:tcPr>
          <w:p w14:paraId="2E72630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16D32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49FD4AC">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办公电话</w:t>
            </w:r>
          </w:p>
        </w:tc>
        <w:tc>
          <w:tcPr>
            <w:tcW w:w="2185" w:type="dxa"/>
            <w:vAlign w:val="center"/>
          </w:tcPr>
          <w:p w14:paraId="717E32E5">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48EC49B1">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传真</w:t>
            </w:r>
          </w:p>
        </w:tc>
        <w:tc>
          <w:tcPr>
            <w:tcW w:w="4150" w:type="dxa"/>
            <w:vAlign w:val="center"/>
          </w:tcPr>
          <w:p w14:paraId="0FC58B0F">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42FA1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5ECC982D">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E-mail</w:t>
            </w:r>
          </w:p>
        </w:tc>
        <w:tc>
          <w:tcPr>
            <w:tcW w:w="7846" w:type="dxa"/>
            <w:gridSpan w:val="3"/>
            <w:vAlign w:val="center"/>
          </w:tcPr>
          <w:p w14:paraId="5A3CCB2E">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3491C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4D3D7D2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单位地址</w:t>
            </w:r>
          </w:p>
        </w:tc>
        <w:tc>
          <w:tcPr>
            <w:tcW w:w="7846" w:type="dxa"/>
            <w:gridSpan w:val="3"/>
            <w:vAlign w:val="center"/>
          </w:tcPr>
          <w:p w14:paraId="6D384F6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7AEB9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42CA61D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购买时间</w:t>
            </w:r>
          </w:p>
        </w:tc>
        <w:tc>
          <w:tcPr>
            <w:tcW w:w="7846" w:type="dxa"/>
            <w:gridSpan w:val="3"/>
            <w:vAlign w:val="center"/>
          </w:tcPr>
          <w:p w14:paraId="5D898CD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年   月   日</w:t>
            </w:r>
          </w:p>
        </w:tc>
      </w:tr>
      <w:tr w14:paraId="4A53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6BB64FA7">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备注</w:t>
            </w:r>
          </w:p>
        </w:tc>
        <w:tc>
          <w:tcPr>
            <w:tcW w:w="7846" w:type="dxa"/>
            <w:gridSpan w:val="3"/>
            <w:vAlign w:val="center"/>
          </w:tcPr>
          <w:p w14:paraId="1B2F1BE7">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bl>
    <w:p w14:paraId="2DD4D7B3">
      <w:pPr>
        <w:ind w:firstLine="560" w:firstLineChars="200"/>
        <w:jc w:val="left"/>
        <w:rPr>
          <w:rFonts w:hint="eastAsia" w:ascii="宋体" w:hAnsi="宋体" w:eastAsia="宋体" w:cs="宋体"/>
          <w:szCs w:val="28"/>
        </w:rPr>
      </w:pPr>
    </w:p>
    <w:bookmarkEnd w:id="135"/>
    <w:bookmarkEnd w:id="136"/>
    <w:p w14:paraId="703DB0A7">
      <w:pPr>
        <w:jc w:val="left"/>
        <w:rPr>
          <w:rFonts w:hint="eastAsia" w:ascii="宋体" w:hAnsi="宋体" w:eastAsia="宋体" w:cs="宋体"/>
          <w:szCs w:val="28"/>
        </w:rPr>
      </w:pPr>
      <w:r>
        <w:rPr>
          <w:rFonts w:hint="eastAsia" w:ascii="宋体" w:hAnsi="宋体" w:eastAsia="宋体" w:cs="宋体"/>
          <w:szCs w:val="28"/>
        </w:rPr>
        <w:t xml:space="preserve">采购文件售价：500元/份             发售人：明科建设咨询有限公司  </w:t>
      </w:r>
    </w:p>
    <w:p w14:paraId="3D489077">
      <w:pPr>
        <w:pStyle w:val="60"/>
        <w:rPr>
          <w:rFonts w:hint="eastAsia" w:ascii="宋体" w:hAnsi="宋体" w:eastAsia="宋体" w:cs="宋体"/>
          <w:szCs w:val="28"/>
        </w:rPr>
      </w:pPr>
    </w:p>
    <w:p w14:paraId="3AF6262C">
      <w:pPr>
        <w:pStyle w:val="60"/>
        <w:rPr>
          <w:rFonts w:hint="eastAsia" w:ascii="宋体" w:hAnsi="宋体" w:eastAsia="宋体" w:cs="宋体"/>
          <w:szCs w:val="28"/>
        </w:rPr>
      </w:pPr>
    </w:p>
    <w:p w14:paraId="242224EB">
      <w:pPr>
        <w:pStyle w:val="60"/>
        <w:rPr>
          <w:rFonts w:hint="eastAsia" w:ascii="宋体" w:hAnsi="宋体" w:eastAsia="宋体" w:cs="宋体"/>
          <w:szCs w:val="28"/>
        </w:rPr>
      </w:pPr>
    </w:p>
    <w:p w14:paraId="504B13C5">
      <w:pPr>
        <w:pStyle w:val="91"/>
        <w:jc w:val="both"/>
        <w:rPr>
          <w:rFonts w:hint="eastAsia" w:ascii="黑体" w:hAnsi="黑体" w:eastAsia="黑体" w:cs="黑体"/>
          <w:color w:val="auto"/>
          <w:highlight w:val="none"/>
        </w:rPr>
      </w:pPr>
    </w:p>
    <w:p w14:paraId="76D1C443">
      <w:pPr>
        <w:pStyle w:val="91"/>
        <w:jc w:val="both"/>
        <w:rPr>
          <w:rFonts w:hint="eastAsia" w:ascii="黑体" w:hAnsi="黑体" w:eastAsia="黑体" w:cs="黑体"/>
          <w:color w:val="auto"/>
          <w:highlight w:val="none"/>
        </w:rPr>
      </w:pPr>
      <w:bookmarkStart w:id="137" w:name="_Toc9476"/>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最后报价表</w:t>
      </w:r>
      <w:bookmarkEnd w:id="137"/>
      <w:r>
        <w:rPr>
          <w:rFonts w:hint="eastAsia" w:ascii="黑体" w:hAnsi="黑体" w:eastAsia="黑体" w:cs="黑体"/>
          <w:color w:val="auto"/>
          <w:highlight w:val="none"/>
        </w:rPr>
        <w:t xml:space="preserve">  </w:t>
      </w:r>
    </w:p>
    <w:p w14:paraId="438619D3">
      <w:pPr>
        <w:ind w:firstLine="480"/>
        <w:rPr>
          <w:rFonts w:hint="eastAsia" w:ascii="黑体" w:hAnsi="黑体" w:eastAsia="黑体" w:cs="黑体"/>
          <w:color w:val="auto"/>
          <w:highlight w:val="none"/>
        </w:rPr>
      </w:pPr>
    </w:p>
    <w:p w14:paraId="47A525F0">
      <w:pPr>
        <w:jc w:val="center"/>
        <w:rPr>
          <w:rFonts w:hint="eastAsia" w:ascii="黑体" w:hAnsi="黑体" w:eastAsia="黑体" w:cs="黑体"/>
          <w:b/>
          <w:bCs/>
          <w:smallCaps/>
          <w:color w:val="auto"/>
          <w:kern w:val="2"/>
          <w:sz w:val="28"/>
          <w:highlight w:val="none"/>
          <w:lang w:val="en-US" w:eastAsia="zh-CN" w:bidi="ar-SA"/>
        </w:rPr>
      </w:pPr>
      <w:r>
        <w:rPr>
          <w:rFonts w:hint="eastAsia" w:ascii="黑体" w:hAnsi="黑体" w:eastAsia="黑体" w:cs="黑体"/>
          <w:b/>
          <w:bCs/>
          <w:smallCaps/>
          <w:color w:val="auto"/>
          <w:kern w:val="2"/>
          <w:sz w:val="28"/>
          <w:highlight w:val="none"/>
          <w:lang w:val="en-US" w:eastAsia="zh-CN" w:bidi="ar-SA"/>
        </w:rPr>
        <w:t>最后报价表</w:t>
      </w:r>
    </w:p>
    <w:p w14:paraId="14316011">
      <w:pPr>
        <w:numPr>
          <w:ilvl w:val="0"/>
          <w:numId w:val="0"/>
        </w:numPr>
        <w:tabs>
          <w:tab w:val="left" w:pos="6300"/>
        </w:tabs>
        <w:snapToGrid w:val="0"/>
        <w:spacing w:line="500" w:lineRule="exact"/>
        <w:ind w:left="0" w:right="0" w:firstLine="560"/>
        <w:rPr>
          <w:rFonts w:hint="eastAsia" w:ascii="黑体" w:hAnsi="黑体" w:eastAsia="黑体" w:cs="黑体"/>
          <w:color w:val="auto"/>
          <w:szCs w:val="22"/>
          <w:highlight w:val="none"/>
        </w:rPr>
      </w:pPr>
    </w:p>
    <w:p w14:paraId="61A25C10">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single"/>
          <w:lang w:val="en-US" w:eastAsia="zh-CN"/>
        </w:rPr>
        <w:t>采购人名称）</w:t>
      </w:r>
      <w:r>
        <w:rPr>
          <w:rFonts w:hint="eastAsia" w:ascii="黑体" w:hAnsi="黑体" w:eastAsia="黑体" w:cs="黑体"/>
          <w:color w:val="auto"/>
          <w:sz w:val="24"/>
          <w:szCs w:val="22"/>
          <w:highlight w:val="none"/>
        </w:rPr>
        <w:t>：</w:t>
      </w:r>
    </w:p>
    <w:p w14:paraId="2200A478">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根据磋商会议上明确的各项要求，本人代表本公司对</w:t>
      </w:r>
      <w:r>
        <w:rPr>
          <w:rFonts w:hint="eastAsia" w:ascii="黑体" w:hAnsi="黑体" w:eastAsia="黑体" w:cs="黑体"/>
          <w:color w:val="auto"/>
          <w:sz w:val="24"/>
          <w:szCs w:val="22"/>
          <w:highlight w:val="none"/>
        </w:rPr>
        <w:t xml:space="preserve"> </w:t>
      </w:r>
      <w:r>
        <w:rPr>
          <w:rFonts w:hint="eastAsia" w:ascii="黑体" w:hAnsi="黑体" w:eastAsia="黑体" w:cs="黑体"/>
          <w:color w:val="auto"/>
          <w:sz w:val="24"/>
          <w:szCs w:val="22"/>
          <w:highlight w:val="none"/>
          <w:u w:val="single"/>
        </w:rPr>
        <w:t xml:space="preserve">       （</w:t>
      </w:r>
      <w:r>
        <w:rPr>
          <w:rFonts w:hint="eastAsia" w:ascii="黑体" w:hAnsi="黑体" w:eastAsia="黑体" w:cs="黑体"/>
          <w:color w:val="auto"/>
          <w:kern w:val="0"/>
          <w:sz w:val="24"/>
          <w:highlight w:val="none"/>
          <w:u w:val="single"/>
          <w:lang w:val="en-US" w:eastAsia="zh-CN"/>
        </w:rPr>
        <w:t>项目名称</w:t>
      </w:r>
      <w:r>
        <w:rPr>
          <w:rFonts w:hint="eastAsia" w:ascii="黑体" w:hAnsi="黑体" w:eastAsia="黑体" w:cs="黑体"/>
          <w:color w:val="auto"/>
          <w:sz w:val="24"/>
          <w:szCs w:val="22"/>
          <w:highlight w:val="none"/>
          <w:u w:val="single"/>
        </w:rPr>
        <w:t>）</w:t>
      </w:r>
      <w:r>
        <w:rPr>
          <w:rFonts w:hint="eastAsia" w:ascii="黑体" w:hAnsi="黑体" w:eastAsia="黑体" w:cs="黑体"/>
          <w:color w:val="auto"/>
          <w:kern w:val="0"/>
          <w:sz w:val="24"/>
          <w:highlight w:val="none"/>
          <w:u w:val="none"/>
          <w:lang w:val="en-US" w:eastAsia="zh-CN"/>
        </w:rPr>
        <w:t>竞争性磋商项目做出最终报价（人民币）如下</w:t>
      </w:r>
      <w:r>
        <w:rPr>
          <w:rFonts w:hint="eastAsia" w:ascii="黑体" w:hAnsi="黑体" w:eastAsia="黑体" w:cs="黑体"/>
          <w:color w:val="auto"/>
          <w:sz w:val="24"/>
          <w:szCs w:val="22"/>
          <w:highlight w:val="none"/>
        </w:rPr>
        <w:t>：</w:t>
      </w:r>
    </w:p>
    <w:p w14:paraId="05D022E9">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2537F67C">
      <w:pPr>
        <w:tabs>
          <w:tab w:val="left" w:pos="6300"/>
        </w:tabs>
        <w:snapToGrid w:val="0"/>
        <w:spacing w:line="500" w:lineRule="exact"/>
        <w:ind w:left="0" w:right="0" w:firstLine="480"/>
        <w:rPr>
          <w:rFonts w:hint="eastAsia" w:ascii="黑体" w:hAnsi="黑体" w:eastAsia="黑体" w:cs="黑体"/>
          <w:color w:val="auto"/>
          <w:highlight w:val="none"/>
          <w:lang w:eastAsia="zh-CN"/>
        </w:rPr>
      </w:pPr>
      <w:r>
        <w:rPr>
          <w:rFonts w:hint="eastAsia" w:ascii="黑体" w:hAnsi="黑体" w:eastAsia="黑体" w:cs="黑体"/>
          <w:color w:val="auto"/>
          <w:kern w:val="0"/>
          <w:sz w:val="24"/>
          <w:highlight w:val="none"/>
          <w:u w:val="none"/>
          <w:lang w:val="en-US" w:eastAsia="zh-CN"/>
        </w:rPr>
        <w:t>总报价</w:t>
      </w:r>
      <w:r>
        <w:rPr>
          <w:rFonts w:hint="eastAsia" w:ascii="黑体" w:hAnsi="黑体" w:eastAsia="黑体" w:cs="黑体"/>
          <w:color w:val="auto"/>
          <w:sz w:val="24"/>
          <w:szCs w:val="22"/>
          <w:highlight w:val="none"/>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none"/>
          <w:lang w:val="en-US" w:eastAsia="zh-CN"/>
        </w:rPr>
        <w:t>元</w:t>
      </w:r>
      <w:r>
        <w:rPr>
          <w:rFonts w:hint="eastAsia" w:ascii="黑体" w:hAnsi="黑体" w:eastAsia="黑体" w:cs="黑体"/>
          <w:color w:val="auto"/>
          <w:sz w:val="24"/>
          <w:szCs w:val="22"/>
          <w:highlight w:val="none"/>
          <w:lang w:eastAsia="zh-CN"/>
        </w:rPr>
        <w:t>（</w:t>
      </w:r>
      <w:r>
        <w:rPr>
          <w:rFonts w:hint="eastAsia" w:ascii="黑体" w:hAnsi="黑体" w:eastAsia="黑体" w:cs="黑体"/>
          <w:color w:val="auto"/>
          <w:kern w:val="0"/>
          <w:sz w:val="24"/>
          <w:highlight w:val="none"/>
          <w:u w:val="none"/>
          <w:lang w:val="en-US" w:eastAsia="zh-CN"/>
        </w:rPr>
        <w:t>大写</w:t>
      </w:r>
      <w:r>
        <w:rPr>
          <w:rFonts w:hint="eastAsia" w:ascii="黑体" w:hAnsi="黑体" w:eastAsia="黑体" w:cs="黑体"/>
          <w:color w:val="auto"/>
          <w:sz w:val="24"/>
          <w:szCs w:val="22"/>
          <w:highlight w:val="none"/>
          <w:lang w:val="en-US" w:eastAsia="zh-CN"/>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sz w:val="24"/>
          <w:szCs w:val="22"/>
          <w:highlight w:val="none"/>
          <w:lang w:eastAsia="zh-CN"/>
        </w:rPr>
        <w:t>）</w:t>
      </w:r>
    </w:p>
    <w:p w14:paraId="2952C83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3C7055D">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相关补充说明</w:t>
      </w:r>
      <w:r>
        <w:rPr>
          <w:rFonts w:hint="eastAsia" w:ascii="黑体" w:hAnsi="黑体" w:eastAsia="黑体" w:cs="黑体"/>
          <w:color w:val="auto"/>
          <w:sz w:val="24"/>
          <w:szCs w:val="22"/>
          <w:highlight w:val="none"/>
        </w:rPr>
        <w:t>：</w:t>
      </w:r>
      <w:bookmarkStart w:id="144" w:name="_GoBack"/>
      <w:bookmarkEnd w:id="144"/>
    </w:p>
    <w:p w14:paraId="40B23CF0">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FEC2DA6">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C71F3B3">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法定代表人或授权代表（签字）</w:t>
      </w:r>
      <w:r>
        <w:rPr>
          <w:rFonts w:hint="eastAsia" w:ascii="黑体" w:hAnsi="黑体" w:eastAsia="黑体" w:cs="黑体"/>
          <w:color w:val="auto"/>
          <w:sz w:val="24"/>
          <w:szCs w:val="22"/>
          <w:highlight w:val="none"/>
        </w:rPr>
        <w:t>：</w:t>
      </w:r>
    </w:p>
    <w:p w14:paraId="408073F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33EE4D99">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法定代表人或授权代表联系电话</w:t>
      </w:r>
      <w:r>
        <w:rPr>
          <w:rFonts w:hint="eastAsia" w:ascii="黑体" w:hAnsi="黑体" w:eastAsia="黑体" w:cs="黑体"/>
          <w:color w:val="auto"/>
          <w:sz w:val="24"/>
          <w:szCs w:val="22"/>
          <w:highlight w:val="none"/>
        </w:rPr>
        <w:t>：</w:t>
      </w:r>
    </w:p>
    <w:p w14:paraId="5CB4EB0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4943C07B">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691EFB1">
      <w:pPr>
        <w:tabs>
          <w:tab w:val="left" w:pos="6300"/>
        </w:tabs>
        <w:snapToGrid w:val="0"/>
        <w:spacing w:line="500" w:lineRule="exact"/>
        <w:ind w:left="0" w:right="0" w:firstLine="480"/>
        <w:jc w:val="center"/>
        <w:outlineLvl w:val="9"/>
        <w:rPr>
          <w:rFonts w:hint="eastAsia" w:ascii="黑体" w:hAnsi="黑体" w:eastAsia="黑体" w:cs="黑体"/>
          <w:color w:val="auto"/>
          <w:highlight w:val="none"/>
          <w:u w:val="single"/>
          <w:lang w:val="en-US" w:eastAsia="zh-CN"/>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38" w:name="_Toc19650"/>
      <w:bookmarkStart w:id="139" w:name="_Toc14989"/>
      <w:bookmarkStart w:id="140" w:name="_Toc23698"/>
      <w:r>
        <w:rPr>
          <w:rFonts w:hint="eastAsia" w:ascii="黑体" w:hAnsi="黑体" w:eastAsia="黑体" w:cs="黑体"/>
          <w:color w:val="auto"/>
          <w:kern w:val="0"/>
          <w:sz w:val="24"/>
          <w:highlight w:val="none"/>
          <w:u w:val="none"/>
          <w:lang w:val="en-US" w:eastAsia="zh-CN"/>
        </w:rPr>
        <w:t>供应商名称（盖章</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w:t>
      </w:r>
      <w:bookmarkEnd w:id="138"/>
      <w:bookmarkEnd w:id="139"/>
      <w:bookmarkEnd w:id="140"/>
    </w:p>
    <w:p w14:paraId="19BF7903">
      <w:pPr>
        <w:tabs>
          <w:tab w:val="left" w:pos="6300"/>
        </w:tabs>
        <w:snapToGrid w:val="0"/>
        <w:spacing w:line="500" w:lineRule="exact"/>
        <w:ind w:left="0" w:right="0" w:firstLine="480"/>
        <w:jc w:val="right"/>
        <w:rPr>
          <w:rFonts w:hint="eastAsia" w:ascii="黑体" w:hAnsi="黑体" w:eastAsia="黑体" w:cs="黑体"/>
          <w:color w:val="auto"/>
          <w:sz w:val="24"/>
          <w:szCs w:val="22"/>
          <w:highlight w:val="none"/>
        </w:rPr>
      </w:pPr>
    </w:p>
    <w:p w14:paraId="63D86306">
      <w:pPr>
        <w:tabs>
          <w:tab w:val="left" w:pos="6300"/>
        </w:tabs>
        <w:snapToGrid w:val="0"/>
        <w:spacing w:line="500" w:lineRule="exact"/>
        <w:ind w:left="0" w:right="0" w:firstLine="480"/>
        <w:jc w:val="center"/>
        <w:outlineLvl w:val="9"/>
        <w:rPr>
          <w:rFonts w:hint="eastAsia" w:ascii="黑体" w:hAnsi="黑体" w:eastAsia="黑体" w:cs="黑体"/>
          <w:color w:val="auto"/>
          <w:highlight w:val="none"/>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41" w:name="_Toc20232"/>
      <w:bookmarkStart w:id="142" w:name="_Toc6635"/>
      <w:bookmarkStart w:id="143" w:name="_Toc9967"/>
      <w:r>
        <w:rPr>
          <w:rFonts w:hint="eastAsia" w:ascii="黑体" w:hAnsi="黑体" w:eastAsia="黑体" w:cs="黑体"/>
          <w:color w:val="auto"/>
          <w:kern w:val="0"/>
          <w:sz w:val="24"/>
          <w:highlight w:val="none"/>
          <w:u w:val="none"/>
          <w:lang w:val="en-US" w:eastAsia="zh-CN"/>
        </w:rPr>
        <w:t>年  月  日</w:t>
      </w:r>
      <w:bookmarkEnd w:id="141"/>
      <w:bookmarkEnd w:id="142"/>
      <w:bookmarkEnd w:id="143"/>
    </w:p>
    <w:p w14:paraId="173D1313">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E76BF6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D487BE4">
      <w:pPr>
        <w:ind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注</w:t>
      </w:r>
      <w:r>
        <w:rPr>
          <w:rFonts w:hint="eastAsia" w:ascii="黑体" w:hAnsi="黑体" w:eastAsia="黑体" w:cs="黑体"/>
          <w:color w:val="auto"/>
          <w:sz w:val="24"/>
          <w:szCs w:val="22"/>
          <w:highlight w:val="none"/>
        </w:rPr>
        <w:t>：</w:t>
      </w:r>
      <w:r>
        <w:rPr>
          <w:rFonts w:hint="eastAsia" w:ascii="黑体" w:hAnsi="黑体" w:eastAsia="黑体" w:cs="黑体"/>
          <w:color w:val="auto"/>
          <w:kern w:val="0"/>
          <w:sz w:val="24"/>
          <w:highlight w:val="none"/>
          <w:u w:val="none"/>
          <w:lang w:val="en-US" w:eastAsia="zh-CN"/>
        </w:rPr>
        <w:t>供应商按此格式制作“最后报价表”，并加盖单位公章或签字后自行携带到现场，用于最后报价</w:t>
      </w:r>
      <w:r>
        <w:rPr>
          <w:rFonts w:hint="eastAsia" w:ascii="黑体" w:hAnsi="黑体" w:eastAsia="黑体" w:cs="黑体"/>
          <w:color w:val="auto"/>
          <w:sz w:val="24"/>
          <w:szCs w:val="22"/>
          <w:highlight w:val="none"/>
        </w:rPr>
        <w:t>。</w:t>
      </w:r>
    </w:p>
    <w:p w14:paraId="28B06462">
      <w:pPr>
        <w:pStyle w:val="60"/>
        <w:rPr>
          <w:rFonts w:hint="eastAsia" w:ascii="宋体" w:hAnsi="宋体" w:eastAsia="宋体" w:cs="宋体"/>
          <w:szCs w:val="28"/>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D044C-E172-4BE4-9A56-CC1843AC42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1AD4E71E-569C-46BA-BC62-2D0B10ECF6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6956">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1C6DE42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0B95">
    <w:pPr>
      <w:pStyle w:val="36"/>
      <w:framePr w:wrap="around" w:vAnchor="text" w:hAnchor="margin" w:xAlign="center" w:y="1"/>
      <w:rPr>
        <w:rStyle w:val="65"/>
      </w:rPr>
    </w:pPr>
  </w:p>
  <w:p w14:paraId="3E379C7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2CE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97E4">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0313">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7380">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0928">
    <w:pPr>
      <w:pStyle w:val="38"/>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135B"/>
    <w:multiLevelType w:val="singleLevel"/>
    <w:tmpl w:val="A146135B"/>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2"/>
  </w:num>
  <w:num w:numId="7">
    <w:abstractNumId w:val="7"/>
  </w:num>
  <w:num w:numId="8">
    <w:abstractNumId w:val="3"/>
  </w:num>
  <w:num w:numId="9">
    <w:abstractNumId w:val="11"/>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3626"/>
    <w:rsid w:val="000040DE"/>
    <w:rsid w:val="000075E8"/>
    <w:rsid w:val="00011B4B"/>
    <w:rsid w:val="00014332"/>
    <w:rsid w:val="00016B79"/>
    <w:rsid w:val="00017816"/>
    <w:rsid w:val="00021408"/>
    <w:rsid w:val="00032ACA"/>
    <w:rsid w:val="00034CCA"/>
    <w:rsid w:val="0003632F"/>
    <w:rsid w:val="0004739C"/>
    <w:rsid w:val="0005298B"/>
    <w:rsid w:val="00052BC9"/>
    <w:rsid w:val="00053B1B"/>
    <w:rsid w:val="0005417C"/>
    <w:rsid w:val="0005486D"/>
    <w:rsid w:val="000576E1"/>
    <w:rsid w:val="00063981"/>
    <w:rsid w:val="000714EE"/>
    <w:rsid w:val="00090C5A"/>
    <w:rsid w:val="00091B1C"/>
    <w:rsid w:val="00091D22"/>
    <w:rsid w:val="00092ACE"/>
    <w:rsid w:val="00097656"/>
    <w:rsid w:val="000A164E"/>
    <w:rsid w:val="000A3057"/>
    <w:rsid w:val="000B0DEB"/>
    <w:rsid w:val="000B1068"/>
    <w:rsid w:val="000B42F4"/>
    <w:rsid w:val="000B7377"/>
    <w:rsid w:val="000B7F54"/>
    <w:rsid w:val="000C08C1"/>
    <w:rsid w:val="000C6D89"/>
    <w:rsid w:val="000C7DA1"/>
    <w:rsid w:val="000D776F"/>
    <w:rsid w:val="000E01C9"/>
    <w:rsid w:val="000E0DD7"/>
    <w:rsid w:val="000E0E42"/>
    <w:rsid w:val="000E3259"/>
    <w:rsid w:val="000E5D71"/>
    <w:rsid w:val="000F5A63"/>
    <w:rsid w:val="000F6A48"/>
    <w:rsid w:val="000F7543"/>
    <w:rsid w:val="000F7DBF"/>
    <w:rsid w:val="0010014A"/>
    <w:rsid w:val="00100639"/>
    <w:rsid w:val="0010088E"/>
    <w:rsid w:val="00101A56"/>
    <w:rsid w:val="001028FD"/>
    <w:rsid w:val="00105638"/>
    <w:rsid w:val="00114CFE"/>
    <w:rsid w:val="00115337"/>
    <w:rsid w:val="0011683E"/>
    <w:rsid w:val="00116856"/>
    <w:rsid w:val="00116C42"/>
    <w:rsid w:val="0011780F"/>
    <w:rsid w:val="00120259"/>
    <w:rsid w:val="00122F9D"/>
    <w:rsid w:val="001266BF"/>
    <w:rsid w:val="00133D16"/>
    <w:rsid w:val="00134037"/>
    <w:rsid w:val="001342AC"/>
    <w:rsid w:val="001448BD"/>
    <w:rsid w:val="00145E2C"/>
    <w:rsid w:val="00147FB4"/>
    <w:rsid w:val="0015011C"/>
    <w:rsid w:val="0015033B"/>
    <w:rsid w:val="00150429"/>
    <w:rsid w:val="00152B00"/>
    <w:rsid w:val="00155A1A"/>
    <w:rsid w:val="00170166"/>
    <w:rsid w:val="00171E05"/>
    <w:rsid w:val="00180ACB"/>
    <w:rsid w:val="00183B60"/>
    <w:rsid w:val="00186623"/>
    <w:rsid w:val="001879FD"/>
    <w:rsid w:val="0019571D"/>
    <w:rsid w:val="001964D6"/>
    <w:rsid w:val="001A64A1"/>
    <w:rsid w:val="001A6DCC"/>
    <w:rsid w:val="001B0396"/>
    <w:rsid w:val="001B1400"/>
    <w:rsid w:val="001B3DBD"/>
    <w:rsid w:val="001B4377"/>
    <w:rsid w:val="001D0DF7"/>
    <w:rsid w:val="001D2321"/>
    <w:rsid w:val="001D2DCD"/>
    <w:rsid w:val="001D5055"/>
    <w:rsid w:val="001D630C"/>
    <w:rsid w:val="001E044B"/>
    <w:rsid w:val="001E201B"/>
    <w:rsid w:val="001E2D1F"/>
    <w:rsid w:val="001E5CAC"/>
    <w:rsid w:val="001E64A9"/>
    <w:rsid w:val="001E6721"/>
    <w:rsid w:val="001E6841"/>
    <w:rsid w:val="001E725F"/>
    <w:rsid w:val="001F1AF7"/>
    <w:rsid w:val="001F4964"/>
    <w:rsid w:val="001F7063"/>
    <w:rsid w:val="00202B04"/>
    <w:rsid w:val="00203052"/>
    <w:rsid w:val="00204936"/>
    <w:rsid w:val="00206AE4"/>
    <w:rsid w:val="002100EE"/>
    <w:rsid w:val="00212A06"/>
    <w:rsid w:val="0021704D"/>
    <w:rsid w:val="00222097"/>
    <w:rsid w:val="002227DB"/>
    <w:rsid w:val="00225CC2"/>
    <w:rsid w:val="00227202"/>
    <w:rsid w:val="00227377"/>
    <w:rsid w:val="00227851"/>
    <w:rsid w:val="00234257"/>
    <w:rsid w:val="002348E0"/>
    <w:rsid w:val="00262555"/>
    <w:rsid w:val="00263148"/>
    <w:rsid w:val="002643C1"/>
    <w:rsid w:val="00265203"/>
    <w:rsid w:val="0027199E"/>
    <w:rsid w:val="00271D47"/>
    <w:rsid w:val="002721EA"/>
    <w:rsid w:val="00272CA9"/>
    <w:rsid w:val="00280E8A"/>
    <w:rsid w:val="00285164"/>
    <w:rsid w:val="00287BED"/>
    <w:rsid w:val="002A137B"/>
    <w:rsid w:val="002A26C5"/>
    <w:rsid w:val="002A4956"/>
    <w:rsid w:val="002A6710"/>
    <w:rsid w:val="002B1FDA"/>
    <w:rsid w:val="002B578B"/>
    <w:rsid w:val="002B5ECC"/>
    <w:rsid w:val="002B7904"/>
    <w:rsid w:val="002C2507"/>
    <w:rsid w:val="002C2E6E"/>
    <w:rsid w:val="002C7927"/>
    <w:rsid w:val="002D1B4C"/>
    <w:rsid w:val="002D7725"/>
    <w:rsid w:val="002D7F24"/>
    <w:rsid w:val="002E0CC2"/>
    <w:rsid w:val="002E293B"/>
    <w:rsid w:val="002E3527"/>
    <w:rsid w:val="002F0ED3"/>
    <w:rsid w:val="002F3982"/>
    <w:rsid w:val="002F3DE3"/>
    <w:rsid w:val="002F632E"/>
    <w:rsid w:val="003021BC"/>
    <w:rsid w:val="00303F39"/>
    <w:rsid w:val="00310AF9"/>
    <w:rsid w:val="00310DAA"/>
    <w:rsid w:val="0031465E"/>
    <w:rsid w:val="00315742"/>
    <w:rsid w:val="003163B3"/>
    <w:rsid w:val="00322A7A"/>
    <w:rsid w:val="00326C5B"/>
    <w:rsid w:val="003328D4"/>
    <w:rsid w:val="00341DEB"/>
    <w:rsid w:val="00343B6C"/>
    <w:rsid w:val="00346A3D"/>
    <w:rsid w:val="00350C20"/>
    <w:rsid w:val="00353880"/>
    <w:rsid w:val="003548FA"/>
    <w:rsid w:val="00355A74"/>
    <w:rsid w:val="00361427"/>
    <w:rsid w:val="0036275E"/>
    <w:rsid w:val="00363702"/>
    <w:rsid w:val="0036458B"/>
    <w:rsid w:val="00371D2F"/>
    <w:rsid w:val="00372A67"/>
    <w:rsid w:val="00373122"/>
    <w:rsid w:val="0037612E"/>
    <w:rsid w:val="0038033A"/>
    <w:rsid w:val="003816ED"/>
    <w:rsid w:val="00384161"/>
    <w:rsid w:val="00387610"/>
    <w:rsid w:val="00395C2F"/>
    <w:rsid w:val="003973D3"/>
    <w:rsid w:val="00397F89"/>
    <w:rsid w:val="003A0892"/>
    <w:rsid w:val="003A1BF9"/>
    <w:rsid w:val="003A2D0E"/>
    <w:rsid w:val="003A422B"/>
    <w:rsid w:val="003A449E"/>
    <w:rsid w:val="003A71F3"/>
    <w:rsid w:val="003B19F5"/>
    <w:rsid w:val="003C79ED"/>
    <w:rsid w:val="003D0E0A"/>
    <w:rsid w:val="003D3B22"/>
    <w:rsid w:val="003D7B3D"/>
    <w:rsid w:val="003E7BFA"/>
    <w:rsid w:val="003F41F1"/>
    <w:rsid w:val="003F451E"/>
    <w:rsid w:val="003F4939"/>
    <w:rsid w:val="003F626F"/>
    <w:rsid w:val="00402B32"/>
    <w:rsid w:val="00410C93"/>
    <w:rsid w:val="00411B4A"/>
    <w:rsid w:val="004134DD"/>
    <w:rsid w:val="00417E99"/>
    <w:rsid w:val="00421507"/>
    <w:rsid w:val="00424D02"/>
    <w:rsid w:val="0042525A"/>
    <w:rsid w:val="00437B8B"/>
    <w:rsid w:val="0044193A"/>
    <w:rsid w:val="00453B8F"/>
    <w:rsid w:val="00460489"/>
    <w:rsid w:val="004608C7"/>
    <w:rsid w:val="00462878"/>
    <w:rsid w:val="00465B7A"/>
    <w:rsid w:val="0046631A"/>
    <w:rsid w:val="00472AA2"/>
    <w:rsid w:val="00473B39"/>
    <w:rsid w:val="00485B4D"/>
    <w:rsid w:val="00486F5D"/>
    <w:rsid w:val="00487B72"/>
    <w:rsid w:val="004928A2"/>
    <w:rsid w:val="0049447B"/>
    <w:rsid w:val="004953EC"/>
    <w:rsid w:val="004A0D29"/>
    <w:rsid w:val="004A0DE1"/>
    <w:rsid w:val="004A17D3"/>
    <w:rsid w:val="004A2410"/>
    <w:rsid w:val="004A27AC"/>
    <w:rsid w:val="004A3995"/>
    <w:rsid w:val="004A42A0"/>
    <w:rsid w:val="004C001F"/>
    <w:rsid w:val="004C1DD0"/>
    <w:rsid w:val="004C2685"/>
    <w:rsid w:val="004C64E4"/>
    <w:rsid w:val="004D2334"/>
    <w:rsid w:val="004D6824"/>
    <w:rsid w:val="004E156F"/>
    <w:rsid w:val="004E550E"/>
    <w:rsid w:val="004E55DB"/>
    <w:rsid w:val="004E5C74"/>
    <w:rsid w:val="004E67C6"/>
    <w:rsid w:val="00502B2F"/>
    <w:rsid w:val="00512D00"/>
    <w:rsid w:val="00514179"/>
    <w:rsid w:val="005164D4"/>
    <w:rsid w:val="005205CF"/>
    <w:rsid w:val="005269DB"/>
    <w:rsid w:val="0052718D"/>
    <w:rsid w:val="00527B5B"/>
    <w:rsid w:val="00533EAB"/>
    <w:rsid w:val="00544BEA"/>
    <w:rsid w:val="005460D5"/>
    <w:rsid w:val="005474EC"/>
    <w:rsid w:val="00547EB2"/>
    <w:rsid w:val="005501F0"/>
    <w:rsid w:val="00553CF0"/>
    <w:rsid w:val="00557C75"/>
    <w:rsid w:val="00566A85"/>
    <w:rsid w:val="00570C78"/>
    <w:rsid w:val="005736BF"/>
    <w:rsid w:val="00573AE3"/>
    <w:rsid w:val="005902D9"/>
    <w:rsid w:val="00596AB7"/>
    <w:rsid w:val="005A1B5C"/>
    <w:rsid w:val="005A1EA7"/>
    <w:rsid w:val="005A33AD"/>
    <w:rsid w:val="005A5660"/>
    <w:rsid w:val="005A5AAB"/>
    <w:rsid w:val="005A6CB7"/>
    <w:rsid w:val="005A7FC7"/>
    <w:rsid w:val="005B0724"/>
    <w:rsid w:val="005B1E46"/>
    <w:rsid w:val="005B5AA4"/>
    <w:rsid w:val="005C3F4B"/>
    <w:rsid w:val="005C42AC"/>
    <w:rsid w:val="005C4F84"/>
    <w:rsid w:val="005D37D0"/>
    <w:rsid w:val="005D703E"/>
    <w:rsid w:val="005E35E9"/>
    <w:rsid w:val="005E5525"/>
    <w:rsid w:val="005F5D2A"/>
    <w:rsid w:val="0060003E"/>
    <w:rsid w:val="0060315D"/>
    <w:rsid w:val="00603C08"/>
    <w:rsid w:val="006076D2"/>
    <w:rsid w:val="00613410"/>
    <w:rsid w:val="00617986"/>
    <w:rsid w:val="00627729"/>
    <w:rsid w:val="00627F21"/>
    <w:rsid w:val="00636542"/>
    <w:rsid w:val="00643298"/>
    <w:rsid w:val="0064583B"/>
    <w:rsid w:val="00651127"/>
    <w:rsid w:val="0065190C"/>
    <w:rsid w:val="00651F9A"/>
    <w:rsid w:val="00653114"/>
    <w:rsid w:val="006542F1"/>
    <w:rsid w:val="00654A48"/>
    <w:rsid w:val="0065651B"/>
    <w:rsid w:val="00657001"/>
    <w:rsid w:val="00664607"/>
    <w:rsid w:val="00670089"/>
    <w:rsid w:val="00670C89"/>
    <w:rsid w:val="00671233"/>
    <w:rsid w:val="006763DC"/>
    <w:rsid w:val="00677FD3"/>
    <w:rsid w:val="00680AE4"/>
    <w:rsid w:val="00682205"/>
    <w:rsid w:val="00684E51"/>
    <w:rsid w:val="0068793C"/>
    <w:rsid w:val="006A100B"/>
    <w:rsid w:val="006A143A"/>
    <w:rsid w:val="006A3285"/>
    <w:rsid w:val="006A4C56"/>
    <w:rsid w:val="006B0567"/>
    <w:rsid w:val="006B1C61"/>
    <w:rsid w:val="006B4535"/>
    <w:rsid w:val="006B594C"/>
    <w:rsid w:val="006B72DE"/>
    <w:rsid w:val="006B75CB"/>
    <w:rsid w:val="006C281B"/>
    <w:rsid w:val="006C5FC1"/>
    <w:rsid w:val="006C762B"/>
    <w:rsid w:val="006D44E1"/>
    <w:rsid w:val="006D6662"/>
    <w:rsid w:val="006D79B0"/>
    <w:rsid w:val="006E0E43"/>
    <w:rsid w:val="006E21FA"/>
    <w:rsid w:val="006E477D"/>
    <w:rsid w:val="006E6D5F"/>
    <w:rsid w:val="006F0FB7"/>
    <w:rsid w:val="006F5925"/>
    <w:rsid w:val="006F5E40"/>
    <w:rsid w:val="00704E5D"/>
    <w:rsid w:val="00705739"/>
    <w:rsid w:val="00706E93"/>
    <w:rsid w:val="00707521"/>
    <w:rsid w:val="00710AE5"/>
    <w:rsid w:val="00712E76"/>
    <w:rsid w:val="00712E83"/>
    <w:rsid w:val="00714BF1"/>
    <w:rsid w:val="00715FB5"/>
    <w:rsid w:val="0071698E"/>
    <w:rsid w:val="007171A6"/>
    <w:rsid w:val="0071799D"/>
    <w:rsid w:val="00721F0C"/>
    <w:rsid w:val="00726088"/>
    <w:rsid w:val="00730B6A"/>
    <w:rsid w:val="00736D88"/>
    <w:rsid w:val="00736DD2"/>
    <w:rsid w:val="00742C59"/>
    <w:rsid w:val="0074312D"/>
    <w:rsid w:val="0074681C"/>
    <w:rsid w:val="00746EC2"/>
    <w:rsid w:val="00781AD3"/>
    <w:rsid w:val="00781BFB"/>
    <w:rsid w:val="007842FC"/>
    <w:rsid w:val="00786FA7"/>
    <w:rsid w:val="007909FD"/>
    <w:rsid w:val="00794382"/>
    <w:rsid w:val="007959AC"/>
    <w:rsid w:val="007A20E0"/>
    <w:rsid w:val="007B2204"/>
    <w:rsid w:val="007B4B60"/>
    <w:rsid w:val="007B7278"/>
    <w:rsid w:val="007B7EE3"/>
    <w:rsid w:val="007C6B0F"/>
    <w:rsid w:val="007D3BCE"/>
    <w:rsid w:val="007D7A44"/>
    <w:rsid w:val="007D7E65"/>
    <w:rsid w:val="007E19E0"/>
    <w:rsid w:val="007E25C3"/>
    <w:rsid w:val="007F4EE5"/>
    <w:rsid w:val="007F6769"/>
    <w:rsid w:val="008041D4"/>
    <w:rsid w:val="008059B0"/>
    <w:rsid w:val="0081156A"/>
    <w:rsid w:val="00827398"/>
    <w:rsid w:val="0083653E"/>
    <w:rsid w:val="00842974"/>
    <w:rsid w:val="00842F87"/>
    <w:rsid w:val="00843580"/>
    <w:rsid w:val="00843D2E"/>
    <w:rsid w:val="00846C30"/>
    <w:rsid w:val="0085550A"/>
    <w:rsid w:val="008616EF"/>
    <w:rsid w:val="00863C25"/>
    <w:rsid w:val="008641B7"/>
    <w:rsid w:val="00864D80"/>
    <w:rsid w:val="00864DC1"/>
    <w:rsid w:val="008705BC"/>
    <w:rsid w:val="00871999"/>
    <w:rsid w:val="00875A42"/>
    <w:rsid w:val="008904A8"/>
    <w:rsid w:val="00891D94"/>
    <w:rsid w:val="00894AFE"/>
    <w:rsid w:val="00895DF3"/>
    <w:rsid w:val="008A19AF"/>
    <w:rsid w:val="008A20FB"/>
    <w:rsid w:val="008A6674"/>
    <w:rsid w:val="008C1B22"/>
    <w:rsid w:val="008C3FCD"/>
    <w:rsid w:val="008C4A42"/>
    <w:rsid w:val="008C4C84"/>
    <w:rsid w:val="008C510F"/>
    <w:rsid w:val="008C725D"/>
    <w:rsid w:val="008D067F"/>
    <w:rsid w:val="008D3283"/>
    <w:rsid w:val="008D6716"/>
    <w:rsid w:val="008E437B"/>
    <w:rsid w:val="008E4D3F"/>
    <w:rsid w:val="008E66B8"/>
    <w:rsid w:val="008E702B"/>
    <w:rsid w:val="008F0A2E"/>
    <w:rsid w:val="008F1988"/>
    <w:rsid w:val="008F6252"/>
    <w:rsid w:val="00900D7A"/>
    <w:rsid w:val="009023F3"/>
    <w:rsid w:val="0090383C"/>
    <w:rsid w:val="00905D85"/>
    <w:rsid w:val="00912132"/>
    <w:rsid w:val="009155BD"/>
    <w:rsid w:val="009226D2"/>
    <w:rsid w:val="00922FAD"/>
    <w:rsid w:val="00924F0A"/>
    <w:rsid w:val="00925082"/>
    <w:rsid w:val="00925726"/>
    <w:rsid w:val="0092708B"/>
    <w:rsid w:val="00930024"/>
    <w:rsid w:val="0093049D"/>
    <w:rsid w:val="00937713"/>
    <w:rsid w:val="0094759E"/>
    <w:rsid w:val="00952C13"/>
    <w:rsid w:val="00962BF1"/>
    <w:rsid w:val="00966820"/>
    <w:rsid w:val="00971E57"/>
    <w:rsid w:val="009723CF"/>
    <w:rsid w:val="0097652A"/>
    <w:rsid w:val="00980037"/>
    <w:rsid w:val="00983B43"/>
    <w:rsid w:val="00984742"/>
    <w:rsid w:val="00991B37"/>
    <w:rsid w:val="00994696"/>
    <w:rsid w:val="009B6208"/>
    <w:rsid w:val="009C18E9"/>
    <w:rsid w:val="009C3034"/>
    <w:rsid w:val="009C4BFF"/>
    <w:rsid w:val="009C7522"/>
    <w:rsid w:val="009D0FDD"/>
    <w:rsid w:val="009D3162"/>
    <w:rsid w:val="009D3181"/>
    <w:rsid w:val="009D599E"/>
    <w:rsid w:val="009D7B9B"/>
    <w:rsid w:val="009D7DCB"/>
    <w:rsid w:val="009E0E18"/>
    <w:rsid w:val="009E717E"/>
    <w:rsid w:val="009E737D"/>
    <w:rsid w:val="009F18FA"/>
    <w:rsid w:val="00A03977"/>
    <w:rsid w:val="00A15FBF"/>
    <w:rsid w:val="00A1616D"/>
    <w:rsid w:val="00A1783B"/>
    <w:rsid w:val="00A26FF7"/>
    <w:rsid w:val="00A30306"/>
    <w:rsid w:val="00A35650"/>
    <w:rsid w:val="00A37A20"/>
    <w:rsid w:val="00A445DC"/>
    <w:rsid w:val="00A44BEA"/>
    <w:rsid w:val="00A44F24"/>
    <w:rsid w:val="00A47C22"/>
    <w:rsid w:val="00A55B14"/>
    <w:rsid w:val="00A5689C"/>
    <w:rsid w:val="00A569E8"/>
    <w:rsid w:val="00A57FAF"/>
    <w:rsid w:val="00A601C4"/>
    <w:rsid w:val="00A61D6E"/>
    <w:rsid w:val="00A63D0C"/>
    <w:rsid w:val="00A70260"/>
    <w:rsid w:val="00A711C6"/>
    <w:rsid w:val="00A71B7E"/>
    <w:rsid w:val="00A730F3"/>
    <w:rsid w:val="00A73661"/>
    <w:rsid w:val="00A81F2F"/>
    <w:rsid w:val="00A82E0D"/>
    <w:rsid w:val="00A83E4E"/>
    <w:rsid w:val="00A84863"/>
    <w:rsid w:val="00A87F82"/>
    <w:rsid w:val="00A95D95"/>
    <w:rsid w:val="00A977EC"/>
    <w:rsid w:val="00A97AD0"/>
    <w:rsid w:val="00AA3FD1"/>
    <w:rsid w:val="00AA52DE"/>
    <w:rsid w:val="00AA61D4"/>
    <w:rsid w:val="00AB11B3"/>
    <w:rsid w:val="00AB4792"/>
    <w:rsid w:val="00AB5ED3"/>
    <w:rsid w:val="00AB6B0C"/>
    <w:rsid w:val="00AB70CD"/>
    <w:rsid w:val="00AB7800"/>
    <w:rsid w:val="00AC1860"/>
    <w:rsid w:val="00AC3819"/>
    <w:rsid w:val="00AC4898"/>
    <w:rsid w:val="00AC48B3"/>
    <w:rsid w:val="00AC7AC9"/>
    <w:rsid w:val="00AD1F53"/>
    <w:rsid w:val="00AE1920"/>
    <w:rsid w:val="00AF01B3"/>
    <w:rsid w:val="00AF0F13"/>
    <w:rsid w:val="00AF1462"/>
    <w:rsid w:val="00AF26A5"/>
    <w:rsid w:val="00AF31BD"/>
    <w:rsid w:val="00AF69D4"/>
    <w:rsid w:val="00AF7992"/>
    <w:rsid w:val="00AF7C71"/>
    <w:rsid w:val="00AF7CDD"/>
    <w:rsid w:val="00B00AB3"/>
    <w:rsid w:val="00B029E3"/>
    <w:rsid w:val="00B14C52"/>
    <w:rsid w:val="00B200AA"/>
    <w:rsid w:val="00B22339"/>
    <w:rsid w:val="00B2488E"/>
    <w:rsid w:val="00B25EB3"/>
    <w:rsid w:val="00B35FA2"/>
    <w:rsid w:val="00B40051"/>
    <w:rsid w:val="00B407CF"/>
    <w:rsid w:val="00B42056"/>
    <w:rsid w:val="00B44ECC"/>
    <w:rsid w:val="00B478C3"/>
    <w:rsid w:val="00B5081B"/>
    <w:rsid w:val="00B50B41"/>
    <w:rsid w:val="00B51251"/>
    <w:rsid w:val="00B52715"/>
    <w:rsid w:val="00B61348"/>
    <w:rsid w:val="00B6263F"/>
    <w:rsid w:val="00B67114"/>
    <w:rsid w:val="00B7097C"/>
    <w:rsid w:val="00B75449"/>
    <w:rsid w:val="00B75D33"/>
    <w:rsid w:val="00B75FAE"/>
    <w:rsid w:val="00B77835"/>
    <w:rsid w:val="00B81284"/>
    <w:rsid w:val="00B85405"/>
    <w:rsid w:val="00B86DA1"/>
    <w:rsid w:val="00B87401"/>
    <w:rsid w:val="00BA0A6E"/>
    <w:rsid w:val="00BA1D16"/>
    <w:rsid w:val="00BA527C"/>
    <w:rsid w:val="00BA6122"/>
    <w:rsid w:val="00BA7C67"/>
    <w:rsid w:val="00BA7D51"/>
    <w:rsid w:val="00BB7494"/>
    <w:rsid w:val="00BB76A5"/>
    <w:rsid w:val="00BC183F"/>
    <w:rsid w:val="00BC2390"/>
    <w:rsid w:val="00BC4DC5"/>
    <w:rsid w:val="00BC775D"/>
    <w:rsid w:val="00BD19D3"/>
    <w:rsid w:val="00BD2544"/>
    <w:rsid w:val="00BD5A75"/>
    <w:rsid w:val="00BE07A9"/>
    <w:rsid w:val="00BE2947"/>
    <w:rsid w:val="00BE2E36"/>
    <w:rsid w:val="00BE322C"/>
    <w:rsid w:val="00BE4028"/>
    <w:rsid w:val="00BE4D8F"/>
    <w:rsid w:val="00BF0A3E"/>
    <w:rsid w:val="00BF46A7"/>
    <w:rsid w:val="00BF5230"/>
    <w:rsid w:val="00C00289"/>
    <w:rsid w:val="00C0310D"/>
    <w:rsid w:val="00C1090C"/>
    <w:rsid w:val="00C17FCF"/>
    <w:rsid w:val="00C240C8"/>
    <w:rsid w:val="00C25391"/>
    <w:rsid w:val="00C26513"/>
    <w:rsid w:val="00C328C9"/>
    <w:rsid w:val="00C339ED"/>
    <w:rsid w:val="00C35BA8"/>
    <w:rsid w:val="00C37F72"/>
    <w:rsid w:val="00C420C1"/>
    <w:rsid w:val="00C43FEE"/>
    <w:rsid w:val="00C44AA6"/>
    <w:rsid w:val="00C45963"/>
    <w:rsid w:val="00C472B8"/>
    <w:rsid w:val="00C529FD"/>
    <w:rsid w:val="00C53124"/>
    <w:rsid w:val="00C53B2E"/>
    <w:rsid w:val="00C6160A"/>
    <w:rsid w:val="00C64DB3"/>
    <w:rsid w:val="00C65711"/>
    <w:rsid w:val="00C6609F"/>
    <w:rsid w:val="00C76ECD"/>
    <w:rsid w:val="00C84B63"/>
    <w:rsid w:val="00C84E04"/>
    <w:rsid w:val="00C910BE"/>
    <w:rsid w:val="00C922BE"/>
    <w:rsid w:val="00C938CC"/>
    <w:rsid w:val="00CA14F4"/>
    <w:rsid w:val="00CA583F"/>
    <w:rsid w:val="00CA5844"/>
    <w:rsid w:val="00CA7415"/>
    <w:rsid w:val="00CB17F7"/>
    <w:rsid w:val="00CB265C"/>
    <w:rsid w:val="00CB2A71"/>
    <w:rsid w:val="00CB32BC"/>
    <w:rsid w:val="00CB4540"/>
    <w:rsid w:val="00CB4951"/>
    <w:rsid w:val="00CB7A07"/>
    <w:rsid w:val="00CC59BB"/>
    <w:rsid w:val="00CD110F"/>
    <w:rsid w:val="00CD1B93"/>
    <w:rsid w:val="00CD2A87"/>
    <w:rsid w:val="00CD3BD4"/>
    <w:rsid w:val="00CD3CC8"/>
    <w:rsid w:val="00CD5601"/>
    <w:rsid w:val="00CD635D"/>
    <w:rsid w:val="00CD6DEE"/>
    <w:rsid w:val="00CD7C5B"/>
    <w:rsid w:val="00CD7CED"/>
    <w:rsid w:val="00CE04C7"/>
    <w:rsid w:val="00CE2AFE"/>
    <w:rsid w:val="00CF156B"/>
    <w:rsid w:val="00CF1E02"/>
    <w:rsid w:val="00CF4BD6"/>
    <w:rsid w:val="00CF597A"/>
    <w:rsid w:val="00CF5B5F"/>
    <w:rsid w:val="00D006E6"/>
    <w:rsid w:val="00D00DA0"/>
    <w:rsid w:val="00D0103F"/>
    <w:rsid w:val="00D0124F"/>
    <w:rsid w:val="00D01B81"/>
    <w:rsid w:val="00D026F9"/>
    <w:rsid w:val="00D05BAA"/>
    <w:rsid w:val="00D06B25"/>
    <w:rsid w:val="00D078AE"/>
    <w:rsid w:val="00D07F26"/>
    <w:rsid w:val="00D102CD"/>
    <w:rsid w:val="00D11A09"/>
    <w:rsid w:val="00D11BCD"/>
    <w:rsid w:val="00D13B7A"/>
    <w:rsid w:val="00D17FD1"/>
    <w:rsid w:val="00D22C4B"/>
    <w:rsid w:val="00D230C7"/>
    <w:rsid w:val="00D23E7D"/>
    <w:rsid w:val="00D2405F"/>
    <w:rsid w:val="00D26C71"/>
    <w:rsid w:val="00D30C7F"/>
    <w:rsid w:val="00D32DFB"/>
    <w:rsid w:val="00D35804"/>
    <w:rsid w:val="00D41998"/>
    <w:rsid w:val="00D41BA9"/>
    <w:rsid w:val="00D44059"/>
    <w:rsid w:val="00D4511A"/>
    <w:rsid w:val="00D451E3"/>
    <w:rsid w:val="00D52376"/>
    <w:rsid w:val="00D612C2"/>
    <w:rsid w:val="00D64D38"/>
    <w:rsid w:val="00D70C19"/>
    <w:rsid w:val="00D71E1D"/>
    <w:rsid w:val="00D745E0"/>
    <w:rsid w:val="00D76AA3"/>
    <w:rsid w:val="00D80604"/>
    <w:rsid w:val="00D84478"/>
    <w:rsid w:val="00D8456E"/>
    <w:rsid w:val="00D86529"/>
    <w:rsid w:val="00D86A86"/>
    <w:rsid w:val="00D874E4"/>
    <w:rsid w:val="00D8791E"/>
    <w:rsid w:val="00D92438"/>
    <w:rsid w:val="00DA0040"/>
    <w:rsid w:val="00DA086B"/>
    <w:rsid w:val="00DA1D7A"/>
    <w:rsid w:val="00DA4976"/>
    <w:rsid w:val="00DA5E0A"/>
    <w:rsid w:val="00DA6834"/>
    <w:rsid w:val="00DA7145"/>
    <w:rsid w:val="00DA7E05"/>
    <w:rsid w:val="00DB0218"/>
    <w:rsid w:val="00DB4794"/>
    <w:rsid w:val="00DB5C3E"/>
    <w:rsid w:val="00DB628E"/>
    <w:rsid w:val="00DC4070"/>
    <w:rsid w:val="00DD6F04"/>
    <w:rsid w:val="00DE163E"/>
    <w:rsid w:val="00DE1DE6"/>
    <w:rsid w:val="00DE1E39"/>
    <w:rsid w:val="00DE513D"/>
    <w:rsid w:val="00DF235C"/>
    <w:rsid w:val="00DF37C0"/>
    <w:rsid w:val="00DF47D6"/>
    <w:rsid w:val="00DF4D5A"/>
    <w:rsid w:val="00DF5277"/>
    <w:rsid w:val="00DF5425"/>
    <w:rsid w:val="00DF782C"/>
    <w:rsid w:val="00E01C28"/>
    <w:rsid w:val="00E030A0"/>
    <w:rsid w:val="00E04F16"/>
    <w:rsid w:val="00E075A1"/>
    <w:rsid w:val="00E124E3"/>
    <w:rsid w:val="00E12F81"/>
    <w:rsid w:val="00E142CF"/>
    <w:rsid w:val="00E14812"/>
    <w:rsid w:val="00E15231"/>
    <w:rsid w:val="00E15DDE"/>
    <w:rsid w:val="00E16247"/>
    <w:rsid w:val="00E2339E"/>
    <w:rsid w:val="00E3245B"/>
    <w:rsid w:val="00E32DCD"/>
    <w:rsid w:val="00E358C0"/>
    <w:rsid w:val="00E358FF"/>
    <w:rsid w:val="00E3707B"/>
    <w:rsid w:val="00E5050D"/>
    <w:rsid w:val="00E50685"/>
    <w:rsid w:val="00E57F6B"/>
    <w:rsid w:val="00E609CE"/>
    <w:rsid w:val="00E6234F"/>
    <w:rsid w:val="00E67AC7"/>
    <w:rsid w:val="00E7342C"/>
    <w:rsid w:val="00E76363"/>
    <w:rsid w:val="00E82FAF"/>
    <w:rsid w:val="00E8544C"/>
    <w:rsid w:val="00E90BE3"/>
    <w:rsid w:val="00E914BA"/>
    <w:rsid w:val="00E91D81"/>
    <w:rsid w:val="00E92BC2"/>
    <w:rsid w:val="00E94FDA"/>
    <w:rsid w:val="00EA010E"/>
    <w:rsid w:val="00EB1E33"/>
    <w:rsid w:val="00EB4DA6"/>
    <w:rsid w:val="00EB7B0A"/>
    <w:rsid w:val="00EC047F"/>
    <w:rsid w:val="00EC0881"/>
    <w:rsid w:val="00ED2F55"/>
    <w:rsid w:val="00ED5ED8"/>
    <w:rsid w:val="00EE0C95"/>
    <w:rsid w:val="00EE3F0F"/>
    <w:rsid w:val="00EF0199"/>
    <w:rsid w:val="00F04644"/>
    <w:rsid w:val="00F07266"/>
    <w:rsid w:val="00F11C7F"/>
    <w:rsid w:val="00F16313"/>
    <w:rsid w:val="00F1700E"/>
    <w:rsid w:val="00F20FF1"/>
    <w:rsid w:val="00F24317"/>
    <w:rsid w:val="00F25EFC"/>
    <w:rsid w:val="00F265EE"/>
    <w:rsid w:val="00F2711F"/>
    <w:rsid w:val="00F32641"/>
    <w:rsid w:val="00F34974"/>
    <w:rsid w:val="00F35457"/>
    <w:rsid w:val="00F3595B"/>
    <w:rsid w:val="00F367F3"/>
    <w:rsid w:val="00F36A26"/>
    <w:rsid w:val="00F41D7D"/>
    <w:rsid w:val="00F41F54"/>
    <w:rsid w:val="00F426A6"/>
    <w:rsid w:val="00F429FD"/>
    <w:rsid w:val="00F44E29"/>
    <w:rsid w:val="00F4623C"/>
    <w:rsid w:val="00F56399"/>
    <w:rsid w:val="00F746E3"/>
    <w:rsid w:val="00F7709C"/>
    <w:rsid w:val="00F7750A"/>
    <w:rsid w:val="00F80006"/>
    <w:rsid w:val="00F80084"/>
    <w:rsid w:val="00F95676"/>
    <w:rsid w:val="00F96401"/>
    <w:rsid w:val="00F964C7"/>
    <w:rsid w:val="00FA3F8B"/>
    <w:rsid w:val="00FA767D"/>
    <w:rsid w:val="00FC3C96"/>
    <w:rsid w:val="00FC693B"/>
    <w:rsid w:val="00FD2470"/>
    <w:rsid w:val="00FD5520"/>
    <w:rsid w:val="00FD5823"/>
    <w:rsid w:val="00FD7BE0"/>
    <w:rsid w:val="00FE0451"/>
    <w:rsid w:val="00FE1C27"/>
    <w:rsid w:val="00FE5C31"/>
    <w:rsid w:val="00FF1B0E"/>
    <w:rsid w:val="00FF748B"/>
    <w:rsid w:val="0126026C"/>
    <w:rsid w:val="013217EF"/>
    <w:rsid w:val="01B6046E"/>
    <w:rsid w:val="02F2197A"/>
    <w:rsid w:val="03C53D64"/>
    <w:rsid w:val="04836856"/>
    <w:rsid w:val="04F63670"/>
    <w:rsid w:val="051200B1"/>
    <w:rsid w:val="055C757F"/>
    <w:rsid w:val="05EA65EF"/>
    <w:rsid w:val="063D3F02"/>
    <w:rsid w:val="066366AC"/>
    <w:rsid w:val="06AF36FF"/>
    <w:rsid w:val="06C4224F"/>
    <w:rsid w:val="06D870D9"/>
    <w:rsid w:val="0784701B"/>
    <w:rsid w:val="07916436"/>
    <w:rsid w:val="07B91983"/>
    <w:rsid w:val="07CF0C6A"/>
    <w:rsid w:val="07D22587"/>
    <w:rsid w:val="07D478A0"/>
    <w:rsid w:val="08140551"/>
    <w:rsid w:val="087329FF"/>
    <w:rsid w:val="08D025B5"/>
    <w:rsid w:val="08F57ACE"/>
    <w:rsid w:val="097833D1"/>
    <w:rsid w:val="09B53096"/>
    <w:rsid w:val="09B74D83"/>
    <w:rsid w:val="09ED4C49"/>
    <w:rsid w:val="0A2763AD"/>
    <w:rsid w:val="0A3B7763"/>
    <w:rsid w:val="0A58609E"/>
    <w:rsid w:val="0ABA2D47"/>
    <w:rsid w:val="0B183F48"/>
    <w:rsid w:val="0B1A381C"/>
    <w:rsid w:val="0B786794"/>
    <w:rsid w:val="0B93537C"/>
    <w:rsid w:val="0BD954F5"/>
    <w:rsid w:val="0BF51ABF"/>
    <w:rsid w:val="0C6F204A"/>
    <w:rsid w:val="0CC955BE"/>
    <w:rsid w:val="0CD62761"/>
    <w:rsid w:val="0D921D8F"/>
    <w:rsid w:val="0DAC046C"/>
    <w:rsid w:val="0E016F15"/>
    <w:rsid w:val="0E8E7DFB"/>
    <w:rsid w:val="0F0963DE"/>
    <w:rsid w:val="0F5C4047"/>
    <w:rsid w:val="0FB14619"/>
    <w:rsid w:val="0FFD2E7B"/>
    <w:rsid w:val="100D1BA1"/>
    <w:rsid w:val="1062641A"/>
    <w:rsid w:val="10BD24CE"/>
    <w:rsid w:val="10EC5C5A"/>
    <w:rsid w:val="11A26319"/>
    <w:rsid w:val="11B86BB3"/>
    <w:rsid w:val="12C40361"/>
    <w:rsid w:val="12E34E3B"/>
    <w:rsid w:val="13275550"/>
    <w:rsid w:val="13E26419"/>
    <w:rsid w:val="147A5E14"/>
    <w:rsid w:val="149C6DEC"/>
    <w:rsid w:val="14CE7B25"/>
    <w:rsid w:val="14DB226E"/>
    <w:rsid w:val="15731905"/>
    <w:rsid w:val="15CE063D"/>
    <w:rsid w:val="16437131"/>
    <w:rsid w:val="16C16639"/>
    <w:rsid w:val="17010FCC"/>
    <w:rsid w:val="175C6F6A"/>
    <w:rsid w:val="17C4348D"/>
    <w:rsid w:val="18AB3826"/>
    <w:rsid w:val="18DC007E"/>
    <w:rsid w:val="18ED7A84"/>
    <w:rsid w:val="18FC0A05"/>
    <w:rsid w:val="198804EA"/>
    <w:rsid w:val="1999264E"/>
    <w:rsid w:val="19A40F43"/>
    <w:rsid w:val="19B87257"/>
    <w:rsid w:val="19F704C5"/>
    <w:rsid w:val="1A7D3DC7"/>
    <w:rsid w:val="1A883F5A"/>
    <w:rsid w:val="1A8C7B66"/>
    <w:rsid w:val="1AD339E7"/>
    <w:rsid w:val="1AF91EE2"/>
    <w:rsid w:val="1B587852"/>
    <w:rsid w:val="1B657BD2"/>
    <w:rsid w:val="1BDC44FB"/>
    <w:rsid w:val="1BF129D0"/>
    <w:rsid w:val="1C844F99"/>
    <w:rsid w:val="1CCF3C65"/>
    <w:rsid w:val="1CF41540"/>
    <w:rsid w:val="1D3F35B6"/>
    <w:rsid w:val="1D813BCE"/>
    <w:rsid w:val="1DA6697D"/>
    <w:rsid w:val="1DB7549E"/>
    <w:rsid w:val="1DC13FCB"/>
    <w:rsid w:val="1DC467A7"/>
    <w:rsid w:val="1DD26FA2"/>
    <w:rsid w:val="1DF26448"/>
    <w:rsid w:val="1E1265D5"/>
    <w:rsid w:val="1E3173A3"/>
    <w:rsid w:val="1E4B0E64"/>
    <w:rsid w:val="1F861028"/>
    <w:rsid w:val="1FA15E62"/>
    <w:rsid w:val="208C7947"/>
    <w:rsid w:val="20B6486E"/>
    <w:rsid w:val="20D34C68"/>
    <w:rsid w:val="20F12E19"/>
    <w:rsid w:val="21257FBD"/>
    <w:rsid w:val="215328E6"/>
    <w:rsid w:val="217101E2"/>
    <w:rsid w:val="2176269C"/>
    <w:rsid w:val="21EF4752"/>
    <w:rsid w:val="22641A40"/>
    <w:rsid w:val="22A5210D"/>
    <w:rsid w:val="22B85C56"/>
    <w:rsid w:val="22D12F02"/>
    <w:rsid w:val="22E460BA"/>
    <w:rsid w:val="247578C9"/>
    <w:rsid w:val="24B3305B"/>
    <w:rsid w:val="24B75DEC"/>
    <w:rsid w:val="253908EB"/>
    <w:rsid w:val="2587082F"/>
    <w:rsid w:val="25E42F4C"/>
    <w:rsid w:val="27051310"/>
    <w:rsid w:val="271635D9"/>
    <w:rsid w:val="276C2443"/>
    <w:rsid w:val="27910EB2"/>
    <w:rsid w:val="2814263E"/>
    <w:rsid w:val="28302479"/>
    <w:rsid w:val="28B864A3"/>
    <w:rsid w:val="28F1322C"/>
    <w:rsid w:val="28F409D1"/>
    <w:rsid w:val="2916341D"/>
    <w:rsid w:val="294837F2"/>
    <w:rsid w:val="29F179E6"/>
    <w:rsid w:val="2A2F792E"/>
    <w:rsid w:val="2A575904"/>
    <w:rsid w:val="2A966A9D"/>
    <w:rsid w:val="2AA01F44"/>
    <w:rsid w:val="2AEA0A59"/>
    <w:rsid w:val="2B2C5A8A"/>
    <w:rsid w:val="2B911481"/>
    <w:rsid w:val="2CAC416A"/>
    <w:rsid w:val="2CD1253E"/>
    <w:rsid w:val="2DA37249"/>
    <w:rsid w:val="2DD91A0E"/>
    <w:rsid w:val="2EC658E5"/>
    <w:rsid w:val="3014442E"/>
    <w:rsid w:val="30406FD1"/>
    <w:rsid w:val="311B18BA"/>
    <w:rsid w:val="314F1BC2"/>
    <w:rsid w:val="315C42DF"/>
    <w:rsid w:val="31CF2D03"/>
    <w:rsid w:val="323620BE"/>
    <w:rsid w:val="32482CF1"/>
    <w:rsid w:val="32A01FA9"/>
    <w:rsid w:val="32E55E4E"/>
    <w:rsid w:val="33574D5E"/>
    <w:rsid w:val="337E6F92"/>
    <w:rsid w:val="3422046A"/>
    <w:rsid w:val="3463041A"/>
    <w:rsid w:val="349A290B"/>
    <w:rsid w:val="34B47F8E"/>
    <w:rsid w:val="34BB66EE"/>
    <w:rsid w:val="35705858"/>
    <w:rsid w:val="3596288C"/>
    <w:rsid w:val="35C02B0E"/>
    <w:rsid w:val="361B2A2D"/>
    <w:rsid w:val="36525CB0"/>
    <w:rsid w:val="36C344B8"/>
    <w:rsid w:val="36FF0D6B"/>
    <w:rsid w:val="370F64B3"/>
    <w:rsid w:val="377A7F0A"/>
    <w:rsid w:val="37B07132"/>
    <w:rsid w:val="37CE18E6"/>
    <w:rsid w:val="38DD3F57"/>
    <w:rsid w:val="398C4099"/>
    <w:rsid w:val="399A5EAD"/>
    <w:rsid w:val="39E51E92"/>
    <w:rsid w:val="3A116D63"/>
    <w:rsid w:val="3A1E0383"/>
    <w:rsid w:val="3A271638"/>
    <w:rsid w:val="3A4616DA"/>
    <w:rsid w:val="3A7A7584"/>
    <w:rsid w:val="3B1F36A3"/>
    <w:rsid w:val="3B554279"/>
    <w:rsid w:val="3C6B7ACC"/>
    <w:rsid w:val="3CBE19AA"/>
    <w:rsid w:val="3CD25455"/>
    <w:rsid w:val="3D8C48D3"/>
    <w:rsid w:val="3DE436F0"/>
    <w:rsid w:val="3E447041"/>
    <w:rsid w:val="3E6912FB"/>
    <w:rsid w:val="3F070AA9"/>
    <w:rsid w:val="3F9115E5"/>
    <w:rsid w:val="3FC22642"/>
    <w:rsid w:val="401F6C03"/>
    <w:rsid w:val="405B02ED"/>
    <w:rsid w:val="405E3BCF"/>
    <w:rsid w:val="406311E6"/>
    <w:rsid w:val="40BE466E"/>
    <w:rsid w:val="41016309"/>
    <w:rsid w:val="41285B63"/>
    <w:rsid w:val="413C7FBF"/>
    <w:rsid w:val="414F6F99"/>
    <w:rsid w:val="41E55C2A"/>
    <w:rsid w:val="41F61BE6"/>
    <w:rsid w:val="43291B47"/>
    <w:rsid w:val="438A4CDB"/>
    <w:rsid w:val="43963680"/>
    <w:rsid w:val="44826240"/>
    <w:rsid w:val="44A20D16"/>
    <w:rsid w:val="44CE232A"/>
    <w:rsid w:val="457E617A"/>
    <w:rsid w:val="45B1413E"/>
    <w:rsid w:val="46325030"/>
    <w:rsid w:val="4674757D"/>
    <w:rsid w:val="47906C22"/>
    <w:rsid w:val="47ED7CFC"/>
    <w:rsid w:val="48535936"/>
    <w:rsid w:val="486633E5"/>
    <w:rsid w:val="4991239D"/>
    <w:rsid w:val="4A7638C4"/>
    <w:rsid w:val="4B257098"/>
    <w:rsid w:val="4B2D12E0"/>
    <w:rsid w:val="4BB23021"/>
    <w:rsid w:val="4C022D75"/>
    <w:rsid w:val="4C28368B"/>
    <w:rsid w:val="4C57579C"/>
    <w:rsid w:val="4CD86BC9"/>
    <w:rsid w:val="4D471D29"/>
    <w:rsid w:val="4D92745F"/>
    <w:rsid w:val="4DAB0C60"/>
    <w:rsid w:val="4EBA6CE0"/>
    <w:rsid w:val="4EFC1D3D"/>
    <w:rsid w:val="4F582737"/>
    <w:rsid w:val="4F7C5A57"/>
    <w:rsid w:val="4FCE7F7B"/>
    <w:rsid w:val="501E6ED7"/>
    <w:rsid w:val="50287095"/>
    <w:rsid w:val="507810C3"/>
    <w:rsid w:val="50A0169A"/>
    <w:rsid w:val="51075C61"/>
    <w:rsid w:val="51735001"/>
    <w:rsid w:val="51AE055C"/>
    <w:rsid w:val="524E4559"/>
    <w:rsid w:val="52756B57"/>
    <w:rsid w:val="52D12EEC"/>
    <w:rsid w:val="52D92ACB"/>
    <w:rsid w:val="52F45CCD"/>
    <w:rsid w:val="52F51160"/>
    <w:rsid w:val="533D3CBC"/>
    <w:rsid w:val="535A51E8"/>
    <w:rsid w:val="53A05E55"/>
    <w:rsid w:val="54BE2A37"/>
    <w:rsid w:val="54C737A2"/>
    <w:rsid w:val="552503C0"/>
    <w:rsid w:val="552F56E3"/>
    <w:rsid w:val="56406276"/>
    <w:rsid w:val="56552F27"/>
    <w:rsid w:val="56821731"/>
    <w:rsid w:val="574D3BFE"/>
    <w:rsid w:val="58474186"/>
    <w:rsid w:val="58F033DB"/>
    <w:rsid w:val="5952307A"/>
    <w:rsid w:val="597E4543"/>
    <w:rsid w:val="59AB0B2A"/>
    <w:rsid w:val="5A496858"/>
    <w:rsid w:val="5B143578"/>
    <w:rsid w:val="5B303F63"/>
    <w:rsid w:val="5B3255E5"/>
    <w:rsid w:val="5B9250A0"/>
    <w:rsid w:val="5BC208DA"/>
    <w:rsid w:val="5BE508A9"/>
    <w:rsid w:val="5C0077FD"/>
    <w:rsid w:val="5C280784"/>
    <w:rsid w:val="5C837F5D"/>
    <w:rsid w:val="5C9D1657"/>
    <w:rsid w:val="5D8B0BDE"/>
    <w:rsid w:val="5D900CE9"/>
    <w:rsid w:val="5DFB0858"/>
    <w:rsid w:val="5E2D6537"/>
    <w:rsid w:val="5E455F5D"/>
    <w:rsid w:val="5E5F4C97"/>
    <w:rsid w:val="5E77658F"/>
    <w:rsid w:val="5EA21EF6"/>
    <w:rsid w:val="5EE513A4"/>
    <w:rsid w:val="5F1519ED"/>
    <w:rsid w:val="5F5C70D4"/>
    <w:rsid w:val="600A3F19"/>
    <w:rsid w:val="601C6864"/>
    <w:rsid w:val="604C7158"/>
    <w:rsid w:val="605E6E7C"/>
    <w:rsid w:val="609E371C"/>
    <w:rsid w:val="611D0AE5"/>
    <w:rsid w:val="61291238"/>
    <w:rsid w:val="61786B56"/>
    <w:rsid w:val="61903065"/>
    <w:rsid w:val="62502FB6"/>
    <w:rsid w:val="630B32EB"/>
    <w:rsid w:val="63122BCA"/>
    <w:rsid w:val="633769B6"/>
    <w:rsid w:val="63395E86"/>
    <w:rsid w:val="63663DC9"/>
    <w:rsid w:val="63BF40D6"/>
    <w:rsid w:val="64724786"/>
    <w:rsid w:val="649B244D"/>
    <w:rsid w:val="64C90187"/>
    <w:rsid w:val="64DD161C"/>
    <w:rsid w:val="65154FA6"/>
    <w:rsid w:val="65400429"/>
    <w:rsid w:val="65CE4CD7"/>
    <w:rsid w:val="665A1E94"/>
    <w:rsid w:val="668A7827"/>
    <w:rsid w:val="66DE4873"/>
    <w:rsid w:val="66E10D3C"/>
    <w:rsid w:val="66E27C8C"/>
    <w:rsid w:val="680031CA"/>
    <w:rsid w:val="68190258"/>
    <w:rsid w:val="683B7F63"/>
    <w:rsid w:val="685A6DD0"/>
    <w:rsid w:val="68D91796"/>
    <w:rsid w:val="6949041A"/>
    <w:rsid w:val="696F5345"/>
    <w:rsid w:val="6A050368"/>
    <w:rsid w:val="6A225C9D"/>
    <w:rsid w:val="6A787FF1"/>
    <w:rsid w:val="6AEB5EA4"/>
    <w:rsid w:val="6AFA2377"/>
    <w:rsid w:val="6B370776"/>
    <w:rsid w:val="6B8C6023"/>
    <w:rsid w:val="6CD56718"/>
    <w:rsid w:val="6D0419DF"/>
    <w:rsid w:val="6D68133A"/>
    <w:rsid w:val="6D97629B"/>
    <w:rsid w:val="6DBD55CF"/>
    <w:rsid w:val="6DC541CB"/>
    <w:rsid w:val="6E1F5E9D"/>
    <w:rsid w:val="6E5F098F"/>
    <w:rsid w:val="6EDC7EB5"/>
    <w:rsid w:val="6F16635D"/>
    <w:rsid w:val="6FE969BF"/>
    <w:rsid w:val="6FEA5D29"/>
    <w:rsid w:val="70652CA1"/>
    <w:rsid w:val="7100515F"/>
    <w:rsid w:val="71D00463"/>
    <w:rsid w:val="73764B58"/>
    <w:rsid w:val="73AD4FE1"/>
    <w:rsid w:val="746F4A29"/>
    <w:rsid w:val="758E00D6"/>
    <w:rsid w:val="75AE4FEE"/>
    <w:rsid w:val="75C511B5"/>
    <w:rsid w:val="75F4725E"/>
    <w:rsid w:val="76302057"/>
    <w:rsid w:val="76793A48"/>
    <w:rsid w:val="76B42487"/>
    <w:rsid w:val="76BD44A5"/>
    <w:rsid w:val="77B204A9"/>
    <w:rsid w:val="77F63C51"/>
    <w:rsid w:val="7807758E"/>
    <w:rsid w:val="782062FA"/>
    <w:rsid w:val="788F1763"/>
    <w:rsid w:val="789F3DA6"/>
    <w:rsid w:val="78A07EF6"/>
    <w:rsid w:val="78A95865"/>
    <w:rsid w:val="78F10436"/>
    <w:rsid w:val="791C7867"/>
    <w:rsid w:val="7A2426BB"/>
    <w:rsid w:val="7A4078C7"/>
    <w:rsid w:val="7B4B6523"/>
    <w:rsid w:val="7B512E32"/>
    <w:rsid w:val="7B6C7C39"/>
    <w:rsid w:val="7BF66060"/>
    <w:rsid w:val="7CAA0F1D"/>
    <w:rsid w:val="7CBA3CDE"/>
    <w:rsid w:val="7D1645DB"/>
    <w:rsid w:val="7D3B29B2"/>
    <w:rsid w:val="7D957E4C"/>
    <w:rsid w:val="7DA55C93"/>
    <w:rsid w:val="7DB31320"/>
    <w:rsid w:val="7DE26BC0"/>
    <w:rsid w:val="7E3A0CD4"/>
    <w:rsid w:val="7E900FD0"/>
    <w:rsid w:val="7EB76D84"/>
    <w:rsid w:val="7ED00AED"/>
    <w:rsid w:val="7EE8052D"/>
    <w:rsid w:val="7EED2764"/>
    <w:rsid w:val="7F240D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1"/>
    <w:qFormat/>
    <w:uiPriority w:val="0"/>
    <w:pPr>
      <w:keepNext/>
      <w:keepLines/>
      <w:widowControl w:val="0"/>
      <w:suppressLineNumbers w:val="0"/>
      <w:spacing w:before="260" w:beforeAutospacing="0" w:after="260" w:afterAutospacing="0" w:line="412" w:lineRule="auto"/>
      <w:ind w:left="0" w:right="0"/>
      <w:jc w:val="both"/>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3">
    <w:name w:val="Default Paragraph Font"/>
    <w:qFormat/>
    <w:uiPriority w:val="0"/>
  </w:style>
  <w:style w:type="table" w:default="1" w:styleId="6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next w:val="24"/>
    <w:link w:val="74"/>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ody Text Indent 2"/>
    <w:basedOn w:val="1"/>
    <w:link w:val="7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next w:val="37"/>
    <w:qFormat/>
    <w:uiPriority w:val="0"/>
    <w:pPr>
      <w:tabs>
        <w:tab w:val="center" w:pos="4153"/>
        <w:tab w:val="right" w:pos="8306"/>
      </w:tabs>
      <w:snapToGrid w:val="0"/>
      <w:jc w:val="left"/>
    </w:pPr>
    <w:rPr>
      <w:sz w:val="18"/>
    </w:rPr>
  </w:style>
  <w:style w:type="paragraph" w:customStyle="1" w:styleId="37">
    <w:name w:val="索引 51"/>
    <w:basedOn w:val="1"/>
    <w:next w:val="1"/>
    <w:qFormat/>
    <w:uiPriority w:val="0"/>
    <w:pPr>
      <w:ind w:left="1680"/>
    </w:p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qFormat/>
    <w:uiPriority w:val="0"/>
    <w:pPr>
      <w:ind w:left="200" w:hanging="200" w:hangingChars="2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index 9"/>
    <w:basedOn w:val="1"/>
    <w:next w:val="1"/>
    <w:unhideWhenUsed/>
    <w:qFormat/>
    <w:uiPriority w:val="0"/>
    <w:pPr>
      <w:ind w:left="1600" w:leftChars="160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78"/>
    <w:qFormat/>
    <w:uiPriority w:val="0"/>
    <w:pPr>
      <w:adjustRightInd/>
      <w:spacing w:line="240" w:lineRule="auto"/>
      <w:textAlignment w:val="auto"/>
    </w:pPr>
  </w:style>
  <w:style w:type="paragraph" w:styleId="59">
    <w:name w:val="Body Text First Indent"/>
    <w:basedOn w:val="1"/>
    <w:qFormat/>
    <w:uiPriority w:val="0"/>
    <w:pPr>
      <w:spacing w:line="360" w:lineRule="auto"/>
      <w:ind w:firstLine="420"/>
    </w:pPr>
    <w:rPr>
      <w:rFonts w:ascii="宋体" w:hAnsi="宋体"/>
      <w:sz w:val="24"/>
    </w:rPr>
  </w:style>
  <w:style w:type="paragraph" w:styleId="60">
    <w:name w:val="Body Text First Indent 2"/>
    <w:basedOn w:val="23"/>
    <w:link w:val="79"/>
    <w:qFormat/>
    <w:uiPriority w:val="0"/>
    <w:pPr>
      <w:spacing w:after="120" w:afterLines="0" w:line="240" w:lineRule="auto"/>
      <w:ind w:left="420" w:leftChars="200" w:firstLine="420" w:firstLineChars="200"/>
    </w:p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3 Char"/>
    <w:link w:val="5"/>
    <w:qFormat/>
    <w:uiPriority w:val="0"/>
    <w:rPr>
      <w:rFonts w:eastAsia="宋体"/>
      <w:b/>
      <w:kern w:val="2"/>
      <w:sz w:val="32"/>
      <w:lang w:val="en-US" w:eastAsia="zh-CN"/>
    </w:rPr>
  </w:style>
  <w:style w:type="character" w:customStyle="1" w:styleId="72">
    <w:name w:val="标题 2 Char"/>
    <w:link w:val="4"/>
    <w:qFormat/>
    <w:uiPriority w:val="0"/>
    <w:rPr>
      <w:rFonts w:ascii="Arial" w:hAnsi="Arial" w:eastAsia="黑体"/>
      <w:b/>
      <w:kern w:val="2"/>
      <w:sz w:val="32"/>
    </w:rPr>
  </w:style>
  <w:style w:type="character" w:customStyle="1" w:styleId="73">
    <w:name w:val="批注文字 Char"/>
    <w:link w:val="20"/>
    <w:qFormat/>
    <w:uiPriority w:val="0"/>
    <w:rPr>
      <w:sz w:val="24"/>
    </w:rPr>
  </w:style>
  <w:style w:type="character" w:customStyle="1" w:styleId="74">
    <w:name w:val="正文文本缩进 Char"/>
    <w:link w:val="23"/>
    <w:qFormat/>
    <w:uiPriority w:val="0"/>
    <w:rPr>
      <w:kern w:val="2"/>
      <w:sz w:val="44"/>
    </w:rPr>
  </w:style>
  <w:style w:type="character" w:customStyle="1" w:styleId="75">
    <w:name w:val="日期 Char"/>
    <w:link w:val="33"/>
    <w:qFormat/>
    <w:uiPriority w:val="0"/>
    <w:rPr>
      <w:kern w:val="2"/>
      <w:sz w:val="28"/>
    </w:rPr>
  </w:style>
  <w:style w:type="character" w:customStyle="1" w:styleId="76">
    <w:name w:val="正文文本缩进 2 Char"/>
    <w:link w:val="34"/>
    <w:qFormat/>
    <w:uiPriority w:val="0"/>
    <w:rPr>
      <w:kern w:val="2"/>
      <w:sz w:val="28"/>
    </w:rPr>
  </w:style>
  <w:style w:type="character" w:customStyle="1" w:styleId="77">
    <w:name w:val="脚注文本 Char"/>
    <w:link w:val="43"/>
    <w:qFormat/>
    <w:uiPriority w:val="0"/>
    <w:rPr>
      <w:kern w:val="2"/>
      <w:sz w:val="18"/>
    </w:rPr>
  </w:style>
  <w:style w:type="character" w:customStyle="1" w:styleId="78">
    <w:name w:val="批注主题 Char"/>
    <w:basedOn w:val="73"/>
    <w:link w:val="58"/>
    <w:qFormat/>
    <w:uiPriority w:val="0"/>
  </w:style>
  <w:style w:type="character" w:customStyle="1" w:styleId="79">
    <w:name w:val="正文首行缩进 2 Char"/>
    <w:basedOn w:val="74"/>
    <w:link w:val="60"/>
    <w:qFormat/>
    <w:uiPriority w:val="0"/>
  </w:style>
  <w:style w:type="paragraph" w:customStyle="1" w:styleId="8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81">
    <w:name w:val=" Char Char11"/>
    <w:qFormat/>
    <w:uiPriority w:val="0"/>
    <w:rPr>
      <w:rFonts w:ascii="宋体"/>
      <w:kern w:val="2"/>
      <w:sz w:val="28"/>
    </w:rPr>
  </w:style>
  <w:style w:type="character" w:customStyle="1" w:styleId="82">
    <w:name w:val="样式 宋体"/>
    <w:qFormat/>
    <w:uiPriority w:val="0"/>
    <w:rPr>
      <w:rFonts w:ascii="宋体" w:hAnsi="宋体" w:eastAsia="宋体"/>
      <w:sz w:val="28"/>
    </w:rPr>
  </w:style>
  <w:style w:type="character" w:customStyle="1" w:styleId="83">
    <w:name w:val=" Char Char6"/>
    <w:qFormat/>
    <w:uiPriority w:val="0"/>
    <w:rPr>
      <w:rFonts w:ascii="仿宋_GB2312" w:eastAsia="仿宋_GB2312"/>
      <w:kern w:val="2"/>
      <w:sz w:val="32"/>
    </w:rPr>
  </w:style>
  <w:style w:type="character" w:customStyle="1" w:styleId="84">
    <w:name w:val="font1"/>
    <w:qFormat/>
    <w:uiPriority w:val="0"/>
    <w:rPr>
      <w:color w:val="000000"/>
      <w:sz w:val="18"/>
    </w:rPr>
  </w:style>
  <w:style w:type="character" w:customStyle="1" w:styleId="85">
    <w:name w:val="未命名11"/>
    <w:qFormat/>
    <w:uiPriority w:val="0"/>
    <w:rPr>
      <w:color w:val="77FFFF"/>
      <w:sz w:val="24"/>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 Char Char7"/>
    <w:qFormat/>
    <w:uiPriority w:val="0"/>
    <w:rPr>
      <w:rFonts w:ascii="宋体" w:hAnsi="宋体" w:eastAsia="宋体"/>
      <w:kern w:val="2"/>
      <w:sz w:val="28"/>
    </w:rPr>
  </w:style>
  <w:style w:type="character" w:customStyle="1" w:styleId="89">
    <w:name w:val=" Char Char3"/>
    <w:qFormat/>
    <w:uiPriority w:val="0"/>
    <w:rPr>
      <w:rFonts w:eastAsia="宋体"/>
      <w:kern w:val="2"/>
      <w:sz w:val="18"/>
      <w:lang w:val="en-US" w:eastAsia="zh-CN"/>
    </w:rPr>
  </w:style>
  <w:style w:type="character" w:customStyle="1" w:styleId="90">
    <w:name w:val="附件 Char Char"/>
    <w:link w:val="91"/>
    <w:qFormat/>
    <w:uiPriority w:val="0"/>
    <w:rPr>
      <w:rFonts w:eastAsia="方正黑体_GBK"/>
      <w:b/>
      <w:bCs/>
      <w:smallCaps/>
      <w:kern w:val="2"/>
      <w:sz w:val="28"/>
      <w:lang w:val="en-US" w:eastAsia="zh-CN" w:bidi="ar-SA"/>
    </w:rPr>
  </w:style>
  <w:style w:type="paragraph" w:customStyle="1" w:styleId="91">
    <w:name w:val="附件"/>
    <w:next w:val="1"/>
    <w:link w:val="90"/>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92">
    <w:name w:val=" Char Char4"/>
    <w:qFormat/>
    <w:uiPriority w:val="0"/>
    <w:rPr>
      <w:rFonts w:eastAsia="宋体"/>
      <w:b/>
      <w:kern w:val="2"/>
      <w:sz w:val="21"/>
      <w:lang w:val="en-US" w:eastAsia="zh-CN"/>
    </w:rPr>
  </w:style>
  <w:style w:type="character" w:customStyle="1" w:styleId="93">
    <w:name w:val="title_emph1"/>
    <w:qFormat/>
    <w:uiPriority w:val="0"/>
    <w:rPr>
      <w:rFonts w:hint="default" w:ascii="Arial" w:hAnsi="Arial"/>
      <w:b/>
      <w:sz w:val="20"/>
    </w:rPr>
  </w:style>
  <w:style w:type="character" w:customStyle="1" w:styleId="94">
    <w:name w:val="content-white1"/>
    <w:qFormat/>
    <w:uiPriority w:val="0"/>
    <w:rPr>
      <w:rFonts w:ascii="_x000B__x000C_" w:hAnsi="_x000B__x000C_"/>
      <w:color w:val="auto"/>
      <w:sz w:val="18"/>
      <w:u w:val="none"/>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crowed11"/>
    <w:qFormat/>
    <w:uiPriority w:val="0"/>
    <w:rPr>
      <w:rFonts w:hint="default" w:ascii="_x000B__x000C_" w:hAnsi="_x000B__x000C_"/>
      <w:sz w:val="24"/>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
    <w:qFormat/>
    <w:uiPriority w:val="0"/>
    <w:rPr>
      <w:rFonts w:ascii="宋体" w:hAnsi="宋体" w:eastAsia="宋体"/>
      <w:kern w:val="2"/>
      <w:sz w:val="24"/>
      <w:lang w:val="en-US" w:eastAsia="zh-CN" w:bidi="ar-SA"/>
    </w:rPr>
  </w:style>
  <w:style w:type="character" w:customStyle="1" w:styleId="99">
    <w:name w:val="标书正文:  0.74 厘米 Char1"/>
    <w:qFormat/>
    <w:uiPriority w:val="0"/>
    <w:rPr>
      <w:rFonts w:eastAsia="宋体"/>
      <w:kern w:val="2"/>
      <w:sz w:val="24"/>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v151"/>
    <w:qFormat/>
    <w:uiPriority w:val="0"/>
    <w:rPr>
      <w:sz w:val="18"/>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开评标用项目名称 Char"/>
    <w:link w:val="104"/>
    <w:semiHidden/>
    <w:qFormat/>
    <w:uiPriority w:val="0"/>
    <w:rPr>
      <w:rFonts w:eastAsia="黑体"/>
      <w:b/>
      <w:bCs/>
      <w:kern w:val="44"/>
      <w:sz w:val="32"/>
      <w:szCs w:val="44"/>
    </w:rPr>
  </w:style>
  <w:style w:type="paragraph" w:customStyle="1" w:styleId="104">
    <w:name w:val="开评标用项目名称"/>
    <w:basedOn w:val="3"/>
    <w:link w:val="103"/>
    <w:semiHidden/>
    <w:qFormat/>
    <w:uiPriority w:val="0"/>
    <w:pPr>
      <w:keepLines/>
      <w:widowControl/>
      <w:snapToGrid/>
      <w:spacing w:before="50" w:beforeLines="50" w:after="50" w:afterLines="50" w:line="380" w:lineRule="exact"/>
      <w:jc w:val="center"/>
      <w:outlineLvl w:val="9"/>
    </w:pPr>
    <w:rPr>
      <w:rFonts w:ascii="Times New Roman" w:eastAsia="黑体"/>
      <w:b/>
      <w:bCs/>
      <w:kern w:val="44"/>
      <w:sz w:val="32"/>
      <w:szCs w:val="44"/>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op-det1"/>
    <w:qFormat/>
    <w:uiPriority w:val="0"/>
    <w:rPr>
      <w:b/>
      <w:color w:val="000000"/>
    </w:rPr>
  </w:style>
  <w:style w:type="character" w:customStyle="1" w:styleId="107">
    <w:name w:val="文字 Char"/>
    <w:link w:val="108"/>
    <w:qFormat/>
    <w:uiPriority w:val="0"/>
    <w:rPr>
      <w:rFonts w:ascii="宋体"/>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宋体"/>
    </w:rPr>
  </w:style>
  <w:style w:type="character" w:customStyle="1" w:styleId="109">
    <w:name w:val=" Char Char2"/>
    <w:qFormat/>
    <w:uiPriority w:val="0"/>
    <w:rPr>
      <w:rFonts w:eastAsia="宋体"/>
      <w:kern w:val="2"/>
      <w:sz w:val="18"/>
      <w:lang w:val="en-US" w:eastAsia="zh-CN"/>
    </w:rPr>
  </w:style>
  <w:style w:type="character" w:customStyle="1" w:styleId="110">
    <w:name w:val=" Char Char5"/>
    <w:qFormat/>
    <w:uiPriority w:val="0"/>
    <w:rPr>
      <w:rFonts w:ascii="Arial" w:hAnsi="Arial" w:eastAsia="宋体"/>
      <w:b/>
      <w:smallCaps/>
      <w:kern w:val="28"/>
      <w:sz w:val="36"/>
      <w:lang w:val="en-US" w:eastAsia="en-US"/>
    </w:rPr>
  </w:style>
  <w:style w:type="character" w:customStyle="1" w:styleId="111">
    <w:name w:val="Table Text Char"/>
    <w:link w:val="112"/>
    <w:qFormat/>
    <w:uiPriority w:val="0"/>
    <w:rPr>
      <w:rFonts w:ascii="Arial" w:hAnsi="Arial"/>
      <w:kern w:val="2"/>
      <w:sz w:val="18"/>
      <w:lang w:val="en-US" w:eastAsia="zh-CN" w:bidi="ar-SA"/>
    </w:rPr>
  </w:style>
  <w:style w:type="paragraph" w:customStyle="1" w:styleId="112">
    <w:name w:val="Table Text"/>
    <w:link w:val="11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 Char Char14 Char Char"/>
    <w:basedOn w:val="1"/>
    <w:qFormat/>
    <w:uiPriority w:val="0"/>
    <w:rPr>
      <w:sz w:val="21"/>
      <w:szCs w:val="24"/>
    </w:rPr>
  </w:style>
  <w:style w:type="paragraph" w:customStyle="1" w:styleId="11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5">
    <w:name w:val="样式1xz"/>
    <w:basedOn w:val="1"/>
    <w:qFormat/>
    <w:uiPriority w:val="0"/>
    <w:pPr>
      <w:tabs>
        <w:tab w:val="left" w:pos="1050"/>
        <w:tab w:val="right" w:leader="dot" w:pos="8296"/>
      </w:tabs>
    </w:pPr>
    <w:rPr>
      <w:caps/>
      <w:spacing w:val="20"/>
      <w:sz w:val="24"/>
    </w:rPr>
  </w:style>
  <w:style w:type="paragraph" w:customStyle="1" w:styleId="116">
    <w:name w:val="Char Char Char Char Char Char Char"/>
    <w:basedOn w:val="18"/>
    <w:qFormat/>
    <w:uiPriority w:val="0"/>
    <w:rPr>
      <w:rFonts w:ascii="宋体" w:hAnsi="Tahoma"/>
    </w:rPr>
  </w:style>
  <w:style w:type="paragraph" w:customStyle="1" w:styleId="11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样式 正文缩进正文（首行缩进两字）表正文正文非缩进特点标题4段1 + 首行缩进:  2 字符"/>
    <w:basedOn w:val="16"/>
    <w:qFormat/>
    <w:uiPriority w:val="0"/>
    <w:pPr>
      <w:ind w:firstLine="480" w:firstLineChars="200"/>
    </w:pPr>
  </w:style>
  <w:style w:type="paragraph" w:customStyle="1" w:styleId="121">
    <w:name w:val="表头文本"/>
    <w:qFormat/>
    <w:uiPriority w:val="0"/>
    <w:pPr>
      <w:jc w:val="center"/>
    </w:pPr>
    <w:rPr>
      <w:rFonts w:ascii="Arial" w:hAnsi="Arial" w:eastAsia="宋体" w:cs="Times New Roman"/>
      <w:b/>
      <w:sz w:val="21"/>
      <w:lang w:val="en-US" w:eastAsia="zh-CN" w:bidi="ar-SA"/>
    </w:rPr>
  </w:style>
  <w:style w:type="paragraph" w:customStyle="1" w:styleId="12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2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4">
    <w:name w:val="正文 + 三号"/>
    <w:basedOn w:val="1"/>
    <w:qFormat/>
    <w:uiPriority w:val="0"/>
    <w:rPr>
      <w:sz w:val="21"/>
    </w:rPr>
  </w:style>
  <w:style w:type="paragraph" w:customStyle="1" w:styleId="12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7">
    <w:name w:val="Table Paragraph"/>
    <w:basedOn w:val="1"/>
    <w:qFormat/>
    <w:uiPriority w:val="1"/>
    <w:rPr>
      <w:rFonts w:ascii="宋体" w:hAnsi="宋体" w:cs="宋体"/>
      <w:lang w:val="zh-CN" w:bidi="zh-CN"/>
    </w:rPr>
  </w:style>
  <w:style w:type="paragraph" w:customStyle="1" w:styleId="12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默认段落字体 Para Char Char Char Char Char Char Char Char Char1 Char Char Char Char"/>
    <w:basedOn w:val="1"/>
    <w:qFormat/>
    <w:uiPriority w:val="0"/>
    <w:rPr>
      <w:rFonts w:ascii="Tahoma" w:hAnsi="Tahoma"/>
      <w:sz w:val="24"/>
    </w:r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5">
    <w:name w:val=" Char Char1 Char"/>
    <w:basedOn w:val="1"/>
    <w:qFormat/>
    <w:uiPriority w:val="0"/>
    <w:rPr>
      <w:rFonts w:ascii="Tahoma" w:hAnsi="Tahoma"/>
      <w:sz w:val="24"/>
      <w:szCs w:val="24"/>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40">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3">
    <w:name w:val="Title - Date"/>
    <w:basedOn w:val="57"/>
    <w:next w:val="1"/>
    <w:qFormat/>
    <w:uiPriority w:val="0"/>
    <w:pPr>
      <w:spacing w:before="240" w:beforeLines="0" w:beforeAutospacing="0" w:after="720" w:afterLines="0" w:afterAutospacing="0"/>
    </w:pPr>
    <w:rPr>
      <w:sz w:val="28"/>
    </w:rPr>
  </w:style>
  <w:style w:type="paragraph" w:customStyle="1" w:styleId="14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6">
    <w:name w:val=" Char Char 字元 字元 字元 Char Char Char Char"/>
    <w:basedOn w:val="1"/>
    <w:qFormat/>
    <w:uiPriority w:val="0"/>
    <w:pPr>
      <w:adjustRightInd w:val="0"/>
      <w:spacing w:line="360" w:lineRule="auto"/>
    </w:pPr>
    <w:rPr>
      <w:kern w:val="0"/>
      <w:sz w:val="24"/>
    </w:rPr>
  </w:style>
  <w:style w:type="paragraph" w:customStyle="1" w:styleId="147">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IN Feature"/>
    <w:next w:val="15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_Style 150"/>
    <w:qFormat/>
    <w:uiPriority w:val="0"/>
    <w:rPr>
      <w:rFonts w:ascii="Times New Roman" w:hAnsi="Times New Roman" w:eastAsia="宋体" w:cs="Times New Roman"/>
      <w:kern w:val="2"/>
      <w:sz w:val="21"/>
      <w:lang w:val="en-US" w:eastAsia="zh-CN" w:bidi="ar-SA"/>
    </w:rPr>
  </w:style>
  <w:style w:type="paragraph" w:customStyle="1" w:styleId="15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0">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1">
    <w:name w:val="内容标题"/>
    <w:basedOn w:val="18"/>
    <w:qFormat/>
    <w:uiPriority w:val="0"/>
    <w:rPr>
      <w:rFonts w:ascii="Tahoma" w:hAnsi="Tahoma"/>
      <w:sz w:val="24"/>
    </w:rPr>
  </w:style>
  <w:style w:type="paragraph" w:customStyle="1" w:styleId="162">
    <w:name w:val="正文表格"/>
    <w:basedOn w:val="1"/>
    <w:qFormat/>
    <w:uiPriority w:val="0"/>
    <w:pPr>
      <w:adjustRightInd w:val="0"/>
      <w:spacing w:before="40" w:beforeLines="0" w:beforeAutospacing="0" w:after="40" w:afterLines="0" w:afterAutospacing="0"/>
    </w:pPr>
    <w:rPr>
      <w:sz w:val="24"/>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表格内文字"/>
    <w:basedOn w:val="31"/>
    <w:qFormat/>
    <w:uiPriority w:val="0"/>
    <w:pPr>
      <w:adjustRightInd w:val="0"/>
    </w:pPr>
    <w:rPr>
      <w:color w:val="000000"/>
      <w:lang w:val="en-GB"/>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 Char Char Char Char Char Char Char Char Char Char Char Char Char Char Char Char"/>
    <w:basedOn w:val="1"/>
    <w:qFormat/>
    <w:uiPriority w:val="0"/>
    <w:pPr>
      <w:tabs>
        <w:tab w:val="left" w:pos="360"/>
      </w:tabs>
    </w:pPr>
    <w:rPr>
      <w:sz w:val="24"/>
    </w:rPr>
  </w:style>
  <w:style w:type="paragraph" w:customStyle="1" w:styleId="171">
    <w:name w:val="文章正文"/>
    <w:basedOn w:val="1"/>
    <w:qFormat/>
    <w:uiPriority w:val="0"/>
    <w:pPr>
      <w:ind w:firstLine="560" w:firstLineChars="200"/>
    </w:pPr>
    <w:rPr>
      <w:rFonts w:ascii="仿宋_GB2312" w:hAnsi="宋体" w:eastAsia="仿宋_GB2312"/>
      <w:color w:val="000000"/>
    </w:rPr>
  </w:style>
  <w:style w:type="paragraph" w:customStyle="1" w:styleId="17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3">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 Char2 Char Char Char Char Char Char"/>
    <w:basedOn w:val="1"/>
    <w:qFormat/>
    <w:uiPriority w:val="0"/>
    <w:rPr>
      <w:rFonts w:ascii="仿宋_GB2312"/>
      <w:b/>
      <w:sz w:val="30"/>
    </w:rPr>
  </w:style>
  <w:style w:type="paragraph" w:customStyle="1" w:styleId="17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178">
    <w:name w:val="摘要"/>
    <w:basedOn w:val="1"/>
    <w:next w:val="4"/>
    <w:qFormat/>
    <w:uiPriority w:val="0"/>
    <w:pPr>
      <w:spacing w:line="360" w:lineRule="auto"/>
    </w:pPr>
    <w:rPr>
      <w:rFonts w:eastAsia="黑体"/>
      <w:sz w:val="20"/>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首行缩进"/>
    <w:basedOn w:val="1"/>
    <w:qFormat/>
    <w:uiPriority w:val="0"/>
    <w:pPr>
      <w:numPr>
        <w:ilvl w:val="0"/>
        <w:numId w:val="10"/>
      </w:numPr>
      <w:spacing w:line="360" w:lineRule="auto"/>
    </w:pPr>
    <w:rPr>
      <w:rFonts w:eastAsia="仿宋_GB2312"/>
    </w:rPr>
  </w:style>
  <w:style w:type="paragraph" w:customStyle="1" w:styleId="18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4">
    <w:name w:val="af"/>
    <w:basedOn w:val="1"/>
    <w:qFormat/>
    <w:uiPriority w:val="0"/>
    <w:pPr>
      <w:widowControl/>
      <w:spacing w:line="300" w:lineRule="atLeast"/>
      <w:jc w:val="left"/>
    </w:pPr>
    <w:rPr>
      <w:rFonts w:ascii="宋体" w:hAnsi="宋体"/>
      <w:kern w:val="0"/>
      <w:sz w:val="18"/>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标题无"/>
    <w:basedOn w:val="1"/>
    <w:qFormat/>
    <w:uiPriority w:val="0"/>
    <w:pPr>
      <w:spacing w:line="360" w:lineRule="auto"/>
    </w:pPr>
    <w:rPr>
      <w:sz w:val="24"/>
    </w:rPr>
  </w:style>
  <w:style w:type="paragraph" w:customStyle="1" w:styleId="18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9">
    <w:name w:val="样式2"/>
    <w:basedOn w:val="6"/>
    <w:qFormat/>
    <w:uiPriority w:val="0"/>
    <w:pPr>
      <w:numPr>
        <w:ilvl w:val="0"/>
        <w:numId w:val="12"/>
      </w:numPr>
      <w:spacing w:before="560" w:beforeLines="0" w:line="400" w:lineRule="exact"/>
      <w:jc w:val="center"/>
      <w:outlineLvl w:val="0"/>
    </w:pPr>
    <w:rPr>
      <w:b w:val="0"/>
      <w:sz w:val="4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2">
    <w:name w:val="标题3——2"/>
    <w:basedOn w:val="5"/>
    <w:next w:val="59"/>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9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5">
    <w:name w:val="Title - Revision"/>
    <w:basedOn w:val="57"/>
    <w:qFormat/>
    <w:uiPriority w:val="0"/>
    <w:pPr>
      <w:spacing w:before="720" w:beforeLines="0" w:beforeAutospacing="0"/>
    </w:pPr>
  </w:style>
  <w:style w:type="paragraph" w:customStyle="1" w:styleId="196">
    <w:name w:val=" Char1 Char Char Char"/>
    <w:basedOn w:val="1"/>
    <w:qFormat/>
    <w:uiPriority w:val="0"/>
    <w:rPr>
      <w:rFonts w:ascii="Tahoma" w:hAnsi="Tahoma"/>
      <w:sz w:val="24"/>
    </w:rPr>
  </w:style>
  <w:style w:type="paragraph" w:customStyle="1" w:styleId="197">
    <w:name w:val="二级条标题"/>
    <w:basedOn w:val="198"/>
    <w:next w:val="179"/>
    <w:qFormat/>
    <w:uiPriority w:val="0"/>
    <w:pPr>
      <w:ind w:left="840"/>
      <w:outlineLvl w:val="3"/>
    </w:pPr>
  </w:style>
  <w:style w:type="paragraph" w:customStyle="1" w:styleId="198">
    <w:name w:val="一级条标题"/>
    <w:basedOn w:val="126"/>
    <w:next w:val="179"/>
    <w:qFormat/>
    <w:uiPriority w:val="0"/>
    <w:pPr>
      <w:numPr>
        <w:ilvl w:val="1"/>
        <w:numId w:val="0"/>
      </w:numPr>
      <w:spacing w:before="0" w:beforeLines="0" w:beforeAutospacing="0" w:after="0" w:afterLines="0" w:afterAutospacing="0"/>
      <w:ind w:left="525"/>
      <w:outlineLvl w:val="2"/>
    </w:pPr>
    <w:rPr>
      <w:sz w:val="21"/>
    </w:rPr>
  </w:style>
  <w:style w:type="paragraph" w:customStyle="1" w:styleId="199">
    <w:name w:val=" Char Char Char"/>
    <w:basedOn w:val="1"/>
    <w:qFormat/>
    <w:uiPriority w:val="0"/>
    <w:rPr>
      <w:rFonts w:ascii="Tahoma" w:hAnsi="Tahoma"/>
      <w:sz w:val="24"/>
    </w:rPr>
  </w:style>
  <w:style w:type="paragraph" w:customStyle="1" w:styleId="200">
    <w:name w:val="Char1 Char Char Char"/>
    <w:basedOn w:val="1"/>
    <w:qFormat/>
    <w:uiPriority w:val="0"/>
    <w:rPr>
      <w:rFonts w:ascii="Tahoma" w:hAnsi="Tahoma"/>
      <w:sz w:val="30"/>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样式4"/>
    <w:basedOn w:val="6"/>
    <w:qFormat/>
    <w:uiPriority w:val="0"/>
    <w:pPr>
      <w:adjustRightInd w:val="0"/>
      <w:snapToGrid w:val="0"/>
    </w:pPr>
  </w:style>
  <w:style w:type="paragraph" w:customStyle="1" w:styleId="20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样式 行距: 1.5 倍行距1"/>
    <w:basedOn w:val="1"/>
    <w:qFormat/>
    <w:uiPriority w:val="0"/>
    <w:pPr>
      <w:snapToGrid w:val="0"/>
    </w:pPr>
    <w:rPr>
      <w:sz w:val="21"/>
    </w:rPr>
  </w:style>
  <w:style w:type="paragraph" w:customStyle="1" w:styleId="20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08">
    <w:name w:val=" Char Char Char Char Char Char Char"/>
    <w:basedOn w:val="1"/>
    <w:qFormat/>
    <w:uiPriority w:val="0"/>
    <w:rPr>
      <w:rFonts w:ascii="Tahoma" w:hAnsi="Tahoma"/>
      <w:sz w:val="24"/>
    </w:rPr>
  </w:style>
  <w:style w:type="paragraph" w:customStyle="1" w:styleId="20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1"/>
    <w:basedOn w:val="1"/>
    <w:next w:val="31"/>
    <w:qFormat/>
    <w:uiPriority w:val="0"/>
    <w:rPr>
      <w:rFonts w:ascii="宋体" w:hAnsi="Courier New"/>
      <w:sz w:val="21"/>
    </w:rPr>
  </w:style>
  <w:style w:type="paragraph" w:customStyle="1" w:styleId="21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6">
    <w:name w:val="Table Contents"/>
    <w:basedOn w:val="2"/>
    <w:qFormat/>
    <w:uiPriority w:val="0"/>
    <w:pPr>
      <w:suppressAutoHyphens/>
      <w:jc w:val="left"/>
    </w:pPr>
    <w:rPr>
      <w:rFonts w:ascii="Times New Roman" w:eastAsia="Times New Roman"/>
      <w:kern w:val="0"/>
      <w:sz w:val="24"/>
    </w:rPr>
  </w:style>
  <w:style w:type="paragraph" w:customStyle="1" w:styleId="21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8">
    <w:name w:val="编号正文"/>
    <w:basedOn w:val="141"/>
    <w:qFormat/>
    <w:uiPriority w:val="0"/>
    <w:pPr>
      <w:snapToGrid/>
      <w:spacing w:line="360" w:lineRule="auto"/>
      <w:ind w:left="1407" w:hanging="1047"/>
      <w:jc w:val="left"/>
    </w:pPr>
    <w:rPr>
      <w:rFonts w:eastAsia="仿宋_GB2312"/>
    </w:rPr>
  </w:style>
  <w:style w:type="paragraph" w:customStyle="1" w:styleId="219">
    <w:name w:val="图片文字"/>
    <w:basedOn w:val="1"/>
    <w:qFormat/>
    <w:uiPriority w:val="0"/>
    <w:pPr>
      <w:spacing w:line="240" w:lineRule="atLeast"/>
      <w:jc w:val="center"/>
    </w:pPr>
    <w:rPr>
      <w:sz w:val="21"/>
    </w:rPr>
  </w:style>
  <w:style w:type="paragraph" w:customStyle="1" w:styleId="220">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21">
    <w:name w:val="00"/>
    <w:basedOn w:val="1"/>
    <w:qFormat/>
    <w:uiPriority w:val="0"/>
    <w:pPr>
      <w:autoSpaceDE w:val="0"/>
      <w:autoSpaceDN w:val="0"/>
      <w:adjustRightInd w:val="0"/>
      <w:jc w:val="left"/>
    </w:pPr>
    <w:rPr>
      <w:rFonts w:ascii="黑体" w:eastAsia="黑体"/>
      <w:b/>
      <w:kern w:val="0"/>
      <w:sz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1">
    <w:name w:val="首行缩进 1"/>
    <w:basedOn w:val="1"/>
    <w:qFormat/>
    <w:uiPriority w:val="0"/>
    <w:pPr>
      <w:spacing w:after="120" w:afterLines="0" w:afterAutospacing="0" w:line="360" w:lineRule="auto"/>
      <w:ind w:firstLine="200" w:firstLineChars="200"/>
    </w:pPr>
    <w:rPr>
      <w:sz w:val="24"/>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7">
    <w:name w:val="二级列表"/>
    <w:basedOn w:val="193"/>
    <w:next w:val="193"/>
    <w:qFormat/>
    <w:uiPriority w:val="0"/>
    <w:pPr>
      <w:tabs>
        <w:tab w:val="left" w:pos="2120"/>
      </w:tabs>
      <w:ind w:firstLine="0" w:firstLineChars="0"/>
    </w:pPr>
    <w:rPr>
      <w:b/>
    </w:rPr>
  </w:style>
  <w:style w:type="paragraph" w:customStyle="1" w:styleId="238">
    <w:name w:val=" Char1"/>
    <w:basedOn w:val="1"/>
    <w:qFormat/>
    <w:uiPriority w:val="0"/>
    <w:rPr>
      <w:sz w:val="21"/>
    </w:rPr>
  </w:style>
  <w:style w:type="paragraph" w:customStyle="1" w:styleId="239">
    <w:name w:val="1.正文"/>
    <w:basedOn w:val="1"/>
    <w:qFormat/>
    <w:uiPriority w:val="0"/>
    <w:pPr>
      <w:spacing w:line="360" w:lineRule="auto"/>
      <w:ind w:left="540" w:leftChars="225" w:firstLine="540" w:firstLineChars="225"/>
    </w:pPr>
    <w:rPr>
      <w:sz w:val="24"/>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46">
    <w:name w:val="List Paragraph"/>
    <w:basedOn w:val="1"/>
    <w:qFormat/>
    <w:uiPriority w:val="34"/>
    <w:pPr>
      <w:ind w:firstLine="420" w:firstLineChars="200"/>
    </w:pPr>
    <w:rPr>
      <w:sz w:val="21"/>
    </w:rPr>
  </w:style>
  <w:style w:type="paragraph" w:customStyle="1" w:styleId="2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48">
    <w:name w:val="表文字"/>
    <w:qFormat/>
    <w:uiPriority w:val="0"/>
    <w:rPr>
      <w:rFonts w:ascii="宋体" w:hAnsi="Times New Roman" w:eastAsia="宋体" w:cs="Times New Roman"/>
      <w:kern w:val="2"/>
      <w:lang w:val="en-US" w:eastAsia="zh-CN" w:bidi="ar-SA"/>
    </w:rPr>
  </w:style>
  <w:style w:type="paragraph" w:customStyle="1" w:styleId="249">
    <w:name w:val="正文1"/>
    <w:basedOn w:val="1"/>
    <w:qFormat/>
    <w:uiPriority w:val="0"/>
    <w:pPr>
      <w:spacing w:line="300" w:lineRule="auto"/>
      <w:ind w:firstLine="200" w:firstLineChars="200"/>
    </w:pPr>
    <w:rPr>
      <w:sz w:val="24"/>
    </w:rPr>
  </w:style>
  <w:style w:type="paragraph" w:customStyle="1" w:styleId="250">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251">
    <w:name w:val="font51"/>
    <w:basedOn w:val="63"/>
    <w:qFormat/>
    <w:uiPriority w:val="0"/>
    <w:rPr>
      <w:rFonts w:hint="default" w:ascii="Times New Roman" w:hAnsi="Times New Roman" w:cs="Times New Roman"/>
      <w:color w:val="FF0000"/>
      <w:sz w:val="20"/>
      <w:szCs w:val="20"/>
      <w:u w:val="none"/>
    </w:rPr>
  </w:style>
  <w:style w:type="character" w:customStyle="1" w:styleId="252">
    <w:name w:val="font61"/>
    <w:basedOn w:val="63"/>
    <w:qFormat/>
    <w:uiPriority w:val="0"/>
    <w:rPr>
      <w:rFonts w:hint="eastAsia" w:ascii="方正仿宋_GBK" w:hAnsi="方正仿宋_GBK" w:eastAsia="方正仿宋_GBK" w:cs="方正仿宋_GBK"/>
      <w:color w:val="FF0000"/>
      <w:sz w:val="20"/>
      <w:szCs w:val="20"/>
      <w:u w:val="none"/>
    </w:rPr>
  </w:style>
  <w:style w:type="paragraph" w:customStyle="1" w:styleId="253">
    <w:name w:val="电建正文"/>
    <w:basedOn w:val="254"/>
    <w:qFormat/>
    <w:uiPriority w:val="0"/>
    <w:pPr>
      <w:tabs>
        <w:tab w:val="left" w:pos="720"/>
      </w:tabs>
      <w:spacing w:line="360" w:lineRule="auto"/>
      <w:ind w:firstLine="200" w:firstLineChars="200"/>
    </w:pPr>
    <w:rPr>
      <w:rFonts w:ascii="Tahoma" w:hAnsi="Tahoma"/>
      <w:sz w:val="24"/>
    </w:rPr>
  </w:style>
  <w:style w:type="paragraph" w:customStyle="1" w:styleId="254">
    <w:name w:val="List First"/>
    <w:basedOn w:val="42"/>
    <w:next w:val="42"/>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38</Pages>
  <Words>5266</Words>
  <Characters>5610</Characters>
  <Lines>182</Lines>
  <Paragraphs>51</Paragraphs>
  <TotalTime>3</TotalTime>
  <ScaleCrop>false</ScaleCrop>
  <LinksUpToDate>false</LinksUpToDate>
  <CharactersWithSpaces>5789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2019-10-12T08:43:00Z</dcterms:created>
  <dc:creator>周媛媛</dc:creator>
  <cp:lastModifiedBy>重庆向远招标代理有限公司</cp:lastModifiedBy>
  <cp:lastPrinted>2024-09-06T03:02:00Z</cp:lastPrinted>
  <dcterms:modified xsi:type="dcterms:W3CDTF">2025-05-16T06:20:15Z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978C74249F9940B38FAD7B1C2F66D7FF_13</vt:lpwstr>
  </property>
  <property fmtid="{D5CDD505-2E9C-101B-9397-08002B2CF9AE}" pid="4" name="KSOTemplateDocerSaveRecord">
    <vt:lpwstr>eyJoZGlkIjoiZGVkNjY0MTQyMDY4NjMwOTA4Y2Q1YTcwNDZiODNjNzMiLCJ1c2VySWQiOiIxNTA5NDU1OTc1In0=</vt:lpwstr>
  </property>
</Properties>
</file>